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39" w:lineRule="exact"/>
        <w:rPr>
          <w:sz w:val="24"/>
          <w:szCs w:val="24"/>
          <w:color w:val="auto"/>
        </w:rPr>
      </w:pPr>
    </w:p>
    <w:p>
      <w:pPr>
        <w:ind w:left="680" w:hanging="656"/>
        <w:spacing w:after="0"/>
        <w:tabs>
          <w:tab w:leader="none" w:pos="6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9" w:lineRule="exact"/>
        <w:rPr>
          <w:sz w:val="24"/>
          <w:szCs w:val="24"/>
          <w:color w:val="auto"/>
        </w:rPr>
      </w:pPr>
    </w:p>
    <w:p>
      <w:pPr>
        <w:ind w:left="680" w:hanging="656"/>
        <w:spacing w:after="0"/>
        <w:tabs>
          <w:tab w:leader="none" w:pos="68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27" w:lineRule="exact"/>
        <w:rPr>
          <w:sz w:val="24"/>
          <w:szCs w:val="24"/>
          <w:color w:val="auto"/>
        </w:rPr>
      </w:pPr>
    </w:p>
    <w:p>
      <w:pPr>
        <w:ind w:left="3880"/>
        <w:spacing w:after="0"/>
        <w:tabs>
          <w:tab w:leader="none" w:pos="66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001-33500</w:t>
      </w: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JAZZ PHARMACEUTICALS PUBLIC LIMITED COMPANY</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228" w:right="339" w:bottom="296" w:gutter="0" w:footer="0" w:header="0"/>
        </w:sectPr>
      </w:pPr>
    </w:p>
    <w:p>
      <w:pPr>
        <w:spacing w:after="0" w:line="357"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7"/>
          <w:szCs w:val="17"/>
          <w:b w:val="1"/>
          <w:bCs w:val="1"/>
          <w:color w:val="auto"/>
        </w:rPr>
        <w:t>Ireland</w:t>
      </w:r>
    </w:p>
    <w:p>
      <w:pPr>
        <w:spacing w:after="0" w:line="20" w:lineRule="exact"/>
        <w:rPr>
          <w:sz w:val="24"/>
          <w:szCs w:val="24"/>
          <w:color w:val="auto"/>
        </w:rPr>
      </w:pPr>
      <w:r>
        <w:rPr>
          <w:sz w:val="24"/>
          <w:szCs w:val="24"/>
          <w:color w:val="auto"/>
        </w:rPr>
        <w:br w:type="column"/>
      </w:r>
    </w:p>
    <w:p>
      <w:pPr>
        <w:spacing w:after="0" w:line="3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98-1032470</w:t>
      </w:r>
    </w:p>
    <w:p>
      <w:pPr>
        <w:spacing w:after="0" w:line="39" w:lineRule="exact"/>
        <w:rPr>
          <w:sz w:val="24"/>
          <w:szCs w:val="24"/>
          <w:color w:val="auto"/>
        </w:rPr>
      </w:pPr>
    </w:p>
    <w:p>
      <w:pPr>
        <w:sectPr>
          <w:pgSz w:w="11900" w:h="16838" w:orient="portrait"/>
          <w:cols w:equalWidth="0" w:num="2">
            <w:col w:w="7480" w:space="720"/>
            <w:col w:w="3040"/>
          </w:cols>
          <w:pgMar w:left="320" w:top="228" w:right="339" w:bottom="296" w:gutter="0" w:footer="0" w:header="0"/>
          <w:type w:val="continuous"/>
        </w:sectPr>
      </w:pPr>
    </w:p>
    <w:p>
      <w:pPr>
        <w:ind w:left="86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177" w:lineRule="exact"/>
        <w:rPr>
          <w:sz w:val="24"/>
          <w:szCs w:val="24"/>
          <w:color w:val="auto"/>
        </w:rPr>
      </w:pPr>
    </w:p>
    <w:p>
      <w:pPr>
        <w:sectPr>
          <w:pgSz w:w="11900" w:h="16838" w:orient="portrait"/>
          <w:cols w:equalWidth="0" w:num="2">
            <w:col w:w="6820" w:space="720"/>
            <w:col w:w="3700"/>
          </w:cols>
          <w:pgMar w:left="320" w:top="228" w:right="339" w:bottom="296"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Fifth Floor, Waterloo Exchange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Waterloo Road, Dublin 4, Ireland D04 E5W7</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011-353-1-634-7800</w:t>
      </w: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240"/>
          </w:cols>
          <w:pgMar w:left="320" w:top="228" w:right="339" w:bottom="296" w:gutter="0" w:footer="0" w:header="0"/>
          <w:type w:val="continuous"/>
        </w:sectPr>
      </w:pPr>
    </w:p>
    <w:p>
      <w:pPr>
        <w:spacing w:after="0" w:line="135"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Trading Symbol(s)</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43" w:lineRule="exact"/>
        <w:rPr>
          <w:sz w:val="24"/>
          <w:szCs w:val="24"/>
          <w:color w:val="auto"/>
        </w:rPr>
      </w:pPr>
    </w:p>
    <w:p>
      <w:pPr>
        <w:sectPr>
          <w:pgSz w:w="11900" w:h="16838" w:orient="portrait"/>
          <w:cols w:equalWidth="0" w:num="3">
            <w:col w:w="4120" w:space="720"/>
            <w:col w:w="1860" w:space="720"/>
            <w:col w:w="3820"/>
          </w:cols>
          <w:pgMar w:left="320" w:top="228" w:right="339" w:bottom="296"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b w:val="1"/>
          <w:bCs w:val="1"/>
          <w:color w:val="auto"/>
        </w:rPr>
        <w:t>Ordinary shares, nominal value $0.0001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JAZZ</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The Nasdaq Stock Market LLC</w:t>
      </w:r>
    </w:p>
    <w:p>
      <w:pPr>
        <w:spacing w:after="0" w:line="111" w:lineRule="exact"/>
        <w:rPr>
          <w:sz w:val="24"/>
          <w:szCs w:val="24"/>
          <w:color w:val="auto"/>
        </w:rPr>
      </w:pPr>
    </w:p>
    <w:p>
      <w:pPr>
        <w:sectPr>
          <w:pgSz w:w="11900" w:h="16838" w:orient="portrait"/>
          <w:cols w:equalWidth="0" w:num="3">
            <w:col w:w="4460" w:space="720"/>
            <w:col w:w="1640" w:space="720"/>
            <w:col w:w="3700"/>
          </w:cols>
          <w:pgMar w:left="320" w:top="228" w:right="339" w:bottom="296"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12(g) of the Act:</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ectPr>
          <w:pgSz w:w="11900" w:h="16838" w:orient="portrait"/>
          <w:cols w:equalWidth="0" w:num="1">
            <w:col w:w="11240"/>
          </w:cols>
          <w:pgMar w:left="320" w:top="228" w:right="339" w:bottom="296" w:gutter="0" w:footer="0" w:header="0"/>
          <w:type w:val="continuous"/>
        </w:sectPr>
      </w:pPr>
    </w:p>
    <w:p>
      <w:pPr>
        <w:spacing w:after="0" w:line="302"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Yes</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7"/>
          <w:szCs w:val="17"/>
          <w:color w:val="auto"/>
        </w:rPr>
        <w:t>☐</w:t>
      </w:r>
    </w:p>
    <w:p>
      <w:pPr>
        <w:spacing w:after="0" w:line="110" w:lineRule="exact"/>
        <w:rPr>
          <w:sz w:val="24"/>
          <w:szCs w:val="24"/>
          <w:color w:val="auto"/>
        </w:rPr>
      </w:pPr>
    </w:p>
    <w:p>
      <w:pPr>
        <w:sectPr>
          <w:pgSz w:w="11900" w:h="16838" w:orient="portrait"/>
          <w:cols w:equalWidth="0" w:num="4">
            <w:col w:w="6980" w:space="140"/>
            <w:col w:w="200" w:space="80"/>
            <w:col w:w="160" w:space="140"/>
            <w:col w:w="3540"/>
          </w:cols>
          <w:pgMar w:left="320" w:top="228" w:right="339" w:bottom="296" w:gutter="0" w:footer="0" w:header="0"/>
          <w:type w:val="continuous"/>
        </w:sectPr>
      </w:pPr>
    </w:p>
    <w:p>
      <w:pPr>
        <w:spacing w:after="0" w:line="74"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7"/>
          <w:szCs w:val="17"/>
          <w:color w:val="auto"/>
        </w:rPr>
        <w:t>☒</w:t>
      </w:r>
    </w:p>
    <w:p>
      <w:pPr>
        <w:spacing w:after="0" w:line="131" w:lineRule="exact"/>
        <w:rPr>
          <w:sz w:val="24"/>
          <w:szCs w:val="24"/>
          <w:color w:val="auto"/>
        </w:rPr>
      </w:pPr>
    </w:p>
    <w:p>
      <w:pPr>
        <w:sectPr>
          <w:pgSz w:w="11900" w:h="16838" w:orient="portrait"/>
          <w:cols w:equalWidth="0" w:num="4">
            <w:col w:w="7120" w:space="120"/>
            <w:col w:w="220" w:space="60"/>
            <w:col w:w="160" w:space="140"/>
            <w:col w:w="3420"/>
          </w:cols>
          <w:pgMar w:left="320" w:top="228" w:right="339" w:bottom="296" w:gutter="0" w:footer="0" w:header="0"/>
          <w:type w:val="continuous"/>
        </w:sectPr>
      </w:pPr>
    </w:p>
    <w:p>
      <w:pPr>
        <w:ind w:left="320"/>
        <w:spacing w:after="0"/>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w:t>
      </w:r>
    </w:p>
    <w:p>
      <w:pPr>
        <w:sectPr>
          <w:pgSz w:w="11900" w:h="16838" w:orient="portrait"/>
          <w:cols w:equalWidth="0" w:num="1">
            <w:col w:w="11240"/>
          </w:cols>
          <w:pgMar w:left="320" w:top="228" w:right="339" w:bottom="296" w:gutter="0" w:footer="0" w:header="0"/>
          <w:type w:val="continuous"/>
        </w:sectPr>
      </w:pPr>
    </w:p>
    <w:p>
      <w:pPr>
        <w:spacing w:after="0" w:line="5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such shorter period that the registrant was required to file such reports), and (2) has been subject to such filing requirements for the past 90 days.</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Yes</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4" w:lineRule="exact"/>
        <w:rPr>
          <w:sz w:val="24"/>
          <w:szCs w:val="24"/>
          <w:color w:val="auto"/>
        </w:rPr>
      </w:pPr>
    </w:p>
    <w:p>
      <w:pPr>
        <w:sectPr>
          <w:pgSz w:w="11900" w:h="16838" w:orient="portrait"/>
          <w:cols w:equalWidth="0" w:num="5">
            <w:col w:w="8220" w:space="120"/>
            <w:col w:w="220" w:space="60"/>
            <w:col w:w="160" w:space="140"/>
            <w:col w:w="180" w:space="80"/>
            <w:col w:w="2060"/>
          </w:cols>
          <w:pgMar w:left="320" w:top="228" w:right="339" w:bottom="296" w:gutter="0" w:footer="0" w:header="0"/>
          <w:type w:val="continuous"/>
        </w:sectPr>
      </w:pPr>
    </w:p>
    <w:p>
      <w:pPr>
        <w:ind w:left="320"/>
        <w:spacing w:after="0"/>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w:t>
      </w:r>
    </w:p>
    <w:p>
      <w:pPr>
        <w:sectPr>
          <w:pgSz w:w="11900" w:h="16838" w:orient="portrait"/>
          <w:cols w:equalWidth="0" w:num="1">
            <w:col w:w="11240"/>
          </w:cols>
          <w:pgMar w:left="320" w:top="228" w:right="339" w:bottom="296" w:gutter="0" w:footer="0" w:header="0"/>
          <w:type w:val="continuous"/>
        </w:sectPr>
      </w:pPr>
    </w:p>
    <w:p>
      <w:pPr>
        <w:spacing w:after="0" w:line="5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chapter) during the preceding 12 months (or for such shorter period that the registrant was required to submit such files).</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Yes</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1" w:lineRule="exact"/>
        <w:rPr>
          <w:sz w:val="24"/>
          <w:szCs w:val="24"/>
          <w:color w:val="auto"/>
        </w:rPr>
      </w:pPr>
    </w:p>
    <w:p>
      <w:pPr>
        <w:sectPr>
          <w:pgSz w:w="11900" w:h="16838" w:orient="portrait"/>
          <w:cols w:equalWidth="0" w:num="5">
            <w:col w:w="6860" w:space="120"/>
            <w:col w:w="220" w:space="60"/>
            <w:col w:w="160" w:space="140"/>
            <w:col w:w="180" w:space="80"/>
            <w:col w:w="3420"/>
          </w:cols>
          <w:pgMar w:left="320" w:top="228" w:right="339" w:bottom="296" w:gutter="0" w:footer="0" w:header="0"/>
          <w:type w:val="continuous"/>
        </w:sectPr>
      </w:pPr>
    </w:p>
    <w:p>
      <w:pPr>
        <w:ind w:right="440" w:firstLine="320"/>
        <w:spacing w:after="0" w:line="29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8" w:right="339" w:bottom="296" w:gutter="0" w:footer="0" w:header="0"/>
          <w:type w:val="continuous"/>
        </w:sectPr>
      </w:pPr>
    </w:p>
    <w:p>
      <w:pPr>
        <w:spacing w:after="0" w:line="11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1" w:lineRule="exact"/>
        <w:rPr>
          <w:sz w:val="24"/>
          <w:szCs w:val="24"/>
          <w:color w:val="auto"/>
        </w:rPr>
      </w:pPr>
    </w:p>
    <w:p>
      <w:pPr>
        <w:sectPr>
          <w:pgSz w:w="11900" w:h="16838" w:orient="portrait"/>
          <w:cols w:equalWidth="0" w:num="10">
            <w:col w:w="1360" w:space="720"/>
            <w:col w:w="160" w:space="100"/>
            <w:col w:w="1060" w:space="720"/>
            <w:col w:w="160" w:space="120"/>
            <w:col w:w="1200" w:space="580"/>
            <w:col w:w="160" w:space="100"/>
            <w:col w:w="1560" w:space="560"/>
            <w:col w:w="160" w:space="100"/>
            <w:col w:w="1560" w:space="580"/>
            <w:col w:w="280"/>
          </w:cols>
          <w:pgMar w:left="320" w:top="228" w:right="339" w:bottom="296" w:gutter="0" w:footer="0" w:header="0"/>
          <w:type w:val="continuous"/>
        </w:sectPr>
      </w:pPr>
    </w:p>
    <w:p>
      <w:pPr>
        <w:spacing w:after="0" w:line="118" w:lineRule="exact"/>
        <w:rPr>
          <w:sz w:val="24"/>
          <w:szCs w:val="24"/>
          <w:color w:val="auto"/>
        </w:rPr>
      </w:pPr>
    </w:p>
    <w:p>
      <w:pPr>
        <w:ind w:right="400" w:firstLine="320"/>
        <w:spacing w:after="0" w:line="21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57" w:lineRule="exact"/>
        <w:rPr>
          <w:sz w:val="24"/>
          <w:szCs w:val="24"/>
          <w:color w:val="auto"/>
        </w:rPr>
      </w:pPr>
    </w:p>
    <w:p>
      <w:pPr>
        <w:ind w:right="360" w:firstLine="320"/>
        <w:spacing w:after="0" w:line="21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57" w:lineRule="exact"/>
        <w:rPr>
          <w:sz w:val="24"/>
          <w:szCs w:val="24"/>
          <w:color w:val="auto"/>
        </w:rPr>
      </w:pPr>
    </w:p>
    <w:p>
      <w:pPr>
        <w:ind w:right="100" w:firstLine="320"/>
        <w:spacing w:after="0" w:line="190"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74" w:lineRule="exact"/>
        <w:rPr>
          <w:sz w:val="24"/>
          <w:szCs w:val="24"/>
          <w:color w:val="auto"/>
        </w:rPr>
      </w:pPr>
    </w:p>
    <w:p>
      <w:pPr>
        <w:ind w:right="120" w:firstLine="320"/>
        <w:spacing w:after="0" w:line="183"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40" w:lineRule="exact"/>
        <w:rPr>
          <w:sz w:val="24"/>
          <w:szCs w:val="24"/>
          <w:color w:val="auto"/>
        </w:rPr>
      </w:pPr>
    </w:p>
    <w:p>
      <w:pPr>
        <w:ind w:left="320"/>
        <w:spacing w:after="0" w:line="196" w:lineRule="exact"/>
        <w:tabs>
          <w:tab w:leader="none" w:pos="6300" w:val="left"/>
          <w:tab w:leader="none" w:pos="688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7"/>
          <w:szCs w:val="17"/>
          <w:color w:val="auto"/>
        </w:rPr>
        <w:t>☒</w:t>
      </w:r>
    </w:p>
    <w:p>
      <w:pPr>
        <w:spacing w:after="0" w:line="145"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as of June 30, 2023, the last business day of the registrant’s most recently</w:t>
      </w:r>
    </w:p>
    <w:p>
      <w:pPr>
        <w:spacing w:after="0" w:line="23"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completed second fiscal quarter, was approximately $7,659,805,500 based upon the last sale price reported for the registrant’s ordinary shares on such date on The Nasdaq Global Select Market. The calculation of the aggregate market value of voting and non-voting common equity excludes 1,610,713 ordinary shares of the registrant held by executive officers, directors and shareholders that the registrant concluded were affiliates of the registrant on that date. Exclusion of such shares should not be construed to indicate that any such person possesses the power, direct or indirect, to direct or cause the direction of the management or policies of the registrant or that such person is controlled by or under common control with the registrant.</w:t>
      </w:r>
    </w:p>
    <w:p>
      <w:pPr>
        <w:spacing w:after="0" w:line="58"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February 21, 2024, a total of 62,345,283 ordinary shares, nominal value $0.0001 per share, of the registrant were outstanding.</w:t>
      </w:r>
    </w:p>
    <w:p>
      <w:pPr>
        <w:spacing w:after="0" w:line="103"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63" w:lineRule="exact"/>
        <w:rPr>
          <w:sz w:val="24"/>
          <w:szCs w:val="24"/>
          <w:color w:val="auto"/>
        </w:rPr>
      </w:pPr>
    </w:p>
    <w:p>
      <w:pPr>
        <w:ind w:right="180" w:firstLine="320"/>
        <w:spacing w:after="0" w:line="195" w:lineRule="exact"/>
        <w:rPr>
          <w:sz w:val="20"/>
          <w:szCs w:val="20"/>
          <w:color w:val="auto"/>
        </w:rPr>
      </w:pPr>
      <w:r>
        <w:rPr>
          <w:rFonts w:ascii="Times New Roman" w:cs="Times New Roman" w:eastAsia="Times New Roman" w:hAnsi="Times New Roman"/>
          <w:sz w:val="14"/>
          <w:szCs w:val="14"/>
          <w:color w:val="auto"/>
        </w:rPr>
        <w:t>Certain information required by Part III, Items 10-14 of this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is incorporated by reference to the registrant’s definitive Proxy Statement for the 2024 Annual General Meeting of Shareholders to be filed with the Securities and Exchange Commission pursuant to Regulation 14A. If such Proxy Statement is not filed within 120 days after the end of the fiscal year covered by this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such information will be included in an amendment to this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to be filed within such 120-day period.</w:t>
      </w:r>
    </w:p>
    <w:p>
      <w:pPr>
        <w:sectPr>
          <w:pgSz w:w="11900" w:h="16838" w:orient="portrait"/>
          <w:cols w:equalWidth="0" w:num="1">
            <w:col w:w="11240"/>
          </w:cols>
          <w:pgMar w:left="320" w:top="228" w:right="339" w:bottom="296"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85090</wp:posOffset>
            </wp:positionV>
            <wp:extent cx="715962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9019"/>
          </w:cols>
          <w:pgMar w:left="1440" w:top="201"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80" w:type="dxa"/>
            <w:vAlign w:val="bottom"/>
            <w:gridSpan w:val="11"/>
          </w:tcPr>
          <w:p>
            <w:pPr>
              <w:jc w:val="center"/>
              <w:ind w:right="2840"/>
              <w:spacing w:after="0"/>
              <w:rPr>
                <w:sz w:val="20"/>
                <w:szCs w:val="20"/>
                <w:color w:val="auto"/>
              </w:rPr>
            </w:pPr>
            <w:r>
              <w:rPr>
                <w:rFonts w:ascii="Times New Roman" w:cs="Times New Roman" w:eastAsia="Times New Roman" w:hAnsi="Times New Roman"/>
                <w:sz w:val="18"/>
                <w:szCs w:val="18"/>
                <w:b w:val="1"/>
                <w:bCs w:val="1"/>
                <w:color w:val="auto"/>
                <w:w w:val="98"/>
              </w:rPr>
              <w:t>JAZZ PHARMACEUTICALS PLC</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80" w:type="dxa"/>
            <w:vAlign w:val="bottom"/>
            <w:gridSpan w:val="12"/>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8"/>
              </w:rPr>
              <w:t>2023 ANNUAL REPORT ON FORM 10-K</w:t>
            </w: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20" w:type="dxa"/>
            <w:vAlign w:val="bottom"/>
            <w:gridSpan w:val="9"/>
          </w:tcPr>
          <w:p>
            <w:pPr>
              <w:jc w:val="center"/>
              <w:ind w:right="3280"/>
              <w:spacing w:after="0"/>
              <w:rPr>
                <w:sz w:val="20"/>
                <w:szCs w:val="20"/>
                <w:color w:val="auto"/>
              </w:rPr>
            </w:pPr>
            <w:r>
              <w:rPr>
                <w:rFonts w:ascii="Times New Roman" w:cs="Times New Roman" w:eastAsia="Times New Roman" w:hAnsi="Times New Roman"/>
                <w:sz w:val="18"/>
                <w:szCs w:val="18"/>
                <w:b w:val="1"/>
                <w:bCs w:val="1"/>
                <w:color w:val="auto"/>
                <w:w w:val="97"/>
              </w:rPr>
              <w:t>TABLE OF CONTENTS</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1"/>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5"/>
        </w:trPr>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20" w:type="dxa"/>
            <w:vAlign w:val="bottom"/>
            <w:gridSpan w:val="9"/>
            <w:vMerge w:val="restart"/>
          </w:tcPr>
          <w:p>
            <w:pPr>
              <w:jc w:val="center"/>
              <w:ind w:right="456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20" w:type="dxa"/>
            <w:vAlign w:val="bottom"/>
            <w:gridSpan w:val="9"/>
            <w:vMerge w:val="continue"/>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7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Business</w:t>
            </w:r>
          </w:p>
        </w:tc>
        <w:tc>
          <w:tcPr>
            <w:tcW w:w="12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87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1B.</w:t>
            </w:r>
          </w:p>
        </w:tc>
        <w:tc>
          <w:tcPr>
            <w:tcW w:w="20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7"/>
              </w:rPr>
              <w:t>Unresolved Staff Comments</w:t>
            </w:r>
          </w:p>
        </w:tc>
        <w:tc>
          <w:tcPr>
            <w:tcW w:w="6680" w:type="dxa"/>
            <w:vAlign w:val="bottom"/>
            <w:gridSpan w:val="12"/>
          </w:tcPr>
          <w:p>
            <w:pPr>
              <w:spacing w:after="0"/>
              <w:rPr>
                <w:sz w:val="17"/>
                <w:szCs w:val="17"/>
                <w:color w:val="auto"/>
              </w:rPr>
            </w:pPr>
          </w:p>
        </w:tc>
        <w:tc>
          <w:tcPr>
            <w:tcW w:w="106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1C.</w:t>
            </w:r>
          </w:p>
        </w:tc>
        <w:tc>
          <w:tcPr>
            <w:tcW w:w="13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7400" w:type="dxa"/>
            <w:vAlign w:val="bottom"/>
            <w:gridSpan w:val="17"/>
          </w:tcPr>
          <w:p>
            <w:pPr>
              <w:spacing w:after="0"/>
              <w:rPr>
                <w:sz w:val="17"/>
                <w:szCs w:val="17"/>
                <w:color w:val="auto"/>
              </w:rPr>
            </w:pPr>
          </w:p>
        </w:tc>
        <w:tc>
          <w:tcPr>
            <w:tcW w:w="106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7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5"/>
              </w:rPr>
              <w:t>Properties</w:t>
            </w:r>
          </w:p>
        </w:tc>
        <w:tc>
          <w:tcPr>
            <w:tcW w:w="7980" w:type="dxa"/>
            <w:vAlign w:val="bottom"/>
            <w:gridSpan w:val="20"/>
          </w:tcPr>
          <w:p>
            <w:pPr>
              <w:spacing w:after="0"/>
              <w:rPr>
                <w:sz w:val="17"/>
                <w:szCs w:val="17"/>
                <w:color w:val="auto"/>
              </w:rPr>
            </w:pPr>
          </w:p>
        </w:tc>
        <w:tc>
          <w:tcPr>
            <w:tcW w:w="106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15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180" w:type="dxa"/>
            <w:vAlign w:val="bottom"/>
            <w:gridSpan w:val="15"/>
          </w:tcPr>
          <w:p>
            <w:pPr>
              <w:spacing w:after="0"/>
              <w:rPr>
                <w:sz w:val="17"/>
                <w:szCs w:val="17"/>
                <w:color w:val="auto"/>
              </w:rPr>
            </w:pPr>
          </w:p>
        </w:tc>
        <w:tc>
          <w:tcPr>
            <w:tcW w:w="106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7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3"/>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20" w:type="dxa"/>
            <w:vAlign w:val="bottom"/>
            <w:gridSpan w:val="9"/>
          </w:tcPr>
          <w:p>
            <w:pPr>
              <w:jc w:val="center"/>
              <w:ind w:right="456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79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8"/>
              </w:rPr>
              <w:t>Market for Registrant’s Common Equity, Related Stockholder Matters and Issuer Purchases of Equity Securities</w:t>
            </w:r>
          </w:p>
        </w:tc>
        <w:tc>
          <w:tcPr>
            <w:tcW w:w="740" w:type="dxa"/>
            <w:vAlign w:val="bottom"/>
          </w:tcPr>
          <w:p>
            <w:pPr>
              <w:spacing w:after="0"/>
              <w:rPr>
                <w:sz w:val="24"/>
                <w:szCs w:val="24"/>
                <w:color w:val="auto"/>
              </w:rPr>
            </w:pPr>
          </w:p>
        </w:tc>
        <w:tc>
          <w:tcPr>
            <w:tcW w:w="1060" w:type="dxa"/>
            <w:vAlign w:val="bottom"/>
            <w:gridSpan w:val="2"/>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Reserved</w:t>
            </w:r>
          </w:p>
        </w:tc>
        <w:tc>
          <w:tcPr>
            <w:tcW w:w="8040" w:type="dxa"/>
            <w:vAlign w:val="bottom"/>
            <w:gridSpan w:val="21"/>
          </w:tcPr>
          <w:p>
            <w:pPr>
              <w:spacing w:after="0"/>
              <w:rPr>
                <w:sz w:val="17"/>
                <w:szCs w:val="17"/>
                <w:color w:val="auto"/>
              </w:rPr>
            </w:pPr>
          </w:p>
        </w:tc>
        <w:tc>
          <w:tcPr>
            <w:tcW w:w="106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w:t>
            </w:r>
          </w:p>
        </w:tc>
        <w:tc>
          <w:tcPr>
            <w:tcW w:w="87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7A.</w:t>
            </w:r>
          </w:p>
        </w:tc>
        <w:tc>
          <w:tcPr>
            <w:tcW w:w="482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540" w:type="dxa"/>
            <w:vAlign w:val="bottom"/>
            <w:tcBorders>
              <w:top w:val="single" w:sz="8" w:color="0000FF"/>
            </w:tcBorders>
            <w:gridSpan w:val="2"/>
          </w:tcPr>
          <w:p>
            <w:pPr>
              <w:spacing w:after="0"/>
              <w:rPr>
                <w:sz w:val="17"/>
                <w:szCs w:val="17"/>
                <w:color w:val="auto"/>
              </w:rPr>
            </w:pPr>
          </w:p>
        </w:tc>
        <w:tc>
          <w:tcPr>
            <w:tcW w:w="2340" w:type="dxa"/>
            <w:vAlign w:val="bottom"/>
            <w:gridSpan w:val="4"/>
          </w:tcPr>
          <w:p>
            <w:pPr>
              <w:spacing w:after="0"/>
              <w:rPr>
                <w:sz w:val="17"/>
                <w:szCs w:val="17"/>
                <w:color w:val="auto"/>
              </w:rPr>
            </w:pPr>
          </w:p>
        </w:tc>
        <w:tc>
          <w:tcPr>
            <w:tcW w:w="1060" w:type="dxa"/>
            <w:vAlign w:val="bottom"/>
            <w:gridSpan w:val="2"/>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8.</w:t>
            </w:r>
          </w:p>
        </w:tc>
        <w:tc>
          <w:tcPr>
            <w:tcW w:w="32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7"/>
              </w:rPr>
              <w:t>Financial Statements and Supplementary Data</w:t>
            </w:r>
          </w:p>
        </w:tc>
        <w:tc>
          <w:tcPr>
            <w:tcW w:w="5420" w:type="dxa"/>
            <w:vAlign w:val="bottom"/>
            <w:gridSpan w:val="9"/>
          </w:tcPr>
          <w:p>
            <w:pPr>
              <w:spacing w:after="0"/>
              <w:rPr>
                <w:sz w:val="17"/>
                <w:szCs w:val="17"/>
                <w:color w:val="auto"/>
              </w:rPr>
            </w:pPr>
          </w:p>
        </w:tc>
        <w:tc>
          <w:tcPr>
            <w:tcW w:w="106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w:t>
            </w:r>
          </w:p>
        </w:tc>
        <w:tc>
          <w:tcPr>
            <w:tcW w:w="718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520" w:type="dxa"/>
            <w:vAlign w:val="bottom"/>
            <w:gridSpan w:val="2"/>
          </w:tcPr>
          <w:p>
            <w:pPr>
              <w:spacing w:after="0"/>
              <w:rPr>
                <w:sz w:val="17"/>
                <w:szCs w:val="17"/>
                <w:color w:val="auto"/>
              </w:rPr>
            </w:pPr>
          </w:p>
        </w:tc>
        <w:tc>
          <w:tcPr>
            <w:tcW w:w="106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9A.</w:t>
            </w:r>
          </w:p>
        </w:tc>
        <w:tc>
          <w:tcPr>
            <w:tcW w:w="17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7"/>
              </w:rPr>
              <w:t>Controls and Procedures</w:t>
            </w:r>
          </w:p>
        </w:tc>
        <w:tc>
          <w:tcPr>
            <w:tcW w:w="6960" w:type="dxa"/>
            <w:vAlign w:val="bottom"/>
            <w:gridSpan w:val="14"/>
          </w:tcPr>
          <w:p>
            <w:pPr>
              <w:spacing w:after="0"/>
              <w:rPr>
                <w:sz w:val="17"/>
                <w:szCs w:val="17"/>
                <w:color w:val="auto"/>
              </w:rPr>
            </w:pPr>
          </w:p>
        </w:tc>
        <w:tc>
          <w:tcPr>
            <w:tcW w:w="106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9B.</w:t>
            </w:r>
          </w:p>
        </w:tc>
        <w:tc>
          <w:tcPr>
            <w:tcW w:w="13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7400" w:type="dxa"/>
            <w:vAlign w:val="bottom"/>
            <w:gridSpan w:val="17"/>
          </w:tcPr>
          <w:p>
            <w:pPr>
              <w:spacing w:after="0"/>
              <w:rPr>
                <w:sz w:val="17"/>
                <w:szCs w:val="17"/>
                <w:color w:val="auto"/>
              </w:rPr>
            </w:pPr>
          </w:p>
        </w:tc>
        <w:tc>
          <w:tcPr>
            <w:tcW w:w="12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9C.</w:t>
            </w:r>
          </w:p>
        </w:tc>
        <w:tc>
          <w:tcPr>
            <w:tcW w:w="87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2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100</w:t>
            </w:r>
          </w:p>
        </w:tc>
        <w:tc>
          <w:tcPr>
            <w:tcW w:w="0" w:type="dxa"/>
            <w:vAlign w:val="bottom"/>
          </w:tcPr>
          <w:p>
            <w:pPr>
              <w:spacing w:after="0"/>
              <w:rPr>
                <w:sz w:val="1"/>
                <w:szCs w:val="1"/>
                <w:color w:val="auto"/>
              </w:rPr>
            </w:pPr>
          </w:p>
        </w:tc>
      </w:tr>
      <w:tr>
        <w:trPr>
          <w:trHeight w:val="513"/>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540" w:type="dxa"/>
            <w:vAlign w:val="bottom"/>
            <w:tcBorders>
              <w:top w:val="single" w:sz="8" w:color="0000FF"/>
            </w:tcBorders>
            <w:gridSpan w:val="3"/>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3"/>
              </w:rPr>
              <w:t>PART III</w:t>
            </w:r>
          </w:p>
        </w:tc>
        <w:tc>
          <w:tcPr>
            <w:tcW w:w="3880" w:type="dxa"/>
            <w:vAlign w:val="bottom"/>
            <w:gridSpan w:val="6"/>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10.</w:t>
            </w:r>
          </w:p>
        </w:tc>
        <w:tc>
          <w:tcPr>
            <w:tcW w:w="40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8"/>
              </w:rPr>
              <w:t>Directors, Executive Officers and Corporate Governance</w:t>
            </w:r>
          </w:p>
        </w:tc>
        <w:tc>
          <w:tcPr>
            <w:tcW w:w="4660" w:type="dxa"/>
            <w:vAlign w:val="bottom"/>
            <w:gridSpan w:val="8"/>
          </w:tcPr>
          <w:p>
            <w:pPr>
              <w:spacing w:after="0"/>
              <w:rPr>
                <w:sz w:val="20"/>
                <w:szCs w:val="20"/>
                <w:color w:val="auto"/>
              </w:rPr>
            </w:pPr>
          </w:p>
        </w:tc>
        <w:tc>
          <w:tcPr>
            <w:tcW w:w="12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gridSpan w:val="8"/>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11.</w:t>
            </w:r>
          </w:p>
        </w:tc>
        <w:tc>
          <w:tcPr>
            <w:tcW w:w="17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7"/>
              </w:rPr>
              <w:t>Executive Compensation</w:t>
            </w:r>
          </w:p>
        </w:tc>
        <w:tc>
          <w:tcPr>
            <w:tcW w:w="2260" w:type="dxa"/>
            <w:vAlign w:val="bottom"/>
            <w:gridSpan w:val="5"/>
          </w:tcPr>
          <w:p>
            <w:pPr>
              <w:spacing w:after="0"/>
              <w:rPr>
                <w:sz w:val="17"/>
                <w:szCs w:val="17"/>
                <w:color w:val="auto"/>
              </w:rPr>
            </w:pPr>
          </w:p>
        </w:tc>
        <w:tc>
          <w:tcPr>
            <w:tcW w:w="4660" w:type="dxa"/>
            <w:vAlign w:val="bottom"/>
            <w:gridSpan w:val="8"/>
          </w:tcPr>
          <w:p>
            <w:pPr>
              <w:spacing w:after="0"/>
              <w:rPr>
                <w:sz w:val="17"/>
                <w:szCs w:val="17"/>
                <w:color w:val="auto"/>
              </w:rPr>
            </w:pPr>
          </w:p>
        </w:tc>
        <w:tc>
          <w:tcPr>
            <w:tcW w:w="12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gridSpan w:val="8"/>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12.</w:t>
            </w:r>
          </w:p>
        </w:tc>
        <w:tc>
          <w:tcPr>
            <w:tcW w:w="87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2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gridSpan w:val="8"/>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13.</w:t>
            </w:r>
          </w:p>
        </w:tc>
        <w:tc>
          <w:tcPr>
            <w:tcW w:w="7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520" w:type="dxa"/>
            <w:vAlign w:val="bottom"/>
            <w:gridSpan w:val="2"/>
          </w:tcPr>
          <w:p>
            <w:pPr>
              <w:spacing w:after="0"/>
              <w:rPr>
                <w:sz w:val="17"/>
                <w:szCs w:val="17"/>
                <w:color w:val="auto"/>
              </w:rPr>
            </w:pPr>
          </w:p>
        </w:tc>
        <w:tc>
          <w:tcPr>
            <w:tcW w:w="12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gridSpan w:val="8"/>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14.</w:t>
            </w:r>
          </w:p>
        </w:tc>
        <w:tc>
          <w:tcPr>
            <w:tcW w:w="53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340" w:type="dxa"/>
            <w:vAlign w:val="bottom"/>
            <w:gridSpan w:val="5"/>
          </w:tcPr>
          <w:p>
            <w:pPr>
              <w:spacing w:after="0"/>
              <w:rPr>
                <w:sz w:val="17"/>
                <w:szCs w:val="17"/>
                <w:color w:val="auto"/>
              </w:rPr>
            </w:pPr>
          </w:p>
        </w:tc>
        <w:tc>
          <w:tcPr>
            <w:tcW w:w="12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101</w:t>
            </w:r>
          </w:p>
        </w:tc>
        <w:tc>
          <w:tcPr>
            <w:tcW w:w="0" w:type="dxa"/>
            <w:vAlign w:val="bottom"/>
          </w:tcPr>
          <w:p>
            <w:pPr>
              <w:spacing w:after="0"/>
              <w:rPr>
                <w:sz w:val="1"/>
                <w:szCs w:val="1"/>
                <w:color w:val="auto"/>
              </w:rPr>
            </w:pPr>
          </w:p>
        </w:tc>
      </w:tr>
      <w:tr>
        <w:trPr>
          <w:trHeight w:val="513"/>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20" w:type="dxa"/>
            <w:vAlign w:val="bottom"/>
            <w:gridSpan w:val="9"/>
          </w:tcPr>
          <w:p>
            <w:pPr>
              <w:jc w:val="center"/>
              <w:ind w:right="4560"/>
              <w:spacing w:after="0"/>
              <w:rPr>
                <w:sz w:val="20"/>
                <w:szCs w:val="20"/>
                <w:color w:val="auto"/>
              </w:rPr>
            </w:pPr>
            <w:r>
              <w:rPr>
                <w:rFonts w:ascii="Times New Roman" w:cs="Times New Roman" w:eastAsia="Times New Roman" w:hAnsi="Times New Roman"/>
                <w:sz w:val="18"/>
                <w:szCs w:val="18"/>
                <w:b w:val="1"/>
                <w:bCs w:val="1"/>
                <w:color w:val="auto"/>
                <w:w w:val="95"/>
              </w:rPr>
              <w:t>PART IV</w:t>
            </w:r>
          </w:p>
        </w:tc>
        <w:tc>
          <w:tcPr>
            <w:tcW w:w="9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15.</w:t>
            </w:r>
          </w:p>
        </w:tc>
        <w:tc>
          <w:tcPr>
            <w:tcW w:w="87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2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gridSpan w:val="8"/>
            <w:shd w:val="clear" w:color="auto" w:fill="0000FF"/>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5600" w:type="dxa"/>
            <w:vAlign w:val="bottom"/>
            <w:gridSpan w:val="1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16.</w:t>
            </w:r>
          </w:p>
        </w:tc>
        <w:tc>
          <w:tcPr>
            <w:tcW w:w="31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5600" w:type="dxa"/>
            <w:vAlign w:val="bottom"/>
            <w:gridSpan w:val="10"/>
          </w:tcPr>
          <w:p>
            <w:pPr>
              <w:spacing w:after="0"/>
              <w:rPr>
                <w:sz w:val="17"/>
                <w:szCs w:val="17"/>
                <w:color w:val="auto"/>
              </w:rPr>
            </w:pPr>
          </w:p>
        </w:tc>
        <w:tc>
          <w:tcPr>
            <w:tcW w:w="12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109</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ind w:right="60" w:firstLine="439"/>
        <w:spacing w:after="0" w:line="218" w:lineRule="exact"/>
        <w:rPr>
          <w:sz w:val="20"/>
          <w:szCs w:val="20"/>
          <w:color w:val="auto"/>
        </w:rPr>
      </w:pPr>
      <w:r>
        <w:rPr>
          <w:rFonts w:ascii="Times New Roman" w:cs="Times New Roman" w:eastAsia="Times New Roman" w:hAnsi="Times New Roman"/>
          <w:sz w:val="18"/>
          <w:szCs w:val="18"/>
          <w:color w:val="auto"/>
        </w:rPr>
        <w:t>We own or have rights to various copyrights, trademarks, and trade names used in our business in the U.S. and/or other countries, including the following: Jazz Pharmaceuticals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Xywav</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(calcium, magnesium, potassium, and sodium oxybates) oral solution, Xyrem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(sodium oxybate) oral solution, Epidiolex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(cannabidiol) oral solution, Epidyolex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(the trade name in Europe and other countries outside the U.S. for Epidiolex), Rylaze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(asparaginase erwinia chrysanthemi (recombinant)-rywn), Enrylaze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(the trade name in Europe and other countries outside the U.S. and Canada for Rylaze), Zepzelca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(lurbinectedin), Defitelio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(defibrotide sodium), Defitelio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(defibrotide), Vyxeos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(daunorubicin and cytarabine) liposome for injection, Vyxeos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liposomal 44 mg/100 mg powder for concentrate for solution for infusion, CombiPlex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Sativex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(nabiximols) oral solution.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also includes trademarks, service marks and trade names of other companies. Trademarks, service marks and trade names appearing in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are the property of their respective owners.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76" w:lineRule="exact"/>
        <w:rPr>
          <w:sz w:val="20"/>
          <w:szCs w:val="20"/>
          <w:color w:val="auto"/>
        </w:rPr>
      </w:pPr>
    </w:p>
    <w:p>
      <w:pPr>
        <w:ind w:right="80" w:firstLine="439"/>
        <w:spacing w:after="0" w:line="217" w:lineRule="exact"/>
        <w:rPr>
          <w:sz w:val="20"/>
          <w:szCs w:val="20"/>
          <w:color w:val="auto"/>
        </w:rPr>
      </w:pPr>
      <w:r>
        <w:rPr>
          <w:rFonts w:ascii="Times New Roman" w:cs="Times New Roman" w:eastAsia="Times New Roman" w:hAnsi="Times New Roman"/>
          <w:sz w:val="18"/>
          <w:szCs w:val="18"/>
          <w:i w:val="1"/>
          <w:iCs w:val="1"/>
          <w:color w:val="auto"/>
        </w:rPr>
        <w:t>This Annual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K contains forward-looking statements within the meaning of Section 27A of the Securities Act of 1933, as amended, and Section 21E of the Securities Exchange Act of 1934, as amended, which are subject to the “safe harbor” created by those sections. Forward-looking statements are based on our management’s beliefs and assumptions and on information currently available to our management. In some cases, you can identify forward-looking statements by terms such as “may,” “will,” “should,” “could,” “would,” “expect,” “plan,” “anticipate,” “believe,” “estimate,” “project,” “predict,” “propose,” “intend,” “continue,” “potential,” “possible,” “strive,” “seek,” “designed,” “goal”, “foreseeable,” “likely,” “unforeseen” and similar expressions intended to identify forward-looking statements. These statements involve known and unknown risks, uncertainties and other factors which may cause our actual results, performance, time frames or achievements to be materially different from any future results, performance, time frames or achievements expressed or implied by the forward-looking statements. We discuss many of these risks, uncertainties and other factors in greater detail under Risk Factors in Part I, Item 1A of this Annual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K. Given these risks, uncertainties and other factors, you should not place undue reliance on these forward-looking statements. In addition, our goals and objectives are aspirational and are not guarantees or promises that such goals and objectives will be met. Also, these forward-looking statements represent our estimates and assumptions only as of the date of this filing. You should read this Annual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K completely and with the understanding that our actual future results may be materially different from what we expect. We hereby qualify our forward-looking statements by our cautionary statements. Except as required by law, we assume no obligation to update our forward-looking statements publicly, or to update the reasons that actual results could differ materially from those anticipated in these forward-looking statements, even if new information becomes available in the future.</w:t>
      </w:r>
    </w:p>
    <w:p>
      <w:pPr>
        <w:spacing w:after="0" w:line="144"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14" w:lineRule="exact"/>
        <w:rPr>
          <w:sz w:val="20"/>
          <w:szCs w:val="20"/>
          <w:color w:val="auto"/>
        </w:rPr>
      </w:pPr>
    </w:p>
    <w:p>
      <w:pPr>
        <w:ind w:right="20" w:firstLine="439"/>
        <w:spacing w:after="0" w:line="222" w:lineRule="exact"/>
        <w:rPr>
          <w:sz w:val="20"/>
          <w:szCs w:val="20"/>
          <w:color w:val="auto"/>
        </w:rPr>
      </w:pPr>
      <w:r>
        <w:rPr>
          <w:rFonts w:ascii="Times New Roman" w:cs="Times New Roman" w:eastAsia="Times New Roman" w:hAnsi="Times New Roman"/>
          <w:sz w:val="17"/>
          <w:szCs w:val="17"/>
          <w:color w:val="auto"/>
        </w:rPr>
        <w:t>Below is a summary of material factors that make an investment in our ordinary shares speculative or risky. Importantly, this summary does not address all of the risks and uncertainties that we face. Additional discussion of the risks and uncertainties summarized in this risk factor summary, as well as other risks and uncertainties that we face, can be found under “Risk Factors” in Part I, Item 1A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The below risk factor summary is qualified in its entirety by that more complete discussion of such risks and uncertainties. You should consider carefully the risks and uncertainties described under “Risk Factors” in Part I, Item 1A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as part of your evaluation of an investment in our ordinary shares.</w:t>
      </w:r>
    </w:p>
    <w:p>
      <w:pPr>
        <w:spacing w:after="0" w:line="64" w:lineRule="exact"/>
        <w:rPr>
          <w:sz w:val="20"/>
          <w:szCs w:val="20"/>
          <w:color w:val="auto"/>
        </w:rPr>
      </w:pPr>
    </w:p>
    <w:p>
      <w:pPr>
        <w:ind w:left="720" w:right="320" w:hanging="314"/>
        <w:spacing w:after="0" w:line="276" w:lineRule="auto"/>
        <w:tabs>
          <w:tab w:leader="none" w:pos="7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or increase sales from our oxybate franchise would have a material adverse effect on our business, financial condition, results of operations and growth prospects.</w:t>
      </w:r>
    </w:p>
    <w:p>
      <w:pPr>
        <w:spacing w:after="0" w:line="56" w:lineRule="exact"/>
        <w:rPr>
          <w:rFonts w:ascii="Times New Roman" w:cs="Times New Roman" w:eastAsia="Times New Roman" w:hAnsi="Times New Roman"/>
          <w:sz w:val="18"/>
          <w:szCs w:val="18"/>
          <w:color w:val="auto"/>
        </w:rPr>
      </w:pPr>
    </w:p>
    <w:p>
      <w:pPr>
        <w:ind w:left="720" w:right="340" w:hanging="314"/>
        <w:spacing w:after="0" w:line="276" w:lineRule="auto"/>
        <w:tabs>
          <w:tab w:leader="none" w:pos="7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in the U.S. market that compete with, or otherwise disrupt the market for, our oxybate products has adversely affected and may continue to adversely affect sales of our oxybate products.</w:t>
      </w:r>
    </w:p>
    <w:p>
      <w:pPr>
        <w:spacing w:after="0" w:line="56" w:lineRule="exact"/>
        <w:rPr>
          <w:rFonts w:ascii="Times New Roman" w:cs="Times New Roman" w:eastAsia="Times New Roman" w:hAnsi="Times New Roman"/>
          <w:sz w:val="18"/>
          <w:szCs w:val="18"/>
          <w:color w:val="auto"/>
        </w:rPr>
      </w:pPr>
    </w:p>
    <w:p>
      <w:pPr>
        <w:ind w:left="720" w:right="240" w:hanging="314"/>
        <w:spacing w:after="0" w:line="261" w:lineRule="auto"/>
        <w:tabs>
          <w:tab w:leader="none" w:pos="7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and sale of our oxybate products are subject to significant regulatory restrictions, including the requirements of a risk evaluation and mitigation strategy, or REMS, and safety reporting requirements, and these regulatory and safety requirements subject us to risks and uncertainties, any of which could negatively impact sales of Xywav and Xyrem.</w:t>
      </w:r>
    </w:p>
    <w:p>
      <w:pPr>
        <w:spacing w:after="0" w:line="70" w:lineRule="exact"/>
        <w:rPr>
          <w:rFonts w:ascii="Times New Roman" w:cs="Times New Roman" w:eastAsia="Times New Roman" w:hAnsi="Times New Roman"/>
          <w:sz w:val="18"/>
          <w:szCs w:val="18"/>
          <w:color w:val="auto"/>
        </w:rPr>
      </w:pPr>
    </w:p>
    <w:p>
      <w:pPr>
        <w:ind w:left="720" w:right="760" w:hanging="314"/>
        <w:spacing w:after="0" w:line="276" w:lineRule="auto"/>
        <w:tabs>
          <w:tab w:leader="none" w:pos="7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expect our oxybate products and Epidiolex/Epidyolex to remain our largest products, our success also depends on our ability to effectively commercialize our other existing products and potential future products.</w:t>
      </w:r>
    </w:p>
    <w:p>
      <w:pPr>
        <w:spacing w:after="0" w:line="56" w:lineRule="exact"/>
        <w:rPr>
          <w:rFonts w:ascii="Times New Roman" w:cs="Times New Roman" w:eastAsia="Times New Roman" w:hAnsi="Times New Roman"/>
          <w:sz w:val="18"/>
          <w:szCs w:val="18"/>
          <w:color w:val="auto"/>
        </w:rPr>
      </w:pPr>
    </w:p>
    <w:p>
      <w:pPr>
        <w:ind w:left="720" w:right="380" w:hanging="314"/>
        <w:spacing w:after="0" w:line="276" w:lineRule="auto"/>
        <w:tabs>
          <w:tab w:leader="none" w:pos="7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from other companies, including companies with larger sales organizations and more experience working with large and diverse product portfolios, and competition from generic drugs.</w:t>
      </w:r>
    </w:p>
    <w:p>
      <w:pPr>
        <w:spacing w:after="0" w:line="56" w:lineRule="exact"/>
        <w:rPr>
          <w:rFonts w:ascii="Times New Roman" w:cs="Times New Roman" w:eastAsia="Times New Roman" w:hAnsi="Times New Roman"/>
          <w:sz w:val="18"/>
          <w:szCs w:val="18"/>
          <w:color w:val="auto"/>
        </w:rPr>
      </w:pPr>
    </w:p>
    <w:p>
      <w:pPr>
        <w:ind w:left="720" w:hanging="314"/>
        <w:spacing w:after="0" w:line="256" w:lineRule="auto"/>
        <w:tabs>
          <w:tab w:leader="none" w:pos="7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coverage and reimbursement from third party payors may not be available for our products and we may be unable to successfully contract for coverage from pharmacy benefit managers and other organizations; conversely, to secure coverage from these organizations, we may be required to pay rebates or other discounts or other restrictions to reimbursement, either of which could diminish our sales or adversely affect our ability to sell our products profitably.</w:t>
      </w:r>
    </w:p>
    <w:p>
      <w:pPr>
        <w:spacing w:after="0" w:line="75" w:lineRule="exact"/>
        <w:rPr>
          <w:rFonts w:ascii="Times New Roman" w:cs="Times New Roman" w:eastAsia="Times New Roman" w:hAnsi="Times New Roman"/>
          <w:sz w:val="18"/>
          <w:szCs w:val="18"/>
          <w:color w:val="auto"/>
        </w:rPr>
      </w:pPr>
    </w:p>
    <w:p>
      <w:pPr>
        <w:ind w:left="720" w:right="260" w:hanging="314"/>
        <w:spacing w:after="0" w:line="261" w:lineRule="auto"/>
        <w:tabs>
          <w:tab w:leader="none" w:pos="7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pharmaceutical products has come under increasing scrutiny as part of a global trend toward healthcare cost containment and resulting changes in healthcare law and policy, including recently enacted changes to Medicare, may impact our business in ways that we cannot currently predict, which could have a material adverse effect on our business and financial condition.</w:t>
      </w:r>
    </w:p>
    <w:p>
      <w:pPr>
        <w:spacing w:after="0" w:line="70" w:lineRule="exact"/>
        <w:rPr>
          <w:rFonts w:ascii="Times New Roman" w:cs="Times New Roman" w:eastAsia="Times New Roman" w:hAnsi="Times New Roman"/>
          <w:sz w:val="18"/>
          <w:szCs w:val="18"/>
          <w:color w:val="auto"/>
        </w:rPr>
      </w:pPr>
    </w:p>
    <w:p>
      <w:pPr>
        <w:ind w:left="720" w:right="220" w:hanging="314"/>
        <w:spacing w:after="0" w:line="276" w:lineRule="auto"/>
        <w:tabs>
          <w:tab w:leader="none" w:pos="7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access, coverage and reimbursement, the commercial success of our products depends upon their market acceptance by physicians, patients, third party payors and the medical community.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left="720" w:right="280" w:hanging="314"/>
        <w:spacing w:after="0" w:line="306" w:lineRule="auto"/>
        <w:tabs>
          <w:tab w:leader="none" w:pos="7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or problems in the supply of our products for sale or for use in clinical trials, loss of our single source suppliers or failure to comply with manufacturing regulations could materially and adversely affect our business, financial condition, results of operations and growth prospects.</w:t>
      </w:r>
    </w:p>
    <w:p>
      <w:pPr>
        <w:spacing w:after="0" w:line="33" w:lineRule="exact"/>
        <w:rPr>
          <w:rFonts w:ascii="Times New Roman" w:cs="Times New Roman" w:eastAsia="Times New Roman" w:hAnsi="Times New Roman"/>
          <w:sz w:val="17"/>
          <w:szCs w:val="17"/>
          <w:color w:val="auto"/>
        </w:rPr>
      </w:pPr>
    </w:p>
    <w:p>
      <w:pPr>
        <w:ind w:left="720" w:right="760" w:hanging="314"/>
        <w:spacing w:after="0" w:line="276" w:lineRule="auto"/>
        <w:tabs>
          <w:tab w:leader="none" w:pos="7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successfully develop and obtain and maintain regulatory approvals for our late-stage product candidates and, if approved, to successfully launch and commercialize those product candidates.</w:t>
      </w:r>
    </w:p>
    <w:p>
      <w:pPr>
        <w:spacing w:after="0" w:line="56" w:lineRule="exact"/>
        <w:rPr>
          <w:rFonts w:ascii="Times New Roman" w:cs="Times New Roman" w:eastAsia="Times New Roman" w:hAnsi="Times New Roman"/>
          <w:sz w:val="18"/>
          <w:szCs w:val="18"/>
          <w:color w:val="auto"/>
        </w:rPr>
      </w:pPr>
    </w:p>
    <w:p>
      <w:pPr>
        <w:ind w:left="720" w:right="220" w:hanging="314"/>
        <w:spacing w:after="0" w:line="276" w:lineRule="auto"/>
        <w:tabs>
          <w:tab w:leader="none" w:pos="7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identify and acquire or in-license additional products or product candidates to grow our business, and, even if we are able to do so, we may otherwise fail to realize the anticipated benefits of these transactions.</w:t>
      </w:r>
    </w:p>
    <w:p>
      <w:pPr>
        <w:spacing w:after="0" w:line="56" w:lineRule="exact"/>
        <w:rPr>
          <w:rFonts w:ascii="Times New Roman" w:cs="Times New Roman" w:eastAsia="Times New Roman" w:hAnsi="Times New Roman"/>
          <w:sz w:val="18"/>
          <w:szCs w:val="18"/>
          <w:color w:val="auto"/>
        </w:rPr>
      </w:pPr>
    </w:p>
    <w:p>
      <w:pPr>
        <w:ind w:left="720" w:hanging="314"/>
        <w:spacing w:after="0" w:line="261" w:lineRule="auto"/>
        <w:tabs>
          <w:tab w:leader="none" w:pos="7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clinical trials is costly and time-consuming, and the outcomes are uncertain. A failure to prove that our product candidates are safe and effective in clinical trials, or to generate data in clinical trials to support expansion of the therapeutic uses for our existing products, could materially and adversely affect our business, financial condition, results of operations and growth prospects.</w:t>
      </w:r>
    </w:p>
    <w:p>
      <w:pPr>
        <w:spacing w:after="0" w:line="70" w:lineRule="exact"/>
        <w:rPr>
          <w:rFonts w:ascii="Times New Roman" w:cs="Times New Roman" w:eastAsia="Times New Roman" w:hAnsi="Times New Roman"/>
          <w:sz w:val="18"/>
          <w:szCs w:val="18"/>
          <w:color w:val="auto"/>
        </w:rPr>
      </w:pPr>
    </w:p>
    <w:p>
      <w:pPr>
        <w:ind w:left="720" w:hanging="314"/>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difficult and costly to protect our proprietary rights, and we may not be able to ensure their protection.</w:t>
      </w:r>
    </w:p>
    <w:p>
      <w:pPr>
        <w:spacing w:after="0" w:line="112" w:lineRule="exact"/>
        <w:rPr>
          <w:rFonts w:ascii="Times New Roman" w:cs="Times New Roman" w:eastAsia="Times New Roman" w:hAnsi="Times New Roman"/>
          <w:sz w:val="18"/>
          <w:szCs w:val="18"/>
          <w:color w:val="auto"/>
        </w:rPr>
      </w:pPr>
    </w:p>
    <w:p>
      <w:pPr>
        <w:ind w:left="720" w:right="360" w:hanging="314"/>
        <w:spacing w:after="0" w:line="276" w:lineRule="auto"/>
        <w:tabs>
          <w:tab w:leader="none" w:pos="7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and may in the future incur substantial costs as a result of litigation or other proceedings relating to patents, other intellectual property rights and related matters, and we may be unable to protect our rights to, or commercialize, our products.</w:t>
      </w:r>
    </w:p>
    <w:p>
      <w:pPr>
        <w:spacing w:after="0" w:line="56" w:lineRule="exact"/>
        <w:rPr>
          <w:rFonts w:ascii="Times New Roman" w:cs="Times New Roman" w:eastAsia="Times New Roman" w:hAnsi="Times New Roman"/>
          <w:sz w:val="18"/>
          <w:szCs w:val="18"/>
          <w:color w:val="auto"/>
        </w:rPr>
      </w:pPr>
    </w:p>
    <w:p>
      <w:pPr>
        <w:ind w:left="720" w:hanging="314"/>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of information technology systems or data security breaches could adversely affect our business.</w:t>
      </w:r>
    </w:p>
    <w:p>
      <w:pPr>
        <w:spacing w:after="0" w:line="112" w:lineRule="exact"/>
        <w:rPr>
          <w:rFonts w:ascii="Times New Roman" w:cs="Times New Roman" w:eastAsia="Times New Roman" w:hAnsi="Times New Roman"/>
          <w:sz w:val="18"/>
          <w:szCs w:val="18"/>
          <w:color w:val="auto"/>
        </w:rPr>
      </w:pPr>
    </w:p>
    <w:p>
      <w:pPr>
        <w:ind w:left="720" w:right="60" w:hanging="314"/>
        <w:spacing w:after="0" w:line="276" w:lineRule="auto"/>
        <w:tabs>
          <w:tab w:leader="none" w:pos="7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significant ongoing regulatory obligations and oversight, which may subject us to civil or criminal proceedings, investigations, or penalties and may result in significant additional expense and limit our ability to commercialize our products.</w:t>
      </w:r>
    </w:p>
    <w:p>
      <w:pPr>
        <w:spacing w:after="0" w:line="56" w:lineRule="exact"/>
        <w:rPr>
          <w:rFonts w:ascii="Times New Roman" w:cs="Times New Roman" w:eastAsia="Times New Roman" w:hAnsi="Times New Roman"/>
          <w:sz w:val="18"/>
          <w:szCs w:val="18"/>
          <w:color w:val="auto"/>
        </w:rPr>
      </w:pPr>
    </w:p>
    <w:p>
      <w:pPr>
        <w:ind w:left="720" w:right="40" w:hanging="314"/>
        <w:spacing w:after="0" w:line="261" w:lineRule="auto"/>
        <w:tabs>
          <w:tab w:leader="none" w:pos="7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70" w:lineRule="exact"/>
        <w:rPr>
          <w:rFonts w:ascii="Times New Roman" w:cs="Times New Roman" w:eastAsia="Times New Roman" w:hAnsi="Times New Roman"/>
          <w:sz w:val="18"/>
          <w:szCs w:val="18"/>
          <w:color w:val="auto"/>
        </w:rPr>
      </w:pPr>
    </w:p>
    <w:p>
      <w:pPr>
        <w:ind w:left="720" w:right="480" w:hanging="314"/>
        <w:spacing w:after="0" w:line="276" w:lineRule="auto"/>
        <w:tabs>
          <w:tab w:leader="none" w:pos="7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substantial debt, which could impair our flexibility and access to capital and adversely affect our financial position, and our business would be adversely affected if we are unable to service our debt obligations.</w:t>
      </w:r>
    </w:p>
    <w:p>
      <w:pPr>
        <w:spacing w:after="0" w:line="56" w:lineRule="exact"/>
        <w:rPr>
          <w:rFonts w:ascii="Times New Roman" w:cs="Times New Roman" w:eastAsia="Times New Roman" w:hAnsi="Times New Roman"/>
          <w:sz w:val="18"/>
          <w:szCs w:val="18"/>
          <w:color w:val="auto"/>
        </w:rPr>
      </w:pPr>
    </w:p>
    <w:p>
      <w:pPr>
        <w:ind w:left="720" w:right="780" w:hanging="314"/>
        <w:spacing w:after="0" w:line="276" w:lineRule="auto"/>
        <w:tabs>
          <w:tab w:leader="none" w:pos="7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continue to grow our business, we will need to commit substantial resources, which could result in future losses or otherwise limit our opportunities or affect our ability to operate and grow our business.</w:t>
      </w:r>
    </w:p>
    <w:p>
      <w:pPr>
        <w:spacing w:after="0" w:line="56" w:lineRule="exact"/>
        <w:rPr>
          <w:rFonts w:ascii="Times New Roman" w:cs="Times New Roman" w:eastAsia="Times New Roman" w:hAnsi="Times New Roman"/>
          <w:sz w:val="18"/>
          <w:szCs w:val="18"/>
          <w:color w:val="auto"/>
        </w:rPr>
      </w:pPr>
    </w:p>
    <w:p>
      <w:pPr>
        <w:ind w:left="720" w:right="240" w:hanging="314"/>
        <w:spacing w:after="0" w:line="276" w:lineRule="auto"/>
        <w:tabs>
          <w:tab w:leader="none" w:pos="7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attract, retain and motivate key personnel or to retain the members of our executive management team, our operations and our future growth may be adversely affected.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REGARDING COMPANY REFERENCE</w:t>
      </w:r>
    </w:p>
    <w:p>
      <w:pPr>
        <w:spacing w:after="0" w:line="112" w:lineRule="exact"/>
        <w:rPr>
          <w:sz w:val="20"/>
          <w:szCs w:val="20"/>
          <w:color w:val="auto"/>
        </w:rPr>
      </w:pPr>
    </w:p>
    <w:p>
      <w:pPr>
        <w:ind w:right="140" w:firstLine="439"/>
        <w:spacing w:after="0" w:line="278" w:lineRule="auto"/>
        <w:rPr>
          <w:sz w:val="20"/>
          <w:szCs w:val="20"/>
          <w:color w:val="auto"/>
        </w:rPr>
      </w:pPr>
      <w:r>
        <w:rPr>
          <w:rFonts w:ascii="Times New Roman" w:cs="Times New Roman" w:eastAsia="Times New Roman" w:hAnsi="Times New Roman"/>
          <w:sz w:val="18"/>
          <w:szCs w:val="18"/>
          <w:i w:val="1"/>
          <w:iCs w:val="1"/>
          <w:color w:val="auto"/>
        </w:rPr>
        <w:t>In this report, unless otherwise indicated or the context otherwise requires, all references to “Jazz Pharmaceuticals,” “Jazz,” “the registrant,” “we,” “us,” and “our” refer to Jazz Pharmaceuticals plc and its consolidated subsidiaries.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6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4" w:lineRule="exact"/>
        <w:rPr>
          <w:sz w:val="20"/>
          <w:szCs w:val="20"/>
          <w:color w:val="auto"/>
        </w:rPr>
      </w:pPr>
    </w:p>
    <w:p>
      <w:pPr>
        <w:ind w:right="140" w:firstLine="439"/>
        <w:spacing w:after="0" w:line="254" w:lineRule="auto"/>
        <w:rPr>
          <w:sz w:val="20"/>
          <w:szCs w:val="20"/>
          <w:color w:val="auto"/>
        </w:rPr>
      </w:pPr>
      <w:r>
        <w:rPr>
          <w:rFonts w:ascii="Times New Roman" w:cs="Times New Roman" w:eastAsia="Times New Roman" w:hAnsi="Times New Roman"/>
          <w:sz w:val="18"/>
          <w:szCs w:val="18"/>
          <w:color w:val="auto"/>
        </w:rPr>
        <w:t>Jazz Pharmaceuticals plc is a global biopharmaceutical company whose purpose is to innovate to transform the lives of patients and their families. We are dedicated to developing life-changing medicines for people with serious diseases - often with limited or no therapeutic options. We have a diverse portfolio of marketed medicines, including leading therapies for sleep disorders and epilepsy, and a growing portfolio of cancer treatments. Our patient-focused and science-driven approach powers pioneering research and development advancements across our robust pipeline of innovative therapeutics in oncology and neuroscience.</w:t>
      </w:r>
    </w:p>
    <w:p>
      <w:pPr>
        <w:spacing w:after="0" w:line="76" w:lineRule="exact"/>
        <w:rPr>
          <w:sz w:val="20"/>
          <w:szCs w:val="20"/>
          <w:color w:val="auto"/>
        </w:rPr>
      </w:pPr>
    </w:p>
    <w:p>
      <w:pPr>
        <w:ind w:firstLine="439"/>
        <w:spacing w:after="0" w:line="252" w:lineRule="auto"/>
        <w:rPr>
          <w:sz w:val="20"/>
          <w:szCs w:val="20"/>
          <w:color w:val="auto"/>
        </w:rPr>
      </w:pPr>
      <w:r>
        <w:rPr>
          <w:rFonts w:ascii="Times New Roman" w:cs="Times New Roman" w:eastAsia="Times New Roman" w:hAnsi="Times New Roman"/>
          <w:sz w:val="18"/>
          <w:szCs w:val="18"/>
          <w:color w:val="auto"/>
        </w:rPr>
        <w:t>Our strategy for growth is rooted in executing commercial launches and ongoing commercialization initiatives; advancing robust research and development, or R&amp;D, programs and delivering impactful clinical results; effectively deploying capital to strengthen the prospects of achieving our short- and long-term goals through strategic corporate development; and delivering strong financial performance. We focus on patient populations with high unmet needs. We identify and develop differentiated therapies for these patients that we expect will be long-lived assets and that we can support with an efficient commercialization model. In addition, we leverage our efficient, scalable operating model and integrated capabilities across our global infrastructure to effectively reach patients around the world.</w:t>
      </w:r>
    </w:p>
    <w:p>
      <w:pPr>
        <w:spacing w:after="0" w:line="80" w:lineRule="exact"/>
        <w:rPr>
          <w:sz w:val="20"/>
          <w:szCs w:val="20"/>
          <w:color w:val="auto"/>
        </w:rPr>
      </w:pPr>
    </w:p>
    <w:p>
      <w:pPr>
        <w:ind w:right="20" w:firstLine="439"/>
        <w:spacing w:after="0" w:line="261" w:lineRule="auto"/>
        <w:rPr>
          <w:sz w:val="20"/>
          <w:szCs w:val="20"/>
          <w:color w:val="auto"/>
        </w:rPr>
      </w:pPr>
      <w:r>
        <w:rPr>
          <w:rFonts w:ascii="Times New Roman" w:cs="Times New Roman" w:eastAsia="Times New Roman" w:hAnsi="Times New Roman"/>
          <w:sz w:val="18"/>
          <w:szCs w:val="18"/>
          <w:color w:val="auto"/>
        </w:rPr>
        <w:t>In January 2022, we announced our Vision 2025, which aims to deliver sustainable growth and enhanced value, driving our continued transformation to an innovative, high-growth global pharmaceutical leader. The three core components of our Vision 2025 focus on commercial execution, pipeline productivity and operational excellence.</w:t>
      </w:r>
    </w:p>
    <w:p>
      <w:pPr>
        <w:spacing w:after="0" w:line="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lead marketed products, listed below, are approved in countries around the world to improve patient care.</w:t>
      </w:r>
    </w:p>
    <w:p>
      <w:pPr>
        <w:spacing w:after="0" w:line="1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Neuroscience</w:t>
      </w:r>
    </w:p>
    <w:p>
      <w:pPr>
        <w:spacing w:after="0" w:line="112" w:lineRule="exact"/>
        <w:rPr>
          <w:sz w:val="20"/>
          <w:szCs w:val="20"/>
          <w:color w:val="auto"/>
        </w:rPr>
      </w:pPr>
    </w:p>
    <w:p>
      <w:pPr>
        <w:ind w:left="720" w:right="40" w:hanging="314"/>
        <w:spacing w:after="0" w:line="257" w:lineRule="auto"/>
        <w:tabs>
          <w:tab w:leader="none" w:pos="7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Xywav® (calcium, magnesium, potassium, and sodium oxybates) oral solution</w:t>
      </w:r>
      <w:r>
        <w:rPr>
          <w:rFonts w:ascii="Times New Roman" w:cs="Times New Roman" w:eastAsia="Times New Roman" w:hAnsi="Times New Roman"/>
          <w:sz w:val="18"/>
          <w:szCs w:val="18"/>
          <w:color w:val="auto"/>
        </w:rPr>
        <w:t>, a product approved by the U.S. Food and Drug Administration,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FDA, in July 2020 and launched in the U.S. in November 2020 for the treatment of cataplexy or excessive daytime sleepiness, or EDS, in patients seven years of age and older with narcolepsy, and also approved by FDA in August 2021 for the treatment of idiopathic hypersomnia, or IH, in adults and launched in the U.S. in November 2021. Xywav contains 92% less sodium than Xyrem®;</w:t>
      </w:r>
    </w:p>
    <w:p>
      <w:pPr>
        <w:spacing w:after="0" w:line="71" w:lineRule="exact"/>
        <w:rPr>
          <w:rFonts w:ascii="Times New Roman" w:cs="Times New Roman" w:eastAsia="Times New Roman" w:hAnsi="Times New Roman"/>
          <w:sz w:val="18"/>
          <w:szCs w:val="18"/>
          <w:color w:val="auto"/>
        </w:rPr>
      </w:pPr>
    </w:p>
    <w:p>
      <w:pPr>
        <w:ind w:left="720" w:right="140" w:hanging="314"/>
        <w:spacing w:after="0" w:line="257" w:lineRule="auto"/>
        <w:tabs>
          <w:tab w:leader="none" w:pos="7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Xyrem (sodium oxybate) oral solution</w:t>
      </w:r>
      <w:r>
        <w:rPr>
          <w:rFonts w:ascii="Times New Roman" w:cs="Times New Roman" w:eastAsia="Times New Roman" w:hAnsi="Times New Roman"/>
          <w:sz w:val="18"/>
          <w:szCs w:val="18"/>
          <w:color w:val="auto"/>
        </w:rPr>
        <w:t>, a product approved by FDA and distributed in the U.S. for the treatment of cataplexy or EDS in patients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seven years of age or older with narcolepsy; Jazz also markets Xyrem in Canada for the treatment of cataplexy in patients with narcolepsy. Xyrem is also approved and distributed in the European Union, or EU (EU market authorizations include Northern Ireland), Great Britain and other markets through a licensing agreement; and</w:t>
      </w:r>
    </w:p>
    <w:p>
      <w:pPr>
        <w:spacing w:after="0" w:line="71" w:lineRule="exact"/>
        <w:rPr>
          <w:rFonts w:ascii="Times New Roman" w:cs="Times New Roman" w:eastAsia="Times New Roman" w:hAnsi="Times New Roman"/>
          <w:sz w:val="18"/>
          <w:szCs w:val="18"/>
          <w:color w:val="auto"/>
        </w:rPr>
      </w:pPr>
    </w:p>
    <w:p>
      <w:pPr>
        <w:ind w:left="720" w:right="40" w:hanging="314"/>
        <w:spacing w:after="0" w:line="273" w:lineRule="auto"/>
        <w:tabs>
          <w:tab w:leader="none" w:pos="71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Epidiolex® (cannabidiol) oral solution</w:t>
      </w:r>
      <w:r>
        <w:rPr>
          <w:rFonts w:ascii="Times New Roman" w:cs="Times New Roman" w:eastAsia="Times New Roman" w:hAnsi="Times New Roman"/>
          <w:sz w:val="17"/>
          <w:szCs w:val="17"/>
          <w:color w:val="auto"/>
        </w:rPr>
        <w:t>, a product approved by FDA and launched in the U.S. in 2018 by GW Pharmaceuticals plc, or GW,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currently indicated for the treatment of seizures associated with Lennox-Gastaut syndrome, or LGS, Dravet syndrome, or DS, or tuberous sclerosis complex, or TSC, in patients one year of age or older; in the EU and Great Britain (where it is marketed as Epidyolex®) and other markets listed in the table below, it is approved for adjunctive treatment of seizures associated with LGS or DS, in conjunction with clobazam (EU and Great Britain only), in patients 2 years of age and older and for adjunctive treatment of seizures associated with TSC in patients 2 years of age and older.</w:t>
      </w:r>
    </w:p>
    <w:p>
      <w:pPr>
        <w:spacing w:after="0" w:line="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Oncology</w:t>
      </w:r>
    </w:p>
    <w:p>
      <w:pPr>
        <w:spacing w:after="0" w:line="112" w:lineRule="exact"/>
        <w:rPr>
          <w:sz w:val="20"/>
          <w:szCs w:val="20"/>
          <w:color w:val="auto"/>
        </w:rPr>
      </w:pPr>
    </w:p>
    <w:p>
      <w:pPr>
        <w:ind w:left="720" w:right="200" w:hanging="314"/>
        <w:spacing w:after="0" w:line="277" w:lineRule="auto"/>
        <w:tabs>
          <w:tab w:leader="none" w:pos="71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Rylaze® (asparaginase erwinia chrysanthemi (recombinant)-rywn)</w:t>
      </w:r>
      <w:r>
        <w:rPr>
          <w:rFonts w:ascii="Times New Roman" w:cs="Times New Roman" w:eastAsia="Times New Roman" w:hAnsi="Times New Roman"/>
          <w:sz w:val="17"/>
          <w:szCs w:val="17"/>
          <w:color w:val="auto"/>
        </w:rPr>
        <w:t>, a product approved by FDA in June 2021 and launched in the U.S.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July 2021 for use as a component of a multi-agent chemotherapeutic regimen for the treatment of acute lymphoblastic leukemia or lymphoblastic lymphoma in adults and pediatric patients aged one month or older who have developed hypersensitivity to </w:t>
      </w:r>
      <w:r>
        <w:rPr>
          <w:rFonts w:ascii="Times New Roman" w:cs="Times New Roman" w:eastAsia="Times New Roman" w:hAnsi="Times New Roman"/>
          <w:sz w:val="17"/>
          <w:szCs w:val="17"/>
          <w:i w:val="1"/>
          <w:iCs w:val="1"/>
          <w:color w:val="auto"/>
        </w:rPr>
        <w:t>E. coli</w:t>
      </w:r>
      <w:r>
        <w:rPr>
          <w:rFonts w:ascii="Times New Roman" w:cs="Times New Roman" w:eastAsia="Times New Roman" w:hAnsi="Times New Roman"/>
          <w:sz w:val="17"/>
          <w:szCs w:val="17"/>
          <w:color w:val="auto"/>
        </w:rPr>
        <w:t>-derived asparaginase. In September 2023, the European Commission, or EC, granted marketing authorization for this therapy under the trade name Enrylaze; and</w:t>
      </w:r>
    </w:p>
    <w:p>
      <w:pPr>
        <w:spacing w:after="0" w:line="55" w:lineRule="exact"/>
        <w:rPr>
          <w:rFonts w:ascii="Times New Roman" w:cs="Times New Roman" w:eastAsia="Times New Roman" w:hAnsi="Times New Roman"/>
          <w:sz w:val="17"/>
          <w:szCs w:val="17"/>
          <w:color w:val="auto"/>
        </w:rPr>
      </w:pPr>
    </w:p>
    <w:p>
      <w:pPr>
        <w:ind w:left="720" w:right="40" w:hanging="314"/>
        <w:spacing w:after="0" w:line="257" w:lineRule="auto"/>
        <w:tabs>
          <w:tab w:leader="none" w:pos="7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Zepzelca® (lurbinectedin)</w:t>
      </w:r>
      <w:r>
        <w:rPr>
          <w:rFonts w:ascii="Times New Roman" w:cs="Times New Roman" w:eastAsia="Times New Roman" w:hAnsi="Times New Roman"/>
          <w:sz w:val="18"/>
          <w:szCs w:val="18"/>
          <w:color w:val="auto"/>
        </w:rPr>
        <w:t>, a product approved by FDA in June 2020 under FDA's accelerated approval pathway and launched in the U.S. in July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2020 for the treatment of adult patients with metastatic small cell lung cancer, or SCLC, with disease progression on or after platinum-based chemotherapy; in Canada, Zepzelca received conditional approval in September 2021 for the treatment of adults with Stage III or metastatic SCLC, who have progressed on or after platinum-containing therapy.</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60" w:firstLine="439"/>
        <w:spacing w:after="0" w:line="276" w:lineRule="auto"/>
        <w:rPr>
          <w:sz w:val="20"/>
          <w:szCs w:val="20"/>
          <w:color w:val="auto"/>
        </w:rPr>
      </w:pPr>
      <w:r>
        <w:rPr>
          <w:rFonts w:ascii="Times New Roman" w:cs="Times New Roman" w:eastAsia="Times New Roman" w:hAnsi="Times New Roman"/>
          <w:sz w:val="18"/>
          <w:szCs w:val="18"/>
          <w:color w:val="auto"/>
        </w:rPr>
        <w:t>In 2023, consistent with our strategy, we continued to focus on research and development activities within our neuroscience and oncology therapeutic areas. For a summary of our ongoing research and development activities, see “Business—Research and Development” in this Part I, Item 1.</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Commercialized Products</w:t>
      </w:r>
    </w:p>
    <w:p>
      <w:pPr>
        <w:spacing w:after="0" w:line="1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Neuroscience</w:t>
      </w:r>
    </w:p>
    <w:p>
      <w:pPr>
        <w:spacing w:after="0" w:line="112" w:lineRule="exact"/>
        <w:rPr>
          <w:sz w:val="20"/>
          <w:szCs w:val="20"/>
          <w:color w:val="auto"/>
        </w:rPr>
      </w:pPr>
    </w:p>
    <w:p>
      <w:pPr>
        <w:ind w:right="20" w:firstLine="43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Sleep Products</w:t>
      </w:r>
      <w:r>
        <w:rPr>
          <w:rFonts w:ascii="Times New Roman" w:cs="Times New Roman" w:eastAsia="Times New Roman" w:hAnsi="Times New Roman"/>
          <w:sz w:val="18"/>
          <w:szCs w:val="18"/>
          <w:color w:val="auto"/>
        </w:rPr>
        <w:t>. We are the global leader in the development and commercialization of oxybate therapy for patients with sleep disorders. Xyrem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 approved by FDA in 2002 for treating EDS and cataplexy in narcolepsy. In 2020, we received FDA approval for Xywav for the treatment of cataplexy or EDS, in patients seven years of age and older with narcolepsy. In August 2021, Xywav became the first and only therapy approved by FDA for the treatment of IH in adults. Xywav is an oxybate therapy that contains 92% less sodium than Xyrem. Xywav has become a standard of care for patients with narcolepsy and IH.</w:t>
      </w:r>
    </w:p>
    <w:p>
      <w:pPr>
        <w:spacing w:after="0" w:line="72" w:lineRule="exact"/>
        <w:rPr>
          <w:sz w:val="20"/>
          <w:szCs w:val="20"/>
          <w:color w:val="auto"/>
        </w:rPr>
      </w:pPr>
    </w:p>
    <w:p>
      <w:pPr>
        <w:ind w:right="20" w:firstLine="439"/>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Xywav</w:t>
      </w:r>
      <w:r>
        <w:rPr>
          <w:rFonts w:ascii="Times New Roman" w:cs="Times New Roman" w:eastAsia="Times New Roman" w:hAnsi="Times New Roman"/>
          <w:sz w:val="18"/>
          <w:szCs w:val="18"/>
          <w:color w:val="auto"/>
        </w:rPr>
        <w:t>. In July 2020, FDA approved Xywav for the treatment of cataplexy and EDS in patients with narcolepsy. Narcolepsy is a chronic, debilitating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neurological disorder characterized by EDS and the inability to regulate sleep-wake cycles normally. Since there is no cure for narcolepsy and long-term disease management is needed, we believe that Xywav represents an important therapeutic option for patients with this sleep disorder. Narcolepsy affects an estimated one in 2,000 people in the U.S., with symptoms typically appearing in childhood. There are five primary symptoms of narcolepsy, including EDS, cataplexy, disrupted nighttime sleep, sleep-related hallucinations, and sleep paralysis. While patients with narcolepsy may not experience all five symptoms, EDS, an essential symptom of narcolepsy, is present in all narcolepsy patients and is characterized by chronic, pervasive sleepiness as well as sudden irresistible and overwhelming urges to sleep (inadvertent naps and sleep attacks). Narcolepsy may affect many areas of life, including limiting a patient’s education and employment opportunities, and may lead to difficulties at work, school, or in daily life activities like driving, operating machinery or caring for children. Patients with narcolepsy may also suffer from significant medical comorbidities, including cardiac disorders, depression, suicide risk, anxiety, diseases of the digestive system and respiratory diseases.</w:t>
      </w:r>
    </w:p>
    <w:p>
      <w:pPr>
        <w:spacing w:after="0" w:line="84" w:lineRule="exact"/>
        <w:rPr>
          <w:sz w:val="20"/>
          <w:szCs w:val="20"/>
          <w:color w:val="auto"/>
        </w:rPr>
      </w:pPr>
    </w:p>
    <w:p>
      <w:pPr>
        <w:ind w:right="140" w:firstLine="439"/>
        <w:spacing w:after="0" w:line="256" w:lineRule="auto"/>
        <w:rPr>
          <w:sz w:val="20"/>
          <w:szCs w:val="20"/>
          <w:color w:val="auto"/>
        </w:rPr>
      </w:pPr>
      <w:r>
        <w:rPr>
          <w:rFonts w:ascii="Times New Roman" w:cs="Times New Roman" w:eastAsia="Times New Roman" w:hAnsi="Times New Roman"/>
          <w:sz w:val="18"/>
          <w:szCs w:val="18"/>
          <w:color w:val="auto"/>
        </w:rPr>
        <w:t>Cataplexy, the sudden loss of muscle tone with retained consciousness, can be one of the most debilitating symptoms of narcolepsy. Cataplexy is present in approximately 70% of patients with narcolepsy. Cataplexy can range from slight weakness or a drooping of facial muscles to the complete loss of muscle tone resulting in postural collapse. It may also impair a patient’s vision or speech. Cataplexy is often triggered by strong emotions such as laughter, anger or surprise. Cataplexy can severely impair a patient’s quality of life and ability to function.</w:t>
      </w:r>
    </w:p>
    <w:p>
      <w:pPr>
        <w:spacing w:after="0" w:line="75" w:lineRule="exact"/>
        <w:rPr>
          <w:sz w:val="20"/>
          <w:szCs w:val="20"/>
          <w:color w:val="auto"/>
        </w:rPr>
      </w:pPr>
    </w:p>
    <w:p>
      <w:pPr>
        <w:ind w:firstLine="439"/>
        <w:spacing w:after="0" w:line="251" w:lineRule="auto"/>
        <w:rPr>
          <w:sz w:val="20"/>
          <w:szCs w:val="20"/>
          <w:color w:val="auto"/>
        </w:rPr>
      </w:pPr>
      <w:r>
        <w:rPr>
          <w:rFonts w:ascii="Times New Roman" w:cs="Times New Roman" w:eastAsia="Times New Roman" w:hAnsi="Times New Roman"/>
          <w:sz w:val="18"/>
          <w:szCs w:val="18"/>
          <w:color w:val="auto"/>
        </w:rPr>
        <w:t>Narcolepsy patients, by virtue of their diagnosis, are at increased risk of cardiovascular events and disease, and the impact of sodium on cardiovascular health is well established. There is also extensive scientific evidence that reducing sodium consumption, which is a modifiable risk factor, is associated with clinically meaningful reductions in blood pressure and cardiovascular disease risk. Therefore, we believe that reducing sodium intake compared to currently-marketed high-sodium oxybate products by 92% each day is a significant advancement for these patients. The 92% reduction of sodium translates into a reduction of approximately 1,000 to 1,500 milligrams per day for a patient prescribed Xyrem, depending on the dose. Our commercial efforts are focused on educating patients and physicians about the lifelong impact of high sodium intake, and how the use of Xywav enables them to address what is a modifiable risk factor. When patients transition from Xyrem to Xywav, Xywav treatment is initiated at the same dose and regimen (gram for gram) and titrated as needed based on efficacy and tolerability.</w:t>
      </w:r>
    </w:p>
    <w:p>
      <w:pPr>
        <w:spacing w:after="0" w:line="79" w:lineRule="exact"/>
        <w:rPr>
          <w:sz w:val="20"/>
          <w:szCs w:val="20"/>
          <w:color w:val="auto"/>
        </w:rPr>
      </w:pPr>
    </w:p>
    <w:p>
      <w:pPr>
        <w:ind w:right="80" w:firstLine="439"/>
        <w:spacing w:after="0" w:line="267" w:lineRule="auto"/>
        <w:rPr>
          <w:sz w:val="20"/>
          <w:szCs w:val="20"/>
          <w:color w:val="auto"/>
        </w:rPr>
      </w:pPr>
      <w:r>
        <w:rPr>
          <w:rFonts w:ascii="Times New Roman" w:cs="Times New Roman" w:eastAsia="Times New Roman" w:hAnsi="Times New Roman"/>
          <w:sz w:val="17"/>
          <w:szCs w:val="17"/>
          <w:color w:val="auto"/>
        </w:rPr>
        <w:t>We view the adoption of Xywav in narcolepsy as a positive indication that physicians and patients appreciate the benefits of a low-sodium oxybate option. In June 2021, FDA recognized seven years of Orphan Drug Exclusivity, or ODE, for Xywav in narcolepsy through July 21, 2027. Nevertheless, Lumryz, a fixed-dose, high-sodium oxybate, was approved by FDA on May 1, 2023 for the treatment of cataplexy or EDS in adults with narcolepsy. FDA continues to recognize seven years of ODE for Xywav in narcolepsy. In connection with granting ODE for Xywav, FDA stated that “Xywav is clinically superior to Xyrem by means of greater safety because Xywav provides a greatly reduced chronic sodium burden compared to Xyrem.” FDA's summary also stated that “the differences in the sodium content of the two products at the recommended doses will be clinically meaningful in reducing cardiovascular morbidity in a substantial proportion of patients for whom the drug is indicated.” FDA has also recognized that the difference in sodium content between Xywav and Lumryz is likely to be clinically meaningful in all patients with narcolepsy and that Xywav is safer than Lumryz in all such patients. Lumryz has the same sodium content as Xyrem. Xywav is the only approved oxybate therapy that does not carry a warning and precaution related to high sodium intake.</w:t>
      </w:r>
    </w:p>
    <w:p>
      <w:pPr>
        <w:spacing w:after="0" w:line="66" w:lineRule="exact"/>
        <w:rPr>
          <w:sz w:val="20"/>
          <w:szCs w:val="20"/>
          <w:color w:val="auto"/>
        </w:rPr>
      </w:pPr>
    </w:p>
    <w:p>
      <w:pPr>
        <w:ind w:firstLine="439"/>
        <w:spacing w:after="0" w:line="256" w:lineRule="auto"/>
        <w:rPr>
          <w:sz w:val="20"/>
          <w:szCs w:val="20"/>
          <w:color w:val="auto"/>
        </w:rPr>
      </w:pPr>
      <w:r>
        <w:rPr>
          <w:rFonts w:ascii="Times New Roman" w:cs="Times New Roman" w:eastAsia="Times New Roman" w:hAnsi="Times New Roman"/>
          <w:sz w:val="18"/>
          <w:szCs w:val="18"/>
          <w:color w:val="auto"/>
        </w:rPr>
        <w:t>On August 12, 2021, FDA approved Xywav for the treatment of IH in adults. Xywav remains the first and only FDA-approved therapy to treat IH. We initiated the U.S. commercial launch of Xywav for the treatment of IH in adults on November 1, 2021. In January 2022, FDA recognized seven years of ODE for Xywav in IH through August 12, 2028. IH is a debilitating neurologic sleep disorder characterized by chronic EDS (the inability to stay awake and alert during the day resulting in the irrepressible need to sleep or unplanned lapses into sleep or drowsiness), severe sleep inertia, and prolonged and</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non-restorative nighttime sleep. Although there are overlapping clinical features with other conditions, including narcolepsy, IH has its own specific diagnostic criteria. IH can significantly affect social, educational and occupational functioning. An estimated 37,000 people in the U.S. have been diagnosed with IH and are actively seeking healthcare.</w:t>
      </w:r>
    </w:p>
    <w:p>
      <w:pPr>
        <w:spacing w:after="0" w:line="70" w:lineRule="exact"/>
        <w:rPr>
          <w:sz w:val="20"/>
          <w:szCs w:val="20"/>
          <w:color w:val="auto"/>
        </w:rPr>
      </w:pPr>
    </w:p>
    <w:p>
      <w:pPr>
        <w:ind w:right="60" w:firstLine="439"/>
        <w:spacing w:after="0" w:line="261" w:lineRule="auto"/>
        <w:rPr>
          <w:sz w:val="20"/>
          <w:szCs w:val="20"/>
          <w:color w:val="auto"/>
        </w:rPr>
      </w:pPr>
      <w:r>
        <w:rPr>
          <w:rFonts w:ascii="Times New Roman" w:cs="Times New Roman" w:eastAsia="Times New Roman" w:hAnsi="Times New Roman"/>
          <w:sz w:val="18"/>
          <w:szCs w:val="18"/>
          <w:color w:val="auto"/>
        </w:rPr>
        <w:t>We have agreements in place for Xywav with all three major pharmacy benefit managers, or PBMs, in the U.S. To date, we have entered into agreements with various entities and have achieved benefit coverage for Xywav in both narcolepsy and IH indications for approximately 90% of commercial lives.</w:t>
      </w:r>
    </w:p>
    <w:p>
      <w:pPr>
        <w:spacing w:after="0" w:line="70" w:lineRule="exact"/>
        <w:rPr>
          <w:sz w:val="20"/>
          <w:szCs w:val="20"/>
          <w:color w:val="auto"/>
        </w:rPr>
      </w:pPr>
    </w:p>
    <w:p>
      <w:pPr>
        <w:ind w:right="120" w:firstLine="439"/>
        <w:spacing w:after="0" w:line="276" w:lineRule="auto"/>
        <w:rPr>
          <w:sz w:val="20"/>
          <w:szCs w:val="20"/>
          <w:color w:val="auto"/>
        </w:rPr>
      </w:pPr>
      <w:r>
        <w:rPr>
          <w:rFonts w:ascii="Times New Roman" w:cs="Times New Roman" w:eastAsia="Times New Roman" w:hAnsi="Times New Roman"/>
          <w:sz w:val="18"/>
          <w:szCs w:val="18"/>
          <w:color w:val="auto"/>
        </w:rPr>
        <w:t>We have seen strong adoption of Xywav in narcolepsy since its launch in November 2020 and increasing adoption in IH since its launch in November 2021. In 2023, net product sales of Xywav were $1,273.0 million, which represented 34% of our total net product sales for the year.</w:t>
      </w:r>
    </w:p>
    <w:p>
      <w:pPr>
        <w:spacing w:after="0" w:line="52" w:lineRule="exact"/>
        <w:rPr>
          <w:sz w:val="20"/>
          <w:szCs w:val="20"/>
          <w:color w:val="auto"/>
        </w:rPr>
      </w:pPr>
    </w:p>
    <w:p>
      <w:pPr>
        <w:jc w:val="both"/>
        <w:ind w:right="320" w:firstLine="43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Xyrem. </w:t>
      </w:r>
      <w:r>
        <w:rPr>
          <w:rFonts w:ascii="Times New Roman" w:cs="Times New Roman" w:eastAsia="Times New Roman" w:hAnsi="Times New Roman"/>
          <w:sz w:val="18"/>
          <w:szCs w:val="18"/>
          <w:color w:val="auto"/>
        </w:rPr>
        <w:t>Xyrem was approved in the U.S. for the treatment of cataplexy in adult patients with narcolepsy in 2002 and was approved for treatment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EDS in adult patients with narcolepsy in 2005. In October 2018, Xyrem was also approved in the U.S. for the treatment of cataplexy or EDS in pediatric patients seven years of age and older with narcolepsy.</w:t>
      </w:r>
    </w:p>
    <w:p>
      <w:pPr>
        <w:spacing w:after="0" w:line="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2023, net product sales of Xyrem were $569.7 million, which represented 15% of our total net product sales for the year.</w:t>
      </w:r>
    </w:p>
    <w:p>
      <w:pPr>
        <w:spacing w:after="0" w:line="108" w:lineRule="exact"/>
        <w:rPr>
          <w:sz w:val="20"/>
          <w:szCs w:val="20"/>
          <w:color w:val="auto"/>
        </w:rPr>
      </w:pPr>
    </w:p>
    <w:p>
      <w:pPr>
        <w:ind w:right="20" w:firstLine="439"/>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Xywav and Xyrem REMS</w:t>
      </w:r>
      <w:r>
        <w:rPr>
          <w:rFonts w:ascii="Times New Roman" w:cs="Times New Roman" w:eastAsia="Times New Roman" w:hAnsi="Times New Roman"/>
          <w:sz w:val="18"/>
          <w:szCs w:val="18"/>
          <w:color w:val="auto"/>
        </w:rPr>
        <w:t>. Our marketing, sales and distribution of Xywav and Xyrem in the U.S. are subject to a risk evaluation and mitigation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strategy, or REMS, which is required by FDA to mitigate the risks of serious adverse outcomes resulting from inappropriate prescribing, abuse, misuse and diversion of Xywav and Xyrem. The Xywav and Xyrem REMS has the same requirements for both products. Under this REMS, all of the Xywav and Xyrem sold in the U.S. must be dispensed and shipped directly to patients or caregivers through a central pharmacy. Xywav and Xyrem may not be stocked in retail pharmacies. Physicians and patients must complete an enrollment process prior to fulfillment of Xywav and Xyrem prescriptions, and each physician and patient must receive materials concerning the serious risks associated with Xywav and Xyrem before the physician can prescribe, or a patient can receive, the product. The central certified pharmacy must monitor and report instances of patient or prescriber behavior giving rise to a reasonable suspicion of abuse, misuse or diversion of Xywav and Xyrem, and maintains enrollment and prescription monitoring information in a central database. The central pharmacy ships the product directly to the patient (or caregiver) by a courier service.</w:t>
      </w:r>
    </w:p>
    <w:p>
      <w:pPr>
        <w:spacing w:after="0" w:line="79" w:lineRule="exact"/>
        <w:rPr>
          <w:sz w:val="20"/>
          <w:szCs w:val="20"/>
          <w:color w:val="auto"/>
        </w:rPr>
      </w:pPr>
    </w:p>
    <w:p>
      <w:pPr>
        <w:ind w:firstLine="439"/>
        <w:spacing w:after="0" w:line="256" w:lineRule="auto"/>
        <w:rPr>
          <w:sz w:val="20"/>
          <w:szCs w:val="20"/>
          <w:color w:val="auto"/>
        </w:rPr>
      </w:pPr>
      <w:r>
        <w:rPr>
          <w:rFonts w:ascii="Times New Roman" w:cs="Times New Roman" w:eastAsia="Times New Roman" w:hAnsi="Times New Roman"/>
          <w:sz w:val="18"/>
          <w:szCs w:val="18"/>
          <w:color w:val="auto"/>
        </w:rPr>
        <w:t>We have had exclusive agreements with Express Scripts Specialty Distribution Services, Inc., or ESSDS, the central pharmacy for Xywav and Xyrem, to distribute Xywav and Xyrem in the U.S. and provide patient support services related to Xyrem since 2002. In December 2022, we entered into new agreements with ESSDS with a two-year term. Our current agreements with ESSDS, which expire on December 1, 2024, may be terminated by either party at any time without cause on 180 days’ prior written notice to the other party.</w:t>
      </w:r>
    </w:p>
    <w:p>
      <w:pPr>
        <w:spacing w:after="0" w:line="71" w:lineRule="exact"/>
        <w:rPr>
          <w:sz w:val="20"/>
          <w:szCs w:val="20"/>
          <w:color w:val="auto"/>
        </w:rPr>
      </w:pPr>
    </w:p>
    <w:p>
      <w:pPr>
        <w:ind w:firstLine="439"/>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Epidiolex. </w:t>
      </w:r>
      <w:r>
        <w:rPr>
          <w:rFonts w:ascii="Times New Roman" w:cs="Times New Roman" w:eastAsia="Times New Roman" w:hAnsi="Times New Roman"/>
          <w:sz w:val="18"/>
          <w:szCs w:val="18"/>
          <w:color w:val="auto"/>
        </w:rPr>
        <w:t>We acquired Epidiolex (Epidyolex outside the U.S.) in May 2021 as part of our acquisition of GW, which we refer to as the GW acquisition,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expanded our growing neuroscience business with a global, high-growth childhood-onset epilepsy franchise. Epidiolex was approved in the U.S. in June 2018 for the treatment of seizures associated with two rare and severe forms of epilepsy, LGS and DS, in patients two years of age and older, and subsequently approved in July 2020 for the treatment of seizures associated with TSC in patients one year of age and older. FDA also approved the expansion of the other approved indications, LGS and DS, to patients one year of age and older. The rolling European launch of Epidyolex is also underway following EC approval in September 2019 for use as adjunctive therapy of seizures associated with LGS or DS, in conjunction with clobazam, for patients two years of age and older. Epidyolex is now launched in all five key European markets: United Kingdom, Germany, Italy, Spain and France. The clobazam restriction is limited to the EU and Great Britain. Epidyolex was also approved for adjunctive therapy in seizures associated with TSC for patients 2 years of age and older in the EU in April 2021 and Great Britain in August 2021, and is approved for this indication in other markets. Outside the U.S. and Europe, Epidiolex/Epidyolex is approved in Israel, Canada, Australia and New Zealand. See “Research and Development” below for a discussion of clinical development activities for Epidiolex.</w:t>
      </w:r>
    </w:p>
    <w:p>
      <w:pPr>
        <w:spacing w:after="0" w:line="82" w:lineRule="exact"/>
        <w:rPr>
          <w:sz w:val="20"/>
          <w:szCs w:val="20"/>
          <w:color w:val="auto"/>
        </w:rPr>
      </w:pPr>
    </w:p>
    <w:p>
      <w:pPr>
        <w:ind w:firstLine="439"/>
        <w:spacing w:after="0" w:line="256" w:lineRule="auto"/>
        <w:rPr>
          <w:sz w:val="20"/>
          <w:szCs w:val="20"/>
          <w:color w:val="auto"/>
        </w:rPr>
      </w:pPr>
      <w:r>
        <w:rPr>
          <w:rFonts w:ascii="Times New Roman" w:cs="Times New Roman" w:eastAsia="Times New Roman" w:hAnsi="Times New Roman"/>
          <w:sz w:val="18"/>
          <w:szCs w:val="18"/>
          <w:color w:val="auto"/>
        </w:rPr>
        <w:t>LGS and DS are severe childhood-onset, drug-resistant epilepsy syndromes. LGS and DS affect approximately 35,000-50,000 and approximately 10,000 individuals in the U.S., respectively. TSC is a rare genetic disorder that causes non-malignant tumors to form in many different organs and is a leading cause of genetic epilepsy. TSC affects approximately 50,000 individuals in the U.S. Epidiolex has received ODE to treat seizures associated with LGS and DS through 2025 and TSC through 2027.</w:t>
      </w:r>
    </w:p>
    <w:p>
      <w:pPr>
        <w:spacing w:after="0" w:line="75" w:lineRule="exact"/>
        <w:rPr>
          <w:sz w:val="20"/>
          <w:szCs w:val="20"/>
          <w:color w:val="auto"/>
        </w:rPr>
      </w:pPr>
    </w:p>
    <w:p>
      <w:pPr>
        <w:ind w:left="200" w:right="1060" w:firstLine="240"/>
        <w:spacing w:after="0" w:line="368" w:lineRule="auto"/>
        <w:rPr>
          <w:sz w:val="20"/>
          <w:szCs w:val="20"/>
          <w:color w:val="auto"/>
        </w:rPr>
      </w:pPr>
      <w:r>
        <w:rPr>
          <w:rFonts w:ascii="Times New Roman" w:cs="Times New Roman" w:eastAsia="Times New Roman" w:hAnsi="Times New Roman"/>
          <w:sz w:val="18"/>
          <w:szCs w:val="18"/>
          <w:color w:val="auto"/>
        </w:rPr>
        <w:t xml:space="preserve">Net product sales of Epidiolex/Epidyolex in 2023 were $845.5 million, which represented 23% of our total net product sales for the year. </w:t>
      </w:r>
      <w:r>
        <w:rPr>
          <w:rFonts w:ascii="Times New Roman" w:cs="Times New Roman" w:eastAsia="Times New Roman" w:hAnsi="Times New Roman"/>
          <w:sz w:val="18"/>
          <w:szCs w:val="18"/>
          <w:b w:val="1"/>
          <w:bCs w:val="1"/>
          <w:i w:val="1"/>
          <w:iCs w:val="1"/>
          <w:color w:val="auto"/>
        </w:rPr>
        <w:t>Oncology</w:t>
      </w:r>
    </w:p>
    <w:p>
      <w:pPr>
        <w:ind w:right="540" w:firstLine="439"/>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Rylaze. </w:t>
      </w:r>
      <w:r>
        <w:rPr>
          <w:rFonts w:ascii="Times New Roman" w:cs="Times New Roman" w:eastAsia="Times New Roman" w:hAnsi="Times New Roman"/>
          <w:sz w:val="18"/>
          <w:szCs w:val="18"/>
          <w:color w:val="auto"/>
        </w:rPr>
        <w:t>Rylaze was approved by FDA in June 2021 under the Real-Time Oncology Review, or RTOR, program, and was launched in the U.S.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July 2021, for use as a component of a multi-agent chemotherapeutic regimen for the treatment of acute</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lymphoblastic leukemia, or ALL, and lymphoblastic lymphoma, or LBL, in pediatric and adult patients one month and older who have developed hypersensitivity to E. coli-derived asparaginase. Rylaze is the only recombinant Erwinia asparaginase manufactured product that maintains a clinically meaningful level of serum asparaginase activity throughout the entire intended course of treatment. We developed Rylaze to address the needs of patients and health care providers for an innovative, high-quality Erwinia asparaginase with reliable supply. See “Research and Development” below for a discussion of clinical development activities for Rylaze.</w:t>
      </w:r>
    </w:p>
    <w:p>
      <w:pPr>
        <w:spacing w:after="0" w:line="73" w:lineRule="exact"/>
        <w:rPr>
          <w:sz w:val="20"/>
          <w:szCs w:val="20"/>
          <w:color w:val="auto"/>
        </w:rPr>
      </w:pPr>
    </w:p>
    <w:p>
      <w:pPr>
        <w:ind w:right="120" w:firstLine="439"/>
        <w:spacing w:after="0" w:line="238" w:lineRule="auto"/>
        <w:rPr>
          <w:sz w:val="20"/>
          <w:szCs w:val="20"/>
          <w:color w:val="auto"/>
        </w:rPr>
      </w:pPr>
      <w:r>
        <w:rPr>
          <w:rFonts w:ascii="Times New Roman" w:cs="Times New Roman" w:eastAsia="Times New Roman" w:hAnsi="Times New Roman"/>
          <w:sz w:val="17"/>
          <w:szCs w:val="17"/>
          <w:color w:val="auto"/>
        </w:rPr>
        <w:t>The initial approved recommended dosage of Rylaze was for an intramuscular, or IM, administration of 25 mg/m</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7"/>
          <w:szCs w:val="17"/>
          <w:color w:val="auto"/>
        </w:rPr>
        <w:t xml:space="preserve"> every 48 hours. In November 2022, FDA approved a supplemental Biologics License Application, or sBLA, for a Monday/Wednesday/Friday 25/25/50 mg/m</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7"/>
          <w:szCs w:val="17"/>
          <w:color w:val="auto"/>
        </w:rPr>
        <w:t xml:space="preserve"> IM dosing schedule. In April 2022, we submitted a separate sBLA for intravenous, or IV, administration. In February 2023, we received a complete response letter from FDA requesting additional clinical data on the IV administration of Rylaze. There is no impact on the approved product labeling for Rylaze IM administration. In September 2023, the EC granted marketing authorization for JZP458 (Rylaze) under the trade name Enrylaze and we have initiated a rolling launch in Europe.</w:t>
      </w:r>
    </w:p>
    <w:p>
      <w:pPr>
        <w:spacing w:after="0" w:line="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2023, net product sales of Rylaze were $394.2 million, which represented 11% of our total net product sales for the year.</w:t>
      </w:r>
    </w:p>
    <w:p>
      <w:pPr>
        <w:spacing w:after="0" w:line="108" w:lineRule="exact"/>
        <w:rPr>
          <w:sz w:val="20"/>
          <w:szCs w:val="20"/>
          <w:color w:val="auto"/>
        </w:rPr>
      </w:pPr>
    </w:p>
    <w:p>
      <w:pPr>
        <w:ind w:firstLine="43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Zepzelca. </w:t>
      </w:r>
      <w:r>
        <w:rPr>
          <w:rFonts w:ascii="Times New Roman" w:cs="Times New Roman" w:eastAsia="Times New Roman" w:hAnsi="Times New Roman"/>
          <w:sz w:val="18"/>
          <w:szCs w:val="18"/>
          <w:color w:val="auto"/>
        </w:rPr>
        <w:t>We acquired U.S. development and commercialization rights to Zepzelca in early 2020, and launched six months thereafter, with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indication for treatment of patients with SCLC with disease progression on or after platinum-based chemotherapy. Zepzelca is an alkylating drug that binds guanine residues within DNA. This triggers a cascade of events that can affect the activity of DNA binding proteins, including some transcription factors, and DNA repair pathways, resulting in disruption of the cell cycle and eventual cell death. Our education and promotional efforts are focused on SCLC-treating physicians. We are continuing to raise awareness of Zepzelca across academic and community cancer centers.</w:t>
      </w:r>
    </w:p>
    <w:p>
      <w:pPr>
        <w:spacing w:after="0" w:line="76" w:lineRule="exact"/>
        <w:rPr>
          <w:sz w:val="20"/>
          <w:szCs w:val="20"/>
          <w:color w:val="auto"/>
        </w:rPr>
      </w:pPr>
    </w:p>
    <w:p>
      <w:pPr>
        <w:ind w:right="100" w:firstLine="439"/>
        <w:spacing w:after="0" w:line="251" w:lineRule="auto"/>
        <w:rPr>
          <w:sz w:val="20"/>
          <w:szCs w:val="20"/>
          <w:color w:val="auto"/>
        </w:rPr>
      </w:pPr>
      <w:r>
        <w:rPr>
          <w:rFonts w:ascii="Times New Roman" w:cs="Times New Roman" w:eastAsia="Times New Roman" w:hAnsi="Times New Roman"/>
          <w:sz w:val="18"/>
          <w:szCs w:val="18"/>
          <w:color w:val="auto"/>
        </w:rPr>
        <w:t>Our exclusive U.S. development and commercialization rights to Zepzelca were acquired through an exclusive license agreement we entered into with Pharma Mar, S.A., or PharmaMar, in December 2019. In October 2020, we entered into an amendment to the license agreement with PharmaMar to expand our exclusive license to include rights to develop and commercialize Zepzelca in Canada. The term of the amended license agreement extends on a licensed product-by-licensed product and country-by-country basis until the latest of: (i) expiration of the last PharmaMar patent covering Zepzelca in that country (subject to certain exclusions), (ii) expiration of regulatory exclusivity for Zepzelca in that country and (iii) 12 years after the first commercial sale of Zepzelca in that country. We have the right to terminate the amended license agreement at will upon a specified notice period, and either party can terminate the amended license agreement for the other party’s uncured material breach or bankruptcy.</w:t>
      </w:r>
    </w:p>
    <w:p>
      <w:pPr>
        <w:spacing w:after="0" w:line="82" w:lineRule="exact"/>
        <w:rPr>
          <w:sz w:val="20"/>
          <w:szCs w:val="20"/>
          <w:color w:val="auto"/>
        </w:rPr>
      </w:pPr>
    </w:p>
    <w:p>
      <w:pPr>
        <w:ind w:firstLine="439"/>
        <w:spacing w:after="0" w:line="250" w:lineRule="auto"/>
        <w:rPr>
          <w:sz w:val="20"/>
          <w:szCs w:val="20"/>
          <w:color w:val="auto"/>
        </w:rPr>
      </w:pPr>
      <w:r>
        <w:rPr>
          <w:rFonts w:ascii="Times New Roman" w:cs="Times New Roman" w:eastAsia="Times New Roman" w:hAnsi="Times New Roman"/>
          <w:sz w:val="18"/>
          <w:szCs w:val="18"/>
          <w:color w:val="auto"/>
        </w:rPr>
        <w:t>Zepzelca was granted orphan drug designation for adults with metastatic SCLC with disease progression on or after platinum-based chemotherapy by FDA in August 2018. In December 2019, PharmaMar submitted a New Drug Application, or NDA, to FDA for accelerated approval of Zepzelca for relapsed SCLC based on data from a Phase 2 trial, and in February 2020, FDA accepted the NDA for filing with priority review. In June 2020, FDA granted accelerated approval of Zepzelca for the treatment of adult patients with metastatic SCLC with disease progression on or after platinum-based chemotherapy. Zepzelca is approved based on response rate and duration of response. In collaboration with F. Hoffmann-La Roche Ltd, or Roche, we have an ongoing Phase 3 pivotal clinical trial in first-line extensive stage SCLC of Zepzelca in combination with Tecentriq® (atezolizumab). In addition, our licensor PharmaMar is conducting a confirmatory trial in second-line SCLC. This is a three-arm trial comparing Zepzelca as either monotherapy or in combination with irinotecan to investigator's choice of irinotecan or topotecan. Data from either the first-line trial of Zepzelca in combination with Tecentriq or the PharmaMar trial could serve to confirm clinical benefit of Zepzelca and support full approval in the U.S. See “Research and Development” below for a discussion of clinical development activities for Zepzelca.</w:t>
      </w:r>
    </w:p>
    <w:p>
      <w:pPr>
        <w:spacing w:after="0" w:line="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2023, net product sales of Zepzelca were $289.5 million, which represented 8% of our total net product sales for the year.</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Revenue Diversification</w:t>
      </w:r>
    </w:p>
    <w:p>
      <w:pPr>
        <w:spacing w:after="0" w:line="116" w:lineRule="exact"/>
        <w:rPr>
          <w:sz w:val="20"/>
          <w:szCs w:val="20"/>
          <w:color w:val="auto"/>
        </w:rPr>
      </w:pPr>
    </w:p>
    <w:p>
      <w:pPr>
        <w:ind w:right="160" w:firstLine="439"/>
        <w:spacing w:after="0" w:line="276" w:lineRule="auto"/>
        <w:rPr>
          <w:sz w:val="20"/>
          <w:szCs w:val="20"/>
          <w:color w:val="auto"/>
        </w:rPr>
      </w:pPr>
      <w:r>
        <w:rPr>
          <w:rFonts w:ascii="Times New Roman" w:cs="Times New Roman" w:eastAsia="Times New Roman" w:hAnsi="Times New Roman"/>
          <w:sz w:val="17"/>
          <w:szCs w:val="17"/>
          <w:color w:val="auto"/>
        </w:rPr>
        <w:t>As part of our objective to build a durable, growing commercial portfolio and reduce business risk by diversifying our revenue sources, we have been actively seeking to expand our commercial portfolio thorough a combination of launching internally developed therapies and commercial assets or investigational therapies acquired through corporate development. In 2018, 74% of total revenue was generated by one product, Xyrem. For the year ended December 31, 2023, 50% of total revenue was generated outside of our Sleep products, Xywav and Xyrem, plus high-sodium oxybate AG royalty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marketed products, listed below, are approved in countries around the world to improve patient care.</w:t>
      </w:r>
    </w:p>
    <w:p>
      <w:pPr>
        <w:spacing w:after="0" w:line="13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Indications</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Initial Approval Date</w:t>
            </w:r>
          </w:p>
        </w:tc>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Markets</w:t>
            </w:r>
          </w:p>
        </w:tc>
        <w:tc>
          <w:tcPr>
            <w:tcW w:w="0" w:type="dxa"/>
            <w:vAlign w:val="bottom"/>
          </w:tcPr>
          <w:p>
            <w:pPr>
              <w:spacing w:after="0"/>
              <w:rPr>
                <w:sz w:val="1"/>
                <w:szCs w:val="1"/>
                <w:color w:val="auto"/>
              </w:rPr>
            </w:pPr>
          </w:p>
        </w:tc>
      </w:tr>
      <w:tr>
        <w:trPr>
          <w:trHeight w:val="20"/>
        </w:trPr>
        <w:tc>
          <w:tcPr>
            <w:tcW w:w="640" w:type="dxa"/>
            <w:vAlign w:val="bottom"/>
            <w:tcBorders>
              <w:top w:val="single" w:sz="8" w:color="auto"/>
              <w:bottom w:val="single" w:sz="8" w:color="B6B6B6"/>
            </w:tcBorders>
          </w:tcPr>
          <w:p>
            <w:pPr>
              <w:spacing w:after="0" w:line="20" w:lineRule="exact"/>
              <w:rPr>
                <w:sz w:val="1"/>
                <w:szCs w:val="1"/>
                <w:color w:val="auto"/>
              </w:rPr>
            </w:pPr>
          </w:p>
        </w:tc>
        <w:tc>
          <w:tcPr>
            <w:tcW w:w="2000" w:type="dxa"/>
            <w:vAlign w:val="bottom"/>
            <w:tcBorders>
              <w:bottom w:val="single" w:sz="8" w:color="B6B6B6"/>
            </w:tcBorders>
          </w:tcPr>
          <w:p>
            <w:pPr>
              <w:spacing w:after="0" w:line="20" w:lineRule="exact"/>
              <w:rPr>
                <w:sz w:val="1"/>
                <w:szCs w:val="1"/>
                <w:color w:val="auto"/>
              </w:rPr>
            </w:pPr>
          </w:p>
        </w:tc>
        <w:tc>
          <w:tcPr>
            <w:tcW w:w="860" w:type="dxa"/>
            <w:vAlign w:val="bottom"/>
            <w:tcBorders>
              <w:top w:val="single" w:sz="8" w:color="auto"/>
              <w:bottom w:val="single" w:sz="8" w:color="B6B6B6"/>
            </w:tcBorders>
          </w:tcPr>
          <w:p>
            <w:pPr>
              <w:spacing w:after="0" w:line="20" w:lineRule="exact"/>
              <w:rPr>
                <w:sz w:val="1"/>
                <w:szCs w:val="1"/>
                <w:color w:val="auto"/>
              </w:rPr>
            </w:pPr>
          </w:p>
        </w:tc>
        <w:tc>
          <w:tcPr>
            <w:tcW w:w="1960" w:type="dxa"/>
            <w:vAlign w:val="bottom"/>
            <w:tcBorders>
              <w:bottom w:val="single" w:sz="8" w:color="B6B6B6"/>
            </w:tcBorders>
          </w:tcPr>
          <w:p>
            <w:pPr>
              <w:spacing w:after="0" w:line="20" w:lineRule="exact"/>
              <w:rPr>
                <w:sz w:val="1"/>
                <w:szCs w:val="1"/>
                <w:color w:val="auto"/>
              </w:rPr>
            </w:pPr>
          </w:p>
        </w:tc>
        <w:tc>
          <w:tcPr>
            <w:tcW w:w="1620" w:type="dxa"/>
            <w:vAlign w:val="bottom"/>
            <w:tcBorders>
              <w:top w:val="single" w:sz="8" w:color="auto"/>
              <w:bottom w:val="single" w:sz="8" w:color="B6B6B6"/>
            </w:tcBorders>
          </w:tcPr>
          <w:p>
            <w:pPr>
              <w:spacing w:after="0" w:line="20" w:lineRule="exact"/>
              <w:rPr>
                <w:sz w:val="1"/>
                <w:szCs w:val="1"/>
                <w:color w:val="auto"/>
              </w:rPr>
            </w:pPr>
          </w:p>
        </w:tc>
        <w:tc>
          <w:tcPr>
            <w:tcW w:w="1180" w:type="dxa"/>
            <w:vAlign w:val="bottom"/>
            <w:tcBorders>
              <w:bottom w:val="single" w:sz="8" w:color="B6B6B6"/>
            </w:tcBorders>
          </w:tcPr>
          <w:p>
            <w:pPr>
              <w:spacing w:after="0" w:line="20" w:lineRule="exact"/>
              <w:rPr>
                <w:sz w:val="1"/>
                <w:szCs w:val="1"/>
                <w:color w:val="auto"/>
              </w:rPr>
            </w:pPr>
          </w:p>
        </w:tc>
        <w:tc>
          <w:tcPr>
            <w:tcW w:w="640" w:type="dxa"/>
            <w:vAlign w:val="bottom"/>
            <w:tcBorders>
              <w:top w:val="single" w:sz="8" w:color="auto"/>
              <w:bottom w:val="single" w:sz="8" w:color="B6B6B6"/>
            </w:tcBorders>
          </w:tcPr>
          <w:p>
            <w:pPr>
              <w:spacing w:after="0" w:line="20" w:lineRule="exact"/>
              <w:rPr>
                <w:sz w:val="1"/>
                <w:szCs w:val="1"/>
                <w:color w:val="auto"/>
              </w:rPr>
            </w:pPr>
          </w:p>
        </w:tc>
        <w:tc>
          <w:tcPr>
            <w:tcW w:w="2180" w:type="dxa"/>
            <w:vAlign w:val="bottom"/>
            <w:tcBorders>
              <w:bottom w:val="single" w:sz="8" w:color="B6B6B6"/>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640" w:type="dxa"/>
            <w:vAlign w:val="bottom"/>
            <w:tcBorders>
              <w:left w:val="single" w:sz="8" w:color="B6B6B6"/>
              <w:bottom w:val="single" w:sz="8" w:color="B6B6B6"/>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NEUROSCIENCE</w:t>
            </w:r>
          </w:p>
        </w:tc>
        <w:tc>
          <w:tcPr>
            <w:tcW w:w="860" w:type="dxa"/>
            <w:vAlign w:val="bottom"/>
            <w:tcBorders>
              <w:bottom w:val="single" w:sz="8" w:color="B6B6B6"/>
            </w:tcBorders>
            <w:shd w:val="clear" w:color="auto" w:fill="CCEEFF"/>
          </w:tcPr>
          <w:p>
            <w:pPr>
              <w:spacing w:after="0"/>
              <w:rPr>
                <w:sz w:val="19"/>
                <w:szCs w:val="19"/>
                <w:color w:val="auto"/>
              </w:rPr>
            </w:pPr>
          </w:p>
        </w:tc>
        <w:tc>
          <w:tcPr>
            <w:tcW w:w="1960" w:type="dxa"/>
            <w:vAlign w:val="bottom"/>
            <w:tcBorders>
              <w:bottom w:val="single" w:sz="8" w:color="B6B6B6"/>
              <w:right w:val="single" w:sz="8" w:color="CCEEFF"/>
            </w:tcBorders>
            <w:shd w:val="clear" w:color="auto" w:fill="CCEEFF"/>
          </w:tcPr>
          <w:p>
            <w:pPr>
              <w:spacing w:after="0"/>
              <w:rPr>
                <w:sz w:val="19"/>
                <w:szCs w:val="19"/>
                <w:color w:val="auto"/>
              </w:rPr>
            </w:pPr>
          </w:p>
        </w:tc>
        <w:tc>
          <w:tcPr>
            <w:tcW w:w="1620" w:type="dxa"/>
            <w:vAlign w:val="bottom"/>
            <w:tcBorders>
              <w:bottom w:val="single" w:sz="8" w:color="B6B6B6"/>
            </w:tcBorders>
            <w:shd w:val="clear" w:color="auto" w:fill="CCEEFF"/>
          </w:tcPr>
          <w:p>
            <w:pPr>
              <w:spacing w:after="0"/>
              <w:rPr>
                <w:sz w:val="19"/>
                <w:szCs w:val="19"/>
                <w:color w:val="auto"/>
              </w:rPr>
            </w:pPr>
          </w:p>
        </w:tc>
        <w:tc>
          <w:tcPr>
            <w:tcW w:w="1180" w:type="dxa"/>
            <w:vAlign w:val="bottom"/>
            <w:tcBorders>
              <w:bottom w:val="single" w:sz="8" w:color="B6B6B6"/>
              <w:right w:val="single" w:sz="8" w:color="CCEEFF"/>
            </w:tcBorders>
            <w:shd w:val="clear" w:color="auto" w:fill="CCEEFF"/>
          </w:tcPr>
          <w:p>
            <w:pPr>
              <w:spacing w:after="0"/>
              <w:rPr>
                <w:sz w:val="19"/>
                <w:szCs w:val="19"/>
                <w:color w:val="auto"/>
              </w:rPr>
            </w:pPr>
          </w:p>
        </w:tc>
        <w:tc>
          <w:tcPr>
            <w:tcW w:w="640" w:type="dxa"/>
            <w:vAlign w:val="bottom"/>
            <w:tcBorders>
              <w:bottom w:val="single" w:sz="8" w:color="B6B6B6"/>
            </w:tcBorders>
            <w:shd w:val="clear" w:color="auto" w:fill="CCEEFF"/>
          </w:tcPr>
          <w:p>
            <w:pPr>
              <w:spacing w:after="0"/>
              <w:rPr>
                <w:sz w:val="19"/>
                <w:szCs w:val="19"/>
                <w:color w:val="auto"/>
              </w:rPr>
            </w:pPr>
          </w:p>
        </w:tc>
        <w:tc>
          <w:tcPr>
            <w:tcW w:w="2180" w:type="dxa"/>
            <w:vAlign w:val="bottom"/>
            <w:tcBorders>
              <w:bottom w:val="single" w:sz="8" w:color="B6B6B6"/>
              <w:right w:val="single" w:sz="8" w:color="B6B6B6"/>
            </w:tcBorders>
            <w:shd w:val="clear" w:color="auto" w:fill="CCEEFF"/>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640" w:type="dxa"/>
            <w:vAlign w:val="bottom"/>
            <w:tcBorders>
              <w:left w:val="single" w:sz="8" w:color="B6B6B6"/>
            </w:tcBorders>
          </w:tcPr>
          <w:p>
            <w:pPr>
              <w:spacing w:after="0"/>
              <w:rPr>
                <w:sz w:val="14"/>
                <w:szCs w:val="14"/>
                <w:color w:val="auto"/>
              </w:rPr>
            </w:pPr>
          </w:p>
        </w:tc>
        <w:tc>
          <w:tcPr>
            <w:tcW w:w="2000" w:type="dxa"/>
            <w:vAlign w:val="bottom"/>
            <w:tcBorders>
              <w:right w:val="single" w:sz="8" w:color="B6B6B6"/>
            </w:tcBorders>
          </w:tcPr>
          <w:p>
            <w:pPr>
              <w:spacing w:after="0"/>
              <w:rPr>
                <w:sz w:val="14"/>
                <w:szCs w:val="14"/>
                <w:color w:val="auto"/>
              </w:rPr>
            </w:pPr>
          </w:p>
        </w:tc>
        <w:tc>
          <w:tcPr>
            <w:tcW w:w="2820" w:type="dxa"/>
            <w:vAlign w:val="bottom"/>
            <w:tcBorders>
              <w:right w:val="single" w:sz="8" w:color="B6B6B6"/>
            </w:tcBorders>
            <w:gridSpan w:val="2"/>
          </w:tcPr>
          <w:p>
            <w:pPr>
              <w:ind w:left="20"/>
              <w:spacing w:after="0" w:line="166" w:lineRule="exact"/>
              <w:rPr>
                <w:sz w:val="20"/>
                <w:szCs w:val="20"/>
                <w:color w:val="auto"/>
              </w:rPr>
            </w:pPr>
            <w:r>
              <w:rPr>
                <w:rFonts w:ascii="Times New Roman" w:cs="Times New Roman" w:eastAsia="Times New Roman" w:hAnsi="Times New Roman"/>
                <w:sz w:val="18"/>
                <w:szCs w:val="18"/>
                <w:color w:val="auto"/>
              </w:rPr>
              <w:t>Treatment of cataplexy or EDS in</w:t>
            </w:r>
          </w:p>
        </w:tc>
        <w:tc>
          <w:tcPr>
            <w:tcW w:w="2800" w:type="dxa"/>
            <w:vAlign w:val="bottom"/>
            <w:tcBorders>
              <w:right w:val="single" w:sz="8" w:color="B6B6B6"/>
            </w:tcBorders>
            <w:gridSpan w:val="2"/>
          </w:tcPr>
          <w:p>
            <w:pPr>
              <w:spacing w:after="0" w:line="166" w:lineRule="exact"/>
              <w:rPr>
                <w:sz w:val="20"/>
                <w:szCs w:val="20"/>
                <w:color w:val="auto"/>
              </w:rPr>
            </w:pPr>
            <w:r>
              <w:rPr>
                <w:rFonts w:ascii="Times New Roman" w:cs="Times New Roman" w:eastAsia="Times New Roman" w:hAnsi="Times New Roman"/>
                <w:sz w:val="18"/>
                <w:szCs w:val="18"/>
                <w:color w:val="auto"/>
              </w:rPr>
              <w:t>July 2020</w:t>
            </w:r>
          </w:p>
        </w:tc>
        <w:tc>
          <w:tcPr>
            <w:tcW w:w="2820" w:type="dxa"/>
            <w:vAlign w:val="bottom"/>
            <w:tcBorders>
              <w:right w:val="single" w:sz="8" w:color="B6B6B6"/>
            </w:tcBorders>
            <w:gridSpan w:val="2"/>
          </w:tcPr>
          <w:p>
            <w:pPr>
              <w:ind w:left="20"/>
              <w:spacing w:after="0" w:line="166" w:lineRule="exact"/>
              <w:rPr>
                <w:sz w:val="20"/>
                <w:szCs w:val="20"/>
                <w:color w:val="auto"/>
              </w:rPr>
            </w:pPr>
            <w:r>
              <w:rPr>
                <w:rFonts w:ascii="Times New Roman" w:cs="Times New Roman" w:eastAsia="Times New Roman" w:hAnsi="Times New Roman"/>
                <w:sz w:val="18"/>
                <w:szCs w:val="18"/>
                <w:color w:val="auto"/>
              </w:rPr>
              <w:t>U.S.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40" w:type="dxa"/>
            <w:vAlign w:val="bottom"/>
            <w:tcBorders>
              <w:left w:val="single" w:sz="8" w:color="B6B6B6"/>
            </w:tcBorders>
          </w:tcPr>
          <w:p>
            <w:pPr>
              <w:spacing w:after="0"/>
              <w:rPr>
                <w:sz w:val="15"/>
                <w:szCs w:val="15"/>
                <w:color w:val="auto"/>
              </w:rPr>
            </w:pPr>
          </w:p>
        </w:tc>
        <w:tc>
          <w:tcPr>
            <w:tcW w:w="200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patients seven years of age and older</w:t>
            </w:r>
          </w:p>
        </w:tc>
        <w:tc>
          <w:tcPr>
            <w:tcW w:w="1620" w:type="dxa"/>
            <w:vAlign w:val="bottom"/>
          </w:tcPr>
          <w:p>
            <w:pPr>
              <w:spacing w:after="0"/>
              <w:rPr>
                <w:sz w:val="15"/>
                <w:szCs w:val="15"/>
                <w:color w:val="auto"/>
              </w:rPr>
            </w:pPr>
          </w:p>
        </w:tc>
        <w:tc>
          <w:tcPr>
            <w:tcW w:w="1180" w:type="dxa"/>
            <w:vAlign w:val="bottom"/>
            <w:tcBorders>
              <w:right w:val="single" w:sz="8" w:color="B6B6B6"/>
            </w:tcBorders>
          </w:tcPr>
          <w:p>
            <w:pPr>
              <w:spacing w:after="0"/>
              <w:rPr>
                <w:sz w:val="15"/>
                <w:szCs w:val="15"/>
                <w:color w:val="auto"/>
              </w:rPr>
            </w:pPr>
          </w:p>
        </w:tc>
        <w:tc>
          <w:tcPr>
            <w:tcW w:w="640" w:type="dxa"/>
            <w:vAlign w:val="bottom"/>
          </w:tcPr>
          <w:p>
            <w:pPr>
              <w:spacing w:after="0"/>
              <w:rPr>
                <w:sz w:val="15"/>
                <w:szCs w:val="15"/>
                <w:color w:val="auto"/>
              </w:rPr>
            </w:pPr>
          </w:p>
        </w:tc>
        <w:tc>
          <w:tcPr>
            <w:tcW w:w="2180" w:type="dxa"/>
            <w:vAlign w:val="bottom"/>
            <w:tcBorders>
              <w:right w:val="single" w:sz="8" w:color="B6B6B6"/>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640" w:type="dxa"/>
            <w:vAlign w:val="bottom"/>
            <w:tcBorders>
              <w:left w:val="single" w:sz="8" w:color="B6B6B6"/>
              <w:right w:val="single" w:sz="8" w:color="B6B6B6"/>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Xywav® (calcium, magnesium,</w:t>
            </w:r>
          </w:p>
        </w:tc>
        <w:tc>
          <w:tcPr>
            <w:tcW w:w="2820" w:type="dxa"/>
            <w:vAlign w:val="bottom"/>
            <w:tcBorders>
              <w:bottom w:val="single" w:sz="8" w:color="B6B6B6"/>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with narcolepsy.</w:t>
            </w:r>
          </w:p>
        </w:tc>
        <w:tc>
          <w:tcPr>
            <w:tcW w:w="1620" w:type="dxa"/>
            <w:vAlign w:val="bottom"/>
            <w:tcBorders>
              <w:bottom w:val="single" w:sz="8" w:color="B6B6B6"/>
            </w:tcBorders>
          </w:tcPr>
          <w:p>
            <w:pPr>
              <w:spacing w:after="0"/>
              <w:rPr>
                <w:sz w:val="20"/>
                <w:szCs w:val="20"/>
                <w:color w:val="auto"/>
              </w:rPr>
            </w:pPr>
          </w:p>
        </w:tc>
        <w:tc>
          <w:tcPr>
            <w:tcW w:w="1180" w:type="dxa"/>
            <w:vAlign w:val="bottom"/>
            <w:tcBorders>
              <w:bottom w:val="single" w:sz="8" w:color="B6B6B6"/>
              <w:right w:val="single" w:sz="8" w:color="B6B6B6"/>
            </w:tcBorders>
          </w:tcPr>
          <w:p>
            <w:pPr>
              <w:spacing w:after="0"/>
              <w:rPr>
                <w:sz w:val="20"/>
                <w:szCs w:val="20"/>
                <w:color w:val="auto"/>
              </w:rPr>
            </w:pPr>
          </w:p>
        </w:tc>
        <w:tc>
          <w:tcPr>
            <w:tcW w:w="640" w:type="dxa"/>
            <w:vAlign w:val="bottom"/>
            <w:tcBorders>
              <w:bottom w:val="single" w:sz="8" w:color="B6B6B6"/>
            </w:tcBorders>
          </w:tcPr>
          <w:p>
            <w:pPr>
              <w:spacing w:after="0"/>
              <w:rPr>
                <w:sz w:val="20"/>
                <w:szCs w:val="20"/>
                <w:color w:val="auto"/>
              </w:rPr>
            </w:pPr>
          </w:p>
        </w:tc>
        <w:tc>
          <w:tcPr>
            <w:tcW w:w="2180" w:type="dxa"/>
            <w:vAlign w:val="bottom"/>
            <w:tcBorders>
              <w:bottom w:val="single" w:sz="8" w:color="B6B6B6"/>
              <w:right w:val="single" w:sz="8" w:color="B6B6B6"/>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3"/>
        </w:trPr>
        <w:tc>
          <w:tcPr>
            <w:tcW w:w="2640" w:type="dxa"/>
            <w:vAlign w:val="bottom"/>
            <w:tcBorders>
              <w:left w:val="single" w:sz="8" w:color="B6B6B6"/>
              <w:right w:val="single" w:sz="8" w:color="B6B6B6"/>
            </w:tcBorders>
            <w:gridSpan w:val="2"/>
            <w:vMerge w:val="continue"/>
          </w:tcPr>
          <w:p>
            <w:pPr>
              <w:spacing w:after="0"/>
              <w:rPr>
                <w:sz w:val="6"/>
                <w:szCs w:val="6"/>
                <w:color w:val="auto"/>
              </w:rPr>
            </w:pPr>
          </w:p>
        </w:tc>
        <w:tc>
          <w:tcPr>
            <w:tcW w:w="2820" w:type="dxa"/>
            <w:vAlign w:val="bottom"/>
            <w:tcBorders>
              <w:right w:val="single" w:sz="8" w:color="B6B6B6"/>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Treatment of IH in adults.</w:t>
            </w:r>
          </w:p>
        </w:tc>
        <w:tc>
          <w:tcPr>
            <w:tcW w:w="2800" w:type="dxa"/>
            <w:vAlign w:val="bottom"/>
            <w:tcBorders>
              <w:right w:val="single" w:sz="8" w:color="B6B6B6"/>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August 2021</w:t>
            </w:r>
          </w:p>
        </w:tc>
        <w:tc>
          <w:tcPr>
            <w:tcW w:w="2820" w:type="dxa"/>
            <w:vAlign w:val="bottom"/>
            <w:tcBorders>
              <w:right w:val="single" w:sz="8" w:color="B6B6B6"/>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2640" w:type="dxa"/>
            <w:vAlign w:val="bottom"/>
            <w:tcBorders>
              <w:left w:val="single" w:sz="8" w:color="B6B6B6"/>
              <w:right w:val="single" w:sz="8" w:color="B6B6B6"/>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potassium, and sodium oxybates)</w:t>
            </w:r>
          </w:p>
        </w:tc>
        <w:tc>
          <w:tcPr>
            <w:tcW w:w="2820" w:type="dxa"/>
            <w:vAlign w:val="bottom"/>
            <w:tcBorders>
              <w:right w:val="single" w:sz="8" w:color="B6B6B6"/>
            </w:tcBorders>
            <w:gridSpan w:val="2"/>
            <w:vMerge w:val="continue"/>
          </w:tcPr>
          <w:p>
            <w:pPr>
              <w:spacing w:after="0"/>
              <w:rPr>
                <w:sz w:val="13"/>
                <w:szCs w:val="13"/>
                <w:color w:val="auto"/>
              </w:rPr>
            </w:pPr>
          </w:p>
        </w:tc>
        <w:tc>
          <w:tcPr>
            <w:tcW w:w="2800" w:type="dxa"/>
            <w:vAlign w:val="bottom"/>
            <w:tcBorders>
              <w:right w:val="single" w:sz="8" w:color="B6B6B6"/>
            </w:tcBorders>
            <w:gridSpan w:val="2"/>
            <w:vMerge w:val="continue"/>
          </w:tcPr>
          <w:p>
            <w:pPr>
              <w:spacing w:after="0"/>
              <w:rPr>
                <w:sz w:val="13"/>
                <w:szCs w:val="13"/>
                <w:color w:val="auto"/>
              </w:rPr>
            </w:pPr>
          </w:p>
        </w:tc>
        <w:tc>
          <w:tcPr>
            <w:tcW w:w="2820" w:type="dxa"/>
            <w:vAlign w:val="bottom"/>
            <w:tcBorders>
              <w:right w:val="single" w:sz="8" w:color="B6B6B6"/>
            </w:tcBorders>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2640" w:type="dxa"/>
            <w:vAlign w:val="bottom"/>
            <w:tcBorders>
              <w:left w:val="single" w:sz="8" w:color="B6B6B6"/>
              <w:right w:val="single" w:sz="8" w:color="B6B6B6"/>
            </w:tcBorders>
            <w:gridSpan w:val="2"/>
            <w:vMerge w:val="continue"/>
          </w:tcPr>
          <w:p>
            <w:pPr>
              <w:spacing w:after="0"/>
              <w:rPr>
                <w:sz w:val="6"/>
                <w:szCs w:val="6"/>
                <w:color w:val="auto"/>
              </w:rPr>
            </w:pPr>
          </w:p>
        </w:tc>
        <w:tc>
          <w:tcPr>
            <w:tcW w:w="860" w:type="dxa"/>
            <w:vAlign w:val="bottom"/>
          </w:tcPr>
          <w:p>
            <w:pPr>
              <w:spacing w:after="0"/>
              <w:rPr>
                <w:sz w:val="6"/>
                <w:szCs w:val="6"/>
                <w:color w:val="auto"/>
              </w:rPr>
            </w:pPr>
          </w:p>
        </w:tc>
        <w:tc>
          <w:tcPr>
            <w:tcW w:w="1960" w:type="dxa"/>
            <w:vAlign w:val="bottom"/>
            <w:tcBorders>
              <w:right w:val="single" w:sz="8" w:color="B6B6B6"/>
            </w:tcBorders>
          </w:tcPr>
          <w:p>
            <w:pPr>
              <w:spacing w:after="0"/>
              <w:rPr>
                <w:sz w:val="6"/>
                <w:szCs w:val="6"/>
                <w:color w:val="auto"/>
              </w:rPr>
            </w:pPr>
          </w:p>
        </w:tc>
        <w:tc>
          <w:tcPr>
            <w:tcW w:w="1620" w:type="dxa"/>
            <w:vAlign w:val="bottom"/>
          </w:tcPr>
          <w:p>
            <w:pPr>
              <w:spacing w:after="0"/>
              <w:rPr>
                <w:sz w:val="6"/>
                <w:szCs w:val="6"/>
                <w:color w:val="auto"/>
              </w:rPr>
            </w:pPr>
          </w:p>
        </w:tc>
        <w:tc>
          <w:tcPr>
            <w:tcW w:w="1180" w:type="dxa"/>
            <w:vAlign w:val="bottom"/>
            <w:tcBorders>
              <w:right w:val="single" w:sz="8" w:color="B6B6B6"/>
            </w:tcBorders>
          </w:tcPr>
          <w:p>
            <w:pPr>
              <w:spacing w:after="0"/>
              <w:rPr>
                <w:sz w:val="6"/>
                <w:szCs w:val="6"/>
                <w:color w:val="auto"/>
              </w:rPr>
            </w:pPr>
          </w:p>
        </w:tc>
        <w:tc>
          <w:tcPr>
            <w:tcW w:w="640" w:type="dxa"/>
            <w:vAlign w:val="bottom"/>
          </w:tcPr>
          <w:p>
            <w:pPr>
              <w:spacing w:after="0"/>
              <w:rPr>
                <w:sz w:val="6"/>
                <w:szCs w:val="6"/>
                <w:color w:val="auto"/>
              </w:rPr>
            </w:pPr>
          </w:p>
        </w:tc>
        <w:tc>
          <w:tcPr>
            <w:tcW w:w="2180" w:type="dxa"/>
            <w:vAlign w:val="bottom"/>
            <w:tcBorders>
              <w:right w:val="single" w:sz="8" w:color="B6B6B6"/>
            </w:tcBorders>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640" w:type="dxa"/>
            <w:vAlign w:val="bottom"/>
            <w:tcBorders>
              <w:left w:val="single" w:sz="8" w:color="B6B6B6"/>
            </w:tcBorders>
          </w:tcPr>
          <w:p>
            <w:pPr>
              <w:spacing w:after="0"/>
              <w:rPr>
                <w:sz w:val="7"/>
                <w:szCs w:val="7"/>
                <w:color w:val="auto"/>
              </w:rPr>
            </w:pPr>
          </w:p>
        </w:tc>
        <w:tc>
          <w:tcPr>
            <w:tcW w:w="2000" w:type="dxa"/>
            <w:vAlign w:val="bottom"/>
            <w:tcBorders>
              <w:right w:val="single" w:sz="8" w:color="B6B6B6"/>
            </w:tcBorders>
          </w:tcPr>
          <w:p>
            <w:pPr>
              <w:spacing w:after="0"/>
              <w:rPr>
                <w:sz w:val="7"/>
                <w:szCs w:val="7"/>
                <w:color w:val="auto"/>
              </w:rPr>
            </w:pPr>
          </w:p>
        </w:tc>
        <w:tc>
          <w:tcPr>
            <w:tcW w:w="860" w:type="dxa"/>
            <w:vAlign w:val="bottom"/>
            <w:tcBorders>
              <w:bottom w:val="single" w:sz="8" w:color="B6B6B6"/>
            </w:tcBorders>
          </w:tcPr>
          <w:p>
            <w:pPr>
              <w:spacing w:after="0"/>
              <w:rPr>
                <w:sz w:val="7"/>
                <w:szCs w:val="7"/>
                <w:color w:val="auto"/>
              </w:rPr>
            </w:pPr>
          </w:p>
        </w:tc>
        <w:tc>
          <w:tcPr>
            <w:tcW w:w="1960" w:type="dxa"/>
            <w:vAlign w:val="bottom"/>
            <w:tcBorders>
              <w:bottom w:val="single" w:sz="8" w:color="B6B6B6"/>
              <w:right w:val="single" w:sz="8" w:color="B6B6B6"/>
            </w:tcBorders>
          </w:tcPr>
          <w:p>
            <w:pPr>
              <w:spacing w:after="0"/>
              <w:rPr>
                <w:sz w:val="7"/>
                <w:szCs w:val="7"/>
                <w:color w:val="auto"/>
              </w:rPr>
            </w:pPr>
          </w:p>
        </w:tc>
        <w:tc>
          <w:tcPr>
            <w:tcW w:w="1620" w:type="dxa"/>
            <w:vAlign w:val="bottom"/>
            <w:tcBorders>
              <w:bottom w:val="single" w:sz="8" w:color="B6B6B6"/>
            </w:tcBorders>
          </w:tcPr>
          <w:p>
            <w:pPr>
              <w:spacing w:after="0"/>
              <w:rPr>
                <w:sz w:val="7"/>
                <w:szCs w:val="7"/>
                <w:color w:val="auto"/>
              </w:rPr>
            </w:pPr>
          </w:p>
        </w:tc>
        <w:tc>
          <w:tcPr>
            <w:tcW w:w="1180" w:type="dxa"/>
            <w:vAlign w:val="bottom"/>
            <w:tcBorders>
              <w:bottom w:val="single" w:sz="8" w:color="B6B6B6"/>
              <w:right w:val="single" w:sz="8" w:color="B6B6B6"/>
            </w:tcBorders>
          </w:tcPr>
          <w:p>
            <w:pPr>
              <w:spacing w:after="0"/>
              <w:rPr>
                <w:sz w:val="7"/>
                <w:szCs w:val="7"/>
                <w:color w:val="auto"/>
              </w:rPr>
            </w:pPr>
          </w:p>
        </w:tc>
        <w:tc>
          <w:tcPr>
            <w:tcW w:w="640" w:type="dxa"/>
            <w:vAlign w:val="bottom"/>
            <w:tcBorders>
              <w:bottom w:val="single" w:sz="8" w:color="B6B6B6"/>
            </w:tcBorders>
          </w:tcPr>
          <w:p>
            <w:pPr>
              <w:spacing w:after="0"/>
              <w:rPr>
                <w:sz w:val="7"/>
                <w:szCs w:val="7"/>
                <w:color w:val="auto"/>
              </w:rPr>
            </w:pPr>
          </w:p>
        </w:tc>
        <w:tc>
          <w:tcPr>
            <w:tcW w:w="2180" w:type="dxa"/>
            <w:vAlign w:val="bottom"/>
            <w:tcBorders>
              <w:bottom w:val="single" w:sz="8" w:color="B6B6B6"/>
              <w:right w:val="single" w:sz="8" w:color="B6B6B6"/>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640" w:type="dxa"/>
            <w:vAlign w:val="bottom"/>
            <w:tcBorders>
              <w:left w:val="single" w:sz="8" w:color="B6B6B6"/>
            </w:tcBorders>
          </w:tcPr>
          <w:p>
            <w:pPr>
              <w:spacing w:after="0"/>
              <w:rPr>
                <w:sz w:val="14"/>
                <w:szCs w:val="14"/>
                <w:color w:val="auto"/>
              </w:rPr>
            </w:pPr>
          </w:p>
        </w:tc>
        <w:tc>
          <w:tcPr>
            <w:tcW w:w="2000" w:type="dxa"/>
            <w:vAlign w:val="bottom"/>
            <w:tcBorders>
              <w:right w:val="single" w:sz="8" w:color="B6B6B6"/>
            </w:tcBorders>
          </w:tcPr>
          <w:p>
            <w:pPr>
              <w:spacing w:after="0"/>
              <w:rPr>
                <w:sz w:val="14"/>
                <w:szCs w:val="14"/>
                <w:color w:val="auto"/>
              </w:rPr>
            </w:pPr>
          </w:p>
        </w:tc>
        <w:tc>
          <w:tcPr>
            <w:tcW w:w="2820" w:type="dxa"/>
            <w:vAlign w:val="bottom"/>
            <w:tcBorders>
              <w:right w:val="single" w:sz="8" w:color="B6B6B6"/>
            </w:tcBorders>
            <w:gridSpan w:val="2"/>
          </w:tcPr>
          <w:p>
            <w:pPr>
              <w:ind w:left="20"/>
              <w:spacing w:after="0" w:line="166" w:lineRule="exact"/>
              <w:rPr>
                <w:sz w:val="20"/>
                <w:szCs w:val="20"/>
                <w:color w:val="auto"/>
              </w:rPr>
            </w:pPr>
            <w:r>
              <w:rPr>
                <w:rFonts w:ascii="Times New Roman" w:cs="Times New Roman" w:eastAsia="Times New Roman" w:hAnsi="Times New Roman"/>
                <w:sz w:val="18"/>
                <w:szCs w:val="18"/>
                <w:color w:val="auto"/>
              </w:rPr>
              <w:t>Treatment of cataplexy in patients</w:t>
            </w:r>
          </w:p>
        </w:tc>
        <w:tc>
          <w:tcPr>
            <w:tcW w:w="2800" w:type="dxa"/>
            <w:vAlign w:val="bottom"/>
            <w:tcBorders>
              <w:right w:val="single" w:sz="8" w:color="B6B6B6"/>
            </w:tcBorders>
            <w:gridSpan w:val="2"/>
          </w:tcPr>
          <w:p>
            <w:pPr>
              <w:spacing w:after="0" w:line="166" w:lineRule="exact"/>
              <w:rPr>
                <w:sz w:val="20"/>
                <w:szCs w:val="20"/>
                <w:color w:val="auto"/>
              </w:rPr>
            </w:pPr>
            <w:r>
              <w:rPr>
                <w:rFonts w:ascii="Times New Roman" w:cs="Times New Roman" w:eastAsia="Times New Roman" w:hAnsi="Times New Roman"/>
                <w:sz w:val="18"/>
                <w:szCs w:val="18"/>
                <w:color w:val="auto"/>
              </w:rPr>
              <w:t>May 2023</w:t>
            </w:r>
          </w:p>
        </w:tc>
        <w:tc>
          <w:tcPr>
            <w:tcW w:w="2820" w:type="dxa"/>
            <w:vAlign w:val="bottom"/>
            <w:tcBorders>
              <w:right w:val="single" w:sz="8" w:color="B6B6B6"/>
            </w:tcBorders>
            <w:gridSpan w:val="2"/>
          </w:tcPr>
          <w:p>
            <w:pPr>
              <w:ind w:left="20"/>
              <w:spacing w:after="0" w:line="166" w:lineRule="exact"/>
              <w:rPr>
                <w:sz w:val="20"/>
                <w:szCs w:val="20"/>
                <w:color w:val="auto"/>
              </w:rPr>
            </w:pPr>
            <w:r>
              <w:rPr>
                <w:rFonts w:ascii="Times New Roman" w:cs="Times New Roman" w:eastAsia="Times New Roman" w:hAnsi="Times New Roman"/>
                <w:sz w:val="18"/>
                <w:szCs w:val="18"/>
                <w:color w:val="auto"/>
              </w:rPr>
              <w:t>Canada</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40" w:type="dxa"/>
            <w:vAlign w:val="bottom"/>
            <w:tcBorders>
              <w:left w:val="single" w:sz="8" w:color="B6B6B6"/>
              <w:bottom w:val="single" w:sz="8" w:color="B6B6B6"/>
            </w:tcBorders>
          </w:tcPr>
          <w:p>
            <w:pPr>
              <w:spacing w:after="0"/>
              <w:rPr>
                <w:sz w:val="20"/>
                <w:szCs w:val="20"/>
                <w:color w:val="auto"/>
              </w:rPr>
            </w:pPr>
          </w:p>
        </w:tc>
        <w:tc>
          <w:tcPr>
            <w:tcW w:w="2000" w:type="dxa"/>
            <w:vAlign w:val="bottom"/>
            <w:tcBorders>
              <w:bottom w:val="single" w:sz="8" w:color="B6B6B6"/>
              <w:right w:val="single" w:sz="8" w:color="B6B6B6"/>
            </w:tcBorders>
          </w:tcPr>
          <w:p>
            <w:pPr>
              <w:spacing w:after="0"/>
              <w:rPr>
                <w:sz w:val="20"/>
                <w:szCs w:val="20"/>
                <w:color w:val="auto"/>
              </w:rPr>
            </w:pPr>
          </w:p>
        </w:tc>
        <w:tc>
          <w:tcPr>
            <w:tcW w:w="2820" w:type="dxa"/>
            <w:vAlign w:val="bottom"/>
            <w:tcBorders>
              <w:bottom w:val="single" w:sz="8" w:color="B6B6B6"/>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with narcolepsy.</w:t>
            </w:r>
          </w:p>
        </w:tc>
        <w:tc>
          <w:tcPr>
            <w:tcW w:w="1620" w:type="dxa"/>
            <w:vAlign w:val="bottom"/>
            <w:tcBorders>
              <w:bottom w:val="single" w:sz="8" w:color="B6B6B6"/>
            </w:tcBorders>
          </w:tcPr>
          <w:p>
            <w:pPr>
              <w:spacing w:after="0"/>
              <w:rPr>
                <w:sz w:val="20"/>
                <w:szCs w:val="20"/>
                <w:color w:val="auto"/>
              </w:rPr>
            </w:pPr>
          </w:p>
        </w:tc>
        <w:tc>
          <w:tcPr>
            <w:tcW w:w="1180" w:type="dxa"/>
            <w:vAlign w:val="bottom"/>
            <w:tcBorders>
              <w:bottom w:val="single" w:sz="8" w:color="B6B6B6"/>
              <w:right w:val="single" w:sz="8" w:color="B6B6B6"/>
            </w:tcBorders>
          </w:tcPr>
          <w:p>
            <w:pPr>
              <w:spacing w:after="0"/>
              <w:rPr>
                <w:sz w:val="20"/>
                <w:szCs w:val="20"/>
                <w:color w:val="auto"/>
              </w:rPr>
            </w:pPr>
          </w:p>
        </w:tc>
        <w:tc>
          <w:tcPr>
            <w:tcW w:w="640" w:type="dxa"/>
            <w:vAlign w:val="bottom"/>
            <w:tcBorders>
              <w:bottom w:val="single" w:sz="8" w:color="B6B6B6"/>
            </w:tcBorders>
          </w:tcPr>
          <w:p>
            <w:pPr>
              <w:spacing w:after="0"/>
              <w:rPr>
                <w:sz w:val="20"/>
                <w:szCs w:val="20"/>
                <w:color w:val="auto"/>
              </w:rPr>
            </w:pPr>
          </w:p>
        </w:tc>
        <w:tc>
          <w:tcPr>
            <w:tcW w:w="2180" w:type="dxa"/>
            <w:vAlign w:val="bottom"/>
            <w:tcBorders>
              <w:bottom w:val="single" w:sz="8" w:color="B6B6B6"/>
              <w:right w:val="single" w:sz="8" w:color="B6B6B6"/>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640" w:type="dxa"/>
            <w:vAlign w:val="bottom"/>
            <w:tcBorders>
              <w:left w:val="single" w:sz="8" w:color="B6B6B6"/>
            </w:tcBorders>
            <w:shd w:val="clear" w:color="auto" w:fill="CCEEFF"/>
          </w:tcPr>
          <w:p>
            <w:pPr>
              <w:spacing w:after="0"/>
              <w:rPr>
                <w:sz w:val="14"/>
                <w:szCs w:val="14"/>
                <w:color w:val="auto"/>
              </w:rPr>
            </w:pPr>
          </w:p>
        </w:tc>
        <w:tc>
          <w:tcPr>
            <w:tcW w:w="2000" w:type="dxa"/>
            <w:vAlign w:val="bottom"/>
            <w:tcBorders>
              <w:right w:val="single" w:sz="8" w:color="B6B6B6"/>
            </w:tcBorders>
            <w:shd w:val="clear" w:color="auto" w:fill="CCEEFF"/>
          </w:tcPr>
          <w:p>
            <w:pPr>
              <w:spacing w:after="0"/>
              <w:rPr>
                <w:sz w:val="14"/>
                <w:szCs w:val="14"/>
                <w:color w:val="auto"/>
              </w:rPr>
            </w:pPr>
          </w:p>
        </w:tc>
        <w:tc>
          <w:tcPr>
            <w:tcW w:w="2820" w:type="dxa"/>
            <w:vAlign w:val="bottom"/>
            <w:tcBorders>
              <w:right w:val="single" w:sz="8" w:color="B6B6B6"/>
            </w:tcBorders>
            <w:gridSpan w:val="2"/>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Treatment of cataplexy or EDS in</w:t>
            </w:r>
          </w:p>
        </w:tc>
        <w:tc>
          <w:tcPr>
            <w:tcW w:w="2800" w:type="dxa"/>
            <w:vAlign w:val="bottom"/>
            <w:tcBorders>
              <w:right w:val="single" w:sz="8" w:color="B6B6B6"/>
            </w:tcBorders>
            <w:gridSpan w:val="2"/>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July 2002</w:t>
            </w:r>
          </w:p>
        </w:tc>
        <w:tc>
          <w:tcPr>
            <w:tcW w:w="2820" w:type="dxa"/>
            <w:vAlign w:val="bottom"/>
            <w:tcBorders>
              <w:right w:val="single" w:sz="8" w:color="B6B6B6"/>
            </w:tcBorders>
            <w:gridSpan w:val="2"/>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U.S.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40" w:type="dxa"/>
            <w:vAlign w:val="bottom"/>
            <w:tcBorders>
              <w:left w:val="single" w:sz="8" w:color="B6B6B6"/>
            </w:tcBorders>
            <w:shd w:val="clear" w:color="auto" w:fill="CCEEFF"/>
          </w:tcPr>
          <w:p>
            <w:pPr>
              <w:spacing w:after="0"/>
              <w:rPr>
                <w:sz w:val="15"/>
                <w:szCs w:val="15"/>
                <w:color w:val="auto"/>
              </w:rPr>
            </w:pPr>
          </w:p>
        </w:tc>
        <w:tc>
          <w:tcPr>
            <w:tcW w:w="2000" w:type="dxa"/>
            <w:vAlign w:val="bottom"/>
            <w:tcBorders>
              <w:right w:val="single" w:sz="8" w:color="B6B6B6"/>
            </w:tcBorders>
            <w:shd w:val="clear" w:color="auto" w:fill="CCEEFF"/>
          </w:tcPr>
          <w:p>
            <w:pPr>
              <w:spacing w:after="0"/>
              <w:rPr>
                <w:sz w:val="15"/>
                <w:szCs w:val="15"/>
                <w:color w:val="auto"/>
              </w:rPr>
            </w:pPr>
          </w:p>
        </w:tc>
        <w:tc>
          <w:tcPr>
            <w:tcW w:w="2820" w:type="dxa"/>
            <w:vAlign w:val="bottom"/>
            <w:tcBorders>
              <w:right w:val="single" w:sz="8" w:color="B6B6B6"/>
            </w:tcBorders>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patients seven years of age and older</w:t>
            </w:r>
          </w:p>
        </w:tc>
        <w:tc>
          <w:tcPr>
            <w:tcW w:w="1620" w:type="dxa"/>
            <w:vAlign w:val="bottom"/>
            <w:shd w:val="clear" w:color="auto" w:fill="CCEEFF"/>
          </w:tcPr>
          <w:p>
            <w:pPr>
              <w:spacing w:after="0"/>
              <w:rPr>
                <w:sz w:val="15"/>
                <w:szCs w:val="15"/>
                <w:color w:val="auto"/>
              </w:rPr>
            </w:pPr>
          </w:p>
        </w:tc>
        <w:tc>
          <w:tcPr>
            <w:tcW w:w="1180" w:type="dxa"/>
            <w:vAlign w:val="bottom"/>
            <w:tcBorders>
              <w:right w:val="single" w:sz="8" w:color="B6B6B6"/>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180" w:type="dxa"/>
            <w:vAlign w:val="bottom"/>
            <w:tcBorders>
              <w:right w:val="single" w:sz="8" w:color="B6B6B6"/>
            </w:tcBorders>
            <w:shd w:val="clear" w:color="auto" w:fill="CCEEFF"/>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40" w:type="dxa"/>
            <w:vAlign w:val="bottom"/>
            <w:tcBorders>
              <w:left w:val="single" w:sz="8" w:color="B6B6B6"/>
              <w:bottom w:val="single" w:sz="8" w:color="CCEEFF"/>
            </w:tcBorders>
            <w:shd w:val="clear" w:color="auto" w:fill="CCEEFF"/>
          </w:tcPr>
          <w:p>
            <w:pPr>
              <w:spacing w:after="0"/>
              <w:rPr>
                <w:sz w:val="20"/>
                <w:szCs w:val="20"/>
                <w:color w:val="auto"/>
              </w:rPr>
            </w:pPr>
          </w:p>
        </w:tc>
        <w:tc>
          <w:tcPr>
            <w:tcW w:w="2000" w:type="dxa"/>
            <w:vAlign w:val="bottom"/>
            <w:tcBorders>
              <w:bottom w:val="single" w:sz="8" w:color="CCEEFF"/>
              <w:right w:val="single" w:sz="8" w:color="B6B6B6"/>
            </w:tcBorders>
            <w:shd w:val="clear" w:color="auto" w:fill="CCEEFF"/>
          </w:tcPr>
          <w:p>
            <w:pPr>
              <w:spacing w:after="0"/>
              <w:rPr>
                <w:sz w:val="20"/>
                <w:szCs w:val="20"/>
                <w:color w:val="auto"/>
              </w:rPr>
            </w:pPr>
          </w:p>
        </w:tc>
        <w:tc>
          <w:tcPr>
            <w:tcW w:w="2820" w:type="dxa"/>
            <w:vAlign w:val="bottom"/>
            <w:tcBorders>
              <w:bottom w:val="single" w:sz="8" w:color="B6B6B6"/>
              <w:right w:val="single" w:sz="8" w:color="B6B6B6"/>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 narcolepsy.</w:t>
            </w:r>
          </w:p>
        </w:tc>
        <w:tc>
          <w:tcPr>
            <w:tcW w:w="1620" w:type="dxa"/>
            <w:vAlign w:val="bottom"/>
            <w:tcBorders>
              <w:bottom w:val="single" w:sz="8" w:color="B6B6B6"/>
            </w:tcBorders>
            <w:shd w:val="clear" w:color="auto" w:fill="CCEEFF"/>
          </w:tcPr>
          <w:p>
            <w:pPr>
              <w:spacing w:after="0"/>
              <w:rPr>
                <w:sz w:val="20"/>
                <w:szCs w:val="20"/>
                <w:color w:val="auto"/>
              </w:rPr>
            </w:pPr>
          </w:p>
        </w:tc>
        <w:tc>
          <w:tcPr>
            <w:tcW w:w="1180" w:type="dxa"/>
            <w:vAlign w:val="bottom"/>
            <w:tcBorders>
              <w:bottom w:val="single" w:sz="8" w:color="B6B6B6"/>
              <w:right w:val="single" w:sz="8" w:color="B6B6B6"/>
            </w:tcBorders>
            <w:shd w:val="clear" w:color="auto" w:fill="CCEEFF"/>
          </w:tcPr>
          <w:p>
            <w:pPr>
              <w:spacing w:after="0"/>
              <w:rPr>
                <w:sz w:val="20"/>
                <w:szCs w:val="20"/>
                <w:color w:val="auto"/>
              </w:rPr>
            </w:pPr>
          </w:p>
        </w:tc>
        <w:tc>
          <w:tcPr>
            <w:tcW w:w="640" w:type="dxa"/>
            <w:vAlign w:val="bottom"/>
            <w:tcBorders>
              <w:bottom w:val="single" w:sz="8" w:color="B6B6B6"/>
            </w:tcBorders>
            <w:shd w:val="clear" w:color="auto" w:fill="CCEEFF"/>
          </w:tcPr>
          <w:p>
            <w:pPr>
              <w:spacing w:after="0"/>
              <w:rPr>
                <w:sz w:val="20"/>
                <w:szCs w:val="20"/>
                <w:color w:val="auto"/>
              </w:rPr>
            </w:pPr>
          </w:p>
        </w:tc>
        <w:tc>
          <w:tcPr>
            <w:tcW w:w="2180" w:type="dxa"/>
            <w:vAlign w:val="bottom"/>
            <w:tcBorders>
              <w:bottom w:val="single" w:sz="8" w:color="B6B6B6"/>
              <w:right w:val="single" w:sz="8" w:color="B6B6B6"/>
            </w:tcBorders>
            <w:shd w:val="clear" w:color="auto" w:fill="CCEEFF"/>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640" w:type="dxa"/>
            <w:vAlign w:val="bottom"/>
            <w:tcBorders>
              <w:left w:val="single" w:sz="8" w:color="B6B6B6"/>
            </w:tcBorders>
            <w:shd w:val="clear" w:color="auto" w:fill="CCEEFF"/>
          </w:tcPr>
          <w:p>
            <w:pPr>
              <w:spacing w:after="0"/>
              <w:rPr>
                <w:sz w:val="14"/>
                <w:szCs w:val="14"/>
                <w:color w:val="auto"/>
              </w:rPr>
            </w:pPr>
          </w:p>
        </w:tc>
        <w:tc>
          <w:tcPr>
            <w:tcW w:w="2000" w:type="dxa"/>
            <w:vAlign w:val="bottom"/>
            <w:tcBorders>
              <w:right w:val="single" w:sz="8" w:color="B6B6B6"/>
            </w:tcBorders>
            <w:shd w:val="clear" w:color="auto" w:fill="CCEEFF"/>
          </w:tcPr>
          <w:p>
            <w:pPr>
              <w:spacing w:after="0"/>
              <w:rPr>
                <w:sz w:val="14"/>
                <w:szCs w:val="14"/>
                <w:color w:val="auto"/>
              </w:rPr>
            </w:pPr>
          </w:p>
        </w:tc>
        <w:tc>
          <w:tcPr>
            <w:tcW w:w="2820" w:type="dxa"/>
            <w:vAlign w:val="bottom"/>
            <w:tcBorders>
              <w:right w:val="single" w:sz="8" w:color="B6B6B6"/>
            </w:tcBorders>
            <w:gridSpan w:val="2"/>
            <w:shd w:val="clear" w:color="auto" w:fill="CCEEFF"/>
          </w:tcPr>
          <w:p>
            <w:pPr>
              <w:ind w:left="20"/>
              <w:spacing w:after="0" w:line="166" w:lineRule="exact"/>
              <w:rPr>
                <w:sz w:val="20"/>
                <w:szCs w:val="20"/>
                <w:color w:val="auto"/>
              </w:rPr>
            </w:pPr>
            <w:r>
              <w:rPr>
                <w:rFonts w:ascii="Times New Roman" w:cs="Times New Roman" w:eastAsia="Times New Roman" w:hAnsi="Times New Roman"/>
                <w:sz w:val="18"/>
                <w:szCs w:val="18"/>
                <w:color w:val="auto"/>
              </w:rPr>
              <w:t>Treatment of cataplexy in patients</w:t>
            </w:r>
          </w:p>
        </w:tc>
        <w:tc>
          <w:tcPr>
            <w:tcW w:w="2800" w:type="dxa"/>
            <w:vAlign w:val="bottom"/>
            <w:tcBorders>
              <w:right w:val="single" w:sz="8" w:color="B6B6B6"/>
            </w:tcBorders>
            <w:gridSpan w:val="2"/>
            <w:shd w:val="clear" w:color="auto" w:fill="CCEEFF"/>
          </w:tcPr>
          <w:p>
            <w:pPr>
              <w:spacing w:after="0" w:line="166" w:lineRule="exact"/>
              <w:rPr>
                <w:sz w:val="20"/>
                <w:szCs w:val="20"/>
                <w:color w:val="auto"/>
              </w:rPr>
            </w:pPr>
            <w:r>
              <w:rPr>
                <w:rFonts w:ascii="Times New Roman" w:cs="Times New Roman" w:eastAsia="Times New Roman" w:hAnsi="Times New Roman"/>
                <w:sz w:val="18"/>
                <w:szCs w:val="18"/>
                <w:color w:val="auto"/>
              </w:rPr>
              <w:t>August 2005</w:t>
            </w:r>
          </w:p>
        </w:tc>
        <w:tc>
          <w:tcPr>
            <w:tcW w:w="2820" w:type="dxa"/>
            <w:vAlign w:val="bottom"/>
            <w:tcBorders>
              <w:right w:val="single" w:sz="8" w:color="B6B6B6"/>
            </w:tcBorders>
            <w:gridSpan w:val="2"/>
            <w:shd w:val="clear" w:color="auto" w:fill="CCEEFF"/>
          </w:tcPr>
          <w:p>
            <w:pPr>
              <w:ind w:left="20"/>
              <w:spacing w:after="0" w:line="166" w:lineRule="exact"/>
              <w:rPr>
                <w:sz w:val="20"/>
                <w:szCs w:val="20"/>
                <w:color w:val="auto"/>
              </w:rPr>
            </w:pPr>
            <w:r>
              <w:rPr>
                <w:rFonts w:ascii="Times New Roman" w:cs="Times New Roman" w:eastAsia="Times New Roman" w:hAnsi="Times New Roman"/>
                <w:sz w:val="18"/>
                <w:szCs w:val="18"/>
                <w:color w:val="auto"/>
              </w:rPr>
              <w:t>Canada</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640" w:type="dxa"/>
            <w:vAlign w:val="bottom"/>
            <w:tcBorders>
              <w:left w:val="single" w:sz="8" w:color="B6B6B6"/>
              <w:bottom w:val="single" w:sz="8" w:color="CCEEFF"/>
              <w:right w:val="single" w:sz="8" w:color="B6B6B6"/>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Xyrem® (sodium oxybate)</w:t>
            </w:r>
          </w:p>
        </w:tc>
        <w:tc>
          <w:tcPr>
            <w:tcW w:w="2820" w:type="dxa"/>
            <w:vAlign w:val="bottom"/>
            <w:tcBorders>
              <w:bottom w:val="single" w:sz="8" w:color="B6B6B6"/>
              <w:right w:val="single" w:sz="8" w:color="B6B6B6"/>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 narcolepsy.</w:t>
            </w:r>
          </w:p>
        </w:tc>
        <w:tc>
          <w:tcPr>
            <w:tcW w:w="1620" w:type="dxa"/>
            <w:vAlign w:val="bottom"/>
            <w:tcBorders>
              <w:bottom w:val="single" w:sz="8" w:color="B6B6B6"/>
            </w:tcBorders>
            <w:shd w:val="clear" w:color="auto" w:fill="CCEEFF"/>
          </w:tcPr>
          <w:p>
            <w:pPr>
              <w:spacing w:after="0"/>
              <w:rPr>
                <w:sz w:val="20"/>
                <w:szCs w:val="20"/>
                <w:color w:val="auto"/>
              </w:rPr>
            </w:pPr>
          </w:p>
        </w:tc>
        <w:tc>
          <w:tcPr>
            <w:tcW w:w="1180" w:type="dxa"/>
            <w:vAlign w:val="bottom"/>
            <w:tcBorders>
              <w:bottom w:val="single" w:sz="8" w:color="B6B6B6"/>
              <w:right w:val="single" w:sz="8" w:color="B6B6B6"/>
            </w:tcBorders>
            <w:shd w:val="clear" w:color="auto" w:fill="CCEEFF"/>
          </w:tcPr>
          <w:p>
            <w:pPr>
              <w:spacing w:after="0"/>
              <w:rPr>
                <w:sz w:val="20"/>
                <w:szCs w:val="20"/>
                <w:color w:val="auto"/>
              </w:rPr>
            </w:pPr>
          </w:p>
        </w:tc>
        <w:tc>
          <w:tcPr>
            <w:tcW w:w="640" w:type="dxa"/>
            <w:vAlign w:val="bottom"/>
            <w:tcBorders>
              <w:bottom w:val="single" w:sz="8" w:color="B6B6B6"/>
            </w:tcBorders>
            <w:shd w:val="clear" w:color="auto" w:fill="CCEEFF"/>
          </w:tcPr>
          <w:p>
            <w:pPr>
              <w:spacing w:after="0"/>
              <w:rPr>
                <w:sz w:val="20"/>
                <w:szCs w:val="20"/>
                <w:color w:val="auto"/>
              </w:rPr>
            </w:pPr>
          </w:p>
        </w:tc>
        <w:tc>
          <w:tcPr>
            <w:tcW w:w="2180" w:type="dxa"/>
            <w:vAlign w:val="bottom"/>
            <w:tcBorders>
              <w:bottom w:val="single" w:sz="8" w:color="B6B6B6"/>
              <w:right w:val="single" w:sz="8" w:color="B6B6B6"/>
            </w:tcBorders>
            <w:shd w:val="clear" w:color="auto" w:fill="CCEEFF"/>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640" w:type="dxa"/>
            <w:vAlign w:val="bottom"/>
            <w:tcBorders>
              <w:left w:val="single" w:sz="8" w:color="B6B6B6"/>
            </w:tcBorders>
            <w:shd w:val="clear" w:color="auto" w:fill="CCEEFF"/>
          </w:tcPr>
          <w:p>
            <w:pPr>
              <w:spacing w:after="0"/>
              <w:rPr>
                <w:sz w:val="14"/>
                <w:szCs w:val="14"/>
                <w:color w:val="auto"/>
              </w:rPr>
            </w:pPr>
          </w:p>
        </w:tc>
        <w:tc>
          <w:tcPr>
            <w:tcW w:w="2000" w:type="dxa"/>
            <w:vAlign w:val="bottom"/>
            <w:tcBorders>
              <w:right w:val="single" w:sz="8" w:color="B6B6B6"/>
            </w:tcBorders>
            <w:shd w:val="clear" w:color="auto" w:fill="CCEEFF"/>
          </w:tcPr>
          <w:p>
            <w:pPr>
              <w:spacing w:after="0"/>
              <w:rPr>
                <w:sz w:val="14"/>
                <w:szCs w:val="14"/>
                <w:color w:val="auto"/>
              </w:rPr>
            </w:pPr>
          </w:p>
        </w:tc>
        <w:tc>
          <w:tcPr>
            <w:tcW w:w="2820" w:type="dxa"/>
            <w:vAlign w:val="bottom"/>
            <w:tcBorders>
              <w:right w:val="single" w:sz="8" w:color="B6B6B6"/>
            </w:tcBorders>
            <w:gridSpan w:val="2"/>
            <w:shd w:val="clear" w:color="auto" w:fill="CCEEFF"/>
          </w:tcPr>
          <w:p>
            <w:pPr>
              <w:ind w:left="20"/>
              <w:spacing w:after="0" w:line="166" w:lineRule="exact"/>
              <w:rPr>
                <w:sz w:val="20"/>
                <w:szCs w:val="20"/>
                <w:color w:val="auto"/>
              </w:rPr>
            </w:pPr>
            <w:r>
              <w:rPr>
                <w:rFonts w:ascii="Times New Roman" w:cs="Times New Roman" w:eastAsia="Times New Roman" w:hAnsi="Times New Roman"/>
                <w:sz w:val="18"/>
                <w:szCs w:val="18"/>
                <w:color w:val="auto"/>
              </w:rPr>
              <w:t>Treatment of narcolepsy with</w:t>
            </w:r>
          </w:p>
        </w:tc>
        <w:tc>
          <w:tcPr>
            <w:tcW w:w="2800" w:type="dxa"/>
            <w:vAlign w:val="bottom"/>
            <w:tcBorders>
              <w:right w:val="single" w:sz="8" w:color="B6B6B6"/>
            </w:tcBorders>
            <w:gridSpan w:val="2"/>
            <w:shd w:val="clear" w:color="auto" w:fill="CCEEFF"/>
          </w:tcPr>
          <w:p>
            <w:pPr>
              <w:spacing w:after="0" w:line="166" w:lineRule="exact"/>
              <w:rPr>
                <w:sz w:val="20"/>
                <w:szCs w:val="20"/>
                <w:color w:val="auto"/>
              </w:rPr>
            </w:pPr>
            <w:r>
              <w:rPr>
                <w:rFonts w:ascii="Times New Roman" w:cs="Times New Roman" w:eastAsia="Times New Roman" w:hAnsi="Times New Roman"/>
                <w:sz w:val="18"/>
                <w:szCs w:val="18"/>
                <w:color w:val="auto"/>
              </w:rPr>
              <w:t>October 2005</w:t>
            </w:r>
          </w:p>
        </w:tc>
        <w:tc>
          <w:tcPr>
            <w:tcW w:w="2820" w:type="dxa"/>
            <w:vAlign w:val="bottom"/>
            <w:tcBorders>
              <w:right w:val="single" w:sz="8" w:color="B6B6B6"/>
            </w:tcBorders>
            <w:gridSpan w:val="2"/>
            <w:shd w:val="clear" w:color="auto" w:fill="CCEEFF"/>
          </w:tcPr>
          <w:p>
            <w:pPr>
              <w:ind w:left="20"/>
              <w:spacing w:after="0" w:line="166" w:lineRule="exact"/>
              <w:rPr>
                <w:sz w:val="20"/>
                <w:szCs w:val="20"/>
                <w:color w:val="auto"/>
              </w:rPr>
            </w:pPr>
            <w:r>
              <w:rPr>
                <w:rFonts w:ascii="Times New Roman" w:cs="Times New Roman" w:eastAsia="Times New Roman" w:hAnsi="Times New Roman"/>
                <w:sz w:val="18"/>
                <w:szCs w:val="18"/>
                <w:color w:val="auto"/>
              </w:rPr>
              <w:t>EU, Great Britain, other markets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40" w:type="dxa"/>
            <w:vAlign w:val="bottom"/>
            <w:tcBorders>
              <w:left w:val="single" w:sz="8" w:color="B6B6B6"/>
            </w:tcBorders>
            <w:shd w:val="clear" w:color="auto" w:fill="CCEEFF"/>
          </w:tcPr>
          <w:p>
            <w:pPr>
              <w:spacing w:after="0"/>
              <w:rPr>
                <w:sz w:val="15"/>
                <w:szCs w:val="15"/>
                <w:color w:val="auto"/>
              </w:rPr>
            </w:pPr>
          </w:p>
        </w:tc>
        <w:tc>
          <w:tcPr>
            <w:tcW w:w="2000" w:type="dxa"/>
            <w:vAlign w:val="bottom"/>
            <w:tcBorders>
              <w:right w:val="single" w:sz="8" w:color="B6B6B6"/>
            </w:tcBorders>
            <w:shd w:val="clear" w:color="auto" w:fill="CCEEFF"/>
          </w:tcPr>
          <w:p>
            <w:pPr>
              <w:spacing w:after="0"/>
              <w:rPr>
                <w:sz w:val="15"/>
                <w:szCs w:val="15"/>
                <w:color w:val="auto"/>
              </w:rPr>
            </w:pPr>
          </w:p>
        </w:tc>
        <w:tc>
          <w:tcPr>
            <w:tcW w:w="2820" w:type="dxa"/>
            <w:vAlign w:val="bottom"/>
            <w:tcBorders>
              <w:right w:val="single" w:sz="8" w:color="B6B6B6"/>
            </w:tcBorders>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cataplexy in adult patients,</w:t>
            </w:r>
          </w:p>
        </w:tc>
        <w:tc>
          <w:tcPr>
            <w:tcW w:w="1620" w:type="dxa"/>
            <w:vAlign w:val="bottom"/>
            <w:shd w:val="clear" w:color="auto" w:fill="CCEEFF"/>
          </w:tcPr>
          <w:p>
            <w:pPr>
              <w:spacing w:after="0"/>
              <w:rPr>
                <w:sz w:val="15"/>
                <w:szCs w:val="15"/>
                <w:color w:val="auto"/>
              </w:rPr>
            </w:pPr>
          </w:p>
        </w:tc>
        <w:tc>
          <w:tcPr>
            <w:tcW w:w="1180" w:type="dxa"/>
            <w:vAlign w:val="bottom"/>
            <w:tcBorders>
              <w:right w:val="single" w:sz="8" w:color="B6B6B6"/>
            </w:tcBorders>
            <w:shd w:val="clear" w:color="auto" w:fill="CCEEFF"/>
          </w:tcPr>
          <w:p>
            <w:pPr>
              <w:spacing w:after="0"/>
              <w:rPr>
                <w:sz w:val="15"/>
                <w:szCs w:val="15"/>
                <w:color w:val="auto"/>
              </w:rPr>
            </w:pPr>
          </w:p>
        </w:tc>
        <w:tc>
          <w:tcPr>
            <w:tcW w:w="2820" w:type="dxa"/>
            <w:vAlign w:val="bottom"/>
            <w:tcBorders>
              <w:right w:val="single" w:sz="8" w:color="B6B6B6"/>
            </w:tcBorders>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(through licensing agreement)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40" w:type="dxa"/>
            <w:vAlign w:val="bottom"/>
            <w:tcBorders>
              <w:left w:val="single" w:sz="8" w:color="B6B6B6"/>
            </w:tcBorders>
            <w:shd w:val="clear" w:color="auto" w:fill="CCEEFF"/>
          </w:tcPr>
          <w:p>
            <w:pPr>
              <w:spacing w:after="0"/>
              <w:rPr>
                <w:sz w:val="15"/>
                <w:szCs w:val="15"/>
                <w:color w:val="auto"/>
              </w:rPr>
            </w:pPr>
          </w:p>
        </w:tc>
        <w:tc>
          <w:tcPr>
            <w:tcW w:w="2000" w:type="dxa"/>
            <w:vAlign w:val="bottom"/>
            <w:tcBorders>
              <w:right w:val="single" w:sz="8" w:color="B6B6B6"/>
            </w:tcBorders>
            <w:shd w:val="clear" w:color="auto" w:fill="CCEEFF"/>
          </w:tcPr>
          <w:p>
            <w:pPr>
              <w:spacing w:after="0"/>
              <w:rPr>
                <w:sz w:val="15"/>
                <w:szCs w:val="15"/>
                <w:color w:val="auto"/>
              </w:rPr>
            </w:pPr>
          </w:p>
        </w:tc>
        <w:tc>
          <w:tcPr>
            <w:tcW w:w="2820" w:type="dxa"/>
            <w:vAlign w:val="bottom"/>
            <w:tcBorders>
              <w:right w:val="single" w:sz="8" w:color="B6B6B6"/>
            </w:tcBorders>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w w:val="98"/>
              </w:rPr>
              <w:t>adolescents and children from age of 7</w:t>
            </w:r>
          </w:p>
        </w:tc>
        <w:tc>
          <w:tcPr>
            <w:tcW w:w="1620" w:type="dxa"/>
            <w:vAlign w:val="bottom"/>
            <w:shd w:val="clear" w:color="auto" w:fill="CCEEFF"/>
          </w:tcPr>
          <w:p>
            <w:pPr>
              <w:spacing w:after="0"/>
              <w:rPr>
                <w:sz w:val="15"/>
                <w:szCs w:val="15"/>
                <w:color w:val="auto"/>
              </w:rPr>
            </w:pPr>
          </w:p>
        </w:tc>
        <w:tc>
          <w:tcPr>
            <w:tcW w:w="1180" w:type="dxa"/>
            <w:vAlign w:val="bottom"/>
            <w:tcBorders>
              <w:right w:val="single" w:sz="8" w:color="B6B6B6"/>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180" w:type="dxa"/>
            <w:vAlign w:val="bottom"/>
            <w:tcBorders>
              <w:right w:val="single" w:sz="8" w:color="B6B6B6"/>
            </w:tcBorders>
            <w:shd w:val="clear" w:color="auto" w:fill="CCEEFF"/>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640" w:type="dxa"/>
            <w:vAlign w:val="bottom"/>
            <w:tcBorders>
              <w:left w:val="single" w:sz="8" w:color="B6B6B6"/>
            </w:tcBorders>
            <w:shd w:val="clear" w:color="auto" w:fill="CCEEFF"/>
          </w:tcPr>
          <w:p>
            <w:pPr>
              <w:spacing w:after="0"/>
              <w:rPr>
                <w:sz w:val="20"/>
                <w:szCs w:val="20"/>
                <w:color w:val="auto"/>
              </w:rPr>
            </w:pPr>
          </w:p>
        </w:tc>
        <w:tc>
          <w:tcPr>
            <w:tcW w:w="2000" w:type="dxa"/>
            <w:vAlign w:val="bottom"/>
            <w:tcBorders>
              <w:right w:val="single" w:sz="8" w:color="B6B6B6"/>
            </w:tcBorders>
            <w:shd w:val="clear" w:color="auto" w:fill="CCEEFF"/>
          </w:tcPr>
          <w:p>
            <w:pPr>
              <w:spacing w:after="0"/>
              <w:rPr>
                <w:sz w:val="20"/>
                <w:szCs w:val="20"/>
                <w:color w:val="auto"/>
              </w:rPr>
            </w:pPr>
          </w:p>
        </w:tc>
        <w:tc>
          <w:tcPr>
            <w:tcW w:w="2820" w:type="dxa"/>
            <w:vAlign w:val="bottom"/>
            <w:tcBorders>
              <w:right w:val="single" w:sz="8" w:color="B6B6B6"/>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1620" w:type="dxa"/>
            <w:vAlign w:val="bottom"/>
            <w:shd w:val="clear" w:color="auto" w:fill="CCEEFF"/>
          </w:tcPr>
          <w:p>
            <w:pPr>
              <w:spacing w:after="0"/>
              <w:rPr>
                <w:sz w:val="20"/>
                <w:szCs w:val="20"/>
                <w:color w:val="auto"/>
              </w:rPr>
            </w:pPr>
          </w:p>
        </w:tc>
        <w:tc>
          <w:tcPr>
            <w:tcW w:w="1180" w:type="dxa"/>
            <w:vAlign w:val="bottom"/>
            <w:tcBorders>
              <w:right w:val="single" w:sz="8" w:color="B6B6B6"/>
            </w:tcBorders>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180" w:type="dxa"/>
            <w:vAlign w:val="bottom"/>
            <w:tcBorders>
              <w:right w:val="single" w:sz="8" w:color="B6B6B6"/>
            </w:tcBorders>
            <w:shd w:val="clear" w:color="auto" w:fill="CCEEFF"/>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640" w:type="dxa"/>
            <w:vAlign w:val="bottom"/>
            <w:tcBorders>
              <w:left w:val="single" w:sz="8" w:color="B6B6B6"/>
              <w:bottom w:val="single" w:sz="8" w:color="B6B6B6"/>
            </w:tcBorders>
            <w:shd w:val="clear" w:color="auto" w:fill="CCEEFF"/>
          </w:tcPr>
          <w:p>
            <w:pPr>
              <w:spacing w:after="0"/>
              <w:rPr>
                <w:sz w:val="5"/>
                <w:szCs w:val="5"/>
                <w:color w:val="auto"/>
              </w:rPr>
            </w:pPr>
          </w:p>
        </w:tc>
        <w:tc>
          <w:tcPr>
            <w:tcW w:w="2000" w:type="dxa"/>
            <w:vAlign w:val="bottom"/>
            <w:tcBorders>
              <w:bottom w:val="single" w:sz="8" w:color="B6B6B6"/>
              <w:right w:val="single" w:sz="8" w:color="B6B6B6"/>
            </w:tcBorders>
            <w:shd w:val="clear" w:color="auto" w:fill="CCEEFF"/>
          </w:tcPr>
          <w:p>
            <w:pPr>
              <w:spacing w:after="0"/>
              <w:rPr>
                <w:sz w:val="5"/>
                <w:szCs w:val="5"/>
                <w:color w:val="auto"/>
              </w:rPr>
            </w:pPr>
          </w:p>
        </w:tc>
        <w:tc>
          <w:tcPr>
            <w:tcW w:w="860" w:type="dxa"/>
            <w:vAlign w:val="bottom"/>
            <w:tcBorders>
              <w:bottom w:val="single" w:sz="8" w:color="B6B6B6"/>
            </w:tcBorders>
            <w:shd w:val="clear" w:color="auto" w:fill="CCEEFF"/>
          </w:tcPr>
          <w:p>
            <w:pPr>
              <w:spacing w:after="0"/>
              <w:rPr>
                <w:sz w:val="5"/>
                <w:szCs w:val="5"/>
                <w:color w:val="auto"/>
              </w:rPr>
            </w:pPr>
          </w:p>
        </w:tc>
        <w:tc>
          <w:tcPr>
            <w:tcW w:w="1960" w:type="dxa"/>
            <w:vAlign w:val="bottom"/>
            <w:tcBorders>
              <w:bottom w:val="single" w:sz="8" w:color="B6B6B6"/>
              <w:right w:val="single" w:sz="8" w:color="B6B6B6"/>
            </w:tcBorders>
            <w:shd w:val="clear" w:color="auto" w:fill="CCEEFF"/>
          </w:tcPr>
          <w:p>
            <w:pPr>
              <w:spacing w:after="0"/>
              <w:rPr>
                <w:sz w:val="5"/>
                <w:szCs w:val="5"/>
                <w:color w:val="auto"/>
              </w:rPr>
            </w:pPr>
          </w:p>
        </w:tc>
        <w:tc>
          <w:tcPr>
            <w:tcW w:w="1620" w:type="dxa"/>
            <w:vAlign w:val="bottom"/>
            <w:tcBorders>
              <w:bottom w:val="single" w:sz="8" w:color="B6B6B6"/>
            </w:tcBorders>
            <w:shd w:val="clear" w:color="auto" w:fill="CCEEFF"/>
          </w:tcPr>
          <w:p>
            <w:pPr>
              <w:spacing w:after="0"/>
              <w:rPr>
                <w:sz w:val="5"/>
                <w:szCs w:val="5"/>
                <w:color w:val="auto"/>
              </w:rPr>
            </w:pPr>
          </w:p>
        </w:tc>
        <w:tc>
          <w:tcPr>
            <w:tcW w:w="1180" w:type="dxa"/>
            <w:vAlign w:val="bottom"/>
            <w:tcBorders>
              <w:bottom w:val="single" w:sz="8" w:color="B6B6B6"/>
              <w:right w:val="single" w:sz="8" w:color="B6B6B6"/>
            </w:tcBorders>
            <w:shd w:val="clear" w:color="auto" w:fill="CCEEFF"/>
          </w:tcPr>
          <w:p>
            <w:pPr>
              <w:spacing w:after="0"/>
              <w:rPr>
                <w:sz w:val="5"/>
                <w:szCs w:val="5"/>
                <w:color w:val="auto"/>
              </w:rPr>
            </w:pPr>
          </w:p>
        </w:tc>
        <w:tc>
          <w:tcPr>
            <w:tcW w:w="640" w:type="dxa"/>
            <w:vAlign w:val="bottom"/>
            <w:tcBorders>
              <w:bottom w:val="single" w:sz="8" w:color="B6B6B6"/>
            </w:tcBorders>
            <w:shd w:val="clear" w:color="auto" w:fill="CCEEFF"/>
          </w:tcPr>
          <w:p>
            <w:pPr>
              <w:spacing w:after="0"/>
              <w:rPr>
                <w:sz w:val="5"/>
                <w:szCs w:val="5"/>
                <w:color w:val="auto"/>
              </w:rPr>
            </w:pPr>
          </w:p>
        </w:tc>
        <w:tc>
          <w:tcPr>
            <w:tcW w:w="2180" w:type="dxa"/>
            <w:vAlign w:val="bottom"/>
            <w:tcBorders>
              <w:bottom w:val="single" w:sz="8" w:color="B6B6B6"/>
              <w:right w:val="single" w:sz="8" w:color="B6B6B6"/>
            </w:tcBorders>
            <w:shd w:val="clear" w:color="auto" w:fill="CCEEFF"/>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2640" w:type="dxa"/>
            <w:vAlign w:val="bottom"/>
            <w:tcBorders>
              <w:left w:val="single" w:sz="8" w:color="B6B6B6"/>
              <w:right w:val="single" w:sz="8" w:color="B6B6B6"/>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Epidiolex® (cannabidiol)</w:t>
            </w:r>
          </w:p>
        </w:tc>
        <w:tc>
          <w:tcPr>
            <w:tcW w:w="2820" w:type="dxa"/>
            <w:vAlign w:val="bottom"/>
            <w:tcBorders>
              <w:right w:val="single" w:sz="8" w:color="B6B6B6"/>
            </w:tcBorders>
            <w:gridSpan w:val="2"/>
          </w:tcPr>
          <w:p>
            <w:pPr>
              <w:ind w:left="20"/>
              <w:spacing w:after="0" w:line="166" w:lineRule="exact"/>
              <w:rPr>
                <w:sz w:val="20"/>
                <w:szCs w:val="20"/>
                <w:color w:val="auto"/>
              </w:rPr>
            </w:pPr>
            <w:r>
              <w:rPr>
                <w:rFonts w:ascii="Times New Roman" w:cs="Times New Roman" w:eastAsia="Times New Roman" w:hAnsi="Times New Roman"/>
                <w:sz w:val="18"/>
                <w:szCs w:val="18"/>
                <w:color w:val="auto"/>
              </w:rPr>
              <w:t>Treatment of seizures associated with</w:t>
            </w:r>
          </w:p>
        </w:tc>
        <w:tc>
          <w:tcPr>
            <w:tcW w:w="2800" w:type="dxa"/>
            <w:vAlign w:val="bottom"/>
            <w:tcBorders>
              <w:right w:val="single" w:sz="8" w:color="B6B6B6"/>
            </w:tcBorders>
            <w:gridSpan w:val="2"/>
          </w:tcPr>
          <w:p>
            <w:pPr>
              <w:spacing w:after="0" w:line="166" w:lineRule="exact"/>
              <w:rPr>
                <w:sz w:val="20"/>
                <w:szCs w:val="20"/>
                <w:color w:val="auto"/>
              </w:rPr>
            </w:pPr>
            <w:r>
              <w:rPr>
                <w:rFonts w:ascii="Times New Roman" w:cs="Times New Roman" w:eastAsia="Times New Roman" w:hAnsi="Times New Roman"/>
                <w:sz w:val="18"/>
                <w:szCs w:val="18"/>
                <w:color w:val="auto"/>
              </w:rPr>
              <w:t>June 2018</w:t>
            </w:r>
          </w:p>
        </w:tc>
        <w:tc>
          <w:tcPr>
            <w:tcW w:w="2820" w:type="dxa"/>
            <w:vAlign w:val="bottom"/>
            <w:tcBorders>
              <w:right w:val="single" w:sz="8" w:color="B6B6B6"/>
            </w:tcBorders>
            <w:gridSpan w:val="2"/>
          </w:tcPr>
          <w:p>
            <w:pPr>
              <w:ind w:left="20"/>
              <w:spacing w:after="0" w:line="166" w:lineRule="exact"/>
              <w:rPr>
                <w:sz w:val="20"/>
                <w:szCs w:val="20"/>
                <w:color w:val="auto"/>
              </w:rPr>
            </w:pPr>
            <w:r>
              <w:rPr>
                <w:rFonts w:ascii="Times New Roman" w:cs="Times New Roman" w:eastAsia="Times New Roman" w:hAnsi="Times New Roman"/>
                <w:sz w:val="18"/>
                <w:szCs w:val="18"/>
                <w:color w:val="auto"/>
              </w:rPr>
              <w:t>U.S.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640" w:type="dxa"/>
            <w:vAlign w:val="bottom"/>
            <w:tcBorders>
              <w:left w:val="single" w:sz="8" w:color="B6B6B6"/>
              <w:right w:val="single" w:sz="8" w:color="B6B6B6"/>
            </w:tcBorders>
            <w:gridSpan w:val="2"/>
            <w:vMerge w:val="continue"/>
          </w:tcPr>
          <w:p>
            <w:pPr>
              <w:spacing w:after="0"/>
              <w:rPr>
                <w:sz w:val="15"/>
                <w:szCs w:val="15"/>
                <w:color w:val="auto"/>
              </w:rPr>
            </w:pPr>
          </w:p>
        </w:tc>
        <w:tc>
          <w:tcPr>
            <w:tcW w:w="2820" w:type="dxa"/>
            <w:vAlign w:val="bottom"/>
            <w:tcBorders>
              <w:right w:val="single" w:sz="8" w:color="B6B6B6"/>
            </w:tcBorders>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w w:val="98"/>
              </w:rPr>
              <w:t>LGS, DS, or TSC, in patients 1 year of</w:t>
            </w:r>
          </w:p>
        </w:tc>
        <w:tc>
          <w:tcPr>
            <w:tcW w:w="1620" w:type="dxa"/>
            <w:vAlign w:val="bottom"/>
          </w:tcPr>
          <w:p>
            <w:pPr>
              <w:spacing w:after="0"/>
              <w:rPr>
                <w:sz w:val="15"/>
                <w:szCs w:val="15"/>
                <w:color w:val="auto"/>
              </w:rPr>
            </w:pPr>
          </w:p>
        </w:tc>
        <w:tc>
          <w:tcPr>
            <w:tcW w:w="1180" w:type="dxa"/>
            <w:vAlign w:val="bottom"/>
            <w:tcBorders>
              <w:right w:val="single" w:sz="8" w:color="B6B6B6"/>
            </w:tcBorders>
          </w:tcPr>
          <w:p>
            <w:pPr>
              <w:spacing w:after="0"/>
              <w:rPr>
                <w:sz w:val="15"/>
                <w:szCs w:val="15"/>
                <w:color w:val="auto"/>
              </w:rPr>
            </w:pPr>
          </w:p>
        </w:tc>
        <w:tc>
          <w:tcPr>
            <w:tcW w:w="640" w:type="dxa"/>
            <w:vAlign w:val="bottom"/>
          </w:tcPr>
          <w:p>
            <w:pPr>
              <w:spacing w:after="0"/>
              <w:rPr>
                <w:sz w:val="15"/>
                <w:szCs w:val="15"/>
                <w:color w:val="auto"/>
              </w:rPr>
            </w:pPr>
          </w:p>
        </w:tc>
        <w:tc>
          <w:tcPr>
            <w:tcW w:w="2180" w:type="dxa"/>
            <w:vAlign w:val="bottom"/>
            <w:tcBorders>
              <w:right w:val="single" w:sz="8" w:color="B6B6B6"/>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40" w:type="dxa"/>
            <w:vAlign w:val="bottom"/>
            <w:tcBorders>
              <w:left w:val="single" w:sz="8" w:color="B6B6B6"/>
              <w:bottom w:val="single" w:sz="8" w:color="B6B6B6"/>
            </w:tcBorders>
          </w:tcPr>
          <w:p>
            <w:pPr>
              <w:spacing w:after="0"/>
              <w:rPr>
                <w:sz w:val="20"/>
                <w:szCs w:val="20"/>
                <w:color w:val="auto"/>
              </w:rPr>
            </w:pPr>
          </w:p>
        </w:tc>
        <w:tc>
          <w:tcPr>
            <w:tcW w:w="2000" w:type="dxa"/>
            <w:vAlign w:val="bottom"/>
            <w:tcBorders>
              <w:bottom w:val="single" w:sz="8" w:color="B6B6B6"/>
              <w:right w:val="single" w:sz="8" w:color="B6B6B6"/>
            </w:tcBorders>
          </w:tcPr>
          <w:p>
            <w:pPr>
              <w:spacing w:after="0"/>
              <w:rPr>
                <w:sz w:val="20"/>
                <w:szCs w:val="20"/>
                <w:color w:val="auto"/>
              </w:rPr>
            </w:pPr>
          </w:p>
        </w:tc>
        <w:tc>
          <w:tcPr>
            <w:tcW w:w="2820" w:type="dxa"/>
            <w:vAlign w:val="bottom"/>
            <w:tcBorders>
              <w:bottom w:val="single" w:sz="8" w:color="B6B6B6"/>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age and older.</w:t>
            </w:r>
          </w:p>
        </w:tc>
        <w:tc>
          <w:tcPr>
            <w:tcW w:w="1620" w:type="dxa"/>
            <w:vAlign w:val="bottom"/>
            <w:tcBorders>
              <w:bottom w:val="single" w:sz="8" w:color="B6B6B6"/>
            </w:tcBorders>
          </w:tcPr>
          <w:p>
            <w:pPr>
              <w:spacing w:after="0"/>
              <w:rPr>
                <w:sz w:val="20"/>
                <w:szCs w:val="20"/>
                <w:color w:val="auto"/>
              </w:rPr>
            </w:pPr>
          </w:p>
        </w:tc>
        <w:tc>
          <w:tcPr>
            <w:tcW w:w="1180" w:type="dxa"/>
            <w:vAlign w:val="bottom"/>
            <w:tcBorders>
              <w:bottom w:val="single" w:sz="8" w:color="B6B6B6"/>
              <w:right w:val="single" w:sz="8" w:color="B6B6B6"/>
            </w:tcBorders>
          </w:tcPr>
          <w:p>
            <w:pPr>
              <w:spacing w:after="0"/>
              <w:rPr>
                <w:sz w:val="20"/>
                <w:szCs w:val="20"/>
                <w:color w:val="auto"/>
              </w:rPr>
            </w:pPr>
          </w:p>
        </w:tc>
        <w:tc>
          <w:tcPr>
            <w:tcW w:w="640" w:type="dxa"/>
            <w:vAlign w:val="bottom"/>
            <w:tcBorders>
              <w:bottom w:val="single" w:sz="8" w:color="B6B6B6"/>
            </w:tcBorders>
          </w:tcPr>
          <w:p>
            <w:pPr>
              <w:spacing w:after="0"/>
              <w:rPr>
                <w:sz w:val="20"/>
                <w:szCs w:val="20"/>
                <w:color w:val="auto"/>
              </w:rPr>
            </w:pPr>
          </w:p>
        </w:tc>
        <w:tc>
          <w:tcPr>
            <w:tcW w:w="2180" w:type="dxa"/>
            <w:vAlign w:val="bottom"/>
            <w:tcBorders>
              <w:bottom w:val="single" w:sz="8" w:color="B6B6B6"/>
              <w:right w:val="single" w:sz="8" w:color="B6B6B6"/>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640" w:type="dxa"/>
            <w:vAlign w:val="bottom"/>
            <w:tcBorders>
              <w:left w:val="single" w:sz="8" w:color="B6B6B6"/>
            </w:tcBorders>
          </w:tcPr>
          <w:p>
            <w:pPr>
              <w:spacing w:after="0"/>
              <w:rPr>
                <w:sz w:val="14"/>
                <w:szCs w:val="14"/>
                <w:color w:val="auto"/>
              </w:rPr>
            </w:pPr>
          </w:p>
        </w:tc>
        <w:tc>
          <w:tcPr>
            <w:tcW w:w="2000" w:type="dxa"/>
            <w:vAlign w:val="bottom"/>
            <w:tcBorders>
              <w:right w:val="single" w:sz="8" w:color="B6B6B6"/>
            </w:tcBorders>
          </w:tcPr>
          <w:p>
            <w:pPr>
              <w:spacing w:after="0"/>
              <w:rPr>
                <w:sz w:val="14"/>
                <w:szCs w:val="14"/>
                <w:color w:val="auto"/>
              </w:rPr>
            </w:pPr>
          </w:p>
        </w:tc>
        <w:tc>
          <w:tcPr>
            <w:tcW w:w="2820" w:type="dxa"/>
            <w:vAlign w:val="bottom"/>
            <w:tcBorders>
              <w:right w:val="single" w:sz="8" w:color="B6B6B6"/>
            </w:tcBorders>
            <w:gridSpan w:val="2"/>
          </w:tcPr>
          <w:p>
            <w:pPr>
              <w:ind w:left="20"/>
              <w:spacing w:after="0" w:line="166" w:lineRule="exact"/>
              <w:rPr>
                <w:sz w:val="20"/>
                <w:szCs w:val="20"/>
                <w:color w:val="auto"/>
              </w:rPr>
            </w:pPr>
            <w:r>
              <w:rPr>
                <w:rFonts w:ascii="Times New Roman" w:cs="Times New Roman" w:eastAsia="Times New Roman" w:hAnsi="Times New Roman"/>
                <w:sz w:val="18"/>
                <w:szCs w:val="18"/>
                <w:color w:val="auto"/>
              </w:rPr>
              <w:t>For adjunctive therapy of seizures</w:t>
            </w:r>
          </w:p>
        </w:tc>
        <w:tc>
          <w:tcPr>
            <w:tcW w:w="2800" w:type="dxa"/>
            <w:vAlign w:val="bottom"/>
            <w:tcBorders>
              <w:right w:val="single" w:sz="8" w:color="B6B6B6"/>
            </w:tcBorders>
            <w:gridSpan w:val="2"/>
          </w:tcPr>
          <w:p>
            <w:pPr>
              <w:spacing w:after="0" w:line="166" w:lineRule="exact"/>
              <w:rPr>
                <w:sz w:val="20"/>
                <w:szCs w:val="20"/>
                <w:color w:val="auto"/>
              </w:rPr>
            </w:pPr>
            <w:r>
              <w:rPr>
                <w:rFonts w:ascii="Times New Roman" w:cs="Times New Roman" w:eastAsia="Times New Roman" w:hAnsi="Times New Roman"/>
                <w:sz w:val="18"/>
                <w:szCs w:val="18"/>
                <w:color w:val="auto"/>
              </w:rPr>
              <w:t>September 2019</w:t>
            </w:r>
          </w:p>
        </w:tc>
        <w:tc>
          <w:tcPr>
            <w:tcW w:w="2820" w:type="dxa"/>
            <w:vAlign w:val="bottom"/>
            <w:tcBorders>
              <w:right w:val="single" w:sz="8" w:color="B6B6B6"/>
            </w:tcBorders>
            <w:gridSpan w:val="2"/>
          </w:tcPr>
          <w:p>
            <w:pPr>
              <w:ind w:left="20"/>
              <w:spacing w:after="0" w:line="166" w:lineRule="exact"/>
              <w:rPr>
                <w:sz w:val="20"/>
                <w:szCs w:val="20"/>
                <w:color w:val="auto"/>
              </w:rPr>
            </w:pPr>
            <w:r>
              <w:rPr>
                <w:rFonts w:ascii="Times New Roman" w:cs="Times New Roman" w:eastAsia="Times New Roman" w:hAnsi="Times New Roman"/>
                <w:sz w:val="18"/>
                <w:szCs w:val="18"/>
                <w:color w:val="auto"/>
              </w:rPr>
              <w:t>EU, Great Britain, EEA**, Israel,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40" w:type="dxa"/>
            <w:vAlign w:val="bottom"/>
            <w:tcBorders>
              <w:left w:val="single" w:sz="8" w:color="B6B6B6"/>
            </w:tcBorders>
          </w:tcPr>
          <w:p>
            <w:pPr>
              <w:spacing w:after="0"/>
              <w:rPr>
                <w:sz w:val="15"/>
                <w:szCs w:val="15"/>
                <w:color w:val="auto"/>
              </w:rPr>
            </w:pPr>
          </w:p>
        </w:tc>
        <w:tc>
          <w:tcPr>
            <w:tcW w:w="200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associated with LGS or DS, in</w:t>
            </w:r>
          </w:p>
        </w:tc>
        <w:tc>
          <w:tcPr>
            <w:tcW w:w="1620" w:type="dxa"/>
            <w:vAlign w:val="bottom"/>
          </w:tcPr>
          <w:p>
            <w:pPr>
              <w:spacing w:after="0"/>
              <w:rPr>
                <w:sz w:val="15"/>
                <w:szCs w:val="15"/>
                <w:color w:val="auto"/>
              </w:rPr>
            </w:pPr>
          </w:p>
        </w:tc>
        <w:tc>
          <w:tcPr>
            <w:tcW w:w="118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Switzerland, Australia and New</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40" w:type="dxa"/>
            <w:vAlign w:val="bottom"/>
            <w:tcBorders>
              <w:left w:val="single" w:sz="8" w:color="B6B6B6"/>
            </w:tcBorders>
          </w:tcPr>
          <w:p>
            <w:pPr>
              <w:spacing w:after="0"/>
              <w:rPr>
                <w:sz w:val="15"/>
                <w:szCs w:val="15"/>
                <w:color w:val="auto"/>
              </w:rPr>
            </w:pPr>
          </w:p>
        </w:tc>
        <w:tc>
          <w:tcPr>
            <w:tcW w:w="200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gridSpan w:val="2"/>
          </w:tcPr>
          <w:p>
            <w:pPr>
              <w:ind w:left="20"/>
              <w:spacing w:after="0" w:line="178" w:lineRule="exact"/>
              <w:rPr>
                <w:sz w:val="20"/>
                <w:szCs w:val="20"/>
                <w:color w:val="auto"/>
              </w:rPr>
            </w:pPr>
            <w:r>
              <w:rPr>
                <w:rFonts w:ascii="Times New Roman" w:cs="Times New Roman" w:eastAsia="Times New Roman" w:hAnsi="Times New Roman"/>
                <w:sz w:val="18"/>
                <w:szCs w:val="18"/>
                <w:color w:val="auto"/>
              </w:rPr>
              <w:t>conjunction with clobazam, for</w:t>
            </w:r>
          </w:p>
        </w:tc>
        <w:tc>
          <w:tcPr>
            <w:tcW w:w="1620" w:type="dxa"/>
            <w:vAlign w:val="bottom"/>
          </w:tcPr>
          <w:p>
            <w:pPr>
              <w:spacing w:after="0"/>
              <w:rPr>
                <w:sz w:val="15"/>
                <w:szCs w:val="15"/>
                <w:color w:val="auto"/>
              </w:rPr>
            </w:pPr>
          </w:p>
        </w:tc>
        <w:tc>
          <w:tcPr>
            <w:tcW w:w="118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gridSpan w:val="2"/>
          </w:tcPr>
          <w:p>
            <w:pPr>
              <w:ind w:left="20"/>
              <w:spacing w:after="0" w:line="178" w:lineRule="exact"/>
              <w:rPr>
                <w:sz w:val="20"/>
                <w:szCs w:val="20"/>
                <w:color w:val="auto"/>
              </w:rPr>
            </w:pPr>
            <w:r>
              <w:rPr>
                <w:rFonts w:ascii="Times New Roman" w:cs="Times New Roman" w:eastAsia="Times New Roman" w:hAnsi="Times New Roman"/>
                <w:sz w:val="18"/>
                <w:szCs w:val="18"/>
                <w:color w:val="auto"/>
              </w:rPr>
              <w:t>Zealand</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640" w:type="dxa"/>
            <w:vAlign w:val="bottom"/>
            <w:tcBorders>
              <w:left w:val="single" w:sz="8" w:color="B6B6B6"/>
              <w:right w:val="single" w:sz="8" w:color="B6B6B6"/>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Epidyolex® (cannabidiol)</w:t>
            </w:r>
          </w:p>
        </w:tc>
        <w:tc>
          <w:tcPr>
            <w:tcW w:w="2820" w:type="dxa"/>
            <w:vAlign w:val="bottom"/>
            <w:tcBorders>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patients 2 years of age and older.*</w:t>
            </w:r>
          </w:p>
        </w:tc>
        <w:tc>
          <w:tcPr>
            <w:tcW w:w="1620" w:type="dxa"/>
            <w:vAlign w:val="bottom"/>
          </w:tcPr>
          <w:p>
            <w:pPr>
              <w:spacing w:after="0"/>
              <w:rPr>
                <w:sz w:val="20"/>
                <w:szCs w:val="20"/>
                <w:color w:val="auto"/>
              </w:rPr>
            </w:pPr>
          </w:p>
        </w:tc>
        <w:tc>
          <w:tcPr>
            <w:tcW w:w="1180" w:type="dxa"/>
            <w:vAlign w:val="bottom"/>
            <w:tcBorders>
              <w:right w:val="single" w:sz="8" w:color="B6B6B6"/>
            </w:tcBorders>
          </w:tcPr>
          <w:p>
            <w:pPr>
              <w:spacing w:after="0"/>
              <w:rPr>
                <w:sz w:val="20"/>
                <w:szCs w:val="20"/>
                <w:color w:val="auto"/>
              </w:rPr>
            </w:pPr>
          </w:p>
        </w:tc>
        <w:tc>
          <w:tcPr>
            <w:tcW w:w="640" w:type="dxa"/>
            <w:vAlign w:val="bottom"/>
          </w:tcPr>
          <w:p>
            <w:pPr>
              <w:spacing w:after="0"/>
              <w:rPr>
                <w:sz w:val="20"/>
                <w:szCs w:val="20"/>
                <w:color w:val="auto"/>
              </w:rPr>
            </w:pPr>
          </w:p>
        </w:tc>
        <w:tc>
          <w:tcPr>
            <w:tcW w:w="2180" w:type="dxa"/>
            <w:vAlign w:val="bottom"/>
            <w:tcBorders>
              <w:right w:val="single" w:sz="8" w:color="B6B6B6"/>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640" w:type="dxa"/>
            <w:vAlign w:val="bottom"/>
            <w:tcBorders>
              <w:left w:val="single" w:sz="8" w:color="B6B6B6"/>
              <w:right w:val="single" w:sz="8" w:color="B6B6B6"/>
            </w:tcBorders>
            <w:gridSpan w:val="2"/>
            <w:vMerge w:val="continue"/>
          </w:tcPr>
          <w:p>
            <w:pPr>
              <w:spacing w:after="0"/>
              <w:rPr>
                <w:sz w:val="18"/>
                <w:szCs w:val="18"/>
                <w:color w:val="auto"/>
              </w:rPr>
            </w:pPr>
          </w:p>
        </w:tc>
        <w:tc>
          <w:tcPr>
            <w:tcW w:w="860" w:type="dxa"/>
            <w:vAlign w:val="bottom"/>
            <w:tcBorders>
              <w:bottom w:val="single" w:sz="8" w:color="B6B6B6"/>
            </w:tcBorders>
          </w:tcPr>
          <w:p>
            <w:pPr>
              <w:spacing w:after="0"/>
              <w:rPr>
                <w:sz w:val="18"/>
                <w:szCs w:val="18"/>
                <w:color w:val="auto"/>
              </w:rPr>
            </w:pPr>
          </w:p>
        </w:tc>
        <w:tc>
          <w:tcPr>
            <w:tcW w:w="1960" w:type="dxa"/>
            <w:vAlign w:val="bottom"/>
            <w:tcBorders>
              <w:bottom w:val="single" w:sz="8" w:color="B6B6B6"/>
              <w:right w:val="single" w:sz="8" w:color="B6B6B6"/>
            </w:tcBorders>
          </w:tcPr>
          <w:p>
            <w:pPr>
              <w:spacing w:after="0"/>
              <w:rPr>
                <w:sz w:val="18"/>
                <w:szCs w:val="18"/>
                <w:color w:val="auto"/>
              </w:rPr>
            </w:pPr>
          </w:p>
        </w:tc>
        <w:tc>
          <w:tcPr>
            <w:tcW w:w="1620" w:type="dxa"/>
            <w:vAlign w:val="bottom"/>
            <w:tcBorders>
              <w:bottom w:val="single" w:sz="8" w:color="B6B6B6"/>
            </w:tcBorders>
          </w:tcPr>
          <w:p>
            <w:pPr>
              <w:spacing w:after="0"/>
              <w:rPr>
                <w:sz w:val="18"/>
                <w:szCs w:val="18"/>
                <w:color w:val="auto"/>
              </w:rPr>
            </w:pPr>
          </w:p>
        </w:tc>
        <w:tc>
          <w:tcPr>
            <w:tcW w:w="1180" w:type="dxa"/>
            <w:vAlign w:val="bottom"/>
            <w:tcBorders>
              <w:bottom w:val="single" w:sz="8" w:color="B6B6B6"/>
              <w:right w:val="single" w:sz="8" w:color="B6B6B6"/>
            </w:tcBorders>
          </w:tcPr>
          <w:p>
            <w:pPr>
              <w:spacing w:after="0"/>
              <w:rPr>
                <w:sz w:val="18"/>
                <w:szCs w:val="18"/>
                <w:color w:val="auto"/>
              </w:rPr>
            </w:pPr>
          </w:p>
        </w:tc>
        <w:tc>
          <w:tcPr>
            <w:tcW w:w="640" w:type="dxa"/>
            <w:vAlign w:val="bottom"/>
            <w:tcBorders>
              <w:bottom w:val="single" w:sz="8" w:color="B6B6B6"/>
            </w:tcBorders>
          </w:tcPr>
          <w:p>
            <w:pPr>
              <w:spacing w:after="0"/>
              <w:rPr>
                <w:sz w:val="18"/>
                <w:szCs w:val="18"/>
                <w:color w:val="auto"/>
              </w:rPr>
            </w:pPr>
          </w:p>
        </w:tc>
        <w:tc>
          <w:tcPr>
            <w:tcW w:w="2180" w:type="dxa"/>
            <w:vAlign w:val="bottom"/>
            <w:tcBorders>
              <w:bottom w:val="single" w:sz="8" w:color="B6B6B6"/>
              <w:right w:val="single" w:sz="8" w:color="B6B6B6"/>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640" w:type="dxa"/>
            <w:vAlign w:val="bottom"/>
            <w:tcBorders>
              <w:left w:val="single" w:sz="8" w:color="B6B6B6"/>
            </w:tcBorders>
          </w:tcPr>
          <w:p>
            <w:pPr>
              <w:spacing w:after="0"/>
              <w:rPr>
                <w:sz w:val="15"/>
                <w:szCs w:val="15"/>
                <w:color w:val="auto"/>
              </w:rPr>
            </w:pPr>
          </w:p>
        </w:tc>
        <w:tc>
          <w:tcPr>
            <w:tcW w:w="200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gridSpan w:val="2"/>
          </w:tcPr>
          <w:p>
            <w:pPr>
              <w:ind w:left="20"/>
              <w:spacing w:after="0" w:line="173" w:lineRule="exact"/>
              <w:rPr>
                <w:sz w:val="20"/>
                <w:szCs w:val="20"/>
                <w:color w:val="auto"/>
              </w:rPr>
            </w:pPr>
            <w:r>
              <w:rPr>
                <w:rFonts w:ascii="Times New Roman" w:cs="Times New Roman" w:eastAsia="Times New Roman" w:hAnsi="Times New Roman"/>
                <w:sz w:val="18"/>
                <w:szCs w:val="18"/>
                <w:color w:val="auto"/>
              </w:rPr>
              <w:t>For adjunctive therapy of seizures</w:t>
            </w:r>
          </w:p>
        </w:tc>
        <w:tc>
          <w:tcPr>
            <w:tcW w:w="2800" w:type="dxa"/>
            <w:vAlign w:val="bottom"/>
            <w:tcBorders>
              <w:right w:val="single" w:sz="8" w:color="B6B6B6"/>
            </w:tcBorders>
            <w:gridSpan w:val="2"/>
          </w:tcPr>
          <w:p>
            <w:pPr>
              <w:spacing w:after="0" w:line="173" w:lineRule="exact"/>
              <w:rPr>
                <w:sz w:val="20"/>
                <w:szCs w:val="20"/>
                <w:color w:val="auto"/>
              </w:rPr>
            </w:pPr>
            <w:r>
              <w:rPr>
                <w:rFonts w:ascii="Times New Roman" w:cs="Times New Roman" w:eastAsia="Times New Roman" w:hAnsi="Times New Roman"/>
                <w:sz w:val="18"/>
                <w:szCs w:val="18"/>
                <w:color w:val="auto"/>
              </w:rPr>
              <w:t>April 2021</w:t>
            </w:r>
          </w:p>
        </w:tc>
        <w:tc>
          <w:tcPr>
            <w:tcW w:w="2820" w:type="dxa"/>
            <w:vAlign w:val="bottom"/>
            <w:tcBorders>
              <w:right w:val="single" w:sz="8" w:color="B6B6B6"/>
            </w:tcBorders>
            <w:gridSpan w:val="2"/>
          </w:tcPr>
          <w:p>
            <w:pPr>
              <w:ind w:left="20"/>
              <w:spacing w:after="0" w:line="173" w:lineRule="exact"/>
              <w:rPr>
                <w:sz w:val="20"/>
                <w:szCs w:val="20"/>
                <w:color w:val="auto"/>
              </w:rPr>
            </w:pPr>
            <w:r>
              <w:rPr>
                <w:rFonts w:ascii="Times New Roman" w:cs="Times New Roman" w:eastAsia="Times New Roman" w:hAnsi="Times New Roman"/>
                <w:sz w:val="18"/>
                <w:szCs w:val="18"/>
                <w:color w:val="auto"/>
              </w:rPr>
              <w:t>EU, Great Britain, Israel and</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0" w:type="dxa"/>
            <w:vAlign w:val="bottom"/>
            <w:tcBorders>
              <w:left w:val="single" w:sz="8" w:color="B6B6B6"/>
            </w:tcBorders>
          </w:tcPr>
          <w:p>
            <w:pPr>
              <w:spacing w:after="0"/>
              <w:rPr>
                <w:sz w:val="15"/>
                <w:szCs w:val="15"/>
                <w:color w:val="auto"/>
              </w:rPr>
            </w:pPr>
          </w:p>
        </w:tc>
        <w:tc>
          <w:tcPr>
            <w:tcW w:w="200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associated with TSC for patients 2</w:t>
            </w:r>
          </w:p>
        </w:tc>
        <w:tc>
          <w:tcPr>
            <w:tcW w:w="1620" w:type="dxa"/>
            <w:vAlign w:val="bottom"/>
          </w:tcPr>
          <w:p>
            <w:pPr>
              <w:spacing w:after="0"/>
              <w:rPr>
                <w:sz w:val="15"/>
                <w:szCs w:val="15"/>
                <w:color w:val="auto"/>
              </w:rPr>
            </w:pPr>
          </w:p>
        </w:tc>
        <w:tc>
          <w:tcPr>
            <w:tcW w:w="118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Switzerland</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640" w:type="dxa"/>
            <w:vAlign w:val="bottom"/>
            <w:tcBorders>
              <w:left w:val="single" w:sz="8" w:color="B6B6B6"/>
            </w:tcBorders>
          </w:tcPr>
          <w:p>
            <w:pPr>
              <w:spacing w:after="0"/>
              <w:rPr>
                <w:sz w:val="20"/>
                <w:szCs w:val="20"/>
                <w:color w:val="auto"/>
              </w:rPr>
            </w:pPr>
          </w:p>
        </w:tc>
        <w:tc>
          <w:tcPr>
            <w:tcW w:w="2000" w:type="dxa"/>
            <w:vAlign w:val="bottom"/>
            <w:tcBorders>
              <w:right w:val="single" w:sz="8" w:color="B6B6B6"/>
            </w:tcBorders>
          </w:tcPr>
          <w:p>
            <w:pPr>
              <w:spacing w:after="0"/>
              <w:rPr>
                <w:sz w:val="20"/>
                <w:szCs w:val="20"/>
                <w:color w:val="auto"/>
              </w:rPr>
            </w:pPr>
          </w:p>
        </w:tc>
        <w:tc>
          <w:tcPr>
            <w:tcW w:w="2820" w:type="dxa"/>
            <w:vAlign w:val="bottom"/>
            <w:tcBorders>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years of age and older.</w:t>
            </w:r>
          </w:p>
        </w:tc>
        <w:tc>
          <w:tcPr>
            <w:tcW w:w="1620" w:type="dxa"/>
            <w:vAlign w:val="bottom"/>
          </w:tcPr>
          <w:p>
            <w:pPr>
              <w:spacing w:after="0"/>
              <w:rPr>
                <w:sz w:val="20"/>
                <w:szCs w:val="20"/>
                <w:color w:val="auto"/>
              </w:rPr>
            </w:pPr>
          </w:p>
        </w:tc>
        <w:tc>
          <w:tcPr>
            <w:tcW w:w="1180" w:type="dxa"/>
            <w:vAlign w:val="bottom"/>
            <w:tcBorders>
              <w:right w:val="single" w:sz="8" w:color="B6B6B6"/>
            </w:tcBorders>
          </w:tcPr>
          <w:p>
            <w:pPr>
              <w:spacing w:after="0"/>
              <w:rPr>
                <w:sz w:val="20"/>
                <w:szCs w:val="20"/>
                <w:color w:val="auto"/>
              </w:rPr>
            </w:pPr>
          </w:p>
        </w:tc>
        <w:tc>
          <w:tcPr>
            <w:tcW w:w="640" w:type="dxa"/>
            <w:vAlign w:val="bottom"/>
          </w:tcPr>
          <w:p>
            <w:pPr>
              <w:spacing w:after="0"/>
              <w:rPr>
                <w:sz w:val="20"/>
                <w:szCs w:val="20"/>
                <w:color w:val="auto"/>
              </w:rPr>
            </w:pPr>
          </w:p>
        </w:tc>
        <w:tc>
          <w:tcPr>
            <w:tcW w:w="2180" w:type="dxa"/>
            <w:vAlign w:val="bottom"/>
            <w:tcBorders>
              <w:right w:val="single" w:sz="8" w:color="B6B6B6"/>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6"/>
        </w:trPr>
        <w:tc>
          <w:tcPr>
            <w:tcW w:w="640" w:type="dxa"/>
            <w:vAlign w:val="bottom"/>
            <w:tcBorders>
              <w:left w:val="single" w:sz="8" w:color="B6B6B6"/>
              <w:bottom w:val="single" w:sz="8" w:color="B6B6B6"/>
            </w:tcBorders>
          </w:tcPr>
          <w:p>
            <w:pPr>
              <w:spacing w:after="0"/>
              <w:rPr>
                <w:sz w:val="12"/>
                <w:szCs w:val="12"/>
                <w:color w:val="auto"/>
              </w:rPr>
            </w:pPr>
          </w:p>
        </w:tc>
        <w:tc>
          <w:tcPr>
            <w:tcW w:w="2000" w:type="dxa"/>
            <w:vAlign w:val="bottom"/>
            <w:tcBorders>
              <w:bottom w:val="single" w:sz="8" w:color="B6B6B6"/>
              <w:right w:val="single" w:sz="8" w:color="B6B6B6"/>
            </w:tcBorders>
          </w:tcPr>
          <w:p>
            <w:pPr>
              <w:spacing w:after="0"/>
              <w:rPr>
                <w:sz w:val="12"/>
                <w:szCs w:val="12"/>
                <w:color w:val="auto"/>
              </w:rPr>
            </w:pPr>
          </w:p>
        </w:tc>
        <w:tc>
          <w:tcPr>
            <w:tcW w:w="860" w:type="dxa"/>
            <w:vAlign w:val="bottom"/>
            <w:tcBorders>
              <w:bottom w:val="single" w:sz="8" w:color="B6B6B6"/>
            </w:tcBorders>
          </w:tcPr>
          <w:p>
            <w:pPr>
              <w:spacing w:after="0"/>
              <w:rPr>
                <w:sz w:val="12"/>
                <w:szCs w:val="12"/>
                <w:color w:val="auto"/>
              </w:rPr>
            </w:pPr>
          </w:p>
        </w:tc>
        <w:tc>
          <w:tcPr>
            <w:tcW w:w="1960" w:type="dxa"/>
            <w:vAlign w:val="bottom"/>
            <w:tcBorders>
              <w:bottom w:val="single" w:sz="8" w:color="B6B6B6"/>
              <w:right w:val="single" w:sz="8" w:color="B6B6B6"/>
            </w:tcBorders>
          </w:tcPr>
          <w:p>
            <w:pPr>
              <w:spacing w:after="0"/>
              <w:rPr>
                <w:sz w:val="12"/>
                <w:szCs w:val="12"/>
                <w:color w:val="auto"/>
              </w:rPr>
            </w:pPr>
          </w:p>
        </w:tc>
        <w:tc>
          <w:tcPr>
            <w:tcW w:w="1620" w:type="dxa"/>
            <w:vAlign w:val="bottom"/>
            <w:tcBorders>
              <w:bottom w:val="single" w:sz="8" w:color="B6B6B6"/>
            </w:tcBorders>
          </w:tcPr>
          <w:p>
            <w:pPr>
              <w:spacing w:after="0"/>
              <w:rPr>
                <w:sz w:val="12"/>
                <w:szCs w:val="12"/>
                <w:color w:val="auto"/>
              </w:rPr>
            </w:pPr>
          </w:p>
        </w:tc>
        <w:tc>
          <w:tcPr>
            <w:tcW w:w="1180" w:type="dxa"/>
            <w:vAlign w:val="bottom"/>
            <w:tcBorders>
              <w:bottom w:val="single" w:sz="8" w:color="B6B6B6"/>
              <w:right w:val="single" w:sz="8" w:color="B6B6B6"/>
            </w:tcBorders>
          </w:tcPr>
          <w:p>
            <w:pPr>
              <w:spacing w:after="0"/>
              <w:rPr>
                <w:sz w:val="12"/>
                <w:szCs w:val="12"/>
                <w:color w:val="auto"/>
              </w:rPr>
            </w:pPr>
          </w:p>
        </w:tc>
        <w:tc>
          <w:tcPr>
            <w:tcW w:w="640" w:type="dxa"/>
            <w:vAlign w:val="bottom"/>
            <w:tcBorders>
              <w:bottom w:val="single" w:sz="8" w:color="B6B6B6"/>
            </w:tcBorders>
          </w:tcPr>
          <w:p>
            <w:pPr>
              <w:spacing w:after="0"/>
              <w:rPr>
                <w:sz w:val="12"/>
                <w:szCs w:val="12"/>
                <w:color w:val="auto"/>
              </w:rPr>
            </w:pPr>
          </w:p>
        </w:tc>
        <w:tc>
          <w:tcPr>
            <w:tcW w:w="2180" w:type="dxa"/>
            <w:vAlign w:val="bottom"/>
            <w:tcBorders>
              <w:bottom w:val="single" w:sz="8" w:color="B6B6B6"/>
              <w:right w:val="single" w:sz="8" w:color="B6B6B6"/>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640" w:type="dxa"/>
            <w:vAlign w:val="bottom"/>
            <w:tcBorders>
              <w:left w:val="single" w:sz="8" w:color="B6B6B6"/>
              <w:right w:val="single" w:sz="8" w:color="B6B6B6"/>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Epidiolex® (cannabidiol)</w:t>
            </w:r>
          </w:p>
        </w:tc>
        <w:tc>
          <w:tcPr>
            <w:tcW w:w="2820" w:type="dxa"/>
            <w:vAlign w:val="bottom"/>
            <w:tcBorders>
              <w:right w:val="single" w:sz="8" w:color="B6B6B6"/>
            </w:tcBorders>
            <w:gridSpan w:val="2"/>
          </w:tcPr>
          <w:p>
            <w:pPr>
              <w:ind w:left="20"/>
              <w:spacing w:after="0" w:line="166" w:lineRule="exact"/>
              <w:rPr>
                <w:sz w:val="20"/>
                <w:szCs w:val="20"/>
                <w:color w:val="auto"/>
              </w:rPr>
            </w:pPr>
            <w:r>
              <w:rPr>
                <w:rFonts w:ascii="Times New Roman" w:cs="Times New Roman" w:eastAsia="Times New Roman" w:hAnsi="Times New Roman"/>
                <w:sz w:val="18"/>
                <w:szCs w:val="18"/>
                <w:color w:val="auto"/>
              </w:rPr>
              <w:t>For adjunctive therapy of seizures</w:t>
            </w:r>
          </w:p>
        </w:tc>
        <w:tc>
          <w:tcPr>
            <w:tcW w:w="2800" w:type="dxa"/>
            <w:vAlign w:val="bottom"/>
            <w:tcBorders>
              <w:right w:val="single" w:sz="8" w:color="B6B6B6"/>
            </w:tcBorders>
            <w:gridSpan w:val="2"/>
          </w:tcPr>
          <w:p>
            <w:pPr>
              <w:spacing w:after="0" w:line="166" w:lineRule="exact"/>
              <w:rPr>
                <w:sz w:val="20"/>
                <w:szCs w:val="20"/>
                <w:color w:val="auto"/>
              </w:rPr>
            </w:pPr>
            <w:r>
              <w:rPr>
                <w:rFonts w:ascii="Times New Roman" w:cs="Times New Roman" w:eastAsia="Times New Roman" w:hAnsi="Times New Roman"/>
                <w:sz w:val="18"/>
                <w:szCs w:val="18"/>
                <w:color w:val="auto"/>
              </w:rPr>
              <w:t>November 2023</w:t>
            </w:r>
          </w:p>
        </w:tc>
        <w:tc>
          <w:tcPr>
            <w:tcW w:w="2820" w:type="dxa"/>
            <w:vAlign w:val="bottom"/>
            <w:tcBorders>
              <w:right w:val="single" w:sz="8" w:color="B6B6B6"/>
            </w:tcBorders>
            <w:gridSpan w:val="2"/>
          </w:tcPr>
          <w:p>
            <w:pPr>
              <w:ind w:left="20"/>
              <w:spacing w:after="0" w:line="166" w:lineRule="exact"/>
              <w:rPr>
                <w:sz w:val="20"/>
                <w:szCs w:val="20"/>
                <w:color w:val="auto"/>
              </w:rPr>
            </w:pPr>
            <w:r>
              <w:rPr>
                <w:rFonts w:ascii="Times New Roman" w:cs="Times New Roman" w:eastAsia="Times New Roman" w:hAnsi="Times New Roman"/>
                <w:sz w:val="18"/>
                <w:szCs w:val="18"/>
                <w:color w:val="auto"/>
              </w:rPr>
              <w:t>Canada</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640" w:type="dxa"/>
            <w:vAlign w:val="bottom"/>
            <w:tcBorders>
              <w:left w:val="single" w:sz="8" w:color="B6B6B6"/>
              <w:right w:val="single" w:sz="8" w:color="B6B6B6"/>
            </w:tcBorders>
            <w:gridSpan w:val="2"/>
            <w:vMerge w:val="continue"/>
          </w:tcPr>
          <w:p>
            <w:pPr>
              <w:spacing w:after="0"/>
              <w:rPr>
                <w:sz w:val="15"/>
                <w:szCs w:val="15"/>
                <w:color w:val="auto"/>
              </w:rPr>
            </w:pPr>
          </w:p>
        </w:tc>
        <w:tc>
          <w:tcPr>
            <w:tcW w:w="2820" w:type="dxa"/>
            <w:vAlign w:val="bottom"/>
            <w:tcBorders>
              <w:right w:val="single" w:sz="8" w:color="B6B6B6"/>
            </w:tcBorders>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associated with LGS, DS or TSC for</w:t>
            </w:r>
          </w:p>
        </w:tc>
        <w:tc>
          <w:tcPr>
            <w:tcW w:w="1620" w:type="dxa"/>
            <w:vAlign w:val="bottom"/>
          </w:tcPr>
          <w:p>
            <w:pPr>
              <w:spacing w:after="0"/>
              <w:rPr>
                <w:sz w:val="15"/>
                <w:szCs w:val="15"/>
                <w:color w:val="auto"/>
              </w:rPr>
            </w:pPr>
          </w:p>
        </w:tc>
        <w:tc>
          <w:tcPr>
            <w:tcW w:w="1180" w:type="dxa"/>
            <w:vAlign w:val="bottom"/>
            <w:tcBorders>
              <w:right w:val="single" w:sz="8" w:color="B6B6B6"/>
            </w:tcBorders>
          </w:tcPr>
          <w:p>
            <w:pPr>
              <w:spacing w:after="0"/>
              <w:rPr>
                <w:sz w:val="15"/>
                <w:szCs w:val="15"/>
                <w:color w:val="auto"/>
              </w:rPr>
            </w:pPr>
          </w:p>
        </w:tc>
        <w:tc>
          <w:tcPr>
            <w:tcW w:w="640" w:type="dxa"/>
            <w:vAlign w:val="bottom"/>
          </w:tcPr>
          <w:p>
            <w:pPr>
              <w:spacing w:after="0"/>
              <w:rPr>
                <w:sz w:val="15"/>
                <w:szCs w:val="15"/>
                <w:color w:val="auto"/>
              </w:rPr>
            </w:pPr>
          </w:p>
        </w:tc>
        <w:tc>
          <w:tcPr>
            <w:tcW w:w="2180" w:type="dxa"/>
            <w:vAlign w:val="bottom"/>
            <w:tcBorders>
              <w:right w:val="single" w:sz="8" w:color="B6B6B6"/>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40" w:type="dxa"/>
            <w:vAlign w:val="bottom"/>
            <w:tcBorders>
              <w:left w:val="single" w:sz="8" w:color="B6B6B6"/>
              <w:bottom w:val="single" w:sz="8" w:color="B6B6B6"/>
            </w:tcBorders>
          </w:tcPr>
          <w:p>
            <w:pPr>
              <w:spacing w:after="0"/>
              <w:rPr>
                <w:sz w:val="20"/>
                <w:szCs w:val="20"/>
                <w:color w:val="auto"/>
              </w:rPr>
            </w:pPr>
          </w:p>
        </w:tc>
        <w:tc>
          <w:tcPr>
            <w:tcW w:w="2000" w:type="dxa"/>
            <w:vAlign w:val="bottom"/>
            <w:tcBorders>
              <w:bottom w:val="single" w:sz="8" w:color="B6B6B6"/>
              <w:right w:val="single" w:sz="8" w:color="B6B6B6"/>
            </w:tcBorders>
          </w:tcPr>
          <w:p>
            <w:pPr>
              <w:spacing w:after="0"/>
              <w:rPr>
                <w:sz w:val="20"/>
                <w:szCs w:val="20"/>
                <w:color w:val="auto"/>
              </w:rPr>
            </w:pPr>
          </w:p>
        </w:tc>
        <w:tc>
          <w:tcPr>
            <w:tcW w:w="2820" w:type="dxa"/>
            <w:vAlign w:val="bottom"/>
            <w:tcBorders>
              <w:bottom w:val="single" w:sz="8" w:color="B6B6B6"/>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patients 2 years of age and older.</w:t>
            </w:r>
          </w:p>
        </w:tc>
        <w:tc>
          <w:tcPr>
            <w:tcW w:w="1620" w:type="dxa"/>
            <w:vAlign w:val="bottom"/>
            <w:tcBorders>
              <w:bottom w:val="single" w:sz="8" w:color="B6B6B6"/>
            </w:tcBorders>
          </w:tcPr>
          <w:p>
            <w:pPr>
              <w:spacing w:after="0"/>
              <w:rPr>
                <w:sz w:val="20"/>
                <w:szCs w:val="20"/>
                <w:color w:val="auto"/>
              </w:rPr>
            </w:pPr>
          </w:p>
        </w:tc>
        <w:tc>
          <w:tcPr>
            <w:tcW w:w="1180" w:type="dxa"/>
            <w:vAlign w:val="bottom"/>
            <w:tcBorders>
              <w:bottom w:val="single" w:sz="8" w:color="B6B6B6"/>
              <w:right w:val="single" w:sz="8" w:color="B6B6B6"/>
            </w:tcBorders>
          </w:tcPr>
          <w:p>
            <w:pPr>
              <w:spacing w:after="0"/>
              <w:rPr>
                <w:sz w:val="20"/>
                <w:szCs w:val="20"/>
                <w:color w:val="auto"/>
              </w:rPr>
            </w:pPr>
          </w:p>
        </w:tc>
        <w:tc>
          <w:tcPr>
            <w:tcW w:w="640" w:type="dxa"/>
            <w:vAlign w:val="bottom"/>
            <w:tcBorders>
              <w:bottom w:val="single" w:sz="8" w:color="B6B6B6"/>
            </w:tcBorders>
          </w:tcPr>
          <w:p>
            <w:pPr>
              <w:spacing w:after="0"/>
              <w:rPr>
                <w:sz w:val="20"/>
                <w:szCs w:val="20"/>
                <w:color w:val="auto"/>
              </w:rPr>
            </w:pPr>
          </w:p>
        </w:tc>
        <w:tc>
          <w:tcPr>
            <w:tcW w:w="2180" w:type="dxa"/>
            <w:vAlign w:val="bottom"/>
            <w:tcBorders>
              <w:bottom w:val="single" w:sz="8" w:color="B6B6B6"/>
              <w:right w:val="single" w:sz="8" w:color="B6B6B6"/>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640" w:type="dxa"/>
            <w:vAlign w:val="bottom"/>
            <w:tcBorders>
              <w:left w:val="single" w:sz="8" w:color="B6B6B6"/>
              <w:bottom w:val="single" w:sz="8" w:color="B6B6B6"/>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ONCOLOGY</w:t>
            </w:r>
          </w:p>
        </w:tc>
        <w:tc>
          <w:tcPr>
            <w:tcW w:w="860" w:type="dxa"/>
            <w:vAlign w:val="bottom"/>
            <w:tcBorders>
              <w:bottom w:val="single" w:sz="8" w:color="B6B6B6"/>
            </w:tcBorders>
            <w:shd w:val="clear" w:color="auto" w:fill="CCEEFF"/>
          </w:tcPr>
          <w:p>
            <w:pPr>
              <w:spacing w:after="0"/>
              <w:rPr>
                <w:sz w:val="19"/>
                <w:szCs w:val="19"/>
                <w:color w:val="auto"/>
              </w:rPr>
            </w:pPr>
          </w:p>
        </w:tc>
        <w:tc>
          <w:tcPr>
            <w:tcW w:w="1960" w:type="dxa"/>
            <w:vAlign w:val="bottom"/>
            <w:tcBorders>
              <w:bottom w:val="single" w:sz="8" w:color="B6B6B6"/>
              <w:right w:val="single" w:sz="8" w:color="CCEEFF"/>
            </w:tcBorders>
            <w:shd w:val="clear" w:color="auto" w:fill="CCEEFF"/>
          </w:tcPr>
          <w:p>
            <w:pPr>
              <w:spacing w:after="0"/>
              <w:rPr>
                <w:sz w:val="19"/>
                <w:szCs w:val="19"/>
                <w:color w:val="auto"/>
              </w:rPr>
            </w:pPr>
          </w:p>
        </w:tc>
        <w:tc>
          <w:tcPr>
            <w:tcW w:w="1620" w:type="dxa"/>
            <w:vAlign w:val="bottom"/>
            <w:tcBorders>
              <w:bottom w:val="single" w:sz="8" w:color="B6B6B6"/>
            </w:tcBorders>
            <w:shd w:val="clear" w:color="auto" w:fill="CCEEFF"/>
          </w:tcPr>
          <w:p>
            <w:pPr>
              <w:spacing w:after="0"/>
              <w:rPr>
                <w:sz w:val="19"/>
                <w:szCs w:val="19"/>
                <w:color w:val="auto"/>
              </w:rPr>
            </w:pPr>
          </w:p>
        </w:tc>
        <w:tc>
          <w:tcPr>
            <w:tcW w:w="1180" w:type="dxa"/>
            <w:vAlign w:val="bottom"/>
            <w:tcBorders>
              <w:bottom w:val="single" w:sz="8" w:color="B6B6B6"/>
              <w:right w:val="single" w:sz="8" w:color="CCEEFF"/>
            </w:tcBorders>
            <w:shd w:val="clear" w:color="auto" w:fill="CCEEFF"/>
          </w:tcPr>
          <w:p>
            <w:pPr>
              <w:spacing w:after="0"/>
              <w:rPr>
                <w:sz w:val="19"/>
                <w:szCs w:val="19"/>
                <w:color w:val="auto"/>
              </w:rPr>
            </w:pPr>
          </w:p>
        </w:tc>
        <w:tc>
          <w:tcPr>
            <w:tcW w:w="640" w:type="dxa"/>
            <w:vAlign w:val="bottom"/>
            <w:tcBorders>
              <w:bottom w:val="single" w:sz="8" w:color="B6B6B6"/>
            </w:tcBorders>
            <w:shd w:val="clear" w:color="auto" w:fill="CCEEFF"/>
          </w:tcPr>
          <w:p>
            <w:pPr>
              <w:spacing w:after="0"/>
              <w:rPr>
                <w:sz w:val="19"/>
                <w:szCs w:val="19"/>
                <w:color w:val="auto"/>
              </w:rPr>
            </w:pPr>
          </w:p>
        </w:tc>
        <w:tc>
          <w:tcPr>
            <w:tcW w:w="2180" w:type="dxa"/>
            <w:vAlign w:val="bottom"/>
            <w:tcBorders>
              <w:bottom w:val="single" w:sz="8" w:color="B6B6B6"/>
              <w:right w:val="single" w:sz="8" w:color="B6B6B6"/>
            </w:tcBorders>
            <w:shd w:val="clear" w:color="auto" w:fill="CCEEFF"/>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640" w:type="dxa"/>
            <w:vAlign w:val="bottom"/>
            <w:tcBorders>
              <w:left w:val="single" w:sz="8" w:color="B6B6B6"/>
            </w:tcBorders>
          </w:tcPr>
          <w:p>
            <w:pPr>
              <w:spacing w:after="0"/>
              <w:rPr>
                <w:sz w:val="14"/>
                <w:szCs w:val="14"/>
                <w:color w:val="auto"/>
              </w:rPr>
            </w:pPr>
          </w:p>
        </w:tc>
        <w:tc>
          <w:tcPr>
            <w:tcW w:w="2000" w:type="dxa"/>
            <w:vAlign w:val="bottom"/>
            <w:tcBorders>
              <w:right w:val="single" w:sz="8" w:color="B6B6B6"/>
            </w:tcBorders>
          </w:tcPr>
          <w:p>
            <w:pPr>
              <w:spacing w:after="0"/>
              <w:rPr>
                <w:sz w:val="14"/>
                <w:szCs w:val="14"/>
                <w:color w:val="auto"/>
              </w:rPr>
            </w:pPr>
          </w:p>
        </w:tc>
        <w:tc>
          <w:tcPr>
            <w:tcW w:w="2820" w:type="dxa"/>
            <w:vAlign w:val="bottom"/>
            <w:tcBorders>
              <w:right w:val="single" w:sz="8" w:color="B6B6B6"/>
            </w:tcBorders>
            <w:gridSpan w:val="2"/>
          </w:tcPr>
          <w:p>
            <w:pPr>
              <w:ind w:left="20"/>
              <w:spacing w:after="0" w:line="166" w:lineRule="exact"/>
              <w:rPr>
                <w:sz w:val="20"/>
                <w:szCs w:val="20"/>
                <w:color w:val="auto"/>
              </w:rPr>
            </w:pPr>
            <w:r>
              <w:rPr>
                <w:rFonts w:ascii="Times New Roman" w:cs="Times New Roman" w:eastAsia="Times New Roman" w:hAnsi="Times New Roman"/>
                <w:sz w:val="18"/>
                <w:szCs w:val="18"/>
                <w:color w:val="auto"/>
              </w:rPr>
              <w:t>A component of a multi-agent</w:t>
            </w:r>
          </w:p>
        </w:tc>
        <w:tc>
          <w:tcPr>
            <w:tcW w:w="2800" w:type="dxa"/>
            <w:vAlign w:val="bottom"/>
            <w:tcBorders>
              <w:right w:val="single" w:sz="8" w:color="B6B6B6"/>
            </w:tcBorders>
            <w:gridSpan w:val="2"/>
          </w:tcPr>
          <w:p>
            <w:pPr>
              <w:spacing w:after="0" w:line="166" w:lineRule="exact"/>
              <w:rPr>
                <w:sz w:val="20"/>
                <w:szCs w:val="20"/>
                <w:color w:val="auto"/>
              </w:rPr>
            </w:pPr>
            <w:r>
              <w:rPr>
                <w:rFonts w:ascii="Times New Roman" w:cs="Times New Roman" w:eastAsia="Times New Roman" w:hAnsi="Times New Roman"/>
                <w:sz w:val="18"/>
                <w:szCs w:val="18"/>
                <w:color w:val="auto"/>
              </w:rPr>
              <w:t>June 2021</w:t>
            </w:r>
          </w:p>
        </w:tc>
        <w:tc>
          <w:tcPr>
            <w:tcW w:w="2820" w:type="dxa"/>
            <w:vAlign w:val="bottom"/>
            <w:tcBorders>
              <w:right w:val="single" w:sz="8" w:color="B6B6B6"/>
            </w:tcBorders>
            <w:gridSpan w:val="2"/>
          </w:tcPr>
          <w:p>
            <w:pPr>
              <w:ind w:left="20"/>
              <w:spacing w:after="0" w:line="166" w:lineRule="exact"/>
              <w:rPr>
                <w:sz w:val="20"/>
                <w:szCs w:val="20"/>
                <w:color w:val="auto"/>
              </w:rPr>
            </w:pPr>
            <w:r>
              <w:rPr>
                <w:rFonts w:ascii="Times New Roman" w:cs="Times New Roman" w:eastAsia="Times New Roman" w:hAnsi="Times New Roman"/>
                <w:sz w:val="18"/>
                <w:szCs w:val="18"/>
                <w:color w:val="auto"/>
              </w:rPr>
              <w:t>U.S.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640" w:type="dxa"/>
            <w:vAlign w:val="bottom"/>
            <w:tcBorders>
              <w:left w:val="single" w:sz="8" w:color="B6B6B6"/>
              <w:right w:val="single" w:sz="8" w:color="B6B6B6"/>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Rylaze® (asparaginase erwinia</w:t>
            </w:r>
          </w:p>
        </w:tc>
        <w:tc>
          <w:tcPr>
            <w:tcW w:w="2820" w:type="dxa"/>
            <w:vAlign w:val="bottom"/>
            <w:tcBorders>
              <w:right w:val="single" w:sz="8" w:color="B6B6B6"/>
            </w:tcBorders>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chemotherapeutic regimen for the</w:t>
            </w:r>
          </w:p>
        </w:tc>
        <w:tc>
          <w:tcPr>
            <w:tcW w:w="1620" w:type="dxa"/>
            <w:vAlign w:val="bottom"/>
          </w:tcPr>
          <w:p>
            <w:pPr>
              <w:spacing w:after="0"/>
              <w:rPr>
                <w:sz w:val="15"/>
                <w:szCs w:val="15"/>
                <w:color w:val="auto"/>
              </w:rPr>
            </w:pPr>
          </w:p>
        </w:tc>
        <w:tc>
          <w:tcPr>
            <w:tcW w:w="1180" w:type="dxa"/>
            <w:vAlign w:val="bottom"/>
            <w:tcBorders>
              <w:right w:val="single" w:sz="8" w:color="B6B6B6"/>
            </w:tcBorders>
          </w:tcPr>
          <w:p>
            <w:pPr>
              <w:spacing w:after="0"/>
              <w:rPr>
                <w:sz w:val="15"/>
                <w:szCs w:val="15"/>
                <w:color w:val="auto"/>
              </w:rPr>
            </w:pPr>
          </w:p>
        </w:tc>
        <w:tc>
          <w:tcPr>
            <w:tcW w:w="640" w:type="dxa"/>
            <w:vAlign w:val="bottom"/>
          </w:tcPr>
          <w:p>
            <w:pPr>
              <w:spacing w:after="0"/>
              <w:rPr>
                <w:sz w:val="15"/>
                <w:szCs w:val="15"/>
                <w:color w:val="auto"/>
              </w:rPr>
            </w:pPr>
          </w:p>
        </w:tc>
        <w:tc>
          <w:tcPr>
            <w:tcW w:w="2180" w:type="dxa"/>
            <w:vAlign w:val="bottom"/>
            <w:tcBorders>
              <w:right w:val="single" w:sz="8" w:color="B6B6B6"/>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5"/>
        </w:trPr>
        <w:tc>
          <w:tcPr>
            <w:tcW w:w="2640" w:type="dxa"/>
            <w:vAlign w:val="bottom"/>
            <w:tcBorders>
              <w:left w:val="single" w:sz="8" w:color="B6B6B6"/>
              <w:right w:val="single" w:sz="8" w:color="B6B6B6"/>
            </w:tcBorders>
            <w:gridSpan w:val="2"/>
            <w:vMerge w:val="continue"/>
          </w:tcPr>
          <w:p>
            <w:pPr>
              <w:spacing w:after="0"/>
              <w:rPr>
                <w:sz w:val="7"/>
                <w:szCs w:val="7"/>
                <w:color w:val="auto"/>
              </w:rPr>
            </w:pPr>
          </w:p>
        </w:tc>
        <w:tc>
          <w:tcPr>
            <w:tcW w:w="2820" w:type="dxa"/>
            <w:vAlign w:val="bottom"/>
            <w:tcBorders>
              <w:right w:val="single" w:sz="8" w:color="B6B6B6"/>
            </w:tcBorders>
            <w:gridSpan w:val="2"/>
            <w:vMerge w:val="restart"/>
          </w:tcPr>
          <w:p>
            <w:pPr>
              <w:ind w:left="20"/>
              <w:spacing w:after="0" w:line="178" w:lineRule="exact"/>
              <w:rPr>
                <w:sz w:val="20"/>
                <w:szCs w:val="20"/>
                <w:color w:val="auto"/>
              </w:rPr>
            </w:pPr>
            <w:r>
              <w:rPr>
                <w:rFonts w:ascii="Times New Roman" w:cs="Times New Roman" w:eastAsia="Times New Roman" w:hAnsi="Times New Roman"/>
                <w:sz w:val="18"/>
                <w:szCs w:val="18"/>
                <w:color w:val="auto"/>
              </w:rPr>
              <w:t>treatment of ALL or LBL in adult and</w:t>
            </w:r>
          </w:p>
        </w:tc>
        <w:tc>
          <w:tcPr>
            <w:tcW w:w="1620" w:type="dxa"/>
            <w:vAlign w:val="bottom"/>
          </w:tcPr>
          <w:p>
            <w:pPr>
              <w:spacing w:after="0"/>
              <w:rPr>
                <w:sz w:val="7"/>
                <w:szCs w:val="7"/>
                <w:color w:val="auto"/>
              </w:rPr>
            </w:pPr>
          </w:p>
        </w:tc>
        <w:tc>
          <w:tcPr>
            <w:tcW w:w="1180" w:type="dxa"/>
            <w:vAlign w:val="bottom"/>
            <w:tcBorders>
              <w:right w:val="single" w:sz="8" w:color="B6B6B6"/>
            </w:tcBorders>
          </w:tcPr>
          <w:p>
            <w:pPr>
              <w:spacing w:after="0"/>
              <w:rPr>
                <w:sz w:val="7"/>
                <w:szCs w:val="7"/>
                <w:color w:val="auto"/>
              </w:rPr>
            </w:pPr>
          </w:p>
        </w:tc>
        <w:tc>
          <w:tcPr>
            <w:tcW w:w="640" w:type="dxa"/>
            <w:vAlign w:val="bottom"/>
          </w:tcPr>
          <w:p>
            <w:pPr>
              <w:spacing w:after="0"/>
              <w:rPr>
                <w:sz w:val="7"/>
                <w:szCs w:val="7"/>
                <w:color w:val="auto"/>
              </w:rPr>
            </w:pPr>
          </w:p>
        </w:tc>
        <w:tc>
          <w:tcPr>
            <w:tcW w:w="2180" w:type="dxa"/>
            <w:vAlign w:val="bottom"/>
            <w:tcBorders>
              <w:right w:val="single" w:sz="8" w:color="B6B6B6"/>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640" w:type="dxa"/>
            <w:vAlign w:val="bottom"/>
            <w:tcBorders>
              <w:left w:val="single" w:sz="8" w:color="B6B6B6"/>
              <w:right w:val="single" w:sz="8" w:color="B6B6B6"/>
            </w:tcBorders>
            <w:gridSpan w:val="2"/>
            <w:vMerge w:val="restart"/>
          </w:tcPr>
          <w:p>
            <w:pPr>
              <w:ind w:left="40"/>
              <w:spacing w:after="0" w:line="182" w:lineRule="exact"/>
              <w:rPr>
                <w:sz w:val="20"/>
                <w:szCs w:val="20"/>
                <w:color w:val="auto"/>
              </w:rPr>
            </w:pPr>
            <w:r>
              <w:rPr>
                <w:rFonts w:ascii="Times New Roman" w:cs="Times New Roman" w:eastAsia="Times New Roman" w:hAnsi="Times New Roman"/>
                <w:sz w:val="18"/>
                <w:szCs w:val="18"/>
                <w:color w:val="auto"/>
              </w:rPr>
              <w:t>chrysanthemi (recombinant)-</w:t>
            </w:r>
          </w:p>
        </w:tc>
        <w:tc>
          <w:tcPr>
            <w:tcW w:w="2820" w:type="dxa"/>
            <w:vAlign w:val="bottom"/>
            <w:tcBorders>
              <w:right w:val="single" w:sz="8" w:color="B6B6B6"/>
            </w:tcBorders>
            <w:gridSpan w:val="2"/>
            <w:vMerge w:val="continue"/>
          </w:tcPr>
          <w:p>
            <w:pPr>
              <w:spacing w:after="0"/>
              <w:rPr>
                <w:sz w:val="8"/>
                <w:szCs w:val="8"/>
                <w:color w:val="auto"/>
              </w:rPr>
            </w:pPr>
          </w:p>
        </w:tc>
        <w:tc>
          <w:tcPr>
            <w:tcW w:w="1620" w:type="dxa"/>
            <w:vAlign w:val="bottom"/>
          </w:tcPr>
          <w:p>
            <w:pPr>
              <w:spacing w:after="0"/>
              <w:rPr>
                <w:sz w:val="8"/>
                <w:szCs w:val="8"/>
                <w:color w:val="auto"/>
              </w:rPr>
            </w:pPr>
          </w:p>
        </w:tc>
        <w:tc>
          <w:tcPr>
            <w:tcW w:w="1180" w:type="dxa"/>
            <w:vAlign w:val="bottom"/>
            <w:tcBorders>
              <w:right w:val="single" w:sz="8" w:color="B6B6B6"/>
            </w:tcBorders>
          </w:tcPr>
          <w:p>
            <w:pPr>
              <w:spacing w:after="0"/>
              <w:rPr>
                <w:sz w:val="8"/>
                <w:szCs w:val="8"/>
                <w:color w:val="auto"/>
              </w:rPr>
            </w:pPr>
          </w:p>
        </w:tc>
        <w:tc>
          <w:tcPr>
            <w:tcW w:w="640" w:type="dxa"/>
            <w:vAlign w:val="bottom"/>
          </w:tcPr>
          <w:p>
            <w:pPr>
              <w:spacing w:after="0"/>
              <w:rPr>
                <w:sz w:val="8"/>
                <w:szCs w:val="8"/>
                <w:color w:val="auto"/>
              </w:rPr>
            </w:pPr>
          </w:p>
        </w:tc>
        <w:tc>
          <w:tcPr>
            <w:tcW w:w="2180" w:type="dxa"/>
            <w:vAlign w:val="bottom"/>
            <w:tcBorders>
              <w:right w:val="single" w:sz="8" w:color="B6B6B6"/>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640" w:type="dxa"/>
            <w:vAlign w:val="bottom"/>
            <w:tcBorders>
              <w:left w:val="single" w:sz="8" w:color="B6B6B6"/>
              <w:right w:val="single" w:sz="8" w:color="B6B6B6"/>
            </w:tcBorders>
            <w:gridSpan w:val="2"/>
            <w:vMerge w:val="continue"/>
          </w:tcPr>
          <w:p>
            <w:pPr>
              <w:spacing w:after="0"/>
              <w:rPr>
                <w:sz w:val="7"/>
                <w:szCs w:val="7"/>
                <w:color w:val="auto"/>
              </w:rPr>
            </w:pPr>
          </w:p>
        </w:tc>
        <w:tc>
          <w:tcPr>
            <w:tcW w:w="2820" w:type="dxa"/>
            <w:vAlign w:val="bottom"/>
            <w:tcBorders>
              <w:right w:val="single" w:sz="8" w:color="B6B6B6"/>
            </w:tcBorders>
            <w:gridSpan w:val="2"/>
            <w:vMerge w:val="restart"/>
          </w:tcPr>
          <w:p>
            <w:pPr>
              <w:ind w:left="20"/>
              <w:spacing w:after="0" w:line="173" w:lineRule="exact"/>
              <w:rPr>
                <w:sz w:val="20"/>
                <w:szCs w:val="20"/>
                <w:color w:val="auto"/>
              </w:rPr>
            </w:pPr>
            <w:r>
              <w:rPr>
                <w:rFonts w:ascii="Times New Roman" w:cs="Times New Roman" w:eastAsia="Times New Roman" w:hAnsi="Times New Roman"/>
                <w:sz w:val="18"/>
                <w:szCs w:val="18"/>
                <w:color w:val="auto"/>
              </w:rPr>
              <w:t>pediatric patients 1 month or older</w:t>
            </w:r>
          </w:p>
        </w:tc>
        <w:tc>
          <w:tcPr>
            <w:tcW w:w="1620" w:type="dxa"/>
            <w:vAlign w:val="bottom"/>
          </w:tcPr>
          <w:p>
            <w:pPr>
              <w:spacing w:after="0"/>
              <w:rPr>
                <w:sz w:val="7"/>
                <w:szCs w:val="7"/>
                <w:color w:val="auto"/>
              </w:rPr>
            </w:pPr>
          </w:p>
        </w:tc>
        <w:tc>
          <w:tcPr>
            <w:tcW w:w="1180" w:type="dxa"/>
            <w:vAlign w:val="bottom"/>
            <w:tcBorders>
              <w:right w:val="single" w:sz="8" w:color="B6B6B6"/>
            </w:tcBorders>
          </w:tcPr>
          <w:p>
            <w:pPr>
              <w:spacing w:after="0"/>
              <w:rPr>
                <w:sz w:val="7"/>
                <w:szCs w:val="7"/>
                <w:color w:val="auto"/>
              </w:rPr>
            </w:pPr>
          </w:p>
        </w:tc>
        <w:tc>
          <w:tcPr>
            <w:tcW w:w="640" w:type="dxa"/>
            <w:vAlign w:val="bottom"/>
          </w:tcPr>
          <w:p>
            <w:pPr>
              <w:spacing w:after="0"/>
              <w:rPr>
                <w:sz w:val="7"/>
                <w:szCs w:val="7"/>
                <w:color w:val="auto"/>
              </w:rPr>
            </w:pPr>
          </w:p>
        </w:tc>
        <w:tc>
          <w:tcPr>
            <w:tcW w:w="2180" w:type="dxa"/>
            <w:vAlign w:val="bottom"/>
            <w:tcBorders>
              <w:right w:val="single" w:sz="8" w:color="B6B6B6"/>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640" w:type="dxa"/>
            <w:vAlign w:val="bottom"/>
            <w:tcBorders>
              <w:left w:val="single" w:sz="8" w:color="B6B6B6"/>
              <w:right w:val="single" w:sz="8" w:color="B6B6B6"/>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rywn)</w:t>
            </w:r>
          </w:p>
        </w:tc>
        <w:tc>
          <w:tcPr>
            <w:tcW w:w="2820" w:type="dxa"/>
            <w:vAlign w:val="bottom"/>
            <w:tcBorders>
              <w:right w:val="single" w:sz="8" w:color="B6B6B6"/>
            </w:tcBorders>
            <w:gridSpan w:val="2"/>
            <w:vMerge w:val="continue"/>
          </w:tcPr>
          <w:p>
            <w:pPr>
              <w:spacing w:after="0"/>
              <w:rPr>
                <w:sz w:val="7"/>
                <w:szCs w:val="7"/>
                <w:color w:val="auto"/>
              </w:rPr>
            </w:pPr>
          </w:p>
        </w:tc>
        <w:tc>
          <w:tcPr>
            <w:tcW w:w="1620" w:type="dxa"/>
            <w:vAlign w:val="bottom"/>
          </w:tcPr>
          <w:p>
            <w:pPr>
              <w:spacing w:after="0"/>
              <w:rPr>
                <w:sz w:val="7"/>
                <w:szCs w:val="7"/>
                <w:color w:val="auto"/>
              </w:rPr>
            </w:pPr>
          </w:p>
        </w:tc>
        <w:tc>
          <w:tcPr>
            <w:tcW w:w="1180" w:type="dxa"/>
            <w:vAlign w:val="bottom"/>
            <w:tcBorders>
              <w:right w:val="single" w:sz="8" w:color="B6B6B6"/>
            </w:tcBorders>
          </w:tcPr>
          <w:p>
            <w:pPr>
              <w:spacing w:after="0"/>
              <w:rPr>
                <w:sz w:val="7"/>
                <w:szCs w:val="7"/>
                <w:color w:val="auto"/>
              </w:rPr>
            </w:pPr>
          </w:p>
        </w:tc>
        <w:tc>
          <w:tcPr>
            <w:tcW w:w="640" w:type="dxa"/>
            <w:vAlign w:val="bottom"/>
          </w:tcPr>
          <w:p>
            <w:pPr>
              <w:spacing w:after="0"/>
              <w:rPr>
                <w:sz w:val="7"/>
                <w:szCs w:val="7"/>
                <w:color w:val="auto"/>
              </w:rPr>
            </w:pPr>
          </w:p>
        </w:tc>
        <w:tc>
          <w:tcPr>
            <w:tcW w:w="2180" w:type="dxa"/>
            <w:vAlign w:val="bottom"/>
            <w:tcBorders>
              <w:right w:val="single" w:sz="8" w:color="B6B6B6"/>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2640" w:type="dxa"/>
            <w:vAlign w:val="bottom"/>
            <w:tcBorders>
              <w:left w:val="single" w:sz="8" w:color="B6B6B6"/>
              <w:right w:val="single" w:sz="8" w:color="B6B6B6"/>
            </w:tcBorders>
            <w:gridSpan w:val="2"/>
            <w:vMerge w:val="continue"/>
          </w:tcPr>
          <w:p>
            <w:pPr>
              <w:spacing w:after="0"/>
              <w:rPr>
                <w:sz w:val="12"/>
                <w:szCs w:val="12"/>
                <w:color w:val="auto"/>
              </w:rPr>
            </w:pPr>
          </w:p>
        </w:tc>
        <w:tc>
          <w:tcPr>
            <w:tcW w:w="2820" w:type="dxa"/>
            <w:vAlign w:val="bottom"/>
            <w:tcBorders>
              <w:right w:val="single" w:sz="8" w:color="B6B6B6"/>
            </w:tcBorders>
            <w:gridSpan w:val="2"/>
            <w:vMerge w:val="restart"/>
          </w:tcPr>
          <w:p>
            <w:pPr>
              <w:ind w:left="20"/>
              <w:spacing w:after="0" w:line="182" w:lineRule="exact"/>
              <w:rPr>
                <w:sz w:val="20"/>
                <w:szCs w:val="20"/>
                <w:color w:val="auto"/>
              </w:rPr>
            </w:pPr>
            <w:r>
              <w:rPr>
                <w:rFonts w:ascii="Times New Roman" w:cs="Times New Roman" w:eastAsia="Times New Roman" w:hAnsi="Times New Roman"/>
                <w:sz w:val="18"/>
                <w:szCs w:val="18"/>
                <w:color w:val="auto"/>
              </w:rPr>
              <w:t>who have developed hypersensitivity</w:t>
            </w:r>
          </w:p>
        </w:tc>
        <w:tc>
          <w:tcPr>
            <w:tcW w:w="1620" w:type="dxa"/>
            <w:vAlign w:val="bottom"/>
          </w:tcPr>
          <w:p>
            <w:pPr>
              <w:spacing w:after="0"/>
              <w:rPr>
                <w:sz w:val="12"/>
                <w:szCs w:val="12"/>
                <w:color w:val="auto"/>
              </w:rPr>
            </w:pPr>
          </w:p>
        </w:tc>
        <w:tc>
          <w:tcPr>
            <w:tcW w:w="1180" w:type="dxa"/>
            <w:vAlign w:val="bottom"/>
            <w:tcBorders>
              <w:right w:val="single" w:sz="8" w:color="B6B6B6"/>
            </w:tcBorders>
          </w:tcPr>
          <w:p>
            <w:pPr>
              <w:spacing w:after="0"/>
              <w:rPr>
                <w:sz w:val="12"/>
                <w:szCs w:val="12"/>
                <w:color w:val="auto"/>
              </w:rPr>
            </w:pPr>
          </w:p>
        </w:tc>
        <w:tc>
          <w:tcPr>
            <w:tcW w:w="640" w:type="dxa"/>
            <w:vAlign w:val="bottom"/>
          </w:tcPr>
          <w:p>
            <w:pPr>
              <w:spacing w:after="0"/>
              <w:rPr>
                <w:sz w:val="12"/>
                <w:szCs w:val="12"/>
                <w:color w:val="auto"/>
              </w:rPr>
            </w:pPr>
          </w:p>
        </w:tc>
        <w:tc>
          <w:tcPr>
            <w:tcW w:w="2180" w:type="dxa"/>
            <w:vAlign w:val="bottom"/>
            <w:tcBorders>
              <w:right w:val="single" w:sz="8" w:color="B6B6B6"/>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0" w:type="dxa"/>
            <w:vAlign w:val="bottom"/>
            <w:tcBorders>
              <w:left w:val="single" w:sz="8" w:color="B6B6B6"/>
            </w:tcBorders>
          </w:tcPr>
          <w:p>
            <w:pPr>
              <w:spacing w:after="0"/>
              <w:rPr>
                <w:sz w:val="2"/>
                <w:szCs w:val="2"/>
                <w:color w:val="auto"/>
              </w:rPr>
            </w:pPr>
          </w:p>
        </w:tc>
        <w:tc>
          <w:tcPr>
            <w:tcW w:w="2000" w:type="dxa"/>
            <w:vAlign w:val="bottom"/>
            <w:tcBorders>
              <w:right w:val="single" w:sz="8" w:color="B6B6B6"/>
            </w:tcBorders>
          </w:tcPr>
          <w:p>
            <w:pPr>
              <w:spacing w:after="0"/>
              <w:rPr>
                <w:sz w:val="2"/>
                <w:szCs w:val="2"/>
                <w:color w:val="auto"/>
              </w:rPr>
            </w:pPr>
          </w:p>
        </w:tc>
        <w:tc>
          <w:tcPr>
            <w:tcW w:w="2820" w:type="dxa"/>
            <w:vAlign w:val="bottom"/>
            <w:tcBorders>
              <w:right w:val="single" w:sz="8" w:color="B6B6B6"/>
            </w:tcBorders>
            <w:gridSpan w:val="2"/>
            <w:vMerge w:val="continue"/>
          </w:tcPr>
          <w:p>
            <w:pPr>
              <w:spacing w:after="0"/>
              <w:rPr>
                <w:sz w:val="2"/>
                <w:szCs w:val="2"/>
                <w:color w:val="auto"/>
              </w:rPr>
            </w:pPr>
          </w:p>
        </w:tc>
        <w:tc>
          <w:tcPr>
            <w:tcW w:w="1620" w:type="dxa"/>
            <w:vAlign w:val="bottom"/>
          </w:tcPr>
          <w:p>
            <w:pPr>
              <w:spacing w:after="0"/>
              <w:rPr>
                <w:sz w:val="2"/>
                <w:szCs w:val="2"/>
                <w:color w:val="auto"/>
              </w:rPr>
            </w:pPr>
          </w:p>
        </w:tc>
        <w:tc>
          <w:tcPr>
            <w:tcW w:w="1180" w:type="dxa"/>
            <w:vAlign w:val="bottom"/>
            <w:tcBorders>
              <w:right w:val="single" w:sz="8" w:color="B6B6B6"/>
            </w:tcBorders>
          </w:tcPr>
          <w:p>
            <w:pPr>
              <w:spacing w:after="0"/>
              <w:rPr>
                <w:sz w:val="2"/>
                <w:szCs w:val="2"/>
                <w:color w:val="auto"/>
              </w:rPr>
            </w:pPr>
          </w:p>
        </w:tc>
        <w:tc>
          <w:tcPr>
            <w:tcW w:w="640" w:type="dxa"/>
            <w:vAlign w:val="bottom"/>
          </w:tcPr>
          <w:p>
            <w:pPr>
              <w:spacing w:after="0"/>
              <w:rPr>
                <w:sz w:val="2"/>
                <w:szCs w:val="2"/>
                <w:color w:val="auto"/>
              </w:rPr>
            </w:pPr>
          </w:p>
        </w:tc>
        <w:tc>
          <w:tcPr>
            <w:tcW w:w="2180" w:type="dxa"/>
            <w:vAlign w:val="bottom"/>
            <w:tcBorders>
              <w:right w:val="single" w:sz="8" w:color="B6B6B6"/>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640" w:type="dxa"/>
            <w:vAlign w:val="bottom"/>
            <w:tcBorders>
              <w:left w:val="single" w:sz="8" w:color="B6B6B6"/>
              <w:bottom w:val="single" w:sz="8" w:color="B6B6B6"/>
            </w:tcBorders>
          </w:tcPr>
          <w:p>
            <w:pPr>
              <w:spacing w:after="0"/>
              <w:rPr>
                <w:sz w:val="20"/>
                <w:szCs w:val="20"/>
                <w:color w:val="auto"/>
              </w:rPr>
            </w:pPr>
          </w:p>
        </w:tc>
        <w:tc>
          <w:tcPr>
            <w:tcW w:w="2000" w:type="dxa"/>
            <w:vAlign w:val="bottom"/>
            <w:tcBorders>
              <w:bottom w:val="single" w:sz="8" w:color="B6B6B6"/>
              <w:right w:val="single" w:sz="8" w:color="B6B6B6"/>
            </w:tcBorders>
          </w:tcPr>
          <w:p>
            <w:pPr>
              <w:spacing w:after="0"/>
              <w:rPr>
                <w:sz w:val="20"/>
                <w:szCs w:val="20"/>
                <w:color w:val="auto"/>
              </w:rPr>
            </w:pPr>
          </w:p>
        </w:tc>
        <w:tc>
          <w:tcPr>
            <w:tcW w:w="2820" w:type="dxa"/>
            <w:vAlign w:val="bottom"/>
            <w:tcBorders>
              <w:bottom w:val="single" w:sz="8" w:color="B6B6B6"/>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 E. coli-derived asparaginase.</w:t>
            </w:r>
          </w:p>
        </w:tc>
        <w:tc>
          <w:tcPr>
            <w:tcW w:w="1620" w:type="dxa"/>
            <w:vAlign w:val="bottom"/>
            <w:tcBorders>
              <w:bottom w:val="single" w:sz="8" w:color="B6B6B6"/>
            </w:tcBorders>
          </w:tcPr>
          <w:p>
            <w:pPr>
              <w:spacing w:after="0"/>
              <w:rPr>
                <w:sz w:val="20"/>
                <w:szCs w:val="20"/>
                <w:color w:val="auto"/>
              </w:rPr>
            </w:pPr>
          </w:p>
        </w:tc>
        <w:tc>
          <w:tcPr>
            <w:tcW w:w="1180" w:type="dxa"/>
            <w:vAlign w:val="bottom"/>
            <w:tcBorders>
              <w:bottom w:val="single" w:sz="8" w:color="B6B6B6"/>
              <w:right w:val="single" w:sz="8" w:color="B6B6B6"/>
            </w:tcBorders>
          </w:tcPr>
          <w:p>
            <w:pPr>
              <w:spacing w:after="0"/>
              <w:rPr>
                <w:sz w:val="20"/>
                <w:szCs w:val="20"/>
                <w:color w:val="auto"/>
              </w:rPr>
            </w:pPr>
          </w:p>
        </w:tc>
        <w:tc>
          <w:tcPr>
            <w:tcW w:w="640" w:type="dxa"/>
            <w:vAlign w:val="bottom"/>
            <w:tcBorders>
              <w:bottom w:val="single" w:sz="8" w:color="B6B6B6"/>
            </w:tcBorders>
          </w:tcPr>
          <w:p>
            <w:pPr>
              <w:spacing w:after="0"/>
              <w:rPr>
                <w:sz w:val="20"/>
                <w:szCs w:val="20"/>
                <w:color w:val="auto"/>
              </w:rPr>
            </w:pPr>
          </w:p>
        </w:tc>
        <w:tc>
          <w:tcPr>
            <w:tcW w:w="2180" w:type="dxa"/>
            <w:vAlign w:val="bottom"/>
            <w:tcBorders>
              <w:bottom w:val="single" w:sz="8" w:color="B6B6B6"/>
              <w:right w:val="single" w:sz="8" w:color="B6B6B6"/>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640" w:type="dxa"/>
            <w:vAlign w:val="bottom"/>
            <w:tcBorders>
              <w:left w:val="single" w:sz="8" w:color="B6B6B6"/>
            </w:tcBorders>
          </w:tcPr>
          <w:p>
            <w:pPr>
              <w:spacing w:after="0"/>
              <w:rPr>
                <w:sz w:val="14"/>
                <w:szCs w:val="14"/>
                <w:color w:val="auto"/>
              </w:rPr>
            </w:pPr>
          </w:p>
        </w:tc>
        <w:tc>
          <w:tcPr>
            <w:tcW w:w="2000" w:type="dxa"/>
            <w:vAlign w:val="bottom"/>
            <w:tcBorders>
              <w:right w:val="single" w:sz="8" w:color="B6B6B6"/>
            </w:tcBorders>
          </w:tcPr>
          <w:p>
            <w:pPr>
              <w:spacing w:after="0"/>
              <w:rPr>
                <w:sz w:val="14"/>
                <w:szCs w:val="14"/>
                <w:color w:val="auto"/>
              </w:rPr>
            </w:pPr>
          </w:p>
        </w:tc>
        <w:tc>
          <w:tcPr>
            <w:tcW w:w="2820" w:type="dxa"/>
            <w:vAlign w:val="bottom"/>
            <w:tcBorders>
              <w:right w:val="single" w:sz="8" w:color="B6B6B6"/>
            </w:tcBorders>
            <w:gridSpan w:val="2"/>
          </w:tcPr>
          <w:p>
            <w:pPr>
              <w:ind w:left="20"/>
              <w:spacing w:after="0" w:line="166" w:lineRule="exact"/>
              <w:rPr>
                <w:sz w:val="20"/>
                <w:szCs w:val="20"/>
                <w:color w:val="auto"/>
              </w:rPr>
            </w:pPr>
            <w:r>
              <w:rPr>
                <w:rFonts w:ascii="Times New Roman" w:cs="Times New Roman" w:eastAsia="Times New Roman" w:hAnsi="Times New Roman"/>
                <w:sz w:val="18"/>
                <w:szCs w:val="18"/>
                <w:color w:val="auto"/>
              </w:rPr>
              <w:t>A component of a multi-agent</w:t>
            </w:r>
          </w:p>
        </w:tc>
        <w:tc>
          <w:tcPr>
            <w:tcW w:w="2800" w:type="dxa"/>
            <w:vAlign w:val="bottom"/>
            <w:tcBorders>
              <w:right w:val="single" w:sz="8" w:color="B6B6B6"/>
            </w:tcBorders>
            <w:gridSpan w:val="2"/>
          </w:tcPr>
          <w:p>
            <w:pPr>
              <w:spacing w:after="0" w:line="166" w:lineRule="exact"/>
              <w:rPr>
                <w:sz w:val="20"/>
                <w:szCs w:val="20"/>
                <w:color w:val="auto"/>
              </w:rPr>
            </w:pPr>
            <w:r>
              <w:rPr>
                <w:rFonts w:ascii="Times New Roman" w:cs="Times New Roman" w:eastAsia="Times New Roman" w:hAnsi="Times New Roman"/>
                <w:sz w:val="18"/>
                <w:szCs w:val="18"/>
                <w:color w:val="auto"/>
              </w:rPr>
              <w:t>September 2022</w:t>
            </w:r>
          </w:p>
        </w:tc>
        <w:tc>
          <w:tcPr>
            <w:tcW w:w="2820" w:type="dxa"/>
            <w:vAlign w:val="bottom"/>
            <w:tcBorders>
              <w:right w:val="single" w:sz="8" w:color="B6B6B6"/>
            </w:tcBorders>
            <w:gridSpan w:val="2"/>
          </w:tcPr>
          <w:p>
            <w:pPr>
              <w:ind w:left="20"/>
              <w:spacing w:after="0" w:line="166" w:lineRule="exact"/>
              <w:rPr>
                <w:sz w:val="20"/>
                <w:szCs w:val="20"/>
                <w:color w:val="auto"/>
              </w:rPr>
            </w:pPr>
            <w:r>
              <w:rPr>
                <w:rFonts w:ascii="Times New Roman" w:cs="Times New Roman" w:eastAsia="Times New Roman" w:hAnsi="Times New Roman"/>
                <w:sz w:val="18"/>
                <w:szCs w:val="18"/>
                <w:color w:val="auto"/>
              </w:rPr>
              <w:t>Canada</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40" w:type="dxa"/>
            <w:vAlign w:val="bottom"/>
            <w:tcBorders>
              <w:left w:val="single" w:sz="8" w:color="B6B6B6"/>
            </w:tcBorders>
          </w:tcPr>
          <w:p>
            <w:pPr>
              <w:spacing w:after="0"/>
              <w:rPr>
                <w:sz w:val="15"/>
                <w:szCs w:val="15"/>
                <w:color w:val="auto"/>
              </w:rPr>
            </w:pPr>
          </w:p>
        </w:tc>
        <w:tc>
          <w:tcPr>
            <w:tcW w:w="200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chemotherapeutic regimen for the</w:t>
            </w:r>
          </w:p>
        </w:tc>
        <w:tc>
          <w:tcPr>
            <w:tcW w:w="1620" w:type="dxa"/>
            <w:vAlign w:val="bottom"/>
          </w:tcPr>
          <w:p>
            <w:pPr>
              <w:spacing w:after="0"/>
              <w:rPr>
                <w:sz w:val="15"/>
                <w:szCs w:val="15"/>
                <w:color w:val="auto"/>
              </w:rPr>
            </w:pPr>
          </w:p>
        </w:tc>
        <w:tc>
          <w:tcPr>
            <w:tcW w:w="1180" w:type="dxa"/>
            <w:vAlign w:val="bottom"/>
            <w:tcBorders>
              <w:right w:val="single" w:sz="8" w:color="B6B6B6"/>
            </w:tcBorders>
          </w:tcPr>
          <w:p>
            <w:pPr>
              <w:spacing w:after="0"/>
              <w:rPr>
                <w:sz w:val="15"/>
                <w:szCs w:val="15"/>
                <w:color w:val="auto"/>
              </w:rPr>
            </w:pPr>
          </w:p>
        </w:tc>
        <w:tc>
          <w:tcPr>
            <w:tcW w:w="640" w:type="dxa"/>
            <w:vAlign w:val="bottom"/>
          </w:tcPr>
          <w:p>
            <w:pPr>
              <w:spacing w:after="0"/>
              <w:rPr>
                <w:sz w:val="15"/>
                <w:szCs w:val="15"/>
                <w:color w:val="auto"/>
              </w:rPr>
            </w:pPr>
          </w:p>
        </w:tc>
        <w:tc>
          <w:tcPr>
            <w:tcW w:w="2180" w:type="dxa"/>
            <w:vAlign w:val="bottom"/>
            <w:tcBorders>
              <w:right w:val="single" w:sz="8" w:color="B6B6B6"/>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640" w:type="dxa"/>
            <w:vAlign w:val="bottom"/>
            <w:tcBorders>
              <w:left w:val="single" w:sz="8" w:color="B6B6B6"/>
              <w:right w:val="single" w:sz="8" w:color="B6B6B6"/>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Rylaze® (crisantaspase</w:t>
            </w:r>
          </w:p>
        </w:tc>
        <w:tc>
          <w:tcPr>
            <w:tcW w:w="2820" w:type="dxa"/>
            <w:vAlign w:val="bottom"/>
            <w:tcBorders>
              <w:right w:val="single" w:sz="8" w:color="B6B6B6"/>
            </w:tcBorders>
            <w:gridSpan w:val="2"/>
          </w:tcPr>
          <w:p>
            <w:pPr>
              <w:ind w:left="20"/>
              <w:spacing w:after="0" w:line="178" w:lineRule="exact"/>
              <w:rPr>
                <w:sz w:val="20"/>
                <w:szCs w:val="20"/>
                <w:color w:val="auto"/>
              </w:rPr>
            </w:pPr>
            <w:r>
              <w:rPr>
                <w:rFonts w:ascii="Times New Roman" w:cs="Times New Roman" w:eastAsia="Times New Roman" w:hAnsi="Times New Roman"/>
                <w:sz w:val="18"/>
                <w:szCs w:val="18"/>
                <w:color w:val="auto"/>
              </w:rPr>
              <w:t>treatment of ALL and LBL, in adults</w:t>
            </w:r>
          </w:p>
        </w:tc>
        <w:tc>
          <w:tcPr>
            <w:tcW w:w="1620" w:type="dxa"/>
            <w:vAlign w:val="bottom"/>
          </w:tcPr>
          <w:p>
            <w:pPr>
              <w:spacing w:after="0"/>
              <w:rPr>
                <w:sz w:val="15"/>
                <w:szCs w:val="15"/>
                <w:color w:val="auto"/>
              </w:rPr>
            </w:pPr>
          </w:p>
        </w:tc>
        <w:tc>
          <w:tcPr>
            <w:tcW w:w="1180" w:type="dxa"/>
            <w:vAlign w:val="bottom"/>
            <w:tcBorders>
              <w:right w:val="single" w:sz="8" w:color="B6B6B6"/>
            </w:tcBorders>
          </w:tcPr>
          <w:p>
            <w:pPr>
              <w:spacing w:after="0"/>
              <w:rPr>
                <w:sz w:val="15"/>
                <w:szCs w:val="15"/>
                <w:color w:val="auto"/>
              </w:rPr>
            </w:pPr>
          </w:p>
        </w:tc>
        <w:tc>
          <w:tcPr>
            <w:tcW w:w="640" w:type="dxa"/>
            <w:vAlign w:val="bottom"/>
          </w:tcPr>
          <w:p>
            <w:pPr>
              <w:spacing w:after="0"/>
              <w:rPr>
                <w:sz w:val="15"/>
                <w:szCs w:val="15"/>
                <w:color w:val="auto"/>
              </w:rPr>
            </w:pPr>
          </w:p>
        </w:tc>
        <w:tc>
          <w:tcPr>
            <w:tcW w:w="2180" w:type="dxa"/>
            <w:vAlign w:val="bottom"/>
            <w:tcBorders>
              <w:right w:val="single" w:sz="8" w:color="B6B6B6"/>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2640" w:type="dxa"/>
            <w:vAlign w:val="bottom"/>
            <w:tcBorders>
              <w:left w:val="single" w:sz="8" w:color="B6B6B6"/>
              <w:right w:val="single" w:sz="8" w:color="B6B6B6"/>
            </w:tcBorders>
            <w:gridSpan w:val="2"/>
            <w:vMerge w:val="continue"/>
          </w:tcPr>
          <w:p>
            <w:pPr>
              <w:spacing w:after="0"/>
              <w:rPr>
                <w:sz w:val="6"/>
                <w:szCs w:val="6"/>
                <w:color w:val="auto"/>
              </w:rPr>
            </w:pPr>
          </w:p>
        </w:tc>
        <w:tc>
          <w:tcPr>
            <w:tcW w:w="2820" w:type="dxa"/>
            <w:vAlign w:val="bottom"/>
            <w:tcBorders>
              <w:right w:val="single" w:sz="8" w:color="B6B6B6"/>
            </w:tcBorders>
            <w:gridSpan w:val="2"/>
            <w:vMerge w:val="restart"/>
          </w:tcPr>
          <w:p>
            <w:pPr>
              <w:ind w:left="20"/>
              <w:spacing w:after="0" w:line="173" w:lineRule="exact"/>
              <w:rPr>
                <w:sz w:val="20"/>
                <w:szCs w:val="20"/>
                <w:color w:val="auto"/>
              </w:rPr>
            </w:pPr>
            <w:r>
              <w:rPr>
                <w:rFonts w:ascii="Times New Roman" w:cs="Times New Roman" w:eastAsia="Times New Roman" w:hAnsi="Times New Roman"/>
                <w:sz w:val="18"/>
                <w:szCs w:val="18"/>
                <w:color w:val="auto"/>
              </w:rPr>
              <w:t>and pediatric patients 1 year or older</w:t>
            </w:r>
          </w:p>
        </w:tc>
        <w:tc>
          <w:tcPr>
            <w:tcW w:w="1620" w:type="dxa"/>
            <w:vAlign w:val="bottom"/>
          </w:tcPr>
          <w:p>
            <w:pPr>
              <w:spacing w:after="0"/>
              <w:rPr>
                <w:sz w:val="6"/>
                <w:szCs w:val="6"/>
                <w:color w:val="auto"/>
              </w:rPr>
            </w:pPr>
          </w:p>
        </w:tc>
        <w:tc>
          <w:tcPr>
            <w:tcW w:w="1180" w:type="dxa"/>
            <w:vAlign w:val="bottom"/>
            <w:tcBorders>
              <w:right w:val="single" w:sz="8" w:color="B6B6B6"/>
            </w:tcBorders>
          </w:tcPr>
          <w:p>
            <w:pPr>
              <w:spacing w:after="0"/>
              <w:rPr>
                <w:sz w:val="6"/>
                <w:szCs w:val="6"/>
                <w:color w:val="auto"/>
              </w:rPr>
            </w:pPr>
          </w:p>
        </w:tc>
        <w:tc>
          <w:tcPr>
            <w:tcW w:w="640" w:type="dxa"/>
            <w:vAlign w:val="bottom"/>
          </w:tcPr>
          <w:p>
            <w:pPr>
              <w:spacing w:after="0"/>
              <w:rPr>
                <w:sz w:val="6"/>
                <w:szCs w:val="6"/>
                <w:color w:val="auto"/>
              </w:rPr>
            </w:pPr>
          </w:p>
        </w:tc>
        <w:tc>
          <w:tcPr>
            <w:tcW w:w="2180" w:type="dxa"/>
            <w:vAlign w:val="bottom"/>
            <w:tcBorders>
              <w:right w:val="single" w:sz="8" w:color="B6B6B6"/>
            </w:tcBorders>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640" w:type="dxa"/>
            <w:vAlign w:val="bottom"/>
            <w:tcBorders>
              <w:left w:val="single" w:sz="8" w:color="B6B6B6"/>
              <w:right w:val="single" w:sz="8" w:color="B6B6B6"/>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recombinant)</w:t>
            </w:r>
          </w:p>
        </w:tc>
        <w:tc>
          <w:tcPr>
            <w:tcW w:w="2820" w:type="dxa"/>
            <w:vAlign w:val="bottom"/>
            <w:tcBorders>
              <w:right w:val="single" w:sz="8" w:color="B6B6B6"/>
            </w:tcBorders>
            <w:gridSpan w:val="2"/>
            <w:vMerge w:val="continue"/>
          </w:tcPr>
          <w:p>
            <w:pPr>
              <w:spacing w:after="0"/>
              <w:rPr>
                <w:sz w:val="8"/>
                <w:szCs w:val="8"/>
                <w:color w:val="auto"/>
              </w:rPr>
            </w:pPr>
          </w:p>
        </w:tc>
        <w:tc>
          <w:tcPr>
            <w:tcW w:w="1620" w:type="dxa"/>
            <w:vAlign w:val="bottom"/>
          </w:tcPr>
          <w:p>
            <w:pPr>
              <w:spacing w:after="0"/>
              <w:rPr>
                <w:sz w:val="8"/>
                <w:szCs w:val="8"/>
                <w:color w:val="auto"/>
              </w:rPr>
            </w:pPr>
          </w:p>
        </w:tc>
        <w:tc>
          <w:tcPr>
            <w:tcW w:w="1180" w:type="dxa"/>
            <w:vAlign w:val="bottom"/>
            <w:tcBorders>
              <w:right w:val="single" w:sz="8" w:color="B6B6B6"/>
            </w:tcBorders>
          </w:tcPr>
          <w:p>
            <w:pPr>
              <w:spacing w:after="0"/>
              <w:rPr>
                <w:sz w:val="8"/>
                <w:szCs w:val="8"/>
                <w:color w:val="auto"/>
              </w:rPr>
            </w:pPr>
          </w:p>
        </w:tc>
        <w:tc>
          <w:tcPr>
            <w:tcW w:w="640" w:type="dxa"/>
            <w:vAlign w:val="bottom"/>
          </w:tcPr>
          <w:p>
            <w:pPr>
              <w:spacing w:after="0"/>
              <w:rPr>
                <w:sz w:val="8"/>
                <w:szCs w:val="8"/>
                <w:color w:val="auto"/>
              </w:rPr>
            </w:pPr>
          </w:p>
        </w:tc>
        <w:tc>
          <w:tcPr>
            <w:tcW w:w="2180" w:type="dxa"/>
            <w:vAlign w:val="bottom"/>
            <w:tcBorders>
              <w:right w:val="single" w:sz="8" w:color="B6B6B6"/>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2640" w:type="dxa"/>
            <w:vAlign w:val="bottom"/>
            <w:tcBorders>
              <w:left w:val="single" w:sz="8" w:color="B6B6B6"/>
              <w:right w:val="single" w:sz="8" w:color="B6B6B6"/>
            </w:tcBorders>
            <w:gridSpan w:val="2"/>
            <w:vMerge w:val="continue"/>
          </w:tcPr>
          <w:p>
            <w:pPr>
              <w:spacing w:after="0"/>
              <w:rPr>
                <w:sz w:val="12"/>
                <w:szCs w:val="12"/>
                <w:color w:val="auto"/>
              </w:rPr>
            </w:pPr>
          </w:p>
        </w:tc>
        <w:tc>
          <w:tcPr>
            <w:tcW w:w="2820" w:type="dxa"/>
            <w:vAlign w:val="bottom"/>
            <w:tcBorders>
              <w:right w:val="single" w:sz="8" w:color="B6B6B6"/>
            </w:tcBorders>
            <w:gridSpan w:val="2"/>
            <w:vMerge w:val="restart"/>
          </w:tcPr>
          <w:p>
            <w:pPr>
              <w:ind w:left="20"/>
              <w:spacing w:after="0" w:line="182" w:lineRule="exact"/>
              <w:rPr>
                <w:sz w:val="20"/>
                <w:szCs w:val="20"/>
                <w:color w:val="auto"/>
              </w:rPr>
            </w:pPr>
            <w:r>
              <w:rPr>
                <w:rFonts w:ascii="Times New Roman" w:cs="Times New Roman" w:eastAsia="Times New Roman" w:hAnsi="Times New Roman"/>
                <w:sz w:val="18"/>
                <w:szCs w:val="18"/>
                <w:color w:val="auto"/>
              </w:rPr>
              <w:t>who have developed hypersensitivity</w:t>
            </w:r>
          </w:p>
        </w:tc>
        <w:tc>
          <w:tcPr>
            <w:tcW w:w="1620" w:type="dxa"/>
            <w:vAlign w:val="bottom"/>
          </w:tcPr>
          <w:p>
            <w:pPr>
              <w:spacing w:after="0"/>
              <w:rPr>
                <w:sz w:val="12"/>
                <w:szCs w:val="12"/>
                <w:color w:val="auto"/>
              </w:rPr>
            </w:pPr>
          </w:p>
        </w:tc>
        <w:tc>
          <w:tcPr>
            <w:tcW w:w="1180" w:type="dxa"/>
            <w:vAlign w:val="bottom"/>
            <w:tcBorders>
              <w:right w:val="single" w:sz="8" w:color="B6B6B6"/>
            </w:tcBorders>
          </w:tcPr>
          <w:p>
            <w:pPr>
              <w:spacing w:after="0"/>
              <w:rPr>
                <w:sz w:val="12"/>
                <w:szCs w:val="12"/>
                <w:color w:val="auto"/>
              </w:rPr>
            </w:pPr>
          </w:p>
        </w:tc>
        <w:tc>
          <w:tcPr>
            <w:tcW w:w="640" w:type="dxa"/>
            <w:vAlign w:val="bottom"/>
          </w:tcPr>
          <w:p>
            <w:pPr>
              <w:spacing w:after="0"/>
              <w:rPr>
                <w:sz w:val="12"/>
                <w:szCs w:val="12"/>
                <w:color w:val="auto"/>
              </w:rPr>
            </w:pPr>
          </w:p>
        </w:tc>
        <w:tc>
          <w:tcPr>
            <w:tcW w:w="2180" w:type="dxa"/>
            <w:vAlign w:val="bottom"/>
            <w:tcBorders>
              <w:right w:val="single" w:sz="8" w:color="B6B6B6"/>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640" w:type="dxa"/>
            <w:vAlign w:val="bottom"/>
            <w:tcBorders>
              <w:left w:val="single" w:sz="8" w:color="B6B6B6"/>
            </w:tcBorders>
          </w:tcPr>
          <w:p>
            <w:pPr>
              <w:spacing w:after="0"/>
              <w:rPr>
                <w:sz w:val="3"/>
                <w:szCs w:val="3"/>
                <w:color w:val="auto"/>
              </w:rPr>
            </w:pPr>
          </w:p>
        </w:tc>
        <w:tc>
          <w:tcPr>
            <w:tcW w:w="2000" w:type="dxa"/>
            <w:vAlign w:val="bottom"/>
            <w:tcBorders>
              <w:right w:val="single" w:sz="8" w:color="B6B6B6"/>
            </w:tcBorders>
          </w:tcPr>
          <w:p>
            <w:pPr>
              <w:spacing w:after="0"/>
              <w:rPr>
                <w:sz w:val="3"/>
                <w:szCs w:val="3"/>
                <w:color w:val="auto"/>
              </w:rPr>
            </w:pPr>
          </w:p>
        </w:tc>
        <w:tc>
          <w:tcPr>
            <w:tcW w:w="2820" w:type="dxa"/>
            <w:vAlign w:val="bottom"/>
            <w:tcBorders>
              <w:right w:val="single" w:sz="8" w:color="B6B6B6"/>
            </w:tcBorders>
            <w:gridSpan w:val="2"/>
            <w:vMerge w:val="continue"/>
          </w:tcPr>
          <w:p>
            <w:pPr>
              <w:spacing w:after="0"/>
              <w:rPr>
                <w:sz w:val="3"/>
                <w:szCs w:val="3"/>
                <w:color w:val="auto"/>
              </w:rPr>
            </w:pPr>
          </w:p>
        </w:tc>
        <w:tc>
          <w:tcPr>
            <w:tcW w:w="1620" w:type="dxa"/>
            <w:vAlign w:val="bottom"/>
          </w:tcPr>
          <w:p>
            <w:pPr>
              <w:spacing w:after="0"/>
              <w:rPr>
                <w:sz w:val="3"/>
                <w:szCs w:val="3"/>
                <w:color w:val="auto"/>
              </w:rPr>
            </w:pPr>
          </w:p>
        </w:tc>
        <w:tc>
          <w:tcPr>
            <w:tcW w:w="1180" w:type="dxa"/>
            <w:vAlign w:val="bottom"/>
            <w:tcBorders>
              <w:right w:val="single" w:sz="8" w:color="B6B6B6"/>
            </w:tcBorders>
          </w:tcPr>
          <w:p>
            <w:pPr>
              <w:spacing w:after="0"/>
              <w:rPr>
                <w:sz w:val="3"/>
                <w:szCs w:val="3"/>
                <w:color w:val="auto"/>
              </w:rPr>
            </w:pPr>
          </w:p>
        </w:tc>
        <w:tc>
          <w:tcPr>
            <w:tcW w:w="640" w:type="dxa"/>
            <w:vAlign w:val="bottom"/>
          </w:tcPr>
          <w:p>
            <w:pPr>
              <w:spacing w:after="0"/>
              <w:rPr>
                <w:sz w:val="3"/>
                <w:szCs w:val="3"/>
                <w:color w:val="auto"/>
              </w:rPr>
            </w:pPr>
          </w:p>
        </w:tc>
        <w:tc>
          <w:tcPr>
            <w:tcW w:w="2180" w:type="dxa"/>
            <w:vAlign w:val="bottom"/>
            <w:tcBorders>
              <w:right w:val="single" w:sz="8" w:color="B6B6B6"/>
            </w:tcBorders>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40" w:type="dxa"/>
            <w:vAlign w:val="bottom"/>
            <w:tcBorders>
              <w:left w:val="single" w:sz="8" w:color="B6B6B6"/>
            </w:tcBorders>
          </w:tcPr>
          <w:p>
            <w:pPr>
              <w:spacing w:after="0"/>
              <w:rPr>
                <w:sz w:val="15"/>
                <w:szCs w:val="15"/>
                <w:color w:val="auto"/>
              </w:rPr>
            </w:pPr>
          </w:p>
        </w:tc>
        <w:tc>
          <w:tcPr>
            <w:tcW w:w="200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gridSpan w:val="2"/>
          </w:tcPr>
          <w:p>
            <w:pPr>
              <w:ind w:left="20"/>
              <w:spacing w:after="0" w:line="178" w:lineRule="exact"/>
              <w:rPr>
                <w:sz w:val="20"/>
                <w:szCs w:val="20"/>
                <w:color w:val="auto"/>
              </w:rPr>
            </w:pPr>
            <w:r>
              <w:rPr>
                <w:rFonts w:ascii="Times New Roman" w:cs="Times New Roman" w:eastAsia="Times New Roman" w:hAnsi="Times New Roman"/>
                <w:sz w:val="18"/>
                <w:szCs w:val="18"/>
                <w:color w:val="auto"/>
              </w:rPr>
              <w:t>to</w:t>
            </w:r>
          </w:p>
        </w:tc>
        <w:tc>
          <w:tcPr>
            <w:tcW w:w="1620" w:type="dxa"/>
            <w:vAlign w:val="bottom"/>
          </w:tcPr>
          <w:p>
            <w:pPr>
              <w:spacing w:after="0"/>
              <w:rPr>
                <w:sz w:val="15"/>
                <w:szCs w:val="15"/>
                <w:color w:val="auto"/>
              </w:rPr>
            </w:pPr>
          </w:p>
        </w:tc>
        <w:tc>
          <w:tcPr>
            <w:tcW w:w="1180" w:type="dxa"/>
            <w:vAlign w:val="bottom"/>
            <w:tcBorders>
              <w:right w:val="single" w:sz="8" w:color="B6B6B6"/>
            </w:tcBorders>
          </w:tcPr>
          <w:p>
            <w:pPr>
              <w:spacing w:after="0"/>
              <w:rPr>
                <w:sz w:val="15"/>
                <w:szCs w:val="15"/>
                <w:color w:val="auto"/>
              </w:rPr>
            </w:pPr>
          </w:p>
        </w:tc>
        <w:tc>
          <w:tcPr>
            <w:tcW w:w="640" w:type="dxa"/>
            <w:vAlign w:val="bottom"/>
          </w:tcPr>
          <w:p>
            <w:pPr>
              <w:spacing w:after="0"/>
              <w:rPr>
                <w:sz w:val="15"/>
                <w:szCs w:val="15"/>
                <w:color w:val="auto"/>
              </w:rPr>
            </w:pPr>
          </w:p>
        </w:tc>
        <w:tc>
          <w:tcPr>
            <w:tcW w:w="2180" w:type="dxa"/>
            <w:vAlign w:val="bottom"/>
            <w:tcBorders>
              <w:right w:val="single" w:sz="8" w:color="B6B6B6"/>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40" w:type="dxa"/>
            <w:vAlign w:val="bottom"/>
            <w:tcBorders>
              <w:left w:val="single" w:sz="8" w:color="B6B6B6"/>
              <w:bottom w:val="single" w:sz="8" w:color="929292"/>
            </w:tcBorders>
          </w:tcPr>
          <w:p>
            <w:pPr>
              <w:spacing w:after="0"/>
              <w:rPr>
                <w:sz w:val="19"/>
                <w:szCs w:val="19"/>
                <w:color w:val="auto"/>
              </w:rPr>
            </w:pPr>
          </w:p>
        </w:tc>
        <w:tc>
          <w:tcPr>
            <w:tcW w:w="2000" w:type="dxa"/>
            <w:vAlign w:val="bottom"/>
            <w:tcBorders>
              <w:bottom w:val="single" w:sz="8" w:color="929292"/>
              <w:right w:val="single" w:sz="8" w:color="B6B6B6"/>
            </w:tcBorders>
          </w:tcPr>
          <w:p>
            <w:pPr>
              <w:spacing w:after="0"/>
              <w:rPr>
                <w:sz w:val="19"/>
                <w:szCs w:val="19"/>
                <w:color w:val="auto"/>
              </w:rPr>
            </w:pPr>
          </w:p>
        </w:tc>
        <w:tc>
          <w:tcPr>
            <w:tcW w:w="2820" w:type="dxa"/>
            <w:vAlign w:val="bottom"/>
            <w:tcBorders>
              <w:bottom w:val="single" w:sz="8" w:color="929292"/>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E. coli-derived asparaginase.</w:t>
            </w:r>
          </w:p>
        </w:tc>
        <w:tc>
          <w:tcPr>
            <w:tcW w:w="1620" w:type="dxa"/>
            <w:vAlign w:val="bottom"/>
            <w:tcBorders>
              <w:bottom w:val="single" w:sz="8" w:color="929292"/>
            </w:tcBorders>
          </w:tcPr>
          <w:p>
            <w:pPr>
              <w:spacing w:after="0"/>
              <w:rPr>
                <w:sz w:val="19"/>
                <w:szCs w:val="19"/>
                <w:color w:val="auto"/>
              </w:rPr>
            </w:pPr>
          </w:p>
        </w:tc>
        <w:tc>
          <w:tcPr>
            <w:tcW w:w="1180" w:type="dxa"/>
            <w:vAlign w:val="bottom"/>
            <w:tcBorders>
              <w:bottom w:val="single" w:sz="8" w:color="929292"/>
              <w:right w:val="single" w:sz="8" w:color="B6B6B6"/>
            </w:tcBorders>
          </w:tcPr>
          <w:p>
            <w:pPr>
              <w:spacing w:after="0"/>
              <w:rPr>
                <w:sz w:val="19"/>
                <w:szCs w:val="19"/>
                <w:color w:val="auto"/>
              </w:rPr>
            </w:pPr>
          </w:p>
        </w:tc>
        <w:tc>
          <w:tcPr>
            <w:tcW w:w="640" w:type="dxa"/>
            <w:vAlign w:val="bottom"/>
            <w:tcBorders>
              <w:bottom w:val="single" w:sz="8" w:color="929292"/>
            </w:tcBorders>
          </w:tcPr>
          <w:p>
            <w:pPr>
              <w:spacing w:after="0"/>
              <w:rPr>
                <w:sz w:val="19"/>
                <w:szCs w:val="19"/>
                <w:color w:val="auto"/>
              </w:rPr>
            </w:pPr>
          </w:p>
        </w:tc>
        <w:tc>
          <w:tcPr>
            <w:tcW w:w="2180" w:type="dxa"/>
            <w:vAlign w:val="bottom"/>
            <w:tcBorders>
              <w:bottom w:val="single" w:sz="8" w:color="929292"/>
              <w:right w:val="single" w:sz="8" w:color="B6B6B6"/>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640" w:type="dxa"/>
            <w:vAlign w:val="bottom"/>
            <w:tcBorders>
              <w:left w:val="single" w:sz="8" w:color="B6B6B6"/>
            </w:tcBorders>
          </w:tcPr>
          <w:p>
            <w:pPr>
              <w:spacing w:after="0"/>
              <w:rPr>
                <w:sz w:val="14"/>
                <w:szCs w:val="14"/>
                <w:color w:val="auto"/>
              </w:rPr>
            </w:pPr>
          </w:p>
        </w:tc>
        <w:tc>
          <w:tcPr>
            <w:tcW w:w="2000" w:type="dxa"/>
            <w:vAlign w:val="bottom"/>
            <w:tcBorders>
              <w:right w:val="single" w:sz="8" w:color="B6B6B6"/>
            </w:tcBorders>
          </w:tcPr>
          <w:p>
            <w:pPr>
              <w:spacing w:after="0"/>
              <w:rPr>
                <w:sz w:val="14"/>
                <w:szCs w:val="14"/>
                <w:color w:val="auto"/>
              </w:rPr>
            </w:pPr>
          </w:p>
        </w:tc>
        <w:tc>
          <w:tcPr>
            <w:tcW w:w="2820" w:type="dxa"/>
            <w:vAlign w:val="bottom"/>
            <w:tcBorders>
              <w:right w:val="single" w:sz="8" w:color="B6B6B6"/>
            </w:tcBorders>
            <w:gridSpan w:val="2"/>
          </w:tcPr>
          <w:p>
            <w:pPr>
              <w:ind w:left="20"/>
              <w:spacing w:after="0" w:line="166" w:lineRule="exact"/>
              <w:rPr>
                <w:sz w:val="20"/>
                <w:szCs w:val="20"/>
                <w:color w:val="auto"/>
              </w:rPr>
            </w:pPr>
            <w:r>
              <w:rPr>
                <w:rFonts w:ascii="Times New Roman" w:cs="Times New Roman" w:eastAsia="Times New Roman" w:hAnsi="Times New Roman"/>
                <w:sz w:val="18"/>
                <w:szCs w:val="18"/>
                <w:color w:val="auto"/>
              </w:rPr>
              <w:t>A component of a multi-agent</w:t>
            </w:r>
          </w:p>
        </w:tc>
        <w:tc>
          <w:tcPr>
            <w:tcW w:w="2800" w:type="dxa"/>
            <w:vAlign w:val="bottom"/>
            <w:tcBorders>
              <w:right w:val="single" w:sz="8" w:color="B6B6B6"/>
            </w:tcBorders>
            <w:gridSpan w:val="2"/>
          </w:tcPr>
          <w:p>
            <w:pPr>
              <w:spacing w:after="0" w:line="166" w:lineRule="exact"/>
              <w:rPr>
                <w:sz w:val="20"/>
                <w:szCs w:val="20"/>
                <w:color w:val="auto"/>
              </w:rPr>
            </w:pPr>
            <w:r>
              <w:rPr>
                <w:rFonts w:ascii="Times New Roman" w:cs="Times New Roman" w:eastAsia="Times New Roman" w:hAnsi="Times New Roman"/>
                <w:sz w:val="18"/>
                <w:szCs w:val="18"/>
                <w:color w:val="auto"/>
              </w:rPr>
              <w:t>September 2023</w:t>
            </w:r>
          </w:p>
        </w:tc>
        <w:tc>
          <w:tcPr>
            <w:tcW w:w="2820" w:type="dxa"/>
            <w:vAlign w:val="bottom"/>
            <w:tcBorders>
              <w:right w:val="single" w:sz="8" w:color="B6B6B6"/>
            </w:tcBorders>
            <w:gridSpan w:val="2"/>
          </w:tcPr>
          <w:p>
            <w:pPr>
              <w:ind w:left="20"/>
              <w:spacing w:after="0" w:line="166" w:lineRule="exact"/>
              <w:rPr>
                <w:sz w:val="20"/>
                <w:szCs w:val="20"/>
                <w:color w:val="auto"/>
              </w:rPr>
            </w:pPr>
            <w:r>
              <w:rPr>
                <w:rFonts w:ascii="Times New Roman" w:cs="Times New Roman" w:eastAsia="Times New Roman" w:hAnsi="Times New Roman"/>
                <w:sz w:val="18"/>
                <w:szCs w:val="18"/>
                <w:color w:val="auto"/>
              </w:rPr>
              <w:t>EU, Great Britain</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40" w:type="dxa"/>
            <w:vAlign w:val="bottom"/>
            <w:tcBorders>
              <w:left w:val="single" w:sz="8" w:color="B6B6B6"/>
            </w:tcBorders>
          </w:tcPr>
          <w:p>
            <w:pPr>
              <w:spacing w:after="0"/>
              <w:rPr>
                <w:sz w:val="15"/>
                <w:szCs w:val="15"/>
                <w:color w:val="auto"/>
              </w:rPr>
            </w:pPr>
          </w:p>
        </w:tc>
        <w:tc>
          <w:tcPr>
            <w:tcW w:w="200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chemotherapeutic regimen for the</w:t>
            </w:r>
          </w:p>
        </w:tc>
        <w:tc>
          <w:tcPr>
            <w:tcW w:w="1620" w:type="dxa"/>
            <w:vAlign w:val="bottom"/>
          </w:tcPr>
          <w:p>
            <w:pPr>
              <w:spacing w:after="0"/>
              <w:rPr>
                <w:sz w:val="15"/>
                <w:szCs w:val="15"/>
                <w:color w:val="auto"/>
              </w:rPr>
            </w:pPr>
          </w:p>
        </w:tc>
        <w:tc>
          <w:tcPr>
            <w:tcW w:w="1180" w:type="dxa"/>
            <w:vAlign w:val="bottom"/>
            <w:tcBorders>
              <w:right w:val="single" w:sz="8" w:color="B6B6B6"/>
            </w:tcBorders>
          </w:tcPr>
          <w:p>
            <w:pPr>
              <w:spacing w:after="0"/>
              <w:rPr>
                <w:sz w:val="15"/>
                <w:szCs w:val="15"/>
                <w:color w:val="auto"/>
              </w:rPr>
            </w:pPr>
          </w:p>
        </w:tc>
        <w:tc>
          <w:tcPr>
            <w:tcW w:w="640" w:type="dxa"/>
            <w:vAlign w:val="bottom"/>
          </w:tcPr>
          <w:p>
            <w:pPr>
              <w:spacing w:after="0"/>
              <w:rPr>
                <w:sz w:val="15"/>
                <w:szCs w:val="15"/>
                <w:color w:val="auto"/>
              </w:rPr>
            </w:pPr>
          </w:p>
        </w:tc>
        <w:tc>
          <w:tcPr>
            <w:tcW w:w="2180" w:type="dxa"/>
            <w:vAlign w:val="bottom"/>
            <w:tcBorders>
              <w:right w:val="single" w:sz="8" w:color="B6B6B6"/>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640" w:type="dxa"/>
            <w:vAlign w:val="bottom"/>
            <w:tcBorders>
              <w:left w:val="single" w:sz="8" w:color="B6B6B6"/>
              <w:right w:val="single" w:sz="8" w:color="B6B6B6"/>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Enrylaze® (recombinant</w:t>
            </w:r>
          </w:p>
        </w:tc>
        <w:tc>
          <w:tcPr>
            <w:tcW w:w="2820" w:type="dxa"/>
            <w:vAlign w:val="bottom"/>
            <w:tcBorders>
              <w:right w:val="single" w:sz="8" w:color="B6B6B6"/>
            </w:tcBorders>
            <w:gridSpan w:val="2"/>
          </w:tcPr>
          <w:p>
            <w:pPr>
              <w:ind w:left="20"/>
              <w:spacing w:after="0" w:line="178" w:lineRule="exact"/>
              <w:rPr>
                <w:sz w:val="20"/>
                <w:szCs w:val="20"/>
                <w:color w:val="auto"/>
              </w:rPr>
            </w:pPr>
            <w:r>
              <w:rPr>
                <w:rFonts w:ascii="Times New Roman" w:cs="Times New Roman" w:eastAsia="Times New Roman" w:hAnsi="Times New Roman"/>
                <w:sz w:val="18"/>
                <w:szCs w:val="18"/>
                <w:color w:val="auto"/>
              </w:rPr>
              <w:t>treatment of ALL and LBL in adult</w:t>
            </w:r>
          </w:p>
        </w:tc>
        <w:tc>
          <w:tcPr>
            <w:tcW w:w="1620" w:type="dxa"/>
            <w:vAlign w:val="bottom"/>
          </w:tcPr>
          <w:p>
            <w:pPr>
              <w:spacing w:after="0"/>
              <w:rPr>
                <w:sz w:val="15"/>
                <w:szCs w:val="15"/>
                <w:color w:val="auto"/>
              </w:rPr>
            </w:pPr>
          </w:p>
        </w:tc>
        <w:tc>
          <w:tcPr>
            <w:tcW w:w="1180" w:type="dxa"/>
            <w:vAlign w:val="bottom"/>
            <w:tcBorders>
              <w:right w:val="single" w:sz="8" w:color="B6B6B6"/>
            </w:tcBorders>
          </w:tcPr>
          <w:p>
            <w:pPr>
              <w:spacing w:after="0"/>
              <w:rPr>
                <w:sz w:val="15"/>
                <w:szCs w:val="15"/>
                <w:color w:val="auto"/>
              </w:rPr>
            </w:pPr>
          </w:p>
        </w:tc>
        <w:tc>
          <w:tcPr>
            <w:tcW w:w="640" w:type="dxa"/>
            <w:vAlign w:val="bottom"/>
          </w:tcPr>
          <w:p>
            <w:pPr>
              <w:spacing w:after="0"/>
              <w:rPr>
                <w:sz w:val="15"/>
                <w:szCs w:val="15"/>
                <w:color w:val="auto"/>
              </w:rPr>
            </w:pPr>
          </w:p>
        </w:tc>
        <w:tc>
          <w:tcPr>
            <w:tcW w:w="2180" w:type="dxa"/>
            <w:vAlign w:val="bottom"/>
            <w:tcBorders>
              <w:right w:val="single" w:sz="8" w:color="B6B6B6"/>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2640" w:type="dxa"/>
            <w:vAlign w:val="bottom"/>
            <w:tcBorders>
              <w:left w:val="single" w:sz="8" w:color="B6B6B6"/>
              <w:right w:val="single" w:sz="8" w:color="B6B6B6"/>
            </w:tcBorders>
            <w:gridSpan w:val="2"/>
            <w:vMerge w:val="continue"/>
          </w:tcPr>
          <w:p>
            <w:pPr>
              <w:spacing w:after="0"/>
              <w:rPr>
                <w:sz w:val="6"/>
                <w:szCs w:val="6"/>
                <w:color w:val="auto"/>
              </w:rPr>
            </w:pPr>
          </w:p>
        </w:tc>
        <w:tc>
          <w:tcPr>
            <w:tcW w:w="2820" w:type="dxa"/>
            <w:vAlign w:val="bottom"/>
            <w:tcBorders>
              <w:right w:val="single" w:sz="8" w:color="B6B6B6"/>
            </w:tcBorders>
            <w:gridSpan w:val="2"/>
            <w:vMerge w:val="restart"/>
          </w:tcPr>
          <w:p>
            <w:pPr>
              <w:ind w:left="20"/>
              <w:spacing w:after="0" w:line="173" w:lineRule="exact"/>
              <w:rPr>
                <w:sz w:val="20"/>
                <w:szCs w:val="20"/>
                <w:color w:val="auto"/>
              </w:rPr>
            </w:pPr>
            <w:r>
              <w:rPr>
                <w:rFonts w:ascii="Times New Roman" w:cs="Times New Roman" w:eastAsia="Times New Roman" w:hAnsi="Times New Roman"/>
                <w:sz w:val="18"/>
                <w:szCs w:val="18"/>
                <w:color w:val="auto"/>
              </w:rPr>
              <w:t>and pediatric patients (1 month and</w:t>
            </w:r>
          </w:p>
        </w:tc>
        <w:tc>
          <w:tcPr>
            <w:tcW w:w="1620" w:type="dxa"/>
            <w:vAlign w:val="bottom"/>
          </w:tcPr>
          <w:p>
            <w:pPr>
              <w:spacing w:after="0"/>
              <w:rPr>
                <w:sz w:val="6"/>
                <w:szCs w:val="6"/>
                <w:color w:val="auto"/>
              </w:rPr>
            </w:pPr>
          </w:p>
        </w:tc>
        <w:tc>
          <w:tcPr>
            <w:tcW w:w="1180" w:type="dxa"/>
            <w:vAlign w:val="bottom"/>
            <w:tcBorders>
              <w:right w:val="single" w:sz="8" w:color="B6B6B6"/>
            </w:tcBorders>
          </w:tcPr>
          <w:p>
            <w:pPr>
              <w:spacing w:after="0"/>
              <w:rPr>
                <w:sz w:val="6"/>
                <w:szCs w:val="6"/>
                <w:color w:val="auto"/>
              </w:rPr>
            </w:pPr>
          </w:p>
        </w:tc>
        <w:tc>
          <w:tcPr>
            <w:tcW w:w="640" w:type="dxa"/>
            <w:vAlign w:val="bottom"/>
          </w:tcPr>
          <w:p>
            <w:pPr>
              <w:spacing w:after="0"/>
              <w:rPr>
                <w:sz w:val="6"/>
                <w:szCs w:val="6"/>
                <w:color w:val="auto"/>
              </w:rPr>
            </w:pPr>
          </w:p>
        </w:tc>
        <w:tc>
          <w:tcPr>
            <w:tcW w:w="2180" w:type="dxa"/>
            <w:vAlign w:val="bottom"/>
            <w:tcBorders>
              <w:right w:val="single" w:sz="8" w:color="B6B6B6"/>
            </w:tcBorders>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640" w:type="dxa"/>
            <w:vAlign w:val="bottom"/>
            <w:tcBorders>
              <w:left w:val="single" w:sz="8" w:color="B6B6B6"/>
              <w:right w:val="single" w:sz="8" w:color="B6B6B6"/>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crisantaspase)</w:t>
            </w:r>
          </w:p>
        </w:tc>
        <w:tc>
          <w:tcPr>
            <w:tcW w:w="2820" w:type="dxa"/>
            <w:vAlign w:val="bottom"/>
            <w:tcBorders>
              <w:right w:val="single" w:sz="8" w:color="B6B6B6"/>
            </w:tcBorders>
            <w:gridSpan w:val="2"/>
            <w:vMerge w:val="continue"/>
          </w:tcPr>
          <w:p>
            <w:pPr>
              <w:spacing w:after="0"/>
              <w:rPr>
                <w:sz w:val="8"/>
                <w:szCs w:val="8"/>
                <w:color w:val="auto"/>
              </w:rPr>
            </w:pPr>
          </w:p>
        </w:tc>
        <w:tc>
          <w:tcPr>
            <w:tcW w:w="1620" w:type="dxa"/>
            <w:vAlign w:val="bottom"/>
          </w:tcPr>
          <w:p>
            <w:pPr>
              <w:spacing w:after="0"/>
              <w:rPr>
                <w:sz w:val="8"/>
                <w:szCs w:val="8"/>
                <w:color w:val="auto"/>
              </w:rPr>
            </w:pPr>
          </w:p>
        </w:tc>
        <w:tc>
          <w:tcPr>
            <w:tcW w:w="1180" w:type="dxa"/>
            <w:vAlign w:val="bottom"/>
            <w:tcBorders>
              <w:right w:val="single" w:sz="8" w:color="B6B6B6"/>
            </w:tcBorders>
          </w:tcPr>
          <w:p>
            <w:pPr>
              <w:spacing w:after="0"/>
              <w:rPr>
                <w:sz w:val="8"/>
                <w:szCs w:val="8"/>
                <w:color w:val="auto"/>
              </w:rPr>
            </w:pPr>
          </w:p>
        </w:tc>
        <w:tc>
          <w:tcPr>
            <w:tcW w:w="640" w:type="dxa"/>
            <w:vAlign w:val="bottom"/>
          </w:tcPr>
          <w:p>
            <w:pPr>
              <w:spacing w:after="0"/>
              <w:rPr>
                <w:sz w:val="8"/>
                <w:szCs w:val="8"/>
                <w:color w:val="auto"/>
              </w:rPr>
            </w:pPr>
          </w:p>
        </w:tc>
        <w:tc>
          <w:tcPr>
            <w:tcW w:w="2180" w:type="dxa"/>
            <w:vAlign w:val="bottom"/>
            <w:tcBorders>
              <w:right w:val="single" w:sz="8" w:color="B6B6B6"/>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2640" w:type="dxa"/>
            <w:vAlign w:val="bottom"/>
            <w:tcBorders>
              <w:left w:val="single" w:sz="8" w:color="B6B6B6"/>
              <w:right w:val="single" w:sz="8" w:color="B6B6B6"/>
            </w:tcBorders>
            <w:gridSpan w:val="2"/>
            <w:vMerge w:val="continue"/>
          </w:tcPr>
          <w:p>
            <w:pPr>
              <w:spacing w:after="0"/>
              <w:rPr>
                <w:sz w:val="12"/>
                <w:szCs w:val="12"/>
                <w:color w:val="auto"/>
              </w:rPr>
            </w:pPr>
          </w:p>
        </w:tc>
        <w:tc>
          <w:tcPr>
            <w:tcW w:w="2820" w:type="dxa"/>
            <w:vAlign w:val="bottom"/>
            <w:tcBorders>
              <w:right w:val="single" w:sz="8" w:color="B6B6B6"/>
            </w:tcBorders>
            <w:gridSpan w:val="2"/>
            <w:vMerge w:val="restart"/>
          </w:tcPr>
          <w:p>
            <w:pPr>
              <w:ind w:left="20"/>
              <w:spacing w:after="0" w:line="182" w:lineRule="exact"/>
              <w:rPr>
                <w:sz w:val="20"/>
                <w:szCs w:val="20"/>
                <w:color w:val="auto"/>
              </w:rPr>
            </w:pPr>
            <w:r>
              <w:rPr>
                <w:rFonts w:ascii="Times New Roman" w:cs="Times New Roman" w:eastAsia="Times New Roman" w:hAnsi="Times New Roman"/>
                <w:sz w:val="18"/>
                <w:szCs w:val="18"/>
                <w:color w:val="auto"/>
              </w:rPr>
              <w:t>older) who have developed</w:t>
            </w:r>
          </w:p>
        </w:tc>
        <w:tc>
          <w:tcPr>
            <w:tcW w:w="1620" w:type="dxa"/>
            <w:vAlign w:val="bottom"/>
          </w:tcPr>
          <w:p>
            <w:pPr>
              <w:spacing w:after="0"/>
              <w:rPr>
                <w:sz w:val="12"/>
                <w:szCs w:val="12"/>
                <w:color w:val="auto"/>
              </w:rPr>
            </w:pPr>
          </w:p>
        </w:tc>
        <w:tc>
          <w:tcPr>
            <w:tcW w:w="1180" w:type="dxa"/>
            <w:vAlign w:val="bottom"/>
            <w:tcBorders>
              <w:right w:val="single" w:sz="8" w:color="B6B6B6"/>
            </w:tcBorders>
          </w:tcPr>
          <w:p>
            <w:pPr>
              <w:spacing w:after="0"/>
              <w:rPr>
                <w:sz w:val="12"/>
                <w:szCs w:val="12"/>
                <w:color w:val="auto"/>
              </w:rPr>
            </w:pPr>
          </w:p>
        </w:tc>
        <w:tc>
          <w:tcPr>
            <w:tcW w:w="640" w:type="dxa"/>
            <w:vAlign w:val="bottom"/>
          </w:tcPr>
          <w:p>
            <w:pPr>
              <w:spacing w:after="0"/>
              <w:rPr>
                <w:sz w:val="12"/>
                <w:szCs w:val="12"/>
                <w:color w:val="auto"/>
              </w:rPr>
            </w:pPr>
          </w:p>
        </w:tc>
        <w:tc>
          <w:tcPr>
            <w:tcW w:w="2180" w:type="dxa"/>
            <w:vAlign w:val="bottom"/>
            <w:tcBorders>
              <w:right w:val="single" w:sz="8" w:color="B6B6B6"/>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640" w:type="dxa"/>
            <w:vAlign w:val="bottom"/>
            <w:tcBorders>
              <w:left w:val="single" w:sz="8" w:color="B6B6B6"/>
            </w:tcBorders>
          </w:tcPr>
          <w:p>
            <w:pPr>
              <w:spacing w:after="0"/>
              <w:rPr>
                <w:sz w:val="3"/>
                <w:szCs w:val="3"/>
                <w:color w:val="auto"/>
              </w:rPr>
            </w:pPr>
          </w:p>
        </w:tc>
        <w:tc>
          <w:tcPr>
            <w:tcW w:w="2000" w:type="dxa"/>
            <w:vAlign w:val="bottom"/>
            <w:tcBorders>
              <w:right w:val="single" w:sz="8" w:color="B6B6B6"/>
            </w:tcBorders>
          </w:tcPr>
          <w:p>
            <w:pPr>
              <w:spacing w:after="0"/>
              <w:rPr>
                <w:sz w:val="3"/>
                <w:szCs w:val="3"/>
                <w:color w:val="auto"/>
              </w:rPr>
            </w:pPr>
          </w:p>
        </w:tc>
        <w:tc>
          <w:tcPr>
            <w:tcW w:w="2820" w:type="dxa"/>
            <w:vAlign w:val="bottom"/>
            <w:tcBorders>
              <w:right w:val="single" w:sz="8" w:color="B6B6B6"/>
            </w:tcBorders>
            <w:gridSpan w:val="2"/>
            <w:vMerge w:val="continue"/>
          </w:tcPr>
          <w:p>
            <w:pPr>
              <w:spacing w:after="0"/>
              <w:rPr>
                <w:sz w:val="3"/>
                <w:szCs w:val="3"/>
                <w:color w:val="auto"/>
              </w:rPr>
            </w:pPr>
          </w:p>
        </w:tc>
        <w:tc>
          <w:tcPr>
            <w:tcW w:w="1620" w:type="dxa"/>
            <w:vAlign w:val="bottom"/>
          </w:tcPr>
          <w:p>
            <w:pPr>
              <w:spacing w:after="0"/>
              <w:rPr>
                <w:sz w:val="3"/>
                <w:szCs w:val="3"/>
                <w:color w:val="auto"/>
              </w:rPr>
            </w:pPr>
          </w:p>
        </w:tc>
        <w:tc>
          <w:tcPr>
            <w:tcW w:w="1180" w:type="dxa"/>
            <w:vAlign w:val="bottom"/>
            <w:tcBorders>
              <w:right w:val="single" w:sz="8" w:color="B6B6B6"/>
            </w:tcBorders>
          </w:tcPr>
          <w:p>
            <w:pPr>
              <w:spacing w:after="0"/>
              <w:rPr>
                <w:sz w:val="3"/>
                <w:szCs w:val="3"/>
                <w:color w:val="auto"/>
              </w:rPr>
            </w:pPr>
          </w:p>
        </w:tc>
        <w:tc>
          <w:tcPr>
            <w:tcW w:w="640" w:type="dxa"/>
            <w:vAlign w:val="bottom"/>
          </w:tcPr>
          <w:p>
            <w:pPr>
              <w:spacing w:after="0"/>
              <w:rPr>
                <w:sz w:val="3"/>
                <w:szCs w:val="3"/>
                <w:color w:val="auto"/>
              </w:rPr>
            </w:pPr>
          </w:p>
        </w:tc>
        <w:tc>
          <w:tcPr>
            <w:tcW w:w="2180" w:type="dxa"/>
            <w:vAlign w:val="bottom"/>
            <w:tcBorders>
              <w:right w:val="single" w:sz="8" w:color="B6B6B6"/>
            </w:tcBorders>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40" w:type="dxa"/>
            <w:vAlign w:val="bottom"/>
            <w:tcBorders>
              <w:left w:val="single" w:sz="8" w:color="B6B6B6"/>
            </w:tcBorders>
          </w:tcPr>
          <w:p>
            <w:pPr>
              <w:spacing w:after="0"/>
              <w:rPr>
                <w:sz w:val="15"/>
                <w:szCs w:val="15"/>
                <w:color w:val="auto"/>
              </w:rPr>
            </w:pPr>
          </w:p>
        </w:tc>
        <w:tc>
          <w:tcPr>
            <w:tcW w:w="200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gridSpan w:val="2"/>
          </w:tcPr>
          <w:p>
            <w:pPr>
              <w:ind w:left="20"/>
              <w:spacing w:after="0" w:line="178" w:lineRule="exact"/>
              <w:rPr>
                <w:sz w:val="20"/>
                <w:szCs w:val="20"/>
                <w:color w:val="auto"/>
              </w:rPr>
            </w:pPr>
            <w:r>
              <w:rPr>
                <w:rFonts w:ascii="Times New Roman" w:cs="Times New Roman" w:eastAsia="Times New Roman" w:hAnsi="Times New Roman"/>
                <w:sz w:val="18"/>
                <w:szCs w:val="18"/>
                <w:color w:val="auto"/>
              </w:rPr>
              <w:t>hypersensitivity or silent inactivation</w:t>
            </w:r>
          </w:p>
        </w:tc>
        <w:tc>
          <w:tcPr>
            <w:tcW w:w="1620" w:type="dxa"/>
            <w:vAlign w:val="bottom"/>
          </w:tcPr>
          <w:p>
            <w:pPr>
              <w:spacing w:after="0"/>
              <w:rPr>
                <w:sz w:val="15"/>
                <w:szCs w:val="15"/>
                <w:color w:val="auto"/>
              </w:rPr>
            </w:pPr>
          </w:p>
        </w:tc>
        <w:tc>
          <w:tcPr>
            <w:tcW w:w="1180" w:type="dxa"/>
            <w:vAlign w:val="bottom"/>
            <w:tcBorders>
              <w:right w:val="single" w:sz="8" w:color="B6B6B6"/>
            </w:tcBorders>
          </w:tcPr>
          <w:p>
            <w:pPr>
              <w:spacing w:after="0"/>
              <w:rPr>
                <w:sz w:val="15"/>
                <w:szCs w:val="15"/>
                <w:color w:val="auto"/>
              </w:rPr>
            </w:pPr>
          </w:p>
        </w:tc>
        <w:tc>
          <w:tcPr>
            <w:tcW w:w="640" w:type="dxa"/>
            <w:vAlign w:val="bottom"/>
          </w:tcPr>
          <w:p>
            <w:pPr>
              <w:spacing w:after="0"/>
              <w:rPr>
                <w:sz w:val="15"/>
                <w:szCs w:val="15"/>
                <w:color w:val="auto"/>
              </w:rPr>
            </w:pPr>
          </w:p>
        </w:tc>
        <w:tc>
          <w:tcPr>
            <w:tcW w:w="2180" w:type="dxa"/>
            <w:vAlign w:val="bottom"/>
            <w:tcBorders>
              <w:right w:val="single" w:sz="8" w:color="B6B6B6"/>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40" w:type="dxa"/>
            <w:vAlign w:val="bottom"/>
            <w:tcBorders>
              <w:left w:val="single" w:sz="8" w:color="B6B6B6"/>
              <w:bottom w:val="single" w:sz="8" w:color="B6B6B6"/>
            </w:tcBorders>
          </w:tcPr>
          <w:p>
            <w:pPr>
              <w:spacing w:after="0"/>
              <w:rPr>
                <w:sz w:val="19"/>
                <w:szCs w:val="19"/>
                <w:color w:val="auto"/>
              </w:rPr>
            </w:pPr>
          </w:p>
        </w:tc>
        <w:tc>
          <w:tcPr>
            <w:tcW w:w="2000" w:type="dxa"/>
            <w:vAlign w:val="bottom"/>
            <w:tcBorders>
              <w:bottom w:val="single" w:sz="8" w:color="B6B6B6"/>
              <w:right w:val="single" w:sz="8" w:color="B6B6B6"/>
            </w:tcBorders>
          </w:tcPr>
          <w:p>
            <w:pPr>
              <w:spacing w:after="0"/>
              <w:rPr>
                <w:sz w:val="19"/>
                <w:szCs w:val="19"/>
                <w:color w:val="auto"/>
              </w:rPr>
            </w:pPr>
          </w:p>
        </w:tc>
        <w:tc>
          <w:tcPr>
            <w:tcW w:w="2820" w:type="dxa"/>
            <w:vAlign w:val="bottom"/>
            <w:tcBorders>
              <w:bottom w:val="single" w:sz="8" w:color="B6B6B6"/>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 E. coli-derived asparaginase.</w:t>
            </w:r>
          </w:p>
        </w:tc>
        <w:tc>
          <w:tcPr>
            <w:tcW w:w="1620" w:type="dxa"/>
            <w:vAlign w:val="bottom"/>
            <w:tcBorders>
              <w:bottom w:val="single" w:sz="8" w:color="B6B6B6"/>
            </w:tcBorders>
          </w:tcPr>
          <w:p>
            <w:pPr>
              <w:spacing w:after="0"/>
              <w:rPr>
                <w:sz w:val="19"/>
                <w:szCs w:val="19"/>
                <w:color w:val="auto"/>
              </w:rPr>
            </w:pPr>
          </w:p>
        </w:tc>
        <w:tc>
          <w:tcPr>
            <w:tcW w:w="1180" w:type="dxa"/>
            <w:vAlign w:val="bottom"/>
            <w:tcBorders>
              <w:bottom w:val="single" w:sz="8" w:color="B6B6B6"/>
              <w:right w:val="single" w:sz="8" w:color="B6B6B6"/>
            </w:tcBorders>
          </w:tcPr>
          <w:p>
            <w:pPr>
              <w:spacing w:after="0"/>
              <w:rPr>
                <w:sz w:val="19"/>
                <w:szCs w:val="19"/>
                <w:color w:val="auto"/>
              </w:rPr>
            </w:pPr>
          </w:p>
        </w:tc>
        <w:tc>
          <w:tcPr>
            <w:tcW w:w="640" w:type="dxa"/>
            <w:vAlign w:val="bottom"/>
            <w:tcBorders>
              <w:bottom w:val="single" w:sz="8" w:color="B6B6B6"/>
            </w:tcBorders>
          </w:tcPr>
          <w:p>
            <w:pPr>
              <w:spacing w:after="0"/>
              <w:rPr>
                <w:sz w:val="19"/>
                <w:szCs w:val="19"/>
                <w:color w:val="auto"/>
              </w:rPr>
            </w:pPr>
          </w:p>
        </w:tc>
        <w:tc>
          <w:tcPr>
            <w:tcW w:w="2180" w:type="dxa"/>
            <w:vAlign w:val="bottom"/>
            <w:tcBorders>
              <w:bottom w:val="single" w:sz="8" w:color="B6B6B6"/>
              <w:right w:val="single" w:sz="8" w:color="B6B6B6"/>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6"/>
        </w:trPr>
        <w:tc>
          <w:tcPr>
            <w:tcW w:w="6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w:t>
            </w: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640" w:type="dxa"/>
            <w:vAlign w:val="bottom"/>
            <w:tcBorders>
              <w:bottom w:val="single" w:sz="8" w:color="9A9A9A"/>
            </w:tcBorders>
          </w:tcPr>
          <w:p>
            <w:pPr>
              <w:spacing w:after="0"/>
              <w:rPr>
                <w:sz w:val="9"/>
                <w:szCs w:val="9"/>
                <w:color w:val="auto"/>
              </w:rPr>
            </w:pPr>
          </w:p>
        </w:tc>
        <w:tc>
          <w:tcPr>
            <w:tcW w:w="20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96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2640" w:type="dxa"/>
            <w:vAlign w:val="bottom"/>
            <w:tcBorders>
              <w:top w:val="single" w:sz="8" w:color="B6B6B6"/>
              <w:left w:val="single" w:sz="8" w:color="B6B6B6"/>
              <w:right w:val="single" w:sz="8" w:color="B6B6B6"/>
            </w:tcBorders>
            <w:shd w:val="clear" w:color="auto" w:fill="CCEEFF"/>
          </w:tcPr>
          <w:p>
            <w:pPr>
              <w:spacing w:after="0"/>
              <w:rPr>
                <w:sz w:val="16"/>
                <w:szCs w:val="16"/>
                <w:color w:val="auto"/>
              </w:rPr>
            </w:pPr>
          </w:p>
        </w:tc>
        <w:tc>
          <w:tcPr>
            <w:tcW w:w="2820" w:type="dxa"/>
            <w:vAlign w:val="bottom"/>
            <w:tcBorders>
              <w:top w:val="single" w:sz="8" w:color="B6B6B6"/>
              <w:right w:val="single" w:sz="8" w:color="B6B6B6"/>
            </w:tcBorders>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Treatment of adult patients with</w:t>
            </w:r>
          </w:p>
        </w:tc>
        <w:tc>
          <w:tcPr>
            <w:tcW w:w="2800" w:type="dxa"/>
            <w:vAlign w:val="bottom"/>
            <w:tcBorders>
              <w:top w:val="single" w:sz="8" w:color="B6B6B6"/>
              <w:right w:val="single" w:sz="8" w:color="B6B6B6"/>
            </w:tcBorders>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June 2020</w:t>
            </w:r>
          </w:p>
        </w:tc>
        <w:tc>
          <w:tcPr>
            <w:tcW w:w="2820" w:type="dxa"/>
            <w:vAlign w:val="bottom"/>
            <w:tcBorders>
              <w:top w:val="single" w:sz="8" w:color="B6B6B6"/>
              <w:right w:val="single" w:sz="8" w:color="B6B6B6"/>
            </w:tcBorders>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U.S. (licensed from PharmaMar)***</w:t>
            </w:r>
          </w:p>
        </w:tc>
      </w:tr>
      <w:tr>
        <w:trPr>
          <w:trHeight w:val="181"/>
        </w:trPr>
        <w:tc>
          <w:tcPr>
            <w:tcW w:w="2640" w:type="dxa"/>
            <w:vAlign w:val="bottom"/>
            <w:tcBorders>
              <w:left w:val="single" w:sz="8" w:color="B6B6B6"/>
              <w:right w:val="single" w:sz="8" w:color="B6B6B6"/>
            </w:tcBorders>
            <w:shd w:val="clear" w:color="auto" w:fill="CCEEFF"/>
          </w:tcPr>
          <w:p>
            <w:pPr>
              <w:spacing w:after="0"/>
              <w:rPr>
                <w:sz w:val="15"/>
                <w:szCs w:val="15"/>
                <w:color w:val="auto"/>
              </w:rPr>
            </w:pPr>
          </w:p>
        </w:tc>
        <w:tc>
          <w:tcPr>
            <w:tcW w:w="2820" w:type="dxa"/>
            <w:vAlign w:val="bottom"/>
            <w:tcBorders>
              <w:right w:val="single" w:sz="8" w:color="B6B6B6"/>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metastatic SCLC with disease</w:t>
            </w:r>
          </w:p>
        </w:tc>
        <w:tc>
          <w:tcPr>
            <w:tcW w:w="2800" w:type="dxa"/>
            <w:vAlign w:val="bottom"/>
            <w:tcBorders>
              <w:right w:val="single" w:sz="8" w:color="B6B6B6"/>
            </w:tcBorders>
            <w:shd w:val="clear" w:color="auto" w:fill="CCEEFF"/>
          </w:tcPr>
          <w:p>
            <w:pPr>
              <w:spacing w:after="0"/>
              <w:rPr>
                <w:sz w:val="15"/>
                <w:szCs w:val="15"/>
                <w:color w:val="auto"/>
              </w:rPr>
            </w:pPr>
          </w:p>
        </w:tc>
        <w:tc>
          <w:tcPr>
            <w:tcW w:w="2820" w:type="dxa"/>
            <w:vAlign w:val="bottom"/>
            <w:tcBorders>
              <w:right w:val="single" w:sz="8" w:color="B6B6B6"/>
            </w:tcBorders>
            <w:shd w:val="clear" w:color="auto" w:fill="CCEEFF"/>
          </w:tcPr>
          <w:p>
            <w:pPr>
              <w:spacing w:after="0"/>
              <w:rPr>
                <w:sz w:val="15"/>
                <w:szCs w:val="15"/>
                <w:color w:val="auto"/>
              </w:rPr>
            </w:pPr>
          </w:p>
        </w:tc>
      </w:tr>
      <w:tr>
        <w:trPr>
          <w:trHeight w:val="178"/>
        </w:trPr>
        <w:tc>
          <w:tcPr>
            <w:tcW w:w="2640" w:type="dxa"/>
            <w:vAlign w:val="bottom"/>
            <w:tcBorders>
              <w:left w:val="single" w:sz="8" w:color="B6B6B6"/>
              <w:right w:val="single" w:sz="8" w:color="B6B6B6"/>
            </w:tcBorders>
            <w:shd w:val="clear" w:color="auto" w:fill="CCEEFF"/>
          </w:tcPr>
          <w:p>
            <w:pPr>
              <w:spacing w:after="0"/>
              <w:rPr>
                <w:sz w:val="15"/>
                <w:szCs w:val="15"/>
                <w:color w:val="auto"/>
              </w:rPr>
            </w:pPr>
          </w:p>
        </w:tc>
        <w:tc>
          <w:tcPr>
            <w:tcW w:w="2820" w:type="dxa"/>
            <w:vAlign w:val="bottom"/>
            <w:tcBorders>
              <w:right w:val="single" w:sz="8" w:color="B6B6B6"/>
            </w:tcBorders>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w w:val="98"/>
              </w:rPr>
              <w:t>progression on or after platinum-based</w:t>
            </w:r>
          </w:p>
        </w:tc>
        <w:tc>
          <w:tcPr>
            <w:tcW w:w="2800" w:type="dxa"/>
            <w:vAlign w:val="bottom"/>
            <w:tcBorders>
              <w:right w:val="single" w:sz="8" w:color="B6B6B6"/>
            </w:tcBorders>
            <w:shd w:val="clear" w:color="auto" w:fill="CCEEFF"/>
          </w:tcPr>
          <w:p>
            <w:pPr>
              <w:spacing w:after="0"/>
              <w:rPr>
                <w:sz w:val="15"/>
                <w:szCs w:val="15"/>
                <w:color w:val="auto"/>
              </w:rPr>
            </w:pPr>
          </w:p>
        </w:tc>
        <w:tc>
          <w:tcPr>
            <w:tcW w:w="2820" w:type="dxa"/>
            <w:vAlign w:val="bottom"/>
            <w:tcBorders>
              <w:right w:val="single" w:sz="8" w:color="B6B6B6"/>
            </w:tcBorders>
            <w:shd w:val="clear" w:color="auto" w:fill="CCEEFF"/>
          </w:tcPr>
          <w:p>
            <w:pPr>
              <w:spacing w:after="0"/>
              <w:rPr>
                <w:sz w:val="15"/>
                <w:szCs w:val="15"/>
                <w:color w:val="auto"/>
              </w:rPr>
            </w:pPr>
          </w:p>
        </w:tc>
      </w:tr>
      <w:tr>
        <w:trPr>
          <w:trHeight w:val="232"/>
        </w:trPr>
        <w:tc>
          <w:tcPr>
            <w:tcW w:w="2640" w:type="dxa"/>
            <w:vAlign w:val="bottom"/>
            <w:tcBorders>
              <w:left w:val="single" w:sz="8" w:color="B6B6B6"/>
              <w:right w:val="single" w:sz="8" w:color="B6B6B6"/>
            </w:tcBorders>
            <w:shd w:val="clear" w:color="auto" w:fill="CCEEFF"/>
          </w:tcPr>
          <w:p>
            <w:pPr>
              <w:spacing w:after="0"/>
              <w:rPr>
                <w:sz w:val="20"/>
                <w:szCs w:val="20"/>
                <w:color w:val="auto"/>
              </w:rPr>
            </w:pPr>
          </w:p>
        </w:tc>
        <w:tc>
          <w:tcPr>
            <w:tcW w:w="2820" w:type="dxa"/>
            <w:vAlign w:val="bottom"/>
            <w:tcBorders>
              <w:right w:val="single" w:sz="8" w:color="B6B6B6"/>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chemotherapy.</w:t>
            </w:r>
          </w:p>
        </w:tc>
        <w:tc>
          <w:tcPr>
            <w:tcW w:w="2800" w:type="dxa"/>
            <w:vAlign w:val="bottom"/>
            <w:tcBorders>
              <w:right w:val="single" w:sz="8" w:color="B6B6B6"/>
            </w:tcBorders>
            <w:shd w:val="clear" w:color="auto" w:fill="CCEEFF"/>
          </w:tcPr>
          <w:p>
            <w:pPr>
              <w:spacing w:after="0"/>
              <w:rPr>
                <w:sz w:val="20"/>
                <w:szCs w:val="20"/>
                <w:color w:val="auto"/>
              </w:rPr>
            </w:pPr>
          </w:p>
        </w:tc>
        <w:tc>
          <w:tcPr>
            <w:tcW w:w="2820" w:type="dxa"/>
            <w:vAlign w:val="bottom"/>
            <w:tcBorders>
              <w:right w:val="single" w:sz="8" w:color="B6B6B6"/>
            </w:tcBorders>
            <w:shd w:val="clear" w:color="auto" w:fill="CCEEFF"/>
          </w:tcPr>
          <w:p>
            <w:pPr>
              <w:spacing w:after="0"/>
              <w:rPr>
                <w:sz w:val="20"/>
                <w:szCs w:val="20"/>
                <w:color w:val="auto"/>
              </w:rPr>
            </w:pPr>
          </w:p>
        </w:tc>
      </w:tr>
      <w:tr>
        <w:trPr>
          <w:trHeight w:val="394"/>
        </w:trPr>
        <w:tc>
          <w:tcPr>
            <w:tcW w:w="2640" w:type="dxa"/>
            <w:vAlign w:val="bottom"/>
            <w:tcBorders>
              <w:left w:val="single" w:sz="8" w:color="B6B6B6"/>
              <w:bottom w:val="single" w:sz="8" w:color="CCEEFF"/>
              <w:right w:val="single" w:sz="8" w:color="B6B6B6"/>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Zepzelca® (lurbinectedin)</w:t>
            </w:r>
          </w:p>
        </w:tc>
        <w:tc>
          <w:tcPr>
            <w:tcW w:w="2820" w:type="dxa"/>
            <w:vAlign w:val="bottom"/>
            <w:tcBorders>
              <w:bottom w:val="single" w:sz="8" w:color="B6B6B6"/>
              <w:right w:val="single" w:sz="8" w:color="B6B6B6"/>
            </w:tcBorders>
            <w:shd w:val="clear" w:color="auto" w:fill="CCEEFF"/>
          </w:tcPr>
          <w:p>
            <w:pPr>
              <w:spacing w:after="0"/>
              <w:rPr>
                <w:sz w:val="24"/>
                <w:szCs w:val="24"/>
                <w:color w:val="auto"/>
              </w:rPr>
            </w:pPr>
          </w:p>
        </w:tc>
        <w:tc>
          <w:tcPr>
            <w:tcW w:w="2800" w:type="dxa"/>
            <w:vAlign w:val="bottom"/>
            <w:tcBorders>
              <w:bottom w:val="single" w:sz="8" w:color="B6B6B6"/>
              <w:right w:val="single" w:sz="8" w:color="B6B6B6"/>
            </w:tcBorders>
            <w:shd w:val="clear" w:color="auto" w:fill="CCEEFF"/>
          </w:tcPr>
          <w:p>
            <w:pPr>
              <w:spacing w:after="0"/>
              <w:rPr>
                <w:sz w:val="24"/>
                <w:szCs w:val="24"/>
                <w:color w:val="auto"/>
              </w:rPr>
            </w:pPr>
          </w:p>
        </w:tc>
        <w:tc>
          <w:tcPr>
            <w:tcW w:w="2820" w:type="dxa"/>
            <w:vAlign w:val="bottom"/>
            <w:tcBorders>
              <w:bottom w:val="single" w:sz="8" w:color="B6B6B6"/>
              <w:right w:val="single" w:sz="8" w:color="B6B6B6"/>
            </w:tcBorders>
            <w:shd w:val="clear" w:color="auto" w:fill="CCEEFF"/>
          </w:tcPr>
          <w:p>
            <w:pPr>
              <w:spacing w:after="0"/>
              <w:rPr>
                <w:sz w:val="24"/>
                <w:szCs w:val="24"/>
                <w:color w:val="auto"/>
              </w:rPr>
            </w:pPr>
          </w:p>
        </w:tc>
      </w:tr>
      <w:tr>
        <w:trPr>
          <w:trHeight w:val="166"/>
        </w:trPr>
        <w:tc>
          <w:tcPr>
            <w:tcW w:w="2640" w:type="dxa"/>
            <w:vAlign w:val="bottom"/>
            <w:tcBorders>
              <w:left w:val="single" w:sz="8" w:color="B6B6B6"/>
              <w:right w:val="single" w:sz="8" w:color="B6B6B6"/>
            </w:tcBorders>
            <w:shd w:val="clear" w:color="auto" w:fill="CCEEFF"/>
          </w:tcPr>
          <w:p>
            <w:pPr>
              <w:spacing w:after="0"/>
              <w:rPr>
                <w:sz w:val="14"/>
                <w:szCs w:val="14"/>
                <w:color w:val="auto"/>
              </w:rPr>
            </w:pPr>
          </w:p>
        </w:tc>
        <w:tc>
          <w:tcPr>
            <w:tcW w:w="2820" w:type="dxa"/>
            <w:vAlign w:val="bottom"/>
            <w:tcBorders>
              <w:right w:val="single" w:sz="8" w:color="B6B6B6"/>
            </w:tcBorders>
            <w:shd w:val="clear" w:color="auto" w:fill="CCEEFF"/>
          </w:tcPr>
          <w:p>
            <w:pPr>
              <w:ind w:left="20"/>
              <w:spacing w:after="0" w:line="166" w:lineRule="exact"/>
              <w:rPr>
                <w:sz w:val="20"/>
                <w:szCs w:val="20"/>
                <w:color w:val="auto"/>
              </w:rPr>
            </w:pPr>
            <w:r>
              <w:rPr>
                <w:rFonts w:ascii="Times New Roman" w:cs="Times New Roman" w:eastAsia="Times New Roman" w:hAnsi="Times New Roman"/>
                <w:sz w:val="18"/>
                <w:szCs w:val="18"/>
                <w:color w:val="auto"/>
              </w:rPr>
              <w:t>Treatment of adults with Stage III or</w:t>
            </w:r>
          </w:p>
        </w:tc>
        <w:tc>
          <w:tcPr>
            <w:tcW w:w="2800" w:type="dxa"/>
            <w:vAlign w:val="bottom"/>
            <w:tcBorders>
              <w:right w:val="single" w:sz="8" w:color="B6B6B6"/>
            </w:tcBorders>
            <w:shd w:val="clear" w:color="auto" w:fill="CCEEFF"/>
          </w:tcPr>
          <w:p>
            <w:pPr>
              <w:spacing w:after="0" w:line="166" w:lineRule="exact"/>
              <w:rPr>
                <w:sz w:val="20"/>
                <w:szCs w:val="20"/>
                <w:color w:val="auto"/>
              </w:rPr>
            </w:pPr>
            <w:r>
              <w:rPr>
                <w:rFonts w:ascii="Times New Roman" w:cs="Times New Roman" w:eastAsia="Times New Roman" w:hAnsi="Times New Roman"/>
                <w:sz w:val="18"/>
                <w:szCs w:val="18"/>
                <w:color w:val="auto"/>
              </w:rPr>
              <w:t>September 2021</w:t>
            </w:r>
          </w:p>
        </w:tc>
        <w:tc>
          <w:tcPr>
            <w:tcW w:w="2820" w:type="dxa"/>
            <w:vAlign w:val="bottom"/>
            <w:tcBorders>
              <w:right w:val="single" w:sz="8" w:color="B6B6B6"/>
            </w:tcBorders>
            <w:shd w:val="clear" w:color="auto" w:fill="CCEEFF"/>
          </w:tcPr>
          <w:p>
            <w:pPr>
              <w:ind w:left="20"/>
              <w:spacing w:after="0" w:line="166" w:lineRule="exact"/>
              <w:rPr>
                <w:sz w:val="20"/>
                <w:szCs w:val="20"/>
                <w:color w:val="auto"/>
              </w:rPr>
            </w:pPr>
            <w:r>
              <w:rPr>
                <w:rFonts w:ascii="Times New Roman" w:cs="Times New Roman" w:eastAsia="Times New Roman" w:hAnsi="Times New Roman"/>
                <w:sz w:val="18"/>
                <w:szCs w:val="18"/>
                <w:color w:val="auto"/>
              </w:rPr>
              <w:t>Canada (licensed from</w:t>
            </w:r>
          </w:p>
        </w:tc>
      </w:tr>
      <w:tr>
        <w:trPr>
          <w:trHeight w:val="181"/>
        </w:trPr>
        <w:tc>
          <w:tcPr>
            <w:tcW w:w="2640" w:type="dxa"/>
            <w:vAlign w:val="bottom"/>
            <w:tcBorders>
              <w:left w:val="single" w:sz="8" w:color="B6B6B6"/>
              <w:right w:val="single" w:sz="8" w:color="B6B6B6"/>
            </w:tcBorders>
            <w:shd w:val="clear" w:color="auto" w:fill="CCEEFF"/>
          </w:tcPr>
          <w:p>
            <w:pPr>
              <w:spacing w:after="0"/>
              <w:rPr>
                <w:sz w:val="15"/>
                <w:szCs w:val="15"/>
                <w:color w:val="auto"/>
              </w:rPr>
            </w:pPr>
          </w:p>
        </w:tc>
        <w:tc>
          <w:tcPr>
            <w:tcW w:w="2820" w:type="dxa"/>
            <w:vAlign w:val="bottom"/>
            <w:tcBorders>
              <w:right w:val="single" w:sz="8" w:color="B6B6B6"/>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w w:val="98"/>
              </w:rPr>
              <w:t>metastatic SCLC who have progressed</w:t>
            </w:r>
          </w:p>
        </w:tc>
        <w:tc>
          <w:tcPr>
            <w:tcW w:w="2800" w:type="dxa"/>
            <w:vAlign w:val="bottom"/>
            <w:tcBorders>
              <w:right w:val="single" w:sz="8" w:color="B6B6B6"/>
            </w:tcBorders>
            <w:shd w:val="clear" w:color="auto" w:fill="CCEEFF"/>
          </w:tcPr>
          <w:p>
            <w:pPr>
              <w:spacing w:after="0"/>
              <w:rPr>
                <w:sz w:val="15"/>
                <w:szCs w:val="15"/>
                <w:color w:val="auto"/>
              </w:rPr>
            </w:pPr>
          </w:p>
        </w:tc>
        <w:tc>
          <w:tcPr>
            <w:tcW w:w="2820" w:type="dxa"/>
            <w:vAlign w:val="bottom"/>
            <w:tcBorders>
              <w:right w:val="single" w:sz="8" w:color="B6B6B6"/>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PharmaMar)****</w:t>
            </w:r>
          </w:p>
        </w:tc>
      </w:tr>
      <w:tr>
        <w:trPr>
          <w:trHeight w:val="178"/>
        </w:trPr>
        <w:tc>
          <w:tcPr>
            <w:tcW w:w="2640" w:type="dxa"/>
            <w:vAlign w:val="bottom"/>
            <w:tcBorders>
              <w:left w:val="single" w:sz="8" w:color="B6B6B6"/>
              <w:right w:val="single" w:sz="8" w:color="B6B6B6"/>
            </w:tcBorders>
            <w:shd w:val="clear" w:color="auto" w:fill="CCEEFF"/>
          </w:tcPr>
          <w:p>
            <w:pPr>
              <w:spacing w:after="0"/>
              <w:rPr>
                <w:sz w:val="15"/>
                <w:szCs w:val="15"/>
                <w:color w:val="auto"/>
              </w:rPr>
            </w:pPr>
          </w:p>
        </w:tc>
        <w:tc>
          <w:tcPr>
            <w:tcW w:w="2820" w:type="dxa"/>
            <w:vAlign w:val="bottom"/>
            <w:tcBorders>
              <w:right w:val="single" w:sz="8" w:color="B6B6B6"/>
            </w:tcBorders>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on or after platinum-containing</w:t>
            </w:r>
          </w:p>
        </w:tc>
        <w:tc>
          <w:tcPr>
            <w:tcW w:w="2800" w:type="dxa"/>
            <w:vAlign w:val="bottom"/>
            <w:tcBorders>
              <w:right w:val="single" w:sz="8" w:color="B6B6B6"/>
            </w:tcBorders>
            <w:shd w:val="clear" w:color="auto" w:fill="CCEEFF"/>
          </w:tcPr>
          <w:p>
            <w:pPr>
              <w:spacing w:after="0"/>
              <w:rPr>
                <w:sz w:val="15"/>
                <w:szCs w:val="15"/>
                <w:color w:val="auto"/>
              </w:rPr>
            </w:pPr>
          </w:p>
        </w:tc>
        <w:tc>
          <w:tcPr>
            <w:tcW w:w="2820" w:type="dxa"/>
            <w:vAlign w:val="bottom"/>
            <w:tcBorders>
              <w:right w:val="single" w:sz="8" w:color="B6B6B6"/>
            </w:tcBorders>
            <w:shd w:val="clear" w:color="auto" w:fill="CCEEFF"/>
          </w:tcPr>
          <w:p>
            <w:pPr>
              <w:spacing w:after="0"/>
              <w:rPr>
                <w:sz w:val="15"/>
                <w:szCs w:val="15"/>
                <w:color w:val="auto"/>
              </w:rPr>
            </w:pPr>
          </w:p>
        </w:tc>
      </w:tr>
      <w:tr>
        <w:trPr>
          <w:trHeight w:val="232"/>
        </w:trPr>
        <w:tc>
          <w:tcPr>
            <w:tcW w:w="2640" w:type="dxa"/>
            <w:vAlign w:val="bottom"/>
            <w:tcBorders>
              <w:left w:val="single" w:sz="8" w:color="B6B6B6"/>
              <w:right w:val="single" w:sz="8" w:color="B6B6B6"/>
            </w:tcBorders>
            <w:shd w:val="clear" w:color="auto" w:fill="CCEEFF"/>
          </w:tcPr>
          <w:p>
            <w:pPr>
              <w:spacing w:after="0"/>
              <w:rPr>
                <w:sz w:val="20"/>
                <w:szCs w:val="20"/>
                <w:color w:val="auto"/>
              </w:rPr>
            </w:pPr>
          </w:p>
        </w:tc>
        <w:tc>
          <w:tcPr>
            <w:tcW w:w="2820" w:type="dxa"/>
            <w:vAlign w:val="bottom"/>
            <w:tcBorders>
              <w:right w:val="single" w:sz="8" w:color="B6B6B6"/>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therapy.</w:t>
            </w:r>
          </w:p>
        </w:tc>
        <w:tc>
          <w:tcPr>
            <w:tcW w:w="2800" w:type="dxa"/>
            <w:vAlign w:val="bottom"/>
            <w:tcBorders>
              <w:right w:val="single" w:sz="8" w:color="B6B6B6"/>
            </w:tcBorders>
            <w:shd w:val="clear" w:color="auto" w:fill="CCEEFF"/>
          </w:tcPr>
          <w:p>
            <w:pPr>
              <w:spacing w:after="0"/>
              <w:rPr>
                <w:sz w:val="20"/>
                <w:szCs w:val="20"/>
                <w:color w:val="auto"/>
              </w:rPr>
            </w:pPr>
          </w:p>
        </w:tc>
        <w:tc>
          <w:tcPr>
            <w:tcW w:w="2820" w:type="dxa"/>
            <w:vAlign w:val="bottom"/>
            <w:tcBorders>
              <w:right w:val="single" w:sz="8" w:color="B6B6B6"/>
            </w:tcBorders>
            <w:shd w:val="clear" w:color="auto" w:fill="CCEEFF"/>
          </w:tcPr>
          <w:p>
            <w:pPr>
              <w:spacing w:after="0"/>
              <w:rPr>
                <w:sz w:val="20"/>
                <w:szCs w:val="20"/>
                <w:color w:val="auto"/>
              </w:rPr>
            </w:pPr>
          </w:p>
        </w:tc>
      </w:tr>
      <w:tr>
        <w:trPr>
          <w:trHeight w:val="234"/>
        </w:trPr>
        <w:tc>
          <w:tcPr>
            <w:tcW w:w="2640" w:type="dxa"/>
            <w:vAlign w:val="bottom"/>
            <w:tcBorders>
              <w:left w:val="single" w:sz="8" w:color="B6B6B6"/>
              <w:bottom w:val="single" w:sz="8" w:color="B6B6B6"/>
              <w:right w:val="single" w:sz="8" w:color="B6B6B6"/>
            </w:tcBorders>
            <w:shd w:val="clear" w:color="auto" w:fill="CCEEFF"/>
          </w:tcPr>
          <w:p>
            <w:pPr>
              <w:spacing w:after="0"/>
              <w:rPr>
                <w:sz w:val="20"/>
                <w:szCs w:val="20"/>
                <w:color w:val="auto"/>
              </w:rPr>
            </w:pPr>
          </w:p>
        </w:tc>
        <w:tc>
          <w:tcPr>
            <w:tcW w:w="2820" w:type="dxa"/>
            <w:vAlign w:val="bottom"/>
            <w:tcBorders>
              <w:bottom w:val="single" w:sz="8" w:color="B6B6B6"/>
              <w:right w:val="single" w:sz="8" w:color="B6B6B6"/>
            </w:tcBorders>
            <w:shd w:val="clear" w:color="auto" w:fill="CCEEFF"/>
          </w:tcPr>
          <w:p>
            <w:pPr>
              <w:spacing w:after="0"/>
              <w:rPr>
                <w:sz w:val="20"/>
                <w:szCs w:val="20"/>
                <w:color w:val="auto"/>
              </w:rPr>
            </w:pPr>
          </w:p>
        </w:tc>
        <w:tc>
          <w:tcPr>
            <w:tcW w:w="2800" w:type="dxa"/>
            <w:vAlign w:val="bottom"/>
            <w:tcBorders>
              <w:bottom w:val="single" w:sz="8" w:color="B6B6B6"/>
              <w:right w:val="single" w:sz="8" w:color="B6B6B6"/>
            </w:tcBorders>
            <w:shd w:val="clear" w:color="auto" w:fill="CCEEFF"/>
          </w:tcPr>
          <w:p>
            <w:pPr>
              <w:spacing w:after="0"/>
              <w:rPr>
                <w:sz w:val="20"/>
                <w:szCs w:val="20"/>
                <w:color w:val="auto"/>
              </w:rPr>
            </w:pPr>
          </w:p>
        </w:tc>
        <w:tc>
          <w:tcPr>
            <w:tcW w:w="2820" w:type="dxa"/>
            <w:vAlign w:val="bottom"/>
            <w:tcBorders>
              <w:bottom w:val="single" w:sz="8" w:color="B6B6B6"/>
              <w:right w:val="single" w:sz="8" w:color="B6B6B6"/>
            </w:tcBorders>
            <w:shd w:val="clear" w:color="auto" w:fill="CCEEFF"/>
          </w:tcPr>
          <w:p>
            <w:pPr>
              <w:spacing w:after="0"/>
              <w:rPr>
                <w:sz w:val="20"/>
                <w:szCs w:val="20"/>
                <w:color w:val="auto"/>
              </w:rPr>
            </w:pPr>
          </w:p>
        </w:tc>
      </w:tr>
      <w:tr>
        <w:trPr>
          <w:trHeight w:val="166"/>
        </w:trPr>
        <w:tc>
          <w:tcPr>
            <w:tcW w:w="2640" w:type="dxa"/>
            <w:vAlign w:val="bottom"/>
            <w:tcBorders>
              <w:left w:val="single" w:sz="8" w:color="B6B6B6"/>
              <w:right w:val="single" w:sz="8" w:color="B6B6B6"/>
            </w:tcBorders>
          </w:tcPr>
          <w:p>
            <w:pPr>
              <w:ind w:left="40"/>
              <w:spacing w:after="0" w:line="166" w:lineRule="exact"/>
              <w:rPr>
                <w:sz w:val="20"/>
                <w:szCs w:val="20"/>
                <w:color w:val="auto"/>
              </w:rPr>
            </w:pPr>
            <w:r>
              <w:rPr>
                <w:rFonts w:ascii="Times New Roman" w:cs="Times New Roman" w:eastAsia="Times New Roman" w:hAnsi="Times New Roman"/>
                <w:sz w:val="18"/>
                <w:szCs w:val="18"/>
                <w:color w:val="auto"/>
              </w:rPr>
              <w:t>Defitelio® (defibrotide)</w:t>
            </w:r>
          </w:p>
        </w:tc>
        <w:tc>
          <w:tcPr>
            <w:tcW w:w="2820" w:type="dxa"/>
            <w:vAlign w:val="bottom"/>
            <w:tcBorders>
              <w:right w:val="single" w:sz="8" w:color="B6B6B6"/>
            </w:tcBorders>
          </w:tcPr>
          <w:p>
            <w:pPr>
              <w:ind w:left="20"/>
              <w:spacing w:after="0" w:line="166" w:lineRule="exact"/>
              <w:rPr>
                <w:sz w:val="20"/>
                <w:szCs w:val="20"/>
                <w:color w:val="auto"/>
              </w:rPr>
            </w:pPr>
            <w:r>
              <w:rPr>
                <w:rFonts w:ascii="Times New Roman" w:cs="Times New Roman" w:eastAsia="Times New Roman" w:hAnsi="Times New Roman"/>
                <w:sz w:val="18"/>
                <w:szCs w:val="18"/>
                <w:color w:val="auto"/>
              </w:rPr>
              <w:t>Treatment of severe hepatic veno-</w:t>
            </w:r>
          </w:p>
        </w:tc>
        <w:tc>
          <w:tcPr>
            <w:tcW w:w="2800" w:type="dxa"/>
            <w:vAlign w:val="bottom"/>
            <w:tcBorders>
              <w:right w:val="single" w:sz="8" w:color="B6B6B6"/>
            </w:tcBorders>
          </w:tcPr>
          <w:p>
            <w:pPr>
              <w:spacing w:after="0" w:line="166" w:lineRule="exact"/>
              <w:rPr>
                <w:sz w:val="20"/>
                <w:szCs w:val="20"/>
                <w:color w:val="auto"/>
              </w:rPr>
            </w:pPr>
            <w:r>
              <w:rPr>
                <w:rFonts w:ascii="Times New Roman" w:cs="Times New Roman" w:eastAsia="Times New Roman" w:hAnsi="Times New Roman"/>
                <w:sz w:val="18"/>
                <w:szCs w:val="18"/>
                <w:color w:val="auto"/>
              </w:rPr>
              <w:t>October 2013</w:t>
            </w:r>
          </w:p>
        </w:tc>
        <w:tc>
          <w:tcPr>
            <w:tcW w:w="2820" w:type="dxa"/>
            <w:vAlign w:val="bottom"/>
            <w:tcBorders>
              <w:right w:val="single" w:sz="8" w:color="B6B6B6"/>
            </w:tcBorders>
          </w:tcPr>
          <w:p>
            <w:pPr>
              <w:ind w:left="20"/>
              <w:spacing w:after="0" w:line="166" w:lineRule="exact"/>
              <w:rPr>
                <w:sz w:val="20"/>
                <w:szCs w:val="20"/>
                <w:color w:val="auto"/>
              </w:rPr>
            </w:pPr>
            <w:r>
              <w:rPr>
                <w:rFonts w:ascii="Times New Roman" w:cs="Times New Roman" w:eastAsia="Times New Roman" w:hAnsi="Times New Roman"/>
                <w:sz w:val="18"/>
                <w:szCs w:val="18"/>
                <w:color w:val="auto"/>
              </w:rPr>
              <w:t>EU, Great Britain, EEA**,</w:t>
            </w:r>
          </w:p>
        </w:tc>
      </w:tr>
      <w:tr>
        <w:trPr>
          <w:trHeight w:val="181"/>
        </w:trPr>
        <w:tc>
          <w:tcPr>
            <w:tcW w:w="2640" w:type="dxa"/>
            <w:vAlign w:val="bottom"/>
            <w:tcBorders>
              <w:left w:val="single" w:sz="8" w:color="B6B6B6"/>
              <w:right w:val="single" w:sz="8" w:color="B6B6B6"/>
            </w:tcBorders>
          </w:tcPr>
          <w:p>
            <w:pPr>
              <w:spacing w:after="0"/>
              <w:rPr>
                <w:sz w:val="15"/>
                <w:szCs w:val="15"/>
                <w:color w:val="auto"/>
              </w:rPr>
            </w:pPr>
          </w:p>
        </w:tc>
        <w:tc>
          <w:tcPr>
            <w:tcW w:w="2820" w:type="dxa"/>
            <w:vAlign w:val="bottom"/>
            <w:tcBorders>
              <w:right w:val="single" w:sz="8" w:color="B6B6B6"/>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occlusive disease, or VOD, also</w:t>
            </w:r>
          </w:p>
        </w:tc>
        <w:tc>
          <w:tcPr>
            <w:tcW w:w="280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Switzerland, Israel, Australia, South</w:t>
            </w:r>
          </w:p>
        </w:tc>
      </w:tr>
      <w:tr>
        <w:trPr>
          <w:trHeight w:val="178"/>
        </w:trPr>
        <w:tc>
          <w:tcPr>
            <w:tcW w:w="2640" w:type="dxa"/>
            <w:vAlign w:val="bottom"/>
            <w:tcBorders>
              <w:left w:val="single" w:sz="8" w:color="B6B6B6"/>
              <w:right w:val="single" w:sz="8" w:color="B6B6B6"/>
            </w:tcBorders>
          </w:tcPr>
          <w:p>
            <w:pPr>
              <w:spacing w:after="0"/>
              <w:rPr>
                <w:sz w:val="15"/>
                <w:szCs w:val="15"/>
                <w:color w:val="auto"/>
              </w:rPr>
            </w:pPr>
          </w:p>
        </w:tc>
        <w:tc>
          <w:tcPr>
            <w:tcW w:w="2820" w:type="dxa"/>
            <w:vAlign w:val="bottom"/>
            <w:tcBorders>
              <w:right w:val="single" w:sz="8" w:color="B6B6B6"/>
            </w:tcBorders>
          </w:tcPr>
          <w:p>
            <w:pPr>
              <w:ind w:left="20"/>
              <w:spacing w:after="0" w:line="178" w:lineRule="exact"/>
              <w:rPr>
                <w:sz w:val="20"/>
                <w:szCs w:val="20"/>
                <w:color w:val="auto"/>
              </w:rPr>
            </w:pPr>
            <w:r>
              <w:rPr>
                <w:rFonts w:ascii="Times New Roman" w:cs="Times New Roman" w:eastAsia="Times New Roman" w:hAnsi="Times New Roman"/>
                <w:sz w:val="18"/>
                <w:szCs w:val="18"/>
                <w:color w:val="auto"/>
              </w:rPr>
              <w:t>known as sinusoidal obstruction</w:t>
            </w:r>
          </w:p>
        </w:tc>
        <w:tc>
          <w:tcPr>
            <w:tcW w:w="280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tcPr>
          <w:p>
            <w:pPr>
              <w:ind w:left="20"/>
              <w:spacing w:after="0" w:line="178" w:lineRule="exact"/>
              <w:rPr>
                <w:sz w:val="20"/>
                <w:szCs w:val="20"/>
                <w:color w:val="auto"/>
              </w:rPr>
            </w:pPr>
            <w:r>
              <w:rPr>
                <w:rFonts w:ascii="Times New Roman" w:cs="Times New Roman" w:eastAsia="Times New Roman" w:hAnsi="Times New Roman"/>
                <w:sz w:val="18"/>
                <w:szCs w:val="18"/>
                <w:color w:val="auto"/>
              </w:rPr>
              <w:t>Korea, Saudi Arabia</w:t>
            </w:r>
          </w:p>
        </w:tc>
      </w:tr>
      <w:tr>
        <w:trPr>
          <w:trHeight w:val="173"/>
        </w:trPr>
        <w:tc>
          <w:tcPr>
            <w:tcW w:w="2640" w:type="dxa"/>
            <w:vAlign w:val="bottom"/>
            <w:tcBorders>
              <w:left w:val="single" w:sz="8" w:color="B6B6B6"/>
              <w:right w:val="single" w:sz="8" w:color="B6B6B6"/>
            </w:tcBorders>
          </w:tcPr>
          <w:p>
            <w:pPr>
              <w:spacing w:after="0"/>
              <w:rPr>
                <w:sz w:val="15"/>
                <w:szCs w:val="15"/>
                <w:color w:val="auto"/>
              </w:rPr>
            </w:pPr>
          </w:p>
        </w:tc>
        <w:tc>
          <w:tcPr>
            <w:tcW w:w="2820" w:type="dxa"/>
            <w:vAlign w:val="bottom"/>
            <w:tcBorders>
              <w:right w:val="single" w:sz="8" w:color="B6B6B6"/>
            </w:tcBorders>
          </w:tcPr>
          <w:p>
            <w:pPr>
              <w:ind w:left="20"/>
              <w:spacing w:after="0" w:line="173" w:lineRule="exact"/>
              <w:rPr>
                <w:sz w:val="20"/>
                <w:szCs w:val="20"/>
                <w:color w:val="auto"/>
              </w:rPr>
            </w:pPr>
            <w:r>
              <w:rPr>
                <w:rFonts w:ascii="Times New Roman" w:cs="Times New Roman" w:eastAsia="Times New Roman" w:hAnsi="Times New Roman"/>
                <w:sz w:val="18"/>
                <w:szCs w:val="18"/>
                <w:color w:val="auto"/>
              </w:rPr>
              <w:t>syndrome, or SOS, following</w:t>
            </w:r>
          </w:p>
        </w:tc>
        <w:tc>
          <w:tcPr>
            <w:tcW w:w="280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tcPr>
          <w:p>
            <w:pPr>
              <w:spacing w:after="0"/>
              <w:rPr>
                <w:sz w:val="15"/>
                <w:szCs w:val="15"/>
                <w:color w:val="auto"/>
              </w:rPr>
            </w:pPr>
          </w:p>
        </w:tc>
      </w:tr>
      <w:tr>
        <w:trPr>
          <w:trHeight w:val="181"/>
        </w:trPr>
        <w:tc>
          <w:tcPr>
            <w:tcW w:w="2640" w:type="dxa"/>
            <w:vAlign w:val="bottom"/>
            <w:tcBorders>
              <w:left w:val="single" w:sz="8" w:color="B6B6B6"/>
              <w:right w:val="single" w:sz="8" w:color="B6B6B6"/>
            </w:tcBorders>
          </w:tcPr>
          <w:p>
            <w:pPr>
              <w:spacing w:after="0"/>
              <w:rPr>
                <w:sz w:val="15"/>
                <w:szCs w:val="15"/>
                <w:color w:val="auto"/>
              </w:rPr>
            </w:pPr>
          </w:p>
        </w:tc>
        <w:tc>
          <w:tcPr>
            <w:tcW w:w="2820" w:type="dxa"/>
            <w:vAlign w:val="bottom"/>
            <w:tcBorders>
              <w:right w:val="single" w:sz="8" w:color="B6B6B6"/>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hematopoietic stem cell</w:t>
            </w:r>
          </w:p>
        </w:tc>
        <w:tc>
          <w:tcPr>
            <w:tcW w:w="280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tcPr>
          <w:p>
            <w:pPr>
              <w:spacing w:after="0"/>
              <w:rPr>
                <w:sz w:val="15"/>
                <w:szCs w:val="15"/>
                <w:color w:val="auto"/>
              </w:rPr>
            </w:pPr>
          </w:p>
        </w:tc>
      </w:tr>
      <w:tr>
        <w:trPr>
          <w:trHeight w:val="231"/>
        </w:trPr>
        <w:tc>
          <w:tcPr>
            <w:tcW w:w="2640" w:type="dxa"/>
            <w:vAlign w:val="bottom"/>
            <w:tcBorders>
              <w:left w:val="single" w:sz="8" w:color="B6B6B6"/>
              <w:bottom w:val="single" w:sz="8" w:color="B6B6B6"/>
              <w:right w:val="single" w:sz="8" w:color="B6B6B6"/>
            </w:tcBorders>
          </w:tcPr>
          <w:p>
            <w:pPr>
              <w:spacing w:after="0"/>
              <w:rPr>
                <w:sz w:val="20"/>
                <w:szCs w:val="20"/>
                <w:color w:val="auto"/>
              </w:rPr>
            </w:pPr>
          </w:p>
        </w:tc>
        <w:tc>
          <w:tcPr>
            <w:tcW w:w="2820" w:type="dxa"/>
            <w:vAlign w:val="bottom"/>
            <w:tcBorders>
              <w:bottom w:val="single" w:sz="8" w:color="B6B6B6"/>
              <w:right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transplantation, or HSCT, therapy.</w:t>
            </w:r>
          </w:p>
        </w:tc>
        <w:tc>
          <w:tcPr>
            <w:tcW w:w="2800" w:type="dxa"/>
            <w:vAlign w:val="bottom"/>
            <w:tcBorders>
              <w:bottom w:val="single" w:sz="8" w:color="B6B6B6"/>
              <w:right w:val="single" w:sz="8" w:color="B6B6B6"/>
            </w:tcBorders>
          </w:tcPr>
          <w:p>
            <w:pPr>
              <w:spacing w:after="0"/>
              <w:rPr>
                <w:sz w:val="20"/>
                <w:szCs w:val="20"/>
                <w:color w:val="auto"/>
              </w:rPr>
            </w:pPr>
          </w:p>
        </w:tc>
        <w:tc>
          <w:tcPr>
            <w:tcW w:w="2820" w:type="dxa"/>
            <w:vAlign w:val="bottom"/>
            <w:tcBorders>
              <w:bottom w:val="single" w:sz="8" w:color="B6B6B6"/>
              <w:right w:val="single" w:sz="8" w:color="B6B6B6"/>
            </w:tcBorders>
          </w:tcPr>
          <w:p>
            <w:pPr>
              <w:spacing w:after="0"/>
              <w:rPr>
                <w:sz w:val="20"/>
                <w:szCs w:val="20"/>
                <w:color w:val="auto"/>
              </w:rPr>
            </w:pPr>
          </w:p>
        </w:tc>
      </w:tr>
      <w:tr>
        <w:trPr>
          <w:trHeight w:val="166"/>
        </w:trPr>
        <w:tc>
          <w:tcPr>
            <w:tcW w:w="2640" w:type="dxa"/>
            <w:vAlign w:val="bottom"/>
            <w:tcBorders>
              <w:left w:val="single" w:sz="8" w:color="B6B6B6"/>
              <w:right w:val="single" w:sz="8" w:color="B6B6B6"/>
            </w:tcBorders>
          </w:tcPr>
          <w:p>
            <w:pPr>
              <w:ind w:left="40"/>
              <w:spacing w:after="0" w:line="166" w:lineRule="exact"/>
              <w:rPr>
                <w:sz w:val="20"/>
                <w:szCs w:val="20"/>
                <w:color w:val="auto"/>
              </w:rPr>
            </w:pPr>
            <w:r>
              <w:rPr>
                <w:rFonts w:ascii="Times New Roman" w:cs="Times New Roman" w:eastAsia="Times New Roman" w:hAnsi="Times New Roman"/>
                <w:sz w:val="18"/>
                <w:szCs w:val="18"/>
                <w:color w:val="auto"/>
              </w:rPr>
              <w:t>Defitelio® (defibrotide sodium)</w:t>
            </w:r>
          </w:p>
        </w:tc>
        <w:tc>
          <w:tcPr>
            <w:tcW w:w="2820" w:type="dxa"/>
            <w:vAlign w:val="bottom"/>
            <w:tcBorders>
              <w:right w:val="single" w:sz="8" w:color="B6B6B6"/>
            </w:tcBorders>
          </w:tcPr>
          <w:p>
            <w:pPr>
              <w:ind w:left="20"/>
              <w:spacing w:after="0" w:line="166" w:lineRule="exact"/>
              <w:rPr>
                <w:sz w:val="20"/>
                <w:szCs w:val="20"/>
                <w:color w:val="auto"/>
              </w:rPr>
            </w:pPr>
            <w:r>
              <w:rPr>
                <w:rFonts w:ascii="Times New Roman" w:cs="Times New Roman" w:eastAsia="Times New Roman" w:hAnsi="Times New Roman"/>
                <w:sz w:val="18"/>
                <w:szCs w:val="18"/>
                <w:color w:val="auto"/>
              </w:rPr>
              <w:t>Treatment of adult and pediatric</w:t>
            </w:r>
          </w:p>
        </w:tc>
        <w:tc>
          <w:tcPr>
            <w:tcW w:w="2800" w:type="dxa"/>
            <w:vAlign w:val="bottom"/>
            <w:tcBorders>
              <w:right w:val="single" w:sz="8" w:color="B6B6B6"/>
            </w:tcBorders>
          </w:tcPr>
          <w:p>
            <w:pPr>
              <w:spacing w:after="0" w:line="166" w:lineRule="exact"/>
              <w:rPr>
                <w:sz w:val="20"/>
                <w:szCs w:val="20"/>
                <w:color w:val="auto"/>
              </w:rPr>
            </w:pPr>
            <w:r>
              <w:rPr>
                <w:rFonts w:ascii="Times New Roman" w:cs="Times New Roman" w:eastAsia="Times New Roman" w:hAnsi="Times New Roman"/>
                <w:sz w:val="18"/>
                <w:szCs w:val="18"/>
                <w:color w:val="auto"/>
              </w:rPr>
              <w:t>March 2016</w:t>
            </w:r>
          </w:p>
        </w:tc>
        <w:tc>
          <w:tcPr>
            <w:tcW w:w="2820" w:type="dxa"/>
            <w:vAlign w:val="bottom"/>
            <w:tcBorders>
              <w:right w:val="single" w:sz="8" w:color="B6B6B6"/>
            </w:tcBorders>
          </w:tcPr>
          <w:p>
            <w:pPr>
              <w:ind w:left="20"/>
              <w:spacing w:after="0" w:line="166" w:lineRule="exact"/>
              <w:rPr>
                <w:sz w:val="20"/>
                <w:szCs w:val="20"/>
                <w:color w:val="auto"/>
              </w:rPr>
            </w:pPr>
            <w:r>
              <w:rPr>
                <w:rFonts w:ascii="Times New Roman" w:cs="Times New Roman" w:eastAsia="Times New Roman" w:hAnsi="Times New Roman"/>
                <w:sz w:val="18"/>
                <w:szCs w:val="18"/>
                <w:color w:val="auto"/>
              </w:rPr>
              <w:t>U.S.</w:t>
            </w:r>
          </w:p>
        </w:tc>
      </w:tr>
      <w:tr>
        <w:trPr>
          <w:trHeight w:val="181"/>
        </w:trPr>
        <w:tc>
          <w:tcPr>
            <w:tcW w:w="2640" w:type="dxa"/>
            <w:vAlign w:val="bottom"/>
            <w:tcBorders>
              <w:left w:val="single" w:sz="8" w:color="B6B6B6"/>
              <w:right w:val="single" w:sz="8" w:color="B6B6B6"/>
            </w:tcBorders>
          </w:tcPr>
          <w:p>
            <w:pPr>
              <w:spacing w:after="0"/>
              <w:rPr>
                <w:sz w:val="15"/>
                <w:szCs w:val="15"/>
                <w:color w:val="auto"/>
              </w:rPr>
            </w:pPr>
          </w:p>
        </w:tc>
        <w:tc>
          <w:tcPr>
            <w:tcW w:w="2820" w:type="dxa"/>
            <w:vAlign w:val="bottom"/>
            <w:tcBorders>
              <w:right w:val="single" w:sz="8" w:color="B6B6B6"/>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patients with hepatic VOD, also</w:t>
            </w:r>
          </w:p>
        </w:tc>
        <w:tc>
          <w:tcPr>
            <w:tcW w:w="280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tcPr>
          <w:p>
            <w:pPr>
              <w:spacing w:after="0"/>
              <w:rPr>
                <w:sz w:val="15"/>
                <w:szCs w:val="15"/>
                <w:color w:val="auto"/>
              </w:rPr>
            </w:pPr>
          </w:p>
        </w:tc>
      </w:tr>
      <w:tr>
        <w:trPr>
          <w:trHeight w:val="178"/>
        </w:trPr>
        <w:tc>
          <w:tcPr>
            <w:tcW w:w="2640" w:type="dxa"/>
            <w:vAlign w:val="bottom"/>
            <w:tcBorders>
              <w:left w:val="single" w:sz="8" w:color="B6B6B6"/>
              <w:right w:val="single" w:sz="8" w:color="B6B6B6"/>
            </w:tcBorders>
          </w:tcPr>
          <w:p>
            <w:pPr>
              <w:spacing w:after="0"/>
              <w:rPr>
                <w:sz w:val="15"/>
                <w:szCs w:val="15"/>
                <w:color w:val="auto"/>
              </w:rPr>
            </w:pPr>
          </w:p>
        </w:tc>
        <w:tc>
          <w:tcPr>
            <w:tcW w:w="2820" w:type="dxa"/>
            <w:vAlign w:val="bottom"/>
            <w:tcBorders>
              <w:right w:val="single" w:sz="8" w:color="B6B6B6"/>
            </w:tcBorders>
          </w:tcPr>
          <w:p>
            <w:pPr>
              <w:ind w:left="20"/>
              <w:spacing w:after="0" w:line="178" w:lineRule="exact"/>
              <w:rPr>
                <w:sz w:val="20"/>
                <w:szCs w:val="20"/>
                <w:color w:val="auto"/>
              </w:rPr>
            </w:pPr>
            <w:r>
              <w:rPr>
                <w:rFonts w:ascii="Times New Roman" w:cs="Times New Roman" w:eastAsia="Times New Roman" w:hAnsi="Times New Roman"/>
                <w:sz w:val="18"/>
                <w:szCs w:val="18"/>
                <w:color w:val="auto"/>
              </w:rPr>
              <w:t>known as SOS, with renal or</w:t>
            </w:r>
          </w:p>
        </w:tc>
        <w:tc>
          <w:tcPr>
            <w:tcW w:w="280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tcPr>
          <w:p>
            <w:pPr>
              <w:spacing w:after="0"/>
              <w:rPr>
                <w:sz w:val="15"/>
                <w:szCs w:val="15"/>
                <w:color w:val="auto"/>
              </w:rPr>
            </w:pPr>
          </w:p>
        </w:tc>
      </w:tr>
      <w:tr>
        <w:trPr>
          <w:trHeight w:val="173"/>
        </w:trPr>
        <w:tc>
          <w:tcPr>
            <w:tcW w:w="2640" w:type="dxa"/>
            <w:vAlign w:val="bottom"/>
            <w:tcBorders>
              <w:left w:val="single" w:sz="8" w:color="B6B6B6"/>
              <w:right w:val="single" w:sz="8" w:color="B6B6B6"/>
            </w:tcBorders>
          </w:tcPr>
          <w:p>
            <w:pPr>
              <w:spacing w:after="0"/>
              <w:rPr>
                <w:sz w:val="15"/>
                <w:szCs w:val="15"/>
                <w:color w:val="auto"/>
              </w:rPr>
            </w:pPr>
          </w:p>
        </w:tc>
        <w:tc>
          <w:tcPr>
            <w:tcW w:w="2820" w:type="dxa"/>
            <w:vAlign w:val="bottom"/>
            <w:tcBorders>
              <w:right w:val="single" w:sz="8" w:color="B6B6B6"/>
            </w:tcBorders>
          </w:tcPr>
          <w:p>
            <w:pPr>
              <w:ind w:left="20"/>
              <w:spacing w:after="0" w:line="173" w:lineRule="exact"/>
              <w:rPr>
                <w:sz w:val="20"/>
                <w:szCs w:val="20"/>
                <w:color w:val="auto"/>
              </w:rPr>
            </w:pPr>
            <w:r>
              <w:rPr>
                <w:rFonts w:ascii="Times New Roman" w:cs="Times New Roman" w:eastAsia="Times New Roman" w:hAnsi="Times New Roman"/>
                <w:sz w:val="18"/>
                <w:szCs w:val="18"/>
                <w:color w:val="auto"/>
              </w:rPr>
              <w:t>pulmonary dysfunction following</w:t>
            </w:r>
          </w:p>
        </w:tc>
        <w:tc>
          <w:tcPr>
            <w:tcW w:w="280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tcPr>
          <w:p>
            <w:pPr>
              <w:spacing w:after="0"/>
              <w:rPr>
                <w:sz w:val="15"/>
                <w:szCs w:val="15"/>
                <w:color w:val="auto"/>
              </w:rPr>
            </w:pPr>
          </w:p>
        </w:tc>
      </w:tr>
      <w:tr>
        <w:trPr>
          <w:trHeight w:val="236"/>
        </w:trPr>
        <w:tc>
          <w:tcPr>
            <w:tcW w:w="2640" w:type="dxa"/>
            <w:vAlign w:val="bottom"/>
            <w:tcBorders>
              <w:left w:val="single" w:sz="8" w:color="B6B6B6"/>
              <w:bottom w:val="single" w:sz="8" w:color="B6B6B6"/>
              <w:right w:val="single" w:sz="8" w:color="B6B6B6"/>
            </w:tcBorders>
          </w:tcPr>
          <w:p>
            <w:pPr>
              <w:spacing w:after="0"/>
              <w:rPr>
                <w:sz w:val="20"/>
                <w:szCs w:val="20"/>
                <w:color w:val="auto"/>
              </w:rPr>
            </w:pPr>
          </w:p>
        </w:tc>
        <w:tc>
          <w:tcPr>
            <w:tcW w:w="2820" w:type="dxa"/>
            <w:vAlign w:val="bottom"/>
            <w:tcBorders>
              <w:bottom w:val="single" w:sz="8" w:color="B6B6B6"/>
              <w:right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HSCT.</w:t>
            </w:r>
          </w:p>
        </w:tc>
        <w:tc>
          <w:tcPr>
            <w:tcW w:w="2800" w:type="dxa"/>
            <w:vAlign w:val="bottom"/>
            <w:tcBorders>
              <w:bottom w:val="single" w:sz="8" w:color="B6B6B6"/>
              <w:right w:val="single" w:sz="8" w:color="B6B6B6"/>
            </w:tcBorders>
          </w:tcPr>
          <w:p>
            <w:pPr>
              <w:spacing w:after="0"/>
              <w:rPr>
                <w:sz w:val="20"/>
                <w:szCs w:val="20"/>
                <w:color w:val="auto"/>
              </w:rPr>
            </w:pPr>
          </w:p>
        </w:tc>
        <w:tc>
          <w:tcPr>
            <w:tcW w:w="2820" w:type="dxa"/>
            <w:vAlign w:val="bottom"/>
            <w:tcBorders>
              <w:bottom w:val="single" w:sz="8" w:color="B6B6B6"/>
              <w:right w:val="single" w:sz="8" w:color="B6B6B6"/>
            </w:tcBorders>
          </w:tcPr>
          <w:p>
            <w:pPr>
              <w:spacing w:after="0"/>
              <w:rPr>
                <w:sz w:val="20"/>
                <w:szCs w:val="20"/>
                <w:color w:val="auto"/>
              </w:rPr>
            </w:pPr>
          </w:p>
        </w:tc>
      </w:tr>
      <w:tr>
        <w:trPr>
          <w:trHeight w:val="170"/>
        </w:trPr>
        <w:tc>
          <w:tcPr>
            <w:tcW w:w="2640" w:type="dxa"/>
            <w:vAlign w:val="bottom"/>
            <w:tcBorders>
              <w:left w:val="single" w:sz="8" w:color="B6B6B6"/>
              <w:right w:val="single" w:sz="8" w:color="B6B6B6"/>
            </w:tcBorders>
          </w:tcPr>
          <w:p>
            <w:pPr>
              <w:ind w:left="40"/>
              <w:spacing w:after="0" w:line="170" w:lineRule="exact"/>
              <w:rPr>
                <w:sz w:val="20"/>
                <w:szCs w:val="20"/>
                <w:color w:val="auto"/>
              </w:rPr>
            </w:pPr>
            <w:r>
              <w:rPr>
                <w:rFonts w:ascii="Times New Roman" w:cs="Times New Roman" w:eastAsia="Times New Roman" w:hAnsi="Times New Roman"/>
                <w:sz w:val="18"/>
                <w:szCs w:val="18"/>
                <w:color w:val="auto"/>
              </w:rPr>
              <w:t>Defitelio® (defibrotide sodium)</w:t>
            </w:r>
          </w:p>
        </w:tc>
        <w:tc>
          <w:tcPr>
            <w:tcW w:w="2820" w:type="dxa"/>
            <w:vAlign w:val="bottom"/>
            <w:tcBorders>
              <w:right w:val="single" w:sz="8" w:color="B6B6B6"/>
            </w:tcBorders>
          </w:tcPr>
          <w:p>
            <w:pPr>
              <w:ind w:left="20"/>
              <w:spacing w:after="0" w:line="170" w:lineRule="exact"/>
              <w:rPr>
                <w:sz w:val="20"/>
                <w:szCs w:val="20"/>
                <w:color w:val="auto"/>
              </w:rPr>
            </w:pPr>
            <w:r>
              <w:rPr>
                <w:rFonts w:ascii="Times New Roman" w:cs="Times New Roman" w:eastAsia="Times New Roman" w:hAnsi="Times New Roman"/>
                <w:sz w:val="18"/>
                <w:szCs w:val="18"/>
                <w:color w:val="auto"/>
              </w:rPr>
              <w:t>Treatment of severe hepatic VOD,</w:t>
            </w:r>
          </w:p>
        </w:tc>
        <w:tc>
          <w:tcPr>
            <w:tcW w:w="2800" w:type="dxa"/>
            <w:vAlign w:val="bottom"/>
            <w:tcBorders>
              <w:right w:val="single" w:sz="8" w:color="B6B6B6"/>
            </w:tcBorders>
          </w:tcPr>
          <w:p>
            <w:pPr>
              <w:spacing w:after="0" w:line="170" w:lineRule="exact"/>
              <w:rPr>
                <w:sz w:val="20"/>
                <w:szCs w:val="20"/>
                <w:color w:val="auto"/>
              </w:rPr>
            </w:pPr>
            <w:r>
              <w:rPr>
                <w:rFonts w:ascii="Times New Roman" w:cs="Times New Roman" w:eastAsia="Times New Roman" w:hAnsi="Times New Roman"/>
                <w:sz w:val="18"/>
                <w:szCs w:val="18"/>
                <w:color w:val="auto"/>
              </w:rPr>
              <w:t>July 2017</w:t>
            </w:r>
          </w:p>
        </w:tc>
        <w:tc>
          <w:tcPr>
            <w:tcW w:w="2820" w:type="dxa"/>
            <w:vAlign w:val="bottom"/>
            <w:tcBorders>
              <w:right w:val="single" w:sz="8" w:color="B6B6B6"/>
            </w:tcBorders>
          </w:tcPr>
          <w:p>
            <w:pPr>
              <w:ind w:left="20"/>
              <w:spacing w:after="0" w:line="170" w:lineRule="exact"/>
              <w:rPr>
                <w:sz w:val="20"/>
                <w:szCs w:val="20"/>
                <w:color w:val="auto"/>
              </w:rPr>
            </w:pPr>
            <w:r>
              <w:rPr>
                <w:rFonts w:ascii="Times New Roman" w:cs="Times New Roman" w:eastAsia="Times New Roman" w:hAnsi="Times New Roman"/>
                <w:sz w:val="18"/>
                <w:szCs w:val="18"/>
                <w:color w:val="auto"/>
              </w:rPr>
              <w:t>Canada, Brazil</w:t>
            </w:r>
          </w:p>
        </w:tc>
      </w:tr>
      <w:tr>
        <w:trPr>
          <w:trHeight w:val="181"/>
        </w:trPr>
        <w:tc>
          <w:tcPr>
            <w:tcW w:w="2640" w:type="dxa"/>
            <w:vAlign w:val="bottom"/>
            <w:tcBorders>
              <w:left w:val="single" w:sz="8" w:color="B6B6B6"/>
              <w:right w:val="single" w:sz="8" w:color="B6B6B6"/>
            </w:tcBorders>
          </w:tcPr>
          <w:p>
            <w:pPr>
              <w:spacing w:after="0"/>
              <w:rPr>
                <w:sz w:val="15"/>
                <w:szCs w:val="15"/>
                <w:color w:val="auto"/>
              </w:rPr>
            </w:pPr>
          </w:p>
        </w:tc>
        <w:tc>
          <w:tcPr>
            <w:tcW w:w="2820" w:type="dxa"/>
            <w:vAlign w:val="bottom"/>
            <w:tcBorders>
              <w:right w:val="single" w:sz="8" w:color="B6B6B6"/>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also known as SOS, following HSCT</w:t>
            </w:r>
          </w:p>
        </w:tc>
        <w:tc>
          <w:tcPr>
            <w:tcW w:w="280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tcPr>
          <w:p>
            <w:pPr>
              <w:spacing w:after="0"/>
              <w:rPr>
                <w:sz w:val="15"/>
                <w:szCs w:val="15"/>
                <w:color w:val="auto"/>
              </w:rPr>
            </w:pPr>
          </w:p>
        </w:tc>
      </w:tr>
      <w:tr>
        <w:trPr>
          <w:trHeight w:val="231"/>
        </w:trPr>
        <w:tc>
          <w:tcPr>
            <w:tcW w:w="2640" w:type="dxa"/>
            <w:vAlign w:val="bottom"/>
            <w:tcBorders>
              <w:left w:val="single" w:sz="8" w:color="B6B6B6"/>
              <w:bottom w:val="single" w:sz="8" w:color="B6B6B6"/>
              <w:right w:val="single" w:sz="8" w:color="B6B6B6"/>
            </w:tcBorders>
          </w:tcPr>
          <w:p>
            <w:pPr>
              <w:spacing w:after="0"/>
              <w:rPr>
                <w:sz w:val="20"/>
                <w:szCs w:val="20"/>
                <w:color w:val="auto"/>
              </w:rPr>
            </w:pPr>
          </w:p>
        </w:tc>
        <w:tc>
          <w:tcPr>
            <w:tcW w:w="2820" w:type="dxa"/>
            <w:vAlign w:val="bottom"/>
            <w:tcBorders>
              <w:bottom w:val="single" w:sz="8" w:color="B6B6B6"/>
              <w:right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therapy.</w:t>
            </w:r>
          </w:p>
        </w:tc>
        <w:tc>
          <w:tcPr>
            <w:tcW w:w="2800" w:type="dxa"/>
            <w:vAlign w:val="bottom"/>
            <w:tcBorders>
              <w:bottom w:val="single" w:sz="8" w:color="B6B6B6"/>
              <w:right w:val="single" w:sz="8" w:color="B6B6B6"/>
            </w:tcBorders>
          </w:tcPr>
          <w:p>
            <w:pPr>
              <w:spacing w:after="0"/>
              <w:rPr>
                <w:sz w:val="20"/>
                <w:szCs w:val="20"/>
                <w:color w:val="auto"/>
              </w:rPr>
            </w:pPr>
          </w:p>
        </w:tc>
        <w:tc>
          <w:tcPr>
            <w:tcW w:w="2820" w:type="dxa"/>
            <w:vAlign w:val="bottom"/>
            <w:tcBorders>
              <w:bottom w:val="single" w:sz="8" w:color="B6B6B6"/>
              <w:right w:val="single" w:sz="8" w:color="B6B6B6"/>
            </w:tcBorders>
          </w:tcPr>
          <w:p>
            <w:pPr>
              <w:spacing w:after="0"/>
              <w:rPr>
                <w:sz w:val="20"/>
                <w:szCs w:val="20"/>
                <w:color w:val="auto"/>
              </w:rPr>
            </w:pPr>
          </w:p>
        </w:tc>
      </w:tr>
      <w:tr>
        <w:trPr>
          <w:trHeight w:val="166"/>
        </w:trPr>
        <w:tc>
          <w:tcPr>
            <w:tcW w:w="2640" w:type="dxa"/>
            <w:vAlign w:val="bottom"/>
            <w:tcBorders>
              <w:left w:val="single" w:sz="8" w:color="B6B6B6"/>
              <w:right w:val="single" w:sz="8" w:color="B6B6B6"/>
            </w:tcBorders>
          </w:tcPr>
          <w:p>
            <w:pPr>
              <w:ind w:left="40"/>
              <w:spacing w:after="0" w:line="166" w:lineRule="exact"/>
              <w:rPr>
                <w:sz w:val="20"/>
                <w:szCs w:val="20"/>
                <w:color w:val="auto"/>
              </w:rPr>
            </w:pPr>
            <w:r>
              <w:rPr>
                <w:rFonts w:ascii="Times New Roman" w:cs="Times New Roman" w:eastAsia="Times New Roman" w:hAnsi="Times New Roman"/>
                <w:sz w:val="18"/>
                <w:szCs w:val="18"/>
                <w:color w:val="auto"/>
              </w:rPr>
              <w:t>Defitelio® (defibrotide)</w:t>
            </w:r>
          </w:p>
        </w:tc>
        <w:tc>
          <w:tcPr>
            <w:tcW w:w="2820" w:type="dxa"/>
            <w:vAlign w:val="bottom"/>
            <w:tcBorders>
              <w:right w:val="single" w:sz="8" w:color="B6B6B6"/>
            </w:tcBorders>
          </w:tcPr>
          <w:p>
            <w:pPr>
              <w:ind w:left="20"/>
              <w:spacing w:after="0" w:line="166" w:lineRule="exact"/>
              <w:rPr>
                <w:sz w:val="20"/>
                <w:szCs w:val="20"/>
                <w:color w:val="auto"/>
              </w:rPr>
            </w:pPr>
            <w:r>
              <w:rPr>
                <w:rFonts w:ascii="Times New Roman" w:cs="Times New Roman" w:eastAsia="Times New Roman" w:hAnsi="Times New Roman"/>
                <w:sz w:val="18"/>
                <w:szCs w:val="18"/>
                <w:color w:val="auto"/>
              </w:rPr>
              <w:t>Treatment of hepatic SOS (hepatic</w:t>
            </w:r>
          </w:p>
        </w:tc>
        <w:tc>
          <w:tcPr>
            <w:tcW w:w="2800" w:type="dxa"/>
            <w:vAlign w:val="bottom"/>
            <w:tcBorders>
              <w:right w:val="single" w:sz="8" w:color="B6B6B6"/>
            </w:tcBorders>
          </w:tcPr>
          <w:p>
            <w:pPr>
              <w:spacing w:after="0" w:line="166" w:lineRule="exact"/>
              <w:rPr>
                <w:sz w:val="20"/>
                <w:szCs w:val="20"/>
                <w:color w:val="auto"/>
              </w:rPr>
            </w:pPr>
            <w:r>
              <w:rPr>
                <w:rFonts w:ascii="Times New Roman" w:cs="Times New Roman" w:eastAsia="Times New Roman" w:hAnsi="Times New Roman"/>
                <w:sz w:val="18"/>
                <w:szCs w:val="18"/>
                <w:color w:val="auto"/>
              </w:rPr>
              <w:t>June 2019</w:t>
            </w:r>
          </w:p>
        </w:tc>
        <w:tc>
          <w:tcPr>
            <w:tcW w:w="2820" w:type="dxa"/>
            <w:vAlign w:val="bottom"/>
            <w:tcBorders>
              <w:right w:val="single" w:sz="8" w:color="B6B6B6"/>
            </w:tcBorders>
          </w:tcPr>
          <w:p>
            <w:pPr>
              <w:ind w:left="20"/>
              <w:spacing w:after="0" w:line="166" w:lineRule="exact"/>
              <w:rPr>
                <w:sz w:val="20"/>
                <w:szCs w:val="20"/>
                <w:color w:val="auto"/>
              </w:rPr>
            </w:pPr>
            <w:r>
              <w:rPr>
                <w:rFonts w:ascii="Times New Roman" w:cs="Times New Roman" w:eastAsia="Times New Roman" w:hAnsi="Times New Roman"/>
                <w:sz w:val="18"/>
                <w:szCs w:val="18"/>
                <w:color w:val="auto"/>
              </w:rPr>
              <w:t>Japan</w:t>
            </w:r>
          </w:p>
        </w:tc>
      </w:tr>
      <w:tr>
        <w:trPr>
          <w:trHeight w:val="236"/>
        </w:trPr>
        <w:tc>
          <w:tcPr>
            <w:tcW w:w="2640" w:type="dxa"/>
            <w:vAlign w:val="bottom"/>
            <w:tcBorders>
              <w:left w:val="single" w:sz="8" w:color="B6B6B6"/>
              <w:bottom w:val="single" w:sz="8" w:color="B6B6B6"/>
              <w:right w:val="single" w:sz="8" w:color="B6B6B6"/>
            </w:tcBorders>
          </w:tcPr>
          <w:p>
            <w:pPr>
              <w:spacing w:after="0"/>
              <w:rPr>
                <w:sz w:val="20"/>
                <w:szCs w:val="20"/>
                <w:color w:val="auto"/>
              </w:rPr>
            </w:pPr>
          </w:p>
        </w:tc>
        <w:tc>
          <w:tcPr>
            <w:tcW w:w="2820" w:type="dxa"/>
            <w:vAlign w:val="bottom"/>
            <w:tcBorders>
              <w:bottom w:val="single" w:sz="8" w:color="B6B6B6"/>
              <w:right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VOD).</w:t>
            </w:r>
          </w:p>
        </w:tc>
        <w:tc>
          <w:tcPr>
            <w:tcW w:w="2800" w:type="dxa"/>
            <w:vAlign w:val="bottom"/>
            <w:tcBorders>
              <w:bottom w:val="single" w:sz="8" w:color="B6B6B6"/>
              <w:right w:val="single" w:sz="8" w:color="B6B6B6"/>
            </w:tcBorders>
          </w:tcPr>
          <w:p>
            <w:pPr>
              <w:spacing w:after="0"/>
              <w:rPr>
                <w:sz w:val="20"/>
                <w:szCs w:val="20"/>
                <w:color w:val="auto"/>
              </w:rPr>
            </w:pPr>
          </w:p>
        </w:tc>
        <w:tc>
          <w:tcPr>
            <w:tcW w:w="2820" w:type="dxa"/>
            <w:vAlign w:val="bottom"/>
            <w:tcBorders>
              <w:bottom w:val="single" w:sz="8" w:color="B6B6B6"/>
              <w:right w:val="single" w:sz="8" w:color="B6B6B6"/>
            </w:tcBorders>
          </w:tcPr>
          <w:p>
            <w:pPr>
              <w:spacing w:after="0"/>
              <w:rPr>
                <w:sz w:val="20"/>
                <w:szCs w:val="20"/>
                <w:color w:val="auto"/>
              </w:rPr>
            </w:pPr>
          </w:p>
        </w:tc>
      </w:tr>
      <w:tr>
        <w:trPr>
          <w:trHeight w:val="170"/>
        </w:trPr>
        <w:tc>
          <w:tcPr>
            <w:tcW w:w="2640" w:type="dxa"/>
            <w:vAlign w:val="bottom"/>
            <w:tcBorders>
              <w:left w:val="single" w:sz="8" w:color="B6B6B6"/>
              <w:right w:val="single" w:sz="8" w:color="B6B6B6"/>
            </w:tcBorders>
            <w:shd w:val="clear" w:color="auto" w:fill="CCEEFF"/>
          </w:tcPr>
          <w:p>
            <w:pPr>
              <w:ind w:left="40"/>
              <w:spacing w:after="0" w:line="170" w:lineRule="exact"/>
              <w:rPr>
                <w:sz w:val="20"/>
                <w:szCs w:val="20"/>
                <w:color w:val="auto"/>
              </w:rPr>
            </w:pPr>
            <w:r>
              <w:rPr>
                <w:rFonts w:ascii="Times New Roman" w:cs="Times New Roman" w:eastAsia="Times New Roman" w:hAnsi="Times New Roman"/>
                <w:sz w:val="18"/>
                <w:szCs w:val="18"/>
                <w:color w:val="auto"/>
              </w:rPr>
              <w:t>Vyxeos® (daunorubicin and</w:t>
            </w:r>
          </w:p>
        </w:tc>
        <w:tc>
          <w:tcPr>
            <w:tcW w:w="2820" w:type="dxa"/>
            <w:vAlign w:val="bottom"/>
            <w:tcBorders>
              <w:right w:val="single" w:sz="8" w:color="B6B6B6"/>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Treatment of newly-diagnosed</w:t>
            </w:r>
          </w:p>
        </w:tc>
        <w:tc>
          <w:tcPr>
            <w:tcW w:w="2800" w:type="dxa"/>
            <w:vAlign w:val="bottom"/>
            <w:tcBorders>
              <w:right w:val="single" w:sz="8" w:color="B6B6B6"/>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August 2017</w:t>
            </w:r>
          </w:p>
        </w:tc>
        <w:tc>
          <w:tcPr>
            <w:tcW w:w="2820" w:type="dxa"/>
            <w:vAlign w:val="bottom"/>
            <w:tcBorders>
              <w:right w:val="single" w:sz="8" w:color="B6B6B6"/>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U.S.</w:t>
            </w:r>
          </w:p>
        </w:tc>
      </w:tr>
      <w:tr>
        <w:trPr>
          <w:trHeight w:val="181"/>
        </w:trPr>
        <w:tc>
          <w:tcPr>
            <w:tcW w:w="2640" w:type="dxa"/>
            <w:vAlign w:val="bottom"/>
            <w:tcBorders>
              <w:left w:val="single" w:sz="8" w:color="B6B6B6"/>
              <w:right w:val="single" w:sz="8" w:color="B6B6B6"/>
            </w:tcBorders>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cytarabine) liposome for injection</w:t>
            </w:r>
          </w:p>
        </w:tc>
        <w:tc>
          <w:tcPr>
            <w:tcW w:w="2820" w:type="dxa"/>
            <w:vAlign w:val="bottom"/>
            <w:tcBorders>
              <w:right w:val="single" w:sz="8" w:color="B6B6B6"/>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therapy-related acute myeloid</w:t>
            </w:r>
          </w:p>
        </w:tc>
        <w:tc>
          <w:tcPr>
            <w:tcW w:w="2800" w:type="dxa"/>
            <w:vAlign w:val="bottom"/>
            <w:tcBorders>
              <w:right w:val="single" w:sz="8" w:color="B6B6B6"/>
            </w:tcBorders>
            <w:shd w:val="clear" w:color="auto" w:fill="CCEEFF"/>
          </w:tcPr>
          <w:p>
            <w:pPr>
              <w:spacing w:after="0"/>
              <w:rPr>
                <w:sz w:val="15"/>
                <w:szCs w:val="15"/>
                <w:color w:val="auto"/>
              </w:rPr>
            </w:pPr>
          </w:p>
        </w:tc>
        <w:tc>
          <w:tcPr>
            <w:tcW w:w="2820" w:type="dxa"/>
            <w:vAlign w:val="bottom"/>
            <w:tcBorders>
              <w:right w:val="single" w:sz="8" w:color="B6B6B6"/>
            </w:tcBorders>
            <w:shd w:val="clear" w:color="auto" w:fill="CCEEFF"/>
          </w:tcPr>
          <w:p>
            <w:pPr>
              <w:spacing w:after="0"/>
              <w:rPr>
                <w:sz w:val="15"/>
                <w:szCs w:val="15"/>
                <w:color w:val="auto"/>
              </w:rPr>
            </w:pPr>
          </w:p>
        </w:tc>
      </w:tr>
      <w:tr>
        <w:trPr>
          <w:trHeight w:val="178"/>
        </w:trPr>
        <w:tc>
          <w:tcPr>
            <w:tcW w:w="2640" w:type="dxa"/>
            <w:vAlign w:val="bottom"/>
            <w:tcBorders>
              <w:left w:val="single" w:sz="8" w:color="B6B6B6"/>
              <w:right w:val="single" w:sz="8" w:color="B6B6B6"/>
            </w:tcBorders>
            <w:shd w:val="clear" w:color="auto" w:fill="CCEEFF"/>
          </w:tcPr>
          <w:p>
            <w:pPr>
              <w:spacing w:after="0"/>
              <w:rPr>
                <w:sz w:val="15"/>
                <w:szCs w:val="15"/>
                <w:color w:val="auto"/>
              </w:rPr>
            </w:pPr>
          </w:p>
        </w:tc>
        <w:tc>
          <w:tcPr>
            <w:tcW w:w="2820" w:type="dxa"/>
            <w:vAlign w:val="bottom"/>
            <w:tcBorders>
              <w:right w:val="single" w:sz="8" w:color="B6B6B6"/>
            </w:tcBorders>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leukemia, or t-AML, or AML with</w:t>
            </w:r>
          </w:p>
        </w:tc>
        <w:tc>
          <w:tcPr>
            <w:tcW w:w="2800" w:type="dxa"/>
            <w:vAlign w:val="bottom"/>
            <w:tcBorders>
              <w:right w:val="single" w:sz="8" w:color="B6B6B6"/>
            </w:tcBorders>
            <w:shd w:val="clear" w:color="auto" w:fill="CCEEFF"/>
          </w:tcPr>
          <w:p>
            <w:pPr>
              <w:spacing w:after="0"/>
              <w:rPr>
                <w:sz w:val="15"/>
                <w:szCs w:val="15"/>
                <w:color w:val="auto"/>
              </w:rPr>
            </w:pPr>
          </w:p>
        </w:tc>
        <w:tc>
          <w:tcPr>
            <w:tcW w:w="2820" w:type="dxa"/>
            <w:vAlign w:val="bottom"/>
            <w:tcBorders>
              <w:right w:val="single" w:sz="8" w:color="B6B6B6"/>
            </w:tcBorders>
            <w:shd w:val="clear" w:color="auto" w:fill="CCEEFF"/>
          </w:tcPr>
          <w:p>
            <w:pPr>
              <w:spacing w:after="0"/>
              <w:rPr>
                <w:sz w:val="15"/>
                <w:szCs w:val="15"/>
                <w:color w:val="auto"/>
              </w:rPr>
            </w:pPr>
          </w:p>
        </w:tc>
      </w:tr>
      <w:tr>
        <w:trPr>
          <w:trHeight w:val="173"/>
        </w:trPr>
        <w:tc>
          <w:tcPr>
            <w:tcW w:w="2640" w:type="dxa"/>
            <w:vAlign w:val="bottom"/>
            <w:tcBorders>
              <w:left w:val="single" w:sz="8" w:color="B6B6B6"/>
              <w:right w:val="single" w:sz="8" w:color="B6B6B6"/>
            </w:tcBorders>
            <w:shd w:val="clear" w:color="auto" w:fill="CCEEFF"/>
          </w:tcPr>
          <w:p>
            <w:pPr>
              <w:spacing w:after="0"/>
              <w:rPr>
                <w:sz w:val="15"/>
                <w:szCs w:val="15"/>
                <w:color w:val="auto"/>
              </w:rPr>
            </w:pPr>
          </w:p>
        </w:tc>
        <w:tc>
          <w:tcPr>
            <w:tcW w:w="2820" w:type="dxa"/>
            <w:vAlign w:val="bottom"/>
            <w:tcBorders>
              <w:right w:val="single" w:sz="8" w:color="B6B6B6"/>
            </w:tcBorders>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myelodysplasia-related changes, or</w:t>
            </w:r>
          </w:p>
        </w:tc>
        <w:tc>
          <w:tcPr>
            <w:tcW w:w="2800" w:type="dxa"/>
            <w:vAlign w:val="bottom"/>
            <w:tcBorders>
              <w:right w:val="single" w:sz="8" w:color="B6B6B6"/>
            </w:tcBorders>
            <w:shd w:val="clear" w:color="auto" w:fill="CCEEFF"/>
          </w:tcPr>
          <w:p>
            <w:pPr>
              <w:spacing w:after="0"/>
              <w:rPr>
                <w:sz w:val="15"/>
                <w:szCs w:val="15"/>
                <w:color w:val="auto"/>
              </w:rPr>
            </w:pPr>
          </w:p>
        </w:tc>
        <w:tc>
          <w:tcPr>
            <w:tcW w:w="2820" w:type="dxa"/>
            <w:vAlign w:val="bottom"/>
            <w:tcBorders>
              <w:right w:val="single" w:sz="8" w:color="B6B6B6"/>
            </w:tcBorders>
            <w:shd w:val="clear" w:color="auto" w:fill="CCEEFF"/>
          </w:tcPr>
          <w:p>
            <w:pPr>
              <w:spacing w:after="0"/>
              <w:rPr>
                <w:sz w:val="15"/>
                <w:szCs w:val="15"/>
                <w:color w:val="auto"/>
              </w:rPr>
            </w:pPr>
          </w:p>
        </w:tc>
      </w:tr>
      <w:tr>
        <w:trPr>
          <w:trHeight w:val="181"/>
        </w:trPr>
        <w:tc>
          <w:tcPr>
            <w:tcW w:w="2640" w:type="dxa"/>
            <w:vAlign w:val="bottom"/>
            <w:tcBorders>
              <w:left w:val="single" w:sz="8" w:color="B6B6B6"/>
              <w:right w:val="single" w:sz="8" w:color="B6B6B6"/>
            </w:tcBorders>
            <w:shd w:val="clear" w:color="auto" w:fill="CCEEFF"/>
          </w:tcPr>
          <w:p>
            <w:pPr>
              <w:spacing w:after="0"/>
              <w:rPr>
                <w:sz w:val="15"/>
                <w:szCs w:val="15"/>
                <w:color w:val="auto"/>
              </w:rPr>
            </w:pPr>
          </w:p>
        </w:tc>
        <w:tc>
          <w:tcPr>
            <w:tcW w:w="2820" w:type="dxa"/>
            <w:vAlign w:val="bottom"/>
            <w:tcBorders>
              <w:right w:val="single" w:sz="8" w:color="B6B6B6"/>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AML-MRC, in adults and pediatric</w:t>
            </w:r>
          </w:p>
        </w:tc>
        <w:tc>
          <w:tcPr>
            <w:tcW w:w="2800" w:type="dxa"/>
            <w:vAlign w:val="bottom"/>
            <w:tcBorders>
              <w:right w:val="single" w:sz="8" w:color="B6B6B6"/>
            </w:tcBorders>
            <w:shd w:val="clear" w:color="auto" w:fill="CCEEFF"/>
          </w:tcPr>
          <w:p>
            <w:pPr>
              <w:spacing w:after="0"/>
              <w:rPr>
                <w:sz w:val="15"/>
                <w:szCs w:val="15"/>
                <w:color w:val="auto"/>
              </w:rPr>
            </w:pPr>
          </w:p>
        </w:tc>
        <w:tc>
          <w:tcPr>
            <w:tcW w:w="2820" w:type="dxa"/>
            <w:vAlign w:val="bottom"/>
            <w:tcBorders>
              <w:right w:val="single" w:sz="8" w:color="B6B6B6"/>
            </w:tcBorders>
            <w:shd w:val="clear" w:color="auto" w:fill="CCEEFF"/>
          </w:tcPr>
          <w:p>
            <w:pPr>
              <w:spacing w:after="0"/>
              <w:rPr>
                <w:sz w:val="15"/>
                <w:szCs w:val="15"/>
                <w:color w:val="auto"/>
              </w:rPr>
            </w:pPr>
          </w:p>
        </w:tc>
      </w:tr>
      <w:tr>
        <w:trPr>
          <w:trHeight w:val="231"/>
        </w:trPr>
        <w:tc>
          <w:tcPr>
            <w:tcW w:w="2640" w:type="dxa"/>
            <w:vAlign w:val="bottom"/>
            <w:tcBorders>
              <w:left w:val="single" w:sz="8" w:color="B6B6B6"/>
              <w:bottom w:val="single" w:sz="8" w:color="B6B6B6"/>
              <w:right w:val="single" w:sz="8" w:color="B6B6B6"/>
            </w:tcBorders>
            <w:shd w:val="clear" w:color="auto" w:fill="CCEEFF"/>
          </w:tcPr>
          <w:p>
            <w:pPr>
              <w:spacing w:after="0"/>
              <w:rPr>
                <w:sz w:val="20"/>
                <w:szCs w:val="20"/>
                <w:color w:val="auto"/>
              </w:rPr>
            </w:pPr>
          </w:p>
        </w:tc>
        <w:tc>
          <w:tcPr>
            <w:tcW w:w="2820" w:type="dxa"/>
            <w:vAlign w:val="bottom"/>
            <w:tcBorders>
              <w:bottom w:val="single" w:sz="8" w:color="B6B6B6"/>
              <w:right w:val="single" w:sz="8" w:color="B6B6B6"/>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patients one year and older.</w:t>
            </w:r>
          </w:p>
        </w:tc>
        <w:tc>
          <w:tcPr>
            <w:tcW w:w="2800" w:type="dxa"/>
            <w:vAlign w:val="bottom"/>
            <w:tcBorders>
              <w:bottom w:val="single" w:sz="8" w:color="B6B6B6"/>
              <w:right w:val="single" w:sz="8" w:color="B6B6B6"/>
            </w:tcBorders>
            <w:shd w:val="clear" w:color="auto" w:fill="CCEEFF"/>
          </w:tcPr>
          <w:p>
            <w:pPr>
              <w:spacing w:after="0"/>
              <w:rPr>
                <w:sz w:val="20"/>
                <w:szCs w:val="20"/>
                <w:color w:val="auto"/>
              </w:rPr>
            </w:pPr>
          </w:p>
        </w:tc>
        <w:tc>
          <w:tcPr>
            <w:tcW w:w="2820" w:type="dxa"/>
            <w:vAlign w:val="bottom"/>
            <w:tcBorders>
              <w:bottom w:val="single" w:sz="8" w:color="B6B6B6"/>
              <w:right w:val="single" w:sz="8" w:color="B6B6B6"/>
            </w:tcBorders>
            <w:shd w:val="clear" w:color="auto" w:fill="CCEEFF"/>
          </w:tcPr>
          <w:p>
            <w:pPr>
              <w:spacing w:after="0"/>
              <w:rPr>
                <w:sz w:val="20"/>
                <w:szCs w:val="20"/>
                <w:color w:val="auto"/>
              </w:rPr>
            </w:pPr>
          </w:p>
        </w:tc>
      </w:tr>
      <w:tr>
        <w:trPr>
          <w:trHeight w:val="166"/>
        </w:trPr>
        <w:tc>
          <w:tcPr>
            <w:tcW w:w="2640" w:type="dxa"/>
            <w:vAlign w:val="bottom"/>
            <w:tcBorders>
              <w:left w:val="single" w:sz="8" w:color="B6B6B6"/>
              <w:right w:val="single" w:sz="8" w:color="B6B6B6"/>
            </w:tcBorders>
            <w:shd w:val="clear" w:color="auto" w:fill="CCEEFF"/>
          </w:tcPr>
          <w:p>
            <w:pPr>
              <w:ind w:left="40"/>
              <w:spacing w:after="0" w:line="166" w:lineRule="exact"/>
              <w:rPr>
                <w:sz w:val="20"/>
                <w:szCs w:val="20"/>
                <w:color w:val="auto"/>
              </w:rPr>
            </w:pPr>
            <w:r>
              <w:rPr>
                <w:rFonts w:ascii="Times New Roman" w:cs="Times New Roman" w:eastAsia="Times New Roman" w:hAnsi="Times New Roman"/>
                <w:sz w:val="18"/>
                <w:szCs w:val="18"/>
                <w:color w:val="auto"/>
              </w:rPr>
              <w:t>Vyxeos® liposomal</w:t>
            </w:r>
          </w:p>
        </w:tc>
        <w:tc>
          <w:tcPr>
            <w:tcW w:w="2820" w:type="dxa"/>
            <w:vAlign w:val="bottom"/>
            <w:tcBorders>
              <w:right w:val="single" w:sz="8" w:color="B6B6B6"/>
            </w:tcBorders>
            <w:shd w:val="clear" w:color="auto" w:fill="CCEEFF"/>
          </w:tcPr>
          <w:p>
            <w:pPr>
              <w:ind w:left="20"/>
              <w:spacing w:after="0" w:line="166" w:lineRule="exact"/>
              <w:rPr>
                <w:sz w:val="20"/>
                <w:szCs w:val="20"/>
                <w:color w:val="auto"/>
              </w:rPr>
            </w:pPr>
            <w:r>
              <w:rPr>
                <w:rFonts w:ascii="Times New Roman" w:cs="Times New Roman" w:eastAsia="Times New Roman" w:hAnsi="Times New Roman"/>
                <w:sz w:val="18"/>
                <w:szCs w:val="18"/>
                <w:color w:val="auto"/>
              </w:rPr>
              <w:t>Treatment of adults with newly-</w:t>
            </w:r>
          </w:p>
        </w:tc>
        <w:tc>
          <w:tcPr>
            <w:tcW w:w="2800" w:type="dxa"/>
            <w:vAlign w:val="bottom"/>
            <w:tcBorders>
              <w:right w:val="single" w:sz="8" w:color="B6B6B6"/>
            </w:tcBorders>
            <w:shd w:val="clear" w:color="auto" w:fill="CCEEFF"/>
          </w:tcPr>
          <w:p>
            <w:pPr>
              <w:spacing w:after="0" w:line="166" w:lineRule="exact"/>
              <w:rPr>
                <w:sz w:val="20"/>
                <w:szCs w:val="20"/>
                <w:color w:val="auto"/>
              </w:rPr>
            </w:pPr>
            <w:r>
              <w:rPr>
                <w:rFonts w:ascii="Times New Roman" w:cs="Times New Roman" w:eastAsia="Times New Roman" w:hAnsi="Times New Roman"/>
                <w:sz w:val="18"/>
                <w:szCs w:val="18"/>
                <w:color w:val="auto"/>
              </w:rPr>
              <w:t>August 2018</w:t>
            </w:r>
          </w:p>
        </w:tc>
        <w:tc>
          <w:tcPr>
            <w:tcW w:w="2820" w:type="dxa"/>
            <w:vAlign w:val="bottom"/>
            <w:tcBorders>
              <w:right w:val="single" w:sz="8" w:color="B6B6B6"/>
            </w:tcBorders>
            <w:shd w:val="clear" w:color="auto" w:fill="CCEEFF"/>
          </w:tcPr>
          <w:p>
            <w:pPr>
              <w:ind w:left="20"/>
              <w:spacing w:after="0" w:line="166" w:lineRule="exact"/>
              <w:rPr>
                <w:sz w:val="20"/>
                <w:szCs w:val="20"/>
                <w:color w:val="auto"/>
              </w:rPr>
            </w:pPr>
            <w:r>
              <w:rPr>
                <w:rFonts w:ascii="Times New Roman" w:cs="Times New Roman" w:eastAsia="Times New Roman" w:hAnsi="Times New Roman"/>
                <w:sz w:val="18"/>
                <w:szCs w:val="18"/>
                <w:color w:val="auto"/>
              </w:rPr>
              <w:t>EU, Great Britain, Switzerland, Israel,</w:t>
            </w:r>
          </w:p>
        </w:tc>
      </w:tr>
      <w:tr>
        <w:trPr>
          <w:trHeight w:val="181"/>
        </w:trPr>
        <w:tc>
          <w:tcPr>
            <w:tcW w:w="2640" w:type="dxa"/>
            <w:vAlign w:val="bottom"/>
            <w:tcBorders>
              <w:left w:val="single" w:sz="8" w:color="B6B6B6"/>
              <w:right w:val="single" w:sz="8" w:color="B6B6B6"/>
            </w:tcBorders>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44 mg/100 mg powder for</w:t>
            </w:r>
          </w:p>
        </w:tc>
        <w:tc>
          <w:tcPr>
            <w:tcW w:w="2820" w:type="dxa"/>
            <w:vAlign w:val="bottom"/>
            <w:tcBorders>
              <w:right w:val="single" w:sz="8" w:color="B6B6B6"/>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diagnosed t-AML or AML-MRC.</w:t>
            </w:r>
          </w:p>
        </w:tc>
        <w:tc>
          <w:tcPr>
            <w:tcW w:w="2800" w:type="dxa"/>
            <w:vAlign w:val="bottom"/>
            <w:tcBorders>
              <w:right w:val="single" w:sz="8" w:color="B6B6B6"/>
            </w:tcBorders>
            <w:shd w:val="clear" w:color="auto" w:fill="CCEEFF"/>
          </w:tcPr>
          <w:p>
            <w:pPr>
              <w:spacing w:after="0"/>
              <w:rPr>
                <w:sz w:val="15"/>
                <w:szCs w:val="15"/>
                <w:color w:val="auto"/>
              </w:rPr>
            </w:pPr>
          </w:p>
        </w:tc>
        <w:tc>
          <w:tcPr>
            <w:tcW w:w="2820" w:type="dxa"/>
            <w:vAlign w:val="bottom"/>
            <w:tcBorders>
              <w:right w:val="single" w:sz="8" w:color="B6B6B6"/>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Australia, South Korea, Saudi Arabia</w:t>
            </w:r>
          </w:p>
        </w:tc>
      </w:tr>
      <w:tr>
        <w:trPr>
          <w:trHeight w:val="231"/>
        </w:trPr>
        <w:tc>
          <w:tcPr>
            <w:tcW w:w="2640" w:type="dxa"/>
            <w:vAlign w:val="bottom"/>
            <w:tcBorders>
              <w:left w:val="single" w:sz="8" w:color="B6B6B6"/>
              <w:bottom w:val="single" w:sz="8" w:color="B6B6B6"/>
              <w:right w:val="single" w:sz="8" w:color="B6B6B6"/>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8"/>
              </w:rPr>
              <w:t>concentrate for solution for infusion</w:t>
            </w:r>
          </w:p>
        </w:tc>
        <w:tc>
          <w:tcPr>
            <w:tcW w:w="2820" w:type="dxa"/>
            <w:vAlign w:val="bottom"/>
            <w:tcBorders>
              <w:bottom w:val="single" w:sz="8" w:color="B6B6B6"/>
              <w:right w:val="single" w:sz="8" w:color="B6B6B6"/>
            </w:tcBorders>
            <w:shd w:val="clear" w:color="auto" w:fill="CCEEFF"/>
          </w:tcPr>
          <w:p>
            <w:pPr>
              <w:spacing w:after="0"/>
              <w:rPr>
                <w:sz w:val="20"/>
                <w:szCs w:val="20"/>
                <w:color w:val="auto"/>
              </w:rPr>
            </w:pPr>
          </w:p>
        </w:tc>
        <w:tc>
          <w:tcPr>
            <w:tcW w:w="2800" w:type="dxa"/>
            <w:vAlign w:val="bottom"/>
            <w:tcBorders>
              <w:bottom w:val="single" w:sz="8" w:color="B6B6B6"/>
              <w:right w:val="single" w:sz="8" w:color="B6B6B6"/>
            </w:tcBorders>
            <w:shd w:val="clear" w:color="auto" w:fill="CCEEFF"/>
          </w:tcPr>
          <w:p>
            <w:pPr>
              <w:spacing w:after="0"/>
              <w:rPr>
                <w:sz w:val="20"/>
                <w:szCs w:val="20"/>
                <w:color w:val="auto"/>
              </w:rPr>
            </w:pPr>
          </w:p>
        </w:tc>
        <w:tc>
          <w:tcPr>
            <w:tcW w:w="2820" w:type="dxa"/>
            <w:vAlign w:val="bottom"/>
            <w:tcBorders>
              <w:bottom w:val="single" w:sz="8" w:color="B6B6B6"/>
              <w:right w:val="single" w:sz="8" w:color="B6B6B6"/>
            </w:tcBorders>
            <w:shd w:val="clear" w:color="auto" w:fill="CCEEFF"/>
          </w:tcPr>
          <w:p>
            <w:pPr>
              <w:spacing w:after="0"/>
              <w:rPr>
                <w:sz w:val="20"/>
                <w:szCs w:val="20"/>
                <w:color w:val="auto"/>
              </w:rPr>
            </w:pPr>
          </w:p>
        </w:tc>
      </w:tr>
      <w:tr>
        <w:trPr>
          <w:trHeight w:val="166"/>
        </w:trPr>
        <w:tc>
          <w:tcPr>
            <w:tcW w:w="2640" w:type="dxa"/>
            <w:vAlign w:val="bottom"/>
            <w:tcBorders>
              <w:left w:val="single" w:sz="8" w:color="B6B6B6"/>
              <w:right w:val="single" w:sz="8" w:color="B6B6B6"/>
            </w:tcBorders>
            <w:shd w:val="clear" w:color="auto" w:fill="CCEEFF"/>
          </w:tcPr>
          <w:p>
            <w:pPr>
              <w:ind w:left="40"/>
              <w:spacing w:after="0" w:line="166" w:lineRule="exact"/>
              <w:rPr>
                <w:sz w:val="20"/>
                <w:szCs w:val="20"/>
                <w:color w:val="auto"/>
              </w:rPr>
            </w:pPr>
            <w:r>
              <w:rPr>
                <w:rFonts w:ascii="Times New Roman" w:cs="Times New Roman" w:eastAsia="Times New Roman" w:hAnsi="Times New Roman"/>
                <w:sz w:val="18"/>
                <w:szCs w:val="18"/>
                <w:color w:val="auto"/>
              </w:rPr>
              <w:t>Vyxeos® Daunorubicin and</w:t>
            </w:r>
          </w:p>
        </w:tc>
        <w:tc>
          <w:tcPr>
            <w:tcW w:w="2820" w:type="dxa"/>
            <w:vAlign w:val="bottom"/>
            <w:tcBorders>
              <w:right w:val="single" w:sz="8" w:color="B6B6B6"/>
            </w:tcBorders>
            <w:shd w:val="clear" w:color="auto" w:fill="CCEEFF"/>
          </w:tcPr>
          <w:p>
            <w:pPr>
              <w:ind w:left="20"/>
              <w:spacing w:after="0" w:line="166" w:lineRule="exact"/>
              <w:rPr>
                <w:sz w:val="20"/>
                <w:szCs w:val="20"/>
                <w:color w:val="auto"/>
              </w:rPr>
            </w:pPr>
            <w:r>
              <w:rPr>
                <w:rFonts w:ascii="Times New Roman" w:cs="Times New Roman" w:eastAsia="Times New Roman" w:hAnsi="Times New Roman"/>
                <w:sz w:val="18"/>
                <w:szCs w:val="18"/>
                <w:color w:val="auto"/>
              </w:rPr>
              <w:t>Treatment of adults with newly</w:t>
            </w:r>
          </w:p>
        </w:tc>
        <w:tc>
          <w:tcPr>
            <w:tcW w:w="2800" w:type="dxa"/>
            <w:vAlign w:val="bottom"/>
            <w:tcBorders>
              <w:right w:val="single" w:sz="8" w:color="B6B6B6"/>
            </w:tcBorders>
            <w:shd w:val="clear" w:color="auto" w:fill="CCEEFF"/>
          </w:tcPr>
          <w:p>
            <w:pPr>
              <w:spacing w:after="0" w:line="166" w:lineRule="exact"/>
              <w:rPr>
                <w:sz w:val="20"/>
                <w:szCs w:val="20"/>
                <w:color w:val="auto"/>
              </w:rPr>
            </w:pPr>
            <w:r>
              <w:rPr>
                <w:rFonts w:ascii="Times New Roman" w:cs="Times New Roman" w:eastAsia="Times New Roman" w:hAnsi="Times New Roman"/>
                <w:sz w:val="18"/>
                <w:szCs w:val="18"/>
                <w:color w:val="auto"/>
              </w:rPr>
              <w:t>April 2021</w:t>
            </w:r>
          </w:p>
        </w:tc>
        <w:tc>
          <w:tcPr>
            <w:tcW w:w="2820" w:type="dxa"/>
            <w:vAlign w:val="bottom"/>
            <w:tcBorders>
              <w:right w:val="single" w:sz="8" w:color="B6B6B6"/>
            </w:tcBorders>
            <w:shd w:val="clear" w:color="auto" w:fill="CCEEFF"/>
          </w:tcPr>
          <w:p>
            <w:pPr>
              <w:ind w:left="20"/>
              <w:spacing w:after="0" w:line="166" w:lineRule="exact"/>
              <w:rPr>
                <w:sz w:val="20"/>
                <w:szCs w:val="20"/>
                <w:color w:val="auto"/>
              </w:rPr>
            </w:pPr>
            <w:r>
              <w:rPr>
                <w:rFonts w:ascii="Times New Roman" w:cs="Times New Roman" w:eastAsia="Times New Roman" w:hAnsi="Times New Roman"/>
                <w:sz w:val="18"/>
                <w:szCs w:val="18"/>
                <w:color w:val="auto"/>
              </w:rPr>
              <w:t>Canada</w:t>
            </w:r>
          </w:p>
        </w:tc>
      </w:tr>
      <w:tr>
        <w:trPr>
          <w:trHeight w:val="181"/>
        </w:trPr>
        <w:tc>
          <w:tcPr>
            <w:tcW w:w="2640" w:type="dxa"/>
            <w:vAlign w:val="bottom"/>
            <w:tcBorders>
              <w:left w:val="single" w:sz="8" w:color="B6B6B6"/>
              <w:right w:val="single" w:sz="8" w:color="B6B6B6"/>
            </w:tcBorders>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cytarabine liposome for injection</w:t>
            </w:r>
          </w:p>
        </w:tc>
        <w:tc>
          <w:tcPr>
            <w:tcW w:w="2820" w:type="dxa"/>
            <w:vAlign w:val="bottom"/>
            <w:tcBorders>
              <w:right w:val="single" w:sz="8" w:color="B6B6B6"/>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diagnosed therapy-related t-AML or</w:t>
            </w:r>
          </w:p>
        </w:tc>
        <w:tc>
          <w:tcPr>
            <w:tcW w:w="2800" w:type="dxa"/>
            <w:vAlign w:val="bottom"/>
            <w:tcBorders>
              <w:right w:val="single" w:sz="8" w:color="B6B6B6"/>
            </w:tcBorders>
            <w:shd w:val="clear" w:color="auto" w:fill="CCEEFF"/>
          </w:tcPr>
          <w:p>
            <w:pPr>
              <w:spacing w:after="0"/>
              <w:rPr>
                <w:sz w:val="15"/>
                <w:szCs w:val="15"/>
                <w:color w:val="auto"/>
              </w:rPr>
            </w:pPr>
          </w:p>
        </w:tc>
        <w:tc>
          <w:tcPr>
            <w:tcW w:w="2820" w:type="dxa"/>
            <w:vAlign w:val="bottom"/>
            <w:tcBorders>
              <w:right w:val="single" w:sz="8" w:color="B6B6B6"/>
            </w:tcBorders>
            <w:shd w:val="clear" w:color="auto" w:fill="CCEEFF"/>
          </w:tcPr>
          <w:p>
            <w:pPr>
              <w:spacing w:after="0"/>
              <w:rPr>
                <w:sz w:val="15"/>
                <w:szCs w:val="15"/>
                <w:color w:val="auto"/>
              </w:rPr>
            </w:pPr>
          </w:p>
        </w:tc>
      </w:tr>
      <w:tr>
        <w:trPr>
          <w:trHeight w:val="178"/>
        </w:trPr>
        <w:tc>
          <w:tcPr>
            <w:tcW w:w="2640" w:type="dxa"/>
            <w:vAlign w:val="bottom"/>
            <w:tcBorders>
              <w:left w:val="single" w:sz="8" w:color="B6B6B6"/>
              <w:right w:val="single" w:sz="8" w:color="B6B6B6"/>
            </w:tcBorders>
            <w:shd w:val="clear" w:color="auto" w:fill="CCEEFF"/>
          </w:tcPr>
          <w:p>
            <w:pPr>
              <w:ind w:left="40"/>
              <w:spacing w:after="0" w:line="178" w:lineRule="exact"/>
              <w:rPr>
                <w:sz w:val="20"/>
                <w:szCs w:val="20"/>
                <w:color w:val="auto"/>
              </w:rPr>
            </w:pPr>
            <w:r>
              <w:rPr>
                <w:rFonts w:ascii="Times New Roman" w:cs="Times New Roman" w:eastAsia="Times New Roman" w:hAnsi="Times New Roman"/>
                <w:sz w:val="18"/>
                <w:szCs w:val="18"/>
                <w:color w:val="auto"/>
              </w:rPr>
              <w:t>Powder, 44 mg daunorubicin and</w:t>
            </w:r>
          </w:p>
        </w:tc>
        <w:tc>
          <w:tcPr>
            <w:tcW w:w="2820" w:type="dxa"/>
            <w:vAlign w:val="bottom"/>
            <w:tcBorders>
              <w:right w:val="single" w:sz="8" w:color="B6B6B6"/>
            </w:tcBorders>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AML with AML-MRC.</w:t>
            </w:r>
          </w:p>
        </w:tc>
        <w:tc>
          <w:tcPr>
            <w:tcW w:w="2800" w:type="dxa"/>
            <w:vAlign w:val="bottom"/>
            <w:tcBorders>
              <w:right w:val="single" w:sz="8" w:color="B6B6B6"/>
            </w:tcBorders>
            <w:shd w:val="clear" w:color="auto" w:fill="CCEEFF"/>
          </w:tcPr>
          <w:p>
            <w:pPr>
              <w:spacing w:after="0"/>
              <w:rPr>
                <w:sz w:val="15"/>
                <w:szCs w:val="15"/>
                <w:color w:val="auto"/>
              </w:rPr>
            </w:pPr>
          </w:p>
        </w:tc>
        <w:tc>
          <w:tcPr>
            <w:tcW w:w="2820" w:type="dxa"/>
            <w:vAlign w:val="bottom"/>
            <w:tcBorders>
              <w:right w:val="single" w:sz="8" w:color="B6B6B6"/>
            </w:tcBorders>
            <w:shd w:val="clear" w:color="auto" w:fill="CCEEFF"/>
          </w:tcPr>
          <w:p>
            <w:pPr>
              <w:spacing w:after="0"/>
              <w:rPr>
                <w:sz w:val="15"/>
                <w:szCs w:val="15"/>
                <w:color w:val="auto"/>
              </w:rPr>
            </w:pPr>
          </w:p>
        </w:tc>
      </w:tr>
      <w:tr>
        <w:trPr>
          <w:trHeight w:val="173"/>
        </w:trPr>
        <w:tc>
          <w:tcPr>
            <w:tcW w:w="2640" w:type="dxa"/>
            <w:vAlign w:val="bottom"/>
            <w:tcBorders>
              <w:left w:val="single" w:sz="8" w:color="B6B6B6"/>
              <w:right w:val="single" w:sz="8" w:color="B6B6B6"/>
            </w:tcBorders>
            <w:shd w:val="clear" w:color="auto" w:fill="CCEEFF"/>
          </w:tcPr>
          <w:p>
            <w:pPr>
              <w:ind w:left="40"/>
              <w:spacing w:after="0" w:line="173" w:lineRule="exact"/>
              <w:rPr>
                <w:sz w:val="20"/>
                <w:szCs w:val="20"/>
                <w:color w:val="auto"/>
              </w:rPr>
            </w:pPr>
            <w:r>
              <w:rPr>
                <w:rFonts w:ascii="Times New Roman" w:cs="Times New Roman" w:eastAsia="Times New Roman" w:hAnsi="Times New Roman"/>
                <w:sz w:val="18"/>
                <w:szCs w:val="18"/>
                <w:color w:val="auto"/>
              </w:rPr>
              <w:t>100 mg cytarabine per vial, IV</w:t>
            </w:r>
          </w:p>
        </w:tc>
        <w:tc>
          <w:tcPr>
            <w:tcW w:w="2820" w:type="dxa"/>
            <w:vAlign w:val="bottom"/>
            <w:tcBorders>
              <w:right w:val="single" w:sz="8" w:color="B6B6B6"/>
            </w:tcBorders>
            <w:shd w:val="clear" w:color="auto" w:fill="CCEEFF"/>
          </w:tcPr>
          <w:p>
            <w:pPr>
              <w:spacing w:after="0"/>
              <w:rPr>
                <w:sz w:val="15"/>
                <w:szCs w:val="15"/>
                <w:color w:val="auto"/>
              </w:rPr>
            </w:pPr>
          </w:p>
        </w:tc>
        <w:tc>
          <w:tcPr>
            <w:tcW w:w="2800" w:type="dxa"/>
            <w:vAlign w:val="bottom"/>
            <w:tcBorders>
              <w:right w:val="single" w:sz="8" w:color="B6B6B6"/>
            </w:tcBorders>
            <w:shd w:val="clear" w:color="auto" w:fill="CCEEFF"/>
          </w:tcPr>
          <w:p>
            <w:pPr>
              <w:spacing w:after="0"/>
              <w:rPr>
                <w:sz w:val="15"/>
                <w:szCs w:val="15"/>
                <w:color w:val="auto"/>
              </w:rPr>
            </w:pPr>
          </w:p>
        </w:tc>
        <w:tc>
          <w:tcPr>
            <w:tcW w:w="2820" w:type="dxa"/>
            <w:vAlign w:val="bottom"/>
            <w:tcBorders>
              <w:right w:val="single" w:sz="8" w:color="B6B6B6"/>
            </w:tcBorders>
            <w:shd w:val="clear" w:color="auto" w:fill="CCEEFF"/>
          </w:tcPr>
          <w:p>
            <w:pPr>
              <w:spacing w:after="0"/>
              <w:rPr>
                <w:sz w:val="15"/>
                <w:szCs w:val="15"/>
                <w:color w:val="auto"/>
              </w:rPr>
            </w:pPr>
          </w:p>
        </w:tc>
      </w:tr>
      <w:tr>
        <w:trPr>
          <w:trHeight w:val="236"/>
        </w:trPr>
        <w:tc>
          <w:tcPr>
            <w:tcW w:w="2640" w:type="dxa"/>
            <w:vAlign w:val="bottom"/>
            <w:tcBorders>
              <w:left w:val="single" w:sz="8" w:color="B6B6B6"/>
              <w:bottom w:val="single" w:sz="8" w:color="B6B6B6"/>
              <w:right w:val="single" w:sz="8" w:color="B6B6B6"/>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infusion</w:t>
            </w:r>
          </w:p>
        </w:tc>
        <w:tc>
          <w:tcPr>
            <w:tcW w:w="2820" w:type="dxa"/>
            <w:vAlign w:val="bottom"/>
            <w:tcBorders>
              <w:bottom w:val="single" w:sz="8" w:color="B6B6B6"/>
              <w:right w:val="single" w:sz="8" w:color="B6B6B6"/>
            </w:tcBorders>
            <w:shd w:val="clear" w:color="auto" w:fill="CCEEFF"/>
          </w:tcPr>
          <w:p>
            <w:pPr>
              <w:spacing w:after="0"/>
              <w:rPr>
                <w:sz w:val="20"/>
                <w:szCs w:val="20"/>
                <w:color w:val="auto"/>
              </w:rPr>
            </w:pPr>
          </w:p>
        </w:tc>
        <w:tc>
          <w:tcPr>
            <w:tcW w:w="2800" w:type="dxa"/>
            <w:vAlign w:val="bottom"/>
            <w:tcBorders>
              <w:bottom w:val="single" w:sz="8" w:color="B6B6B6"/>
              <w:right w:val="single" w:sz="8" w:color="B6B6B6"/>
            </w:tcBorders>
            <w:shd w:val="clear" w:color="auto" w:fill="CCEEFF"/>
          </w:tcPr>
          <w:p>
            <w:pPr>
              <w:spacing w:after="0"/>
              <w:rPr>
                <w:sz w:val="20"/>
                <w:szCs w:val="20"/>
                <w:color w:val="auto"/>
              </w:rPr>
            </w:pPr>
          </w:p>
        </w:tc>
        <w:tc>
          <w:tcPr>
            <w:tcW w:w="2820" w:type="dxa"/>
            <w:vAlign w:val="bottom"/>
            <w:tcBorders>
              <w:bottom w:val="single" w:sz="8" w:color="B6B6B6"/>
              <w:right w:val="single" w:sz="8" w:color="B6B6B6"/>
            </w:tcBorders>
            <w:shd w:val="clear" w:color="auto" w:fill="CCEEFF"/>
          </w:tcPr>
          <w:p>
            <w:pPr>
              <w:spacing w:after="0"/>
              <w:rPr>
                <w:sz w:val="20"/>
                <w:szCs w:val="20"/>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clobazam restriction limited to EU and Great Britain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**European Economic Area</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***Accelerated approval received from FDA</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****Conditional approval received from Health Canada</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Progress</w:t>
      </w:r>
    </w:p>
    <w:p>
      <w:pPr>
        <w:spacing w:after="0" w:line="114" w:lineRule="exact"/>
        <w:rPr>
          <w:sz w:val="20"/>
          <w:szCs w:val="20"/>
          <w:color w:val="auto"/>
        </w:rPr>
      </w:pPr>
    </w:p>
    <w:p>
      <w:pPr>
        <w:ind w:firstLine="439"/>
        <w:spacing w:after="0" w:line="256" w:lineRule="auto"/>
        <w:rPr>
          <w:sz w:val="20"/>
          <w:szCs w:val="20"/>
          <w:color w:val="auto"/>
        </w:rPr>
      </w:pPr>
      <w:r>
        <w:rPr>
          <w:rFonts w:ascii="Times New Roman" w:cs="Times New Roman" w:eastAsia="Times New Roman" w:hAnsi="Times New Roman"/>
          <w:sz w:val="18"/>
          <w:szCs w:val="18"/>
          <w:color w:val="auto"/>
        </w:rPr>
        <w:t>A key aspect of our strategy is our continued investment in expanding our research and development organization and initiatives. We actively explore new options for patients including novel compounds, small molecule advancements, biologics and innovative delivery technologies. We are focused on research and development activities within our oncology and neuroscience therapeutic areas and exploring and potentially investing in adjacent therapeutic areas.</w:t>
      </w:r>
    </w:p>
    <w:p>
      <w:pPr>
        <w:spacing w:after="0" w:line="75" w:lineRule="exact"/>
        <w:rPr>
          <w:sz w:val="20"/>
          <w:szCs w:val="20"/>
          <w:color w:val="auto"/>
        </w:rPr>
      </w:pPr>
    </w:p>
    <w:p>
      <w:pPr>
        <w:ind w:right="80" w:firstLine="439"/>
        <w:spacing w:after="0" w:line="256" w:lineRule="auto"/>
        <w:rPr>
          <w:sz w:val="20"/>
          <w:szCs w:val="20"/>
          <w:color w:val="auto"/>
        </w:rPr>
      </w:pPr>
      <w:r>
        <w:rPr>
          <w:rFonts w:ascii="Times New Roman" w:cs="Times New Roman" w:eastAsia="Times New Roman" w:hAnsi="Times New Roman"/>
          <w:sz w:val="18"/>
          <w:szCs w:val="18"/>
          <w:color w:val="auto"/>
        </w:rPr>
        <w:t>Our research and development activities encompass all stages of development and currently include clinical testing of new product candidates and activities related to clinical improvements of, or additional indications or new clinical data for, our existing marketed products. We also have active preclinical programs for novel therapies, including neuroscience and precision medicines in oncology. We are increasingly leveraging our growing internal research and development function, and we have</w:t>
      </w:r>
    </w:p>
    <w:p>
      <w:pPr>
        <w:spacing w:after="0" w:line="200" w:lineRule="exact"/>
        <w:rPr>
          <w:sz w:val="20"/>
          <w:szCs w:val="20"/>
          <w:color w:val="auto"/>
        </w:rPr>
      </w:pP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also entered into collaborations with third parties for the research and development of innovative early-stage product candidates and have supported additional investigator-sponsored trials, or ISTs, that are anticipated to generate additional data related to our products. We also seek out investment opportunities in support of the development of early- and mid-stage technologies in our therapeutic areas and adjacencies. We have a number of licensing and collaboration agreements with third parties, including biotechnology companies, academic institutions and research-based companies and institutions, related to preclinical and clinical research and development activities in hematology and precision oncology, as well as in neuroscience.</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Oncology</w:t>
      </w:r>
    </w:p>
    <w:p>
      <w:pPr>
        <w:spacing w:after="0" w:line="114" w:lineRule="exact"/>
        <w:rPr>
          <w:sz w:val="20"/>
          <w:szCs w:val="20"/>
          <w:color w:val="auto"/>
        </w:rPr>
      </w:pPr>
    </w:p>
    <w:p>
      <w:pPr>
        <w:ind w:right="60" w:firstLine="439"/>
        <w:spacing w:after="0" w:line="253" w:lineRule="auto"/>
        <w:rPr>
          <w:sz w:val="20"/>
          <w:szCs w:val="20"/>
          <w:color w:val="auto"/>
        </w:rPr>
      </w:pPr>
      <w:r>
        <w:rPr>
          <w:rFonts w:ascii="Times New Roman" w:cs="Times New Roman" w:eastAsia="Times New Roman" w:hAnsi="Times New Roman"/>
          <w:sz w:val="18"/>
          <w:szCs w:val="18"/>
          <w:i w:val="1"/>
          <w:iCs w:val="1"/>
          <w:color w:val="auto"/>
        </w:rPr>
        <w:t>Zanidatamab</w:t>
      </w:r>
      <w:r>
        <w:rPr>
          <w:rFonts w:ascii="Times New Roman" w:cs="Times New Roman" w:eastAsia="Times New Roman" w:hAnsi="Times New Roman"/>
          <w:sz w:val="18"/>
          <w:szCs w:val="18"/>
          <w:color w:val="auto"/>
        </w:rPr>
        <w:t>. We acquired our exclusive development and commercialization rights to Zanidatamab in 2022 through an exclusive licensing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 subsidiary of Zymeworks Inc., or Zymeworks, providing development and commercialization rights to Zanidatamab across all indications in the U.S., Europe, Japan and all other territories except for those Asia/Pacific territories previously licensed by Zymeworks. The term of the license agreement extends on a licensed product-by-licensed product and country-by-country basis until the expiration of the royalty term for such licensed product in such country. We have the right to terminate the amended license agreement at will upon a specified notice period, and either party can terminate the amended license agreement for the other party’s uncured material breach or bankruptcy.</w:t>
      </w:r>
    </w:p>
    <w:p>
      <w:pPr>
        <w:spacing w:after="0" w:line="77" w:lineRule="exact"/>
        <w:rPr>
          <w:sz w:val="20"/>
          <w:szCs w:val="20"/>
          <w:color w:val="auto"/>
        </w:rPr>
      </w:pPr>
    </w:p>
    <w:p>
      <w:pPr>
        <w:ind w:right="80" w:firstLine="439"/>
        <w:spacing w:after="0" w:line="273" w:lineRule="auto"/>
        <w:rPr>
          <w:sz w:val="20"/>
          <w:szCs w:val="20"/>
          <w:color w:val="auto"/>
        </w:rPr>
      </w:pPr>
      <w:r>
        <w:rPr>
          <w:rFonts w:ascii="Times New Roman" w:cs="Times New Roman" w:eastAsia="Times New Roman" w:hAnsi="Times New Roman"/>
          <w:sz w:val="17"/>
          <w:szCs w:val="17"/>
          <w:color w:val="auto"/>
        </w:rPr>
        <w:t>Zanidatamab is an investigational HER2-targeted bispecific antibody that can simultaneously bind two non-overlapping epitopes of HER2, known as biparatopic binding. Zanidatamab is currently being evaluated in multiple clinical trials as a treatment for patients with HER2-expressing cancers. Following positive data from a pivotal Phase 2 clinical trial evaluating zanidatamab monotherapy in patients with previously treated advanced or metastatic HER2-amplified biliary tract cancers, or BTC, we initiated a rolling Biologics License Application, or BLA, submission for accelerated approval in second-line</w:t>
      </w:r>
    </w:p>
    <w:p>
      <w:pPr>
        <w:spacing w:after="0" w:line="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7"/>
          <w:szCs w:val="17"/>
          <w:color w:val="auto"/>
        </w:rPr>
        <w:t>BTC. In addition, we have an ongoing Phase 3 randomized clinical trial evaluating zanidatamab in combination with chemotherapy plus or minus tislelizumab as a first-line treatment for HER2-expressing gastroesophageal adenocarcinoma, or GEA, and an ongoing Phase 2 trial examining zanidatamab</w:t>
      </w:r>
    </w:p>
    <w:p>
      <w:pPr>
        <w:ind w:right="400"/>
        <w:spacing w:after="0" w:line="276" w:lineRule="auto"/>
        <w:rPr>
          <w:sz w:val="20"/>
          <w:szCs w:val="20"/>
          <w:color w:val="auto"/>
        </w:rPr>
      </w:pPr>
      <w:r>
        <w:rPr>
          <w:rFonts w:ascii="Times New Roman" w:cs="Times New Roman" w:eastAsia="Times New Roman" w:hAnsi="Times New Roman"/>
          <w:sz w:val="18"/>
          <w:szCs w:val="18"/>
          <w:color w:val="auto"/>
        </w:rPr>
        <w:t>in combination with chemotherapy in first-line patients with HER2-expressing metastatic GEA. There are also multiple ongoing clinical trials exploring zanidatamab in breast cancer and other HER2-expressing tumor types.</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Zepzelca</w:t>
      </w:r>
      <w:r>
        <w:rPr>
          <w:rFonts w:ascii="Times New Roman" w:cs="Times New Roman" w:eastAsia="Times New Roman" w:hAnsi="Times New Roman"/>
          <w:sz w:val="18"/>
          <w:szCs w:val="18"/>
          <w:color w:val="auto"/>
        </w:rPr>
        <w:t>. Our development plan for Zepzelca continues to progress.</w:t>
      </w:r>
    </w:p>
    <w:p>
      <w:pPr>
        <w:spacing w:after="0" w:line="114" w:lineRule="exact"/>
        <w:rPr>
          <w:sz w:val="20"/>
          <w:szCs w:val="20"/>
          <w:color w:val="auto"/>
        </w:rPr>
      </w:pPr>
    </w:p>
    <w:p>
      <w:pPr>
        <w:ind w:right="160" w:firstLine="439"/>
        <w:spacing w:after="0" w:line="251" w:lineRule="auto"/>
        <w:rPr>
          <w:sz w:val="20"/>
          <w:szCs w:val="20"/>
          <w:color w:val="auto"/>
        </w:rPr>
      </w:pPr>
      <w:r>
        <w:rPr>
          <w:rFonts w:ascii="Times New Roman" w:cs="Times New Roman" w:eastAsia="Times New Roman" w:hAnsi="Times New Roman"/>
          <w:sz w:val="17"/>
          <w:szCs w:val="17"/>
          <w:color w:val="auto"/>
        </w:rPr>
        <w:t>In collaboration with Roche, we have an ongoing Phase 3 pivotal clinical trial in first-line extensive stage SCLC of Zepzelca in combination with Tecentriq</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(atezolizumab). In addition, our licensor PharmaMar is conducting a confirmatory trial in second-line SCLC. This is a three-arm trial comparing Zepzelca as either monotherapy or in combination with irinotecan to investigator's choice of irinotecan or topotecan. Data from either the first-line trial of Zepzelca in combination with Tecentriq or the PharmaMar trial could serve to confirm clinical benefit of Zepzelca and support full approval in the U.S.</w:t>
      </w:r>
    </w:p>
    <w:p>
      <w:pPr>
        <w:spacing w:after="0" w:line="81" w:lineRule="exact"/>
        <w:rPr>
          <w:sz w:val="20"/>
          <w:szCs w:val="20"/>
          <w:color w:val="auto"/>
        </w:rPr>
      </w:pPr>
    </w:p>
    <w:p>
      <w:pPr>
        <w:ind w:right="120" w:firstLine="439"/>
        <w:spacing w:after="0" w:line="261" w:lineRule="auto"/>
        <w:rPr>
          <w:sz w:val="20"/>
          <w:szCs w:val="20"/>
          <w:color w:val="auto"/>
        </w:rPr>
      </w:pPr>
      <w:r>
        <w:rPr>
          <w:rFonts w:ascii="Times New Roman" w:cs="Times New Roman" w:eastAsia="Times New Roman" w:hAnsi="Times New Roman"/>
          <w:sz w:val="18"/>
          <w:szCs w:val="18"/>
          <w:color w:val="auto"/>
        </w:rPr>
        <w:t>In 2023, we elected to close the Phase 2 basket trial evaluating Zepzelca as monotherapy in patients with select relapsed/refractory solid tumors based on limited response in three solid tumor cohorts. We have an ongoing Phase 4 observational study to collect real world safety and outcome data in adult Zepzelca monotherapy patients with SCLC who progress on or after prior platinum-containing chemotherapy.</w:t>
      </w:r>
    </w:p>
    <w:p>
      <w:pPr>
        <w:spacing w:after="0" w:line="68" w:lineRule="exact"/>
        <w:rPr>
          <w:sz w:val="20"/>
          <w:szCs w:val="20"/>
          <w:color w:val="auto"/>
        </w:rPr>
      </w:pPr>
    </w:p>
    <w:p>
      <w:pPr>
        <w:ind w:right="80" w:firstLine="439"/>
        <w:spacing w:after="0" w:line="278" w:lineRule="auto"/>
        <w:rPr>
          <w:sz w:val="20"/>
          <w:szCs w:val="20"/>
          <w:color w:val="auto"/>
        </w:rPr>
      </w:pPr>
      <w:r>
        <w:rPr>
          <w:rFonts w:ascii="Times New Roman" w:cs="Times New Roman" w:eastAsia="Times New Roman" w:hAnsi="Times New Roman"/>
          <w:sz w:val="18"/>
          <w:szCs w:val="18"/>
          <w:i w:val="1"/>
          <w:iCs w:val="1"/>
          <w:color w:val="auto"/>
        </w:rPr>
        <w:t>Vyxeos</w:t>
      </w:r>
      <w:r>
        <w:rPr>
          <w:rFonts w:ascii="Times New Roman" w:cs="Times New Roman" w:eastAsia="Times New Roman" w:hAnsi="Times New Roman"/>
          <w:sz w:val="18"/>
          <w:szCs w:val="18"/>
          <w:color w:val="auto"/>
        </w:rPr>
        <w:t>. Vyxeos® (daunorubicin and cytarabine) liposome for injection is a product approved in the U.S., Canada, EU, Great Britain and other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(marketed as Vyxeos® liposomal in the EU, Great Britain and other markets) for the treatment of adults with newly diagnosed t-AML or AML-MRC. Our Vyxeos clinical development strategy is designed to target potential new patient segments across the AML landscape and to generate clinical data on Vyxeos when used in combination with other therapeutic agents.</w:t>
      </w:r>
    </w:p>
    <w:p>
      <w:pPr>
        <w:spacing w:after="0" w:line="53" w:lineRule="exact"/>
        <w:rPr>
          <w:sz w:val="20"/>
          <w:szCs w:val="20"/>
          <w:color w:val="auto"/>
        </w:rPr>
      </w:pPr>
    </w:p>
    <w:p>
      <w:pPr>
        <w:ind w:right="40" w:firstLine="439"/>
        <w:spacing w:after="0" w:line="257" w:lineRule="auto"/>
        <w:rPr>
          <w:sz w:val="20"/>
          <w:szCs w:val="20"/>
          <w:color w:val="auto"/>
        </w:rPr>
      </w:pPr>
      <w:r>
        <w:rPr>
          <w:rFonts w:ascii="Times New Roman" w:cs="Times New Roman" w:eastAsia="Times New Roman" w:hAnsi="Times New Roman"/>
          <w:sz w:val="18"/>
          <w:szCs w:val="18"/>
          <w:i w:val="1"/>
          <w:iCs w:val="1"/>
          <w:color w:val="auto"/>
        </w:rPr>
        <w:t>JZP815</w:t>
      </w:r>
      <w:r>
        <w:rPr>
          <w:rFonts w:ascii="Times New Roman" w:cs="Times New Roman" w:eastAsia="Times New Roman" w:hAnsi="Times New Roman"/>
          <w:sz w:val="18"/>
          <w:szCs w:val="18"/>
          <w:color w:val="auto"/>
        </w:rPr>
        <w:t>. JZP815 is a pan-RAF kinase inhibitor that targets specific components of the mitogen-activated protein kinase, or MAPK, pathway that,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activated by oncogenic mutations, can be a frequent driver of human cancer. In October 2022, we enrolled our first patient in a Phase 1 study to investigate the safety, dosing, and initial antitumor activity of JZP815 in participants with advanced or metastatic solid tumors harboring alterations in the MAPK pathway.</w:t>
      </w:r>
    </w:p>
    <w:p>
      <w:pPr>
        <w:spacing w:after="0" w:line="72" w:lineRule="exact"/>
        <w:rPr>
          <w:sz w:val="20"/>
          <w:szCs w:val="20"/>
          <w:color w:val="auto"/>
        </w:rPr>
      </w:pPr>
    </w:p>
    <w:p>
      <w:pPr>
        <w:ind w:firstLine="43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JZP898. </w:t>
      </w:r>
      <w:r>
        <w:rPr>
          <w:rFonts w:ascii="Times New Roman" w:cs="Times New Roman" w:eastAsia="Times New Roman" w:hAnsi="Times New Roman"/>
          <w:sz w:val="18"/>
          <w:szCs w:val="18"/>
          <w:color w:val="auto"/>
        </w:rPr>
        <w:t>JZP898 is a differentiated, conditionally-activated interferon alpha, or IFNα, INDUKINE™ molecule. We acquired rights to JZP898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Werewolf Therapeutics, Inc., or Werewolf, in 2022 under an exclusive, worldwide, royalty-bearing license to develop, manufacture and commercialize Werewolf's investigational WTX-613, now referred to as JZP898. In November 2023, we enrolled our first patient in a Phase 1 study to investigate the safety, tolerability, pharmacokinetics, immunogenicity and preliminary antitumor activity of JZP898 both as a monotherapy and in combination with pembrolizumab in adults with advanced/metastatic solid tumors.</w:t>
      </w:r>
    </w:p>
    <w:p>
      <w:pPr>
        <w:spacing w:after="0" w:line="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Neuroscience</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Epidiolex. </w:t>
      </w:r>
      <w:r>
        <w:rPr>
          <w:rFonts w:ascii="Times New Roman" w:cs="Times New Roman" w:eastAsia="Times New Roman" w:hAnsi="Times New Roman"/>
          <w:sz w:val="18"/>
          <w:szCs w:val="18"/>
          <w:color w:val="auto"/>
        </w:rPr>
        <w:t>We have an ongoing Phase 3 trial of Epidyolex for LGS, DS and TSC in Japan.</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0" w:firstLine="439"/>
        <w:spacing w:after="0" w:line="251" w:lineRule="auto"/>
        <w:rPr>
          <w:sz w:val="20"/>
          <w:szCs w:val="20"/>
          <w:color w:val="auto"/>
        </w:rPr>
      </w:pPr>
      <w:r>
        <w:rPr>
          <w:rFonts w:ascii="Times New Roman" w:cs="Times New Roman" w:eastAsia="Times New Roman" w:hAnsi="Times New Roman"/>
          <w:sz w:val="18"/>
          <w:szCs w:val="18"/>
          <w:i w:val="1"/>
          <w:iCs w:val="1"/>
          <w:color w:val="auto"/>
        </w:rPr>
        <w:t>Suvecaltamide (JZP385)</w:t>
      </w:r>
      <w:r>
        <w:rPr>
          <w:rFonts w:ascii="Times New Roman" w:cs="Times New Roman" w:eastAsia="Times New Roman" w:hAnsi="Times New Roman"/>
          <w:sz w:val="18"/>
          <w:szCs w:val="18"/>
          <w:color w:val="auto"/>
        </w:rPr>
        <w:t>. Suvecaltamide (JZP385) is a highly selective modulator of T-type calcium channels currently in development for the potential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treatment of essential tremor, or ET. ET is the most common pathological movement disorder, and there have been no new approved therapies in more than 50 years. We acquired suvecaltamide in our acquisition of Cavion, Inc., or Cavion, a clinical-stage biotechnology company, in August 2019. We initiated a Phase 2b clinical trial of suvecaltamide in December 2021. In this multicenter, double-blind, randomized, placebo-controlled trial, we are evaluating the safety and efficacy of suvecaltamide in the treatment of adults with moderate to severe ET. The primary efficacy outcome measure is the change from baseline to Week 12 on the Tremor Research Group Essential Tremor Rating Assessment Scale (TETRAS) composite outcome score, which represents items from the TETRAS-Activities of Daily Living and TETRAS-Performance Subscale, and measures the functional impact due to tremor. Additionally, in November 2022, we initiated a Phase 2 trial of suvecaltamide in patients with Parkinson's disease tremor.</w:t>
      </w:r>
    </w:p>
    <w:p>
      <w:pPr>
        <w:spacing w:after="0" w:line="79" w:lineRule="exact"/>
        <w:rPr>
          <w:sz w:val="20"/>
          <w:szCs w:val="20"/>
          <w:color w:val="auto"/>
        </w:rPr>
      </w:pPr>
    </w:p>
    <w:p>
      <w:pPr>
        <w:ind w:right="60" w:firstLine="43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JZP150. </w:t>
      </w:r>
      <w:r>
        <w:rPr>
          <w:rFonts w:ascii="Times New Roman" w:cs="Times New Roman" w:eastAsia="Times New Roman" w:hAnsi="Times New Roman"/>
          <w:sz w:val="18"/>
          <w:szCs w:val="18"/>
          <w:color w:val="auto"/>
        </w:rPr>
        <w:t>JZP150 is a fatty acid amide hydrolase inhibitor program for the potential treatment of post-traumatic stress disorder, or PTSD, and associated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symptoms. We initiated a Phase 2 clinical trial of JZP150 for PTSD in December 2021. In December 2023, we announced that this trial did not meet the primary endpoint in the treatment of adults with PTSD as measured by improvement in the Clinician Administered Post Traumatic Stress Disorder (PTSD) Scale (CAPS-5) Total Symptom Severity Score.</w:t>
      </w:r>
    </w:p>
    <w:p>
      <w:pPr>
        <w:spacing w:after="0" w:line="72" w:lineRule="exact"/>
        <w:rPr>
          <w:sz w:val="20"/>
          <w:szCs w:val="20"/>
          <w:color w:val="auto"/>
        </w:rPr>
      </w:pPr>
    </w:p>
    <w:p>
      <w:pPr>
        <w:ind w:right="20" w:firstLine="439"/>
        <w:spacing w:after="0" w:line="269" w:lineRule="auto"/>
        <w:rPr>
          <w:sz w:val="20"/>
          <w:szCs w:val="20"/>
          <w:color w:val="auto"/>
        </w:rPr>
      </w:pPr>
      <w:r>
        <w:rPr>
          <w:rFonts w:ascii="Times New Roman" w:cs="Times New Roman" w:eastAsia="Times New Roman" w:hAnsi="Times New Roman"/>
          <w:sz w:val="17"/>
          <w:szCs w:val="17"/>
          <w:i w:val="1"/>
          <w:iCs w:val="1"/>
          <w:color w:val="auto"/>
        </w:rPr>
        <w:t>JZP441</w:t>
      </w:r>
      <w:r>
        <w:rPr>
          <w:rFonts w:ascii="Times New Roman" w:cs="Times New Roman" w:eastAsia="Times New Roman" w:hAnsi="Times New Roman"/>
          <w:sz w:val="17"/>
          <w:szCs w:val="17"/>
          <w:color w:val="auto"/>
        </w:rPr>
        <w:t>. JZP441 is a potent, highly selective oral orexin-2 receptor agonist with potential application for the treatment of narcolepsy, IH and other sleep</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disorders. In May 2022, we announced that we had entered into a licensing agreement with Sumitomo Pharma Co., Ltd, or Sumitomo, to acquire exclusive development and commercialization rights in the U.S., Europe and other territories for DSP-0187, now referred to as JZP441. Sumitomo initiated a Phase 1 trial in Japan in November 2021 to evaluate safety, tolerability and pharmacokinetics of JZP441 in healthy volunteers. In November 2022, we initiated a Phase 1 development program to assess the safety, tolerability, pharmacokinetics, and pharmacodynamics of JZP441 in sleep-deprived healthy volunteers. In November 2023, we announced that the study achieved proof of concept in healthy volunteers based on the Maintenance of Wakefulness Test and that the program is being paused as we analyze safety findings related to visual disturbances and cardiovascular effects; no liver toxicity signals were observed.</w:t>
      </w:r>
    </w:p>
    <w:p>
      <w:pPr>
        <w:spacing w:after="0" w:line="66" w:lineRule="exact"/>
        <w:rPr>
          <w:sz w:val="20"/>
          <w:szCs w:val="20"/>
          <w:color w:val="auto"/>
        </w:rPr>
      </w:pPr>
    </w:p>
    <w:p>
      <w:pPr>
        <w:ind w:right="120" w:firstLine="439"/>
        <w:spacing w:after="0" w:line="276" w:lineRule="auto"/>
        <w:rPr>
          <w:sz w:val="20"/>
          <w:szCs w:val="20"/>
          <w:color w:val="auto"/>
        </w:rPr>
      </w:pPr>
      <w:r>
        <w:rPr>
          <w:rFonts w:ascii="Times New Roman" w:cs="Times New Roman" w:eastAsia="Times New Roman" w:hAnsi="Times New Roman"/>
          <w:sz w:val="18"/>
          <w:szCs w:val="18"/>
          <w:color w:val="auto"/>
        </w:rPr>
        <w:t>We are also pursuing early-stage activities related to the development of JZP324, an extended-release low sodium oxybate formulation that we believe could provide a clinically meaningful option for patients with serious sleep disorders.</w:t>
      </w:r>
    </w:p>
    <w:p>
      <w:pPr>
        <w:spacing w:after="0" w:line="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Preclinical</w:t>
      </w:r>
    </w:p>
    <w:p>
      <w:pPr>
        <w:spacing w:after="0" w:line="116" w:lineRule="exact"/>
        <w:rPr>
          <w:sz w:val="20"/>
          <w:szCs w:val="20"/>
          <w:color w:val="auto"/>
        </w:rPr>
      </w:pPr>
    </w:p>
    <w:p>
      <w:pPr>
        <w:ind w:right="160" w:firstLine="439"/>
        <w:spacing w:after="0" w:line="276" w:lineRule="auto"/>
        <w:rPr>
          <w:sz w:val="20"/>
          <w:szCs w:val="20"/>
          <w:color w:val="auto"/>
        </w:rPr>
      </w:pPr>
      <w:r>
        <w:rPr>
          <w:rFonts w:ascii="Times New Roman" w:cs="Times New Roman" w:eastAsia="Times New Roman" w:hAnsi="Times New Roman"/>
          <w:sz w:val="18"/>
          <w:szCs w:val="18"/>
          <w:color w:val="auto"/>
        </w:rPr>
        <w:t>Through third parties, we are also pursuing oncology and neuroscience preclinical and clinical research and development activities under a number of licensing and collaboration agreements, including with:</w:t>
      </w:r>
    </w:p>
    <w:p>
      <w:pPr>
        <w:spacing w:after="0" w:line="53" w:lineRule="exact"/>
        <w:rPr>
          <w:sz w:val="20"/>
          <w:szCs w:val="20"/>
          <w:color w:val="auto"/>
        </w:rPr>
      </w:pPr>
    </w:p>
    <w:p>
      <w:pPr>
        <w:ind w:left="720" w:right="660" w:hanging="314"/>
        <w:spacing w:after="0" w:line="228" w:lineRule="auto"/>
        <w:tabs>
          <w:tab w:leader="none" w:pos="7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XL-protein GmbH, or XLp, for rights to use XLp’s PASylation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technology to extend the plasma half-life of selected asparaginase product candidates;</w:t>
      </w:r>
    </w:p>
    <w:p>
      <w:pPr>
        <w:spacing w:after="0" w:line="87" w:lineRule="exact"/>
        <w:rPr>
          <w:rFonts w:ascii="Times New Roman" w:cs="Times New Roman" w:eastAsia="Times New Roman" w:hAnsi="Times New Roman"/>
          <w:sz w:val="18"/>
          <w:szCs w:val="18"/>
          <w:color w:val="auto"/>
        </w:rPr>
      </w:pPr>
    </w:p>
    <w:p>
      <w:pPr>
        <w:ind w:left="720" w:right="360" w:hanging="314"/>
        <w:spacing w:after="0" w:line="276" w:lineRule="auto"/>
        <w:tabs>
          <w:tab w:leader="none" w:pos="7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Redx Pharma plc, or Redx, for preclinical collaboration activities related to the Ras/Raf/MAP kinase pathway program that we purchased from Redx;</w:t>
      </w:r>
    </w:p>
    <w:p>
      <w:pPr>
        <w:spacing w:after="0" w:line="56" w:lineRule="exact"/>
        <w:rPr>
          <w:rFonts w:ascii="Times New Roman" w:cs="Times New Roman" w:eastAsia="Times New Roman" w:hAnsi="Times New Roman"/>
          <w:sz w:val="18"/>
          <w:szCs w:val="18"/>
          <w:color w:val="auto"/>
        </w:rPr>
      </w:pPr>
    </w:p>
    <w:p>
      <w:pPr>
        <w:ind w:left="720" w:right="600" w:hanging="314"/>
        <w:spacing w:after="0" w:line="276" w:lineRule="auto"/>
        <w:tabs>
          <w:tab w:leader="none" w:pos="7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also evaluating the use of our CombiPlex delivery technology platform in a number of therapeutic formulations and combinations in oncology as part of our internal oncology research and development activities; and</w:t>
      </w:r>
    </w:p>
    <w:p>
      <w:pPr>
        <w:spacing w:after="0" w:line="56" w:lineRule="exact"/>
        <w:rPr>
          <w:rFonts w:ascii="Times New Roman" w:cs="Times New Roman" w:eastAsia="Times New Roman" w:hAnsi="Times New Roman"/>
          <w:sz w:val="18"/>
          <w:szCs w:val="18"/>
          <w:color w:val="auto"/>
        </w:rPr>
      </w:pPr>
    </w:p>
    <w:p>
      <w:pPr>
        <w:ind w:left="720" w:right="120" w:hanging="314"/>
        <w:spacing w:after="0" w:line="276" w:lineRule="auto"/>
        <w:tabs>
          <w:tab w:leader="none" w:pos="7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Autifony Therapeutics Limited to collaborate on discovering and developing drug candidates targeting two different ion channel targets associated with neurological disorders.</w:t>
      </w:r>
    </w:p>
    <w:p>
      <w:pPr>
        <w:spacing w:after="0" w:line="56" w:lineRule="exact"/>
        <w:rPr>
          <w:sz w:val="20"/>
          <w:szCs w:val="20"/>
          <w:color w:val="auto"/>
        </w:rPr>
      </w:pPr>
    </w:p>
    <w:p>
      <w:pPr>
        <w:ind w:left="80" w:right="80" w:firstLine="439"/>
        <w:spacing w:after="0" w:line="276" w:lineRule="auto"/>
        <w:rPr>
          <w:sz w:val="20"/>
          <w:szCs w:val="20"/>
          <w:color w:val="auto"/>
        </w:rPr>
      </w:pPr>
      <w:r>
        <w:rPr>
          <w:rFonts w:ascii="Times New Roman" w:cs="Times New Roman" w:eastAsia="Times New Roman" w:hAnsi="Times New Roman"/>
          <w:sz w:val="18"/>
          <w:szCs w:val="18"/>
          <w:color w:val="auto"/>
        </w:rPr>
        <w:t>Below is a summary of our key ongoing and planned development projects related to our products and pipeline and their corresponding current stages of development:</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Product Candidates</w:t>
            </w:r>
          </w:p>
        </w:tc>
        <w:tc>
          <w:tcPr>
            <w:tcW w:w="9700" w:type="dxa"/>
            <w:vAlign w:val="bottom"/>
            <w:gridSpan w:val="4"/>
          </w:tcPr>
          <w:p>
            <w:pPr>
              <w:ind w:left="29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36"/>
        </w:trPr>
        <w:tc>
          <w:tcPr>
            <w:tcW w:w="20" w:type="dxa"/>
            <w:vAlign w:val="bottom"/>
            <w:shd w:val="clear" w:color="auto" w:fill="CCEEFF"/>
          </w:tcPr>
          <w:p>
            <w:pPr>
              <w:spacing w:after="0"/>
              <w:rPr>
                <w:sz w:val="20"/>
                <w:szCs w:val="20"/>
                <w:color w:val="auto"/>
              </w:rPr>
            </w:pPr>
          </w:p>
        </w:tc>
        <w:tc>
          <w:tcPr>
            <w:tcW w:w="1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ONCOLOGY</w:t>
            </w:r>
          </w:p>
        </w:tc>
        <w:tc>
          <w:tcPr>
            <w:tcW w:w="2940" w:type="dxa"/>
            <w:vAlign w:val="bottom"/>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580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r>
      <w:tr>
        <w:trPr>
          <w:trHeight w:val="226"/>
        </w:trPr>
        <w:tc>
          <w:tcPr>
            <w:tcW w:w="2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2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20" w:type="dxa"/>
            <w:vAlign w:val="bottom"/>
            <w:shd w:val="clear" w:color="auto" w:fill="CCEEFF"/>
          </w:tcPr>
          <w:p>
            <w:pPr>
              <w:spacing w:after="0"/>
              <w:rPr>
                <w:sz w:val="19"/>
                <w:szCs w:val="19"/>
                <w:color w:val="auto"/>
              </w:rPr>
            </w:pPr>
          </w:p>
        </w:tc>
        <w:tc>
          <w:tcPr>
            <w:tcW w:w="1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Zanidatamab</w:t>
            </w:r>
          </w:p>
        </w:tc>
        <w:tc>
          <w:tcPr>
            <w:tcW w:w="9600" w:type="dxa"/>
            <w:vAlign w:val="bottom"/>
            <w:gridSpan w:val="3"/>
            <w:shd w:val="clear" w:color="auto" w:fill="CCEEFF"/>
          </w:tcPr>
          <w:p>
            <w:pPr>
              <w:ind w:left="2940"/>
              <w:spacing w:after="0"/>
              <w:rPr>
                <w:sz w:val="20"/>
                <w:szCs w:val="20"/>
                <w:color w:val="auto"/>
              </w:rPr>
            </w:pPr>
            <w:r>
              <w:rPr>
                <w:rFonts w:ascii="Times New Roman" w:cs="Times New Roman" w:eastAsia="Times New Roman" w:hAnsi="Times New Roman"/>
                <w:sz w:val="18"/>
                <w:szCs w:val="18"/>
                <w:color w:val="auto"/>
              </w:rPr>
              <w:t>HER2-positive GEA (ongoing trial)</w:t>
            </w:r>
          </w:p>
        </w:tc>
        <w:tc>
          <w:tcPr>
            <w:tcW w:w="10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520" w:type="dxa"/>
            <w:vAlign w:val="bottom"/>
          </w:tcPr>
          <w:p>
            <w:pPr>
              <w:ind w:left="120"/>
              <w:spacing w:after="0" w:line="173" w:lineRule="exact"/>
              <w:rPr>
                <w:sz w:val="20"/>
                <w:szCs w:val="20"/>
                <w:color w:val="auto"/>
              </w:rPr>
            </w:pPr>
            <w:r>
              <w:rPr>
                <w:rFonts w:ascii="Times New Roman" w:cs="Times New Roman" w:eastAsia="Times New Roman" w:hAnsi="Times New Roman"/>
                <w:sz w:val="18"/>
                <w:szCs w:val="18"/>
                <w:color w:val="auto"/>
              </w:rPr>
              <w:t>Zepzelca</w:t>
            </w:r>
          </w:p>
        </w:tc>
        <w:tc>
          <w:tcPr>
            <w:tcW w:w="9600" w:type="dxa"/>
            <w:vAlign w:val="bottom"/>
            <w:gridSpan w:val="3"/>
          </w:tcPr>
          <w:p>
            <w:pPr>
              <w:ind w:left="2940"/>
              <w:spacing w:after="0" w:line="173" w:lineRule="exact"/>
              <w:rPr>
                <w:sz w:val="20"/>
                <w:szCs w:val="20"/>
                <w:color w:val="auto"/>
              </w:rPr>
            </w:pPr>
            <w:r>
              <w:rPr>
                <w:rFonts w:ascii="Times New Roman" w:cs="Times New Roman" w:eastAsia="Times New Roman" w:hAnsi="Times New Roman"/>
                <w:sz w:val="18"/>
                <w:szCs w:val="18"/>
                <w:color w:val="auto"/>
              </w:rPr>
              <w:t>First-line extensive stage SCLC in combination with Tecentriq (collaboration with Roche)</w:t>
            </w:r>
          </w:p>
        </w:tc>
        <w:tc>
          <w:tcPr>
            <w:tcW w:w="10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9700" w:type="dxa"/>
            <w:vAlign w:val="bottom"/>
            <w:gridSpan w:val="4"/>
          </w:tcPr>
          <w:p>
            <w:pPr>
              <w:ind w:left="2940"/>
              <w:spacing w:after="0" w:line="182" w:lineRule="exact"/>
              <w:rPr>
                <w:sz w:val="20"/>
                <w:szCs w:val="20"/>
                <w:color w:val="auto"/>
              </w:rPr>
            </w:pPr>
            <w:r>
              <w:rPr>
                <w:rFonts w:ascii="Times New Roman" w:cs="Times New Roman" w:eastAsia="Times New Roman" w:hAnsi="Times New Roman"/>
                <w:sz w:val="18"/>
                <w:szCs w:val="18"/>
                <w:color w:val="auto"/>
              </w:rPr>
              <w:t>(ongoing trial)</w:t>
            </w:r>
          </w:p>
        </w:tc>
      </w:tr>
      <w:tr>
        <w:trPr>
          <w:trHeight w:val="231"/>
        </w:trPr>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700" w:type="dxa"/>
            <w:vAlign w:val="bottom"/>
            <w:gridSpan w:val="4"/>
          </w:tcPr>
          <w:p>
            <w:pPr>
              <w:ind w:left="2940"/>
              <w:spacing w:after="0"/>
              <w:rPr>
                <w:sz w:val="20"/>
                <w:szCs w:val="20"/>
                <w:color w:val="auto"/>
              </w:rPr>
            </w:pPr>
            <w:r>
              <w:rPr>
                <w:rFonts w:ascii="Times New Roman" w:cs="Times New Roman" w:eastAsia="Times New Roman" w:hAnsi="Times New Roman"/>
                <w:sz w:val="18"/>
                <w:szCs w:val="18"/>
                <w:color w:val="auto"/>
              </w:rPr>
              <w:t>Confirmatory Study (PharmaMar study) (ongoing trial)</w:t>
            </w:r>
          </w:p>
        </w:tc>
      </w:tr>
      <w:tr>
        <w:trPr>
          <w:trHeight w:val="173"/>
        </w:trPr>
        <w:tc>
          <w:tcPr>
            <w:tcW w:w="20" w:type="dxa"/>
            <w:vAlign w:val="bottom"/>
            <w:shd w:val="clear" w:color="auto" w:fill="CCEEFF"/>
          </w:tcPr>
          <w:p>
            <w:pPr>
              <w:spacing w:after="0"/>
              <w:rPr>
                <w:sz w:val="15"/>
                <w:szCs w:val="15"/>
                <w:color w:val="auto"/>
              </w:rPr>
            </w:pPr>
          </w:p>
        </w:tc>
        <w:tc>
          <w:tcPr>
            <w:tcW w:w="1520" w:type="dxa"/>
            <w:vAlign w:val="bottom"/>
            <w:shd w:val="clear" w:color="auto" w:fill="CCEEFF"/>
          </w:tcPr>
          <w:p>
            <w:pPr>
              <w:ind w:left="120"/>
              <w:spacing w:after="0" w:line="173" w:lineRule="exact"/>
              <w:rPr>
                <w:sz w:val="20"/>
                <w:szCs w:val="20"/>
                <w:color w:val="auto"/>
              </w:rPr>
            </w:pPr>
            <w:r>
              <w:rPr>
                <w:rFonts w:ascii="Times New Roman" w:cs="Times New Roman" w:eastAsia="Times New Roman" w:hAnsi="Times New Roman"/>
                <w:sz w:val="18"/>
                <w:szCs w:val="18"/>
                <w:color w:val="auto"/>
              </w:rPr>
              <w:t>Vyxeos</w:t>
            </w:r>
          </w:p>
        </w:tc>
        <w:tc>
          <w:tcPr>
            <w:tcW w:w="9600" w:type="dxa"/>
            <w:vAlign w:val="bottom"/>
            <w:gridSpan w:val="3"/>
            <w:shd w:val="clear" w:color="auto" w:fill="CCEEFF"/>
          </w:tcPr>
          <w:p>
            <w:pPr>
              <w:ind w:left="2940"/>
              <w:spacing w:after="0" w:line="173" w:lineRule="exact"/>
              <w:rPr>
                <w:sz w:val="20"/>
                <w:szCs w:val="20"/>
                <w:color w:val="auto"/>
              </w:rPr>
            </w:pPr>
            <w:r>
              <w:rPr>
                <w:rFonts w:ascii="Times New Roman" w:cs="Times New Roman" w:eastAsia="Times New Roman" w:hAnsi="Times New Roman"/>
                <w:sz w:val="18"/>
                <w:szCs w:val="18"/>
                <w:color w:val="auto"/>
                <w:w w:val="98"/>
              </w:rPr>
              <w:t>AML or high-risk Myelodysplastic Syndrome, or MDS (AML18) (cooperative group studies)</w:t>
            </w:r>
          </w:p>
        </w:tc>
        <w:tc>
          <w:tcPr>
            <w:tcW w:w="100" w:type="dxa"/>
            <w:vAlign w:val="bottom"/>
          </w:tcPr>
          <w:p>
            <w:pPr>
              <w:spacing w:after="0"/>
              <w:rPr>
                <w:sz w:val="15"/>
                <w:szCs w:val="15"/>
                <w:color w:val="auto"/>
              </w:rPr>
            </w:pPr>
          </w:p>
        </w:tc>
      </w:tr>
      <w:tr>
        <w:trPr>
          <w:trHeight w:val="181"/>
        </w:trPr>
        <w:tc>
          <w:tcPr>
            <w:tcW w:w="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9600" w:type="dxa"/>
            <w:vAlign w:val="bottom"/>
            <w:gridSpan w:val="3"/>
            <w:shd w:val="clear" w:color="auto" w:fill="CCEEFF"/>
          </w:tcPr>
          <w:p>
            <w:pPr>
              <w:ind w:left="2940"/>
              <w:spacing w:after="0" w:line="182" w:lineRule="exact"/>
              <w:rPr>
                <w:sz w:val="20"/>
                <w:szCs w:val="20"/>
                <w:color w:val="auto"/>
              </w:rPr>
            </w:pPr>
            <w:r>
              <w:rPr>
                <w:rFonts w:ascii="Times New Roman" w:cs="Times New Roman" w:eastAsia="Times New Roman" w:hAnsi="Times New Roman"/>
                <w:sz w:val="18"/>
                <w:szCs w:val="18"/>
                <w:color w:val="auto"/>
              </w:rPr>
              <w:t>(ongoing trial)</w:t>
            </w:r>
          </w:p>
        </w:tc>
        <w:tc>
          <w:tcPr>
            <w:tcW w:w="100" w:type="dxa"/>
            <w:vAlign w:val="bottom"/>
          </w:tcPr>
          <w:p>
            <w:pPr>
              <w:spacing w:after="0"/>
              <w:rPr>
                <w:sz w:val="15"/>
                <w:szCs w:val="15"/>
                <w:color w:val="auto"/>
              </w:rPr>
            </w:pPr>
          </w:p>
        </w:tc>
      </w:tr>
      <w:tr>
        <w:trPr>
          <w:trHeight w:val="178"/>
        </w:trPr>
        <w:tc>
          <w:tcPr>
            <w:tcW w:w="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9600" w:type="dxa"/>
            <w:vAlign w:val="bottom"/>
            <w:gridSpan w:val="3"/>
            <w:shd w:val="clear" w:color="auto" w:fill="CCEEFF"/>
          </w:tcPr>
          <w:p>
            <w:pPr>
              <w:ind w:left="2940"/>
              <w:spacing w:after="0" w:line="178" w:lineRule="exact"/>
              <w:rPr>
                <w:sz w:val="20"/>
                <w:szCs w:val="20"/>
                <w:color w:val="auto"/>
              </w:rPr>
            </w:pPr>
            <w:r>
              <w:rPr>
                <w:rFonts w:ascii="Times New Roman" w:cs="Times New Roman" w:eastAsia="Times New Roman" w:hAnsi="Times New Roman"/>
                <w:sz w:val="18"/>
                <w:szCs w:val="18"/>
                <w:color w:val="auto"/>
              </w:rPr>
              <w:t>Newly diagnosed adults with standard- and high-risk AML (AML Study Group cooperative</w:t>
            </w:r>
          </w:p>
        </w:tc>
        <w:tc>
          <w:tcPr>
            <w:tcW w:w="100" w:type="dxa"/>
            <w:vAlign w:val="bottom"/>
          </w:tcPr>
          <w:p>
            <w:pPr>
              <w:spacing w:after="0"/>
              <w:rPr>
                <w:sz w:val="15"/>
                <w:szCs w:val="15"/>
                <w:color w:val="auto"/>
              </w:rPr>
            </w:pPr>
          </w:p>
        </w:tc>
      </w:tr>
      <w:tr>
        <w:trPr>
          <w:trHeight w:val="173"/>
        </w:trPr>
        <w:tc>
          <w:tcPr>
            <w:tcW w:w="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9600" w:type="dxa"/>
            <w:vAlign w:val="bottom"/>
            <w:gridSpan w:val="3"/>
            <w:shd w:val="clear" w:color="auto" w:fill="CCEEFF"/>
          </w:tcPr>
          <w:p>
            <w:pPr>
              <w:ind w:left="2940"/>
              <w:spacing w:after="0" w:line="173" w:lineRule="exact"/>
              <w:rPr>
                <w:sz w:val="20"/>
                <w:szCs w:val="20"/>
                <w:color w:val="auto"/>
              </w:rPr>
            </w:pPr>
            <w:r>
              <w:rPr>
                <w:rFonts w:ascii="Times New Roman" w:cs="Times New Roman" w:eastAsia="Times New Roman" w:hAnsi="Times New Roman"/>
                <w:sz w:val="18"/>
                <w:szCs w:val="18"/>
                <w:color w:val="auto"/>
              </w:rPr>
              <w:t>group study) (ongoing trial)</w:t>
            </w:r>
          </w:p>
        </w:tc>
        <w:tc>
          <w:tcPr>
            <w:tcW w:w="100" w:type="dxa"/>
            <w:vAlign w:val="bottom"/>
          </w:tcPr>
          <w:p>
            <w:pPr>
              <w:spacing w:after="0"/>
              <w:rPr>
                <w:sz w:val="15"/>
                <w:szCs w:val="15"/>
                <w:color w:val="auto"/>
              </w:rPr>
            </w:pPr>
          </w:p>
        </w:tc>
      </w:tr>
      <w:tr>
        <w:trPr>
          <w:trHeight w:val="181"/>
        </w:trPr>
        <w:tc>
          <w:tcPr>
            <w:tcW w:w="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9600" w:type="dxa"/>
            <w:vAlign w:val="bottom"/>
            <w:gridSpan w:val="3"/>
            <w:shd w:val="clear" w:color="auto" w:fill="CCEEFF"/>
          </w:tcPr>
          <w:p>
            <w:pPr>
              <w:ind w:left="2940"/>
              <w:spacing w:after="0" w:line="182" w:lineRule="exact"/>
              <w:rPr>
                <w:sz w:val="20"/>
                <w:szCs w:val="20"/>
                <w:color w:val="auto"/>
              </w:rPr>
            </w:pPr>
            <w:r>
              <w:rPr>
                <w:rFonts w:ascii="Times New Roman" w:cs="Times New Roman" w:eastAsia="Times New Roman" w:hAnsi="Times New Roman"/>
                <w:sz w:val="18"/>
                <w:szCs w:val="18"/>
                <w:color w:val="auto"/>
              </w:rPr>
              <w:t>Newly diagnosed pediatric patients with AML (Children’s Oncology Group cooperative</w:t>
            </w:r>
          </w:p>
        </w:tc>
        <w:tc>
          <w:tcPr>
            <w:tcW w:w="100" w:type="dxa"/>
            <w:vAlign w:val="bottom"/>
          </w:tcPr>
          <w:p>
            <w:pPr>
              <w:spacing w:after="0"/>
              <w:rPr>
                <w:sz w:val="15"/>
                <w:szCs w:val="15"/>
                <w:color w:val="auto"/>
              </w:rPr>
            </w:pPr>
          </w:p>
        </w:tc>
      </w:tr>
      <w:tr>
        <w:trPr>
          <w:trHeight w:val="231"/>
        </w:trPr>
        <w:tc>
          <w:tcPr>
            <w:tcW w:w="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9600" w:type="dxa"/>
            <w:vAlign w:val="bottom"/>
            <w:gridSpan w:val="3"/>
            <w:shd w:val="clear" w:color="auto" w:fill="CCEEFF"/>
          </w:tcPr>
          <w:p>
            <w:pPr>
              <w:ind w:left="2940"/>
              <w:spacing w:after="0"/>
              <w:rPr>
                <w:sz w:val="20"/>
                <w:szCs w:val="20"/>
                <w:color w:val="auto"/>
              </w:rPr>
            </w:pPr>
            <w:r>
              <w:rPr>
                <w:rFonts w:ascii="Times New Roman" w:cs="Times New Roman" w:eastAsia="Times New Roman" w:hAnsi="Times New Roman"/>
                <w:sz w:val="18"/>
                <w:szCs w:val="18"/>
                <w:color w:val="auto"/>
              </w:rPr>
              <w:t>group study) (ongoing trial)</w:t>
            </w:r>
          </w:p>
        </w:tc>
        <w:tc>
          <w:tcPr>
            <w:tcW w:w="100" w:type="dxa"/>
            <w:vAlign w:val="bottom"/>
          </w:tcPr>
          <w:p>
            <w:pPr>
              <w:spacing w:after="0"/>
              <w:rPr>
                <w:sz w:val="20"/>
                <w:szCs w:val="20"/>
                <w:color w:val="auto"/>
              </w:rPr>
            </w:pPr>
          </w:p>
        </w:tc>
      </w:tr>
      <w:tr>
        <w:trPr>
          <w:trHeight w:val="853"/>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600" w:type="dxa"/>
            <w:vAlign w:val="bottom"/>
            <w:gridSpan w:val="3"/>
          </w:tcPr>
          <w:p>
            <w:pPr>
              <w:ind w:left="400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4"/>
                <w:szCs w:val="24"/>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29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5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7300" w:type="dxa"/>
            <w:vAlign w:val="bottom"/>
          </w:tcPr>
          <w:p>
            <w:pPr>
              <w:spacing w:after="0"/>
              <w:rPr>
                <w:sz w:val="17"/>
                <w:szCs w:val="17"/>
                <w:color w:val="auto"/>
              </w:rPr>
            </w:pPr>
          </w:p>
        </w:tc>
      </w:tr>
      <w:tr>
        <w:trPr>
          <w:trHeight w:val="925"/>
        </w:trPr>
        <w:tc>
          <w:tcPr>
            <w:tcW w:w="126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Pivotal Phase 2</w:t>
            </w:r>
          </w:p>
        </w:tc>
        <w:tc>
          <w:tcPr>
            <w:tcW w:w="2580" w:type="dxa"/>
            <w:vAlign w:val="bottom"/>
          </w:tcPr>
          <w:p>
            <w:pPr>
              <w:spacing w:after="0"/>
              <w:rPr>
                <w:sz w:val="24"/>
                <w:szCs w:val="24"/>
                <w:color w:val="auto"/>
              </w:rPr>
            </w:pPr>
          </w:p>
        </w:tc>
        <w:tc>
          <w:tcPr>
            <w:tcW w:w="7300" w:type="dxa"/>
            <w:vAlign w:val="bottom"/>
          </w:tcPr>
          <w:p>
            <w:pPr>
              <w:spacing w:after="0"/>
              <w:rPr>
                <w:sz w:val="24"/>
                <w:szCs w:val="24"/>
                <w:color w:val="auto"/>
              </w:rPr>
            </w:pPr>
          </w:p>
        </w:tc>
      </w:tr>
      <w:tr>
        <w:trPr>
          <w:trHeight w:val="226"/>
        </w:trPr>
        <w:tc>
          <w:tcPr>
            <w:tcW w:w="3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Zanidatamab</w:t>
            </w:r>
          </w:p>
        </w:tc>
        <w:tc>
          <w:tcPr>
            <w:tcW w:w="73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Previously treated, advanced HER2-expressing BTC (ongoing trial) (pivotal trial)</w:t>
            </w:r>
          </w:p>
        </w:tc>
      </w:tr>
      <w:tr>
        <w:trPr>
          <w:trHeight w:val="226"/>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7300" w:type="dxa"/>
            <w:vAlign w:val="bottom"/>
          </w:tcPr>
          <w:p>
            <w:pPr>
              <w:spacing w:after="0"/>
              <w:rPr>
                <w:sz w:val="19"/>
                <w:szCs w:val="19"/>
                <w:color w:val="auto"/>
              </w:rPr>
            </w:pPr>
          </w:p>
        </w:tc>
      </w:tr>
      <w:tr>
        <w:trPr>
          <w:trHeight w:val="173"/>
        </w:trPr>
        <w:tc>
          <w:tcPr>
            <w:tcW w:w="3840" w:type="dxa"/>
            <w:vAlign w:val="bottom"/>
            <w:gridSpan w:val="2"/>
            <w:shd w:val="clear" w:color="auto" w:fill="CCEEFF"/>
          </w:tcPr>
          <w:p>
            <w:pPr>
              <w:ind w:left="140"/>
              <w:spacing w:after="0" w:line="173" w:lineRule="exact"/>
              <w:rPr>
                <w:sz w:val="20"/>
                <w:szCs w:val="20"/>
                <w:color w:val="auto"/>
              </w:rPr>
            </w:pPr>
            <w:r>
              <w:rPr>
                <w:rFonts w:ascii="Times New Roman" w:cs="Times New Roman" w:eastAsia="Times New Roman" w:hAnsi="Times New Roman"/>
                <w:sz w:val="18"/>
                <w:szCs w:val="18"/>
                <w:color w:val="auto"/>
              </w:rPr>
              <w:t>Zanidatamab</w:t>
            </w:r>
          </w:p>
        </w:tc>
        <w:tc>
          <w:tcPr>
            <w:tcW w:w="7300" w:type="dxa"/>
            <w:vAlign w:val="bottom"/>
            <w:shd w:val="clear" w:color="auto" w:fill="CCEEFF"/>
          </w:tcPr>
          <w:p>
            <w:pPr>
              <w:ind w:left="640"/>
              <w:spacing w:after="0" w:line="173" w:lineRule="exact"/>
              <w:rPr>
                <w:sz w:val="20"/>
                <w:szCs w:val="20"/>
                <w:color w:val="auto"/>
              </w:rPr>
            </w:pPr>
            <w:r>
              <w:rPr>
                <w:rFonts w:ascii="Times New Roman" w:cs="Times New Roman" w:eastAsia="Times New Roman" w:hAnsi="Times New Roman"/>
                <w:sz w:val="18"/>
                <w:szCs w:val="18"/>
                <w:color w:val="auto"/>
              </w:rPr>
              <w:t>HER2-expressing GEA, BTC or colorectal cancer in combination with standard first-line</w:t>
            </w:r>
          </w:p>
        </w:tc>
      </w:tr>
      <w:tr>
        <w:trPr>
          <w:trHeight w:val="240"/>
        </w:trPr>
        <w:tc>
          <w:tcPr>
            <w:tcW w:w="126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73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chemotherapy (ongoing trial)</w:t>
            </w:r>
          </w:p>
        </w:tc>
      </w:tr>
      <w:tr>
        <w:trPr>
          <w:trHeight w:val="173"/>
        </w:trPr>
        <w:tc>
          <w:tcPr>
            <w:tcW w:w="3840" w:type="dxa"/>
            <w:vAlign w:val="bottom"/>
            <w:gridSpan w:val="2"/>
          </w:tcPr>
          <w:p>
            <w:pPr>
              <w:ind w:left="140"/>
              <w:spacing w:after="0" w:line="173" w:lineRule="exact"/>
              <w:rPr>
                <w:sz w:val="20"/>
                <w:szCs w:val="20"/>
                <w:color w:val="auto"/>
              </w:rPr>
            </w:pPr>
            <w:r>
              <w:rPr>
                <w:rFonts w:ascii="Times New Roman" w:cs="Times New Roman" w:eastAsia="Times New Roman" w:hAnsi="Times New Roman"/>
                <w:sz w:val="18"/>
                <w:szCs w:val="18"/>
                <w:color w:val="auto"/>
              </w:rPr>
              <w:t>Vyxeos</w:t>
            </w:r>
          </w:p>
        </w:tc>
        <w:tc>
          <w:tcPr>
            <w:tcW w:w="7300" w:type="dxa"/>
            <w:vAlign w:val="bottom"/>
          </w:tcPr>
          <w:p>
            <w:pPr>
              <w:ind w:left="640"/>
              <w:spacing w:after="0" w:line="173" w:lineRule="exact"/>
              <w:rPr>
                <w:sz w:val="20"/>
                <w:szCs w:val="20"/>
                <w:color w:val="auto"/>
              </w:rPr>
            </w:pPr>
            <w:r>
              <w:rPr>
                <w:rFonts w:ascii="Times New Roman" w:cs="Times New Roman" w:eastAsia="Times New Roman" w:hAnsi="Times New Roman"/>
                <w:sz w:val="18"/>
                <w:szCs w:val="18"/>
                <w:color w:val="auto"/>
                <w:w w:val="99"/>
              </w:rPr>
              <w:t>High-risk MDS (European Myelodysplastic Syndromes) (cooperative group study) (ongoing</w:t>
            </w:r>
          </w:p>
        </w:tc>
      </w:tr>
      <w:tr>
        <w:trPr>
          <w:trHeight w:val="181"/>
        </w:trPr>
        <w:tc>
          <w:tcPr>
            <w:tcW w:w="12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7300" w:type="dxa"/>
            <w:vAlign w:val="bottom"/>
          </w:tcPr>
          <w:p>
            <w:pPr>
              <w:ind w:left="640"/>
              <w:spacing w:after="0" w:line="182" w:lineRule="exact"/>
              <w:rPr>
                <w:sz w:val="20"/>
                <w:szCs w:val="20"/>
                <w:color w:val="auto"/>
              </w:rPr>
            </w:pPr>
            <w:r>
              <w:rPr>
                <w:rFonts w:ascii="Times New Roman" w:cs="Times New Roman" w:eastAsia="Times New Roman" w:hAnsi="Times New Roman"/>
                <w:sz w:val="18"/>
                <w:szCs w:val="18"/>
                <w:color w:val="auto"/>
              </w:rPr>
              <w:t>trial)</w:t>
            </w:r>
          </w:p>
        </w:tc>
      </w:tr>
      <w:tr>
        <w:trPr>
          <w:trHeight w:val="178"/>
        </w:trPr>
        <w:tc>
          <w:tcPr>
            <w:tcW w:w="12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7300" w:type="dxa"/>
            <w:vAlign w:val="bottom"/>
          </w:tcPr>
          <w:p>
            <w:pPr>
              <w:ind w:left="640"/>
              <w:spacing w:after="0" w:line="178" w:lineRule="exact"/>
              <w:rPr>
                <w:sz w:val="20"/>
                <w:szCs w:val="20"/>
                <w:color w:val="auto"/>
              </w:rPr>
            </w:pPr>
            <w:r>
              <w:rPr>
                <w:rFonts w:ascii="Times New Roman" w:cs="Times New Roman" w:eastAsia="Times New Roman" w:hAnsi="Times New Roman"/>
                <w:sz w:val="18"/>
                <w:szCs w:val="18"/>
                <w:color w:val="auto"/>
                <w:w w:val="99"/>
              </w:rPr>
              <w:t>Newly diagnosed untreated patients with high-risk AML (cooperative group study) (planned</w:t>
            </w:r>
          </w:p>
        </w:tc>
      </w:tr>
      <w:tr>
        <w:trPr>
          <w:trHeight w:val="226"/>
        </w:trPr>
        <w:tc>
          <w:tcPr>
            <w:tcW w:w="12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73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trial)</w:t>
            </w:r>
          </w:p>
        </w:tc>
      </w:tr>
      <w:tr>
        <w:trPr>
          <w:trHeight w:val="173"/>
        </w:trPr>
        <w:tc>
          <w:tcPr>
            <w:tcW w:w="3840" w:type="dxa"/>
            <w:vAlign w:val="bottom"/>
            <w:gridSpan w:val="2"/>
            <w:shd w:val="clear" w:color="auto" w:fill="CCEEFF"/>
          </w:tcPr>
          <w:p>
            <w:pPr>
              <w:ind w:left="140"/>
              <w:spacing w:after="0" w:line="173" w:lineRule="exact"/>
              <w:rPr>
                <w:sz w:val="20"/>
                <w:szCs w:val="20"/>
                <w:color w:val="auto"/>
              </w:rPr>
            </w:pPr>
            <w:r>
              <w:rPr>
                <w:rFonts w:ascii="Times New Roman" w:cs="Times New Roman" w:eastAsia="Times New Roman" w:hAnsi="Times New Roman"/>
                <w:sz w:val="18"/>
                <w:szCs w:val="18"/>
                <w:color w:val="auto"/>
              </w:rPr>
              <w:t>Vyxeos + other approved therapies</w:t>
            </w:r>
          </w:p>
        </w:tc>
        <w:tc>
          <w:tcPr>
            <w:tcW w:w="7300" w:type="dxa"/>
            <w:vAlign w:val="bottom"/>
            <w:shd w:val="clear" w:color="auto" w:fill="CCEEFF"/>
          </w:tcPr>
          <w:p>
            <w:pPr>
              <w:ind w:left="640"/>
              <w:spacing w:after="0" w:line="173" w:lineRule="exact"/>
              <w:rPr>
                <w:sz w:val="20"/>
                <w:szCs w:val="20"/>
                <w:color w:val="auto"/>
              </w:rPr>
            </w:pPr>
            <w:r>
              <w:rPr>
                <w:rFonts w:ascii="Times New Roman" w:cs="Times New Roman" w:eastAsia="Times New Roman" w:hAnsi="Times New Roman"/>
                <w:sz w:val="18"/>
                <w:szCs w:val="18"/>
                <w:color w:val="auto"/>
              </w:rPr>
              <w:t>Relapsed/refractory, or R/R, AML or hypomethylating agent failure MDS (MD Anderson</w:t>
            </w:r>
          </w:p>
        </w:tc>
      </w:tr>
      <w:tr>
        <w:trPr>
          <w:trHeight w:val="181"/>
        </w:trPr>
        <w:tc>
          <w:tcPr>
            <w:tcW w:w="126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7300" w:type="dxa"/>
            <w:vAlign w:val="bottom"/>
            <w:shd w:val="clear" w:color="auto" w:fill="CCEEFF"/>
          </w:tcPr>
          <w:p>
            <w:pPr>
              <w:ind w:left="640"/>
              <w:spacing w:after="0" w:line="182" w:lineRule="exact"/>
              <w:rPr>
                <w:sz w:val="20"/>
                <w:szCs w:val="20"/>
                <w:color w:val="auto"/>
              </w:rPr>
            </w:pPr>
            <w:r>
              <w:rPr>
                <w:rFonts w:ascii="Times New Roman" w:cs="Times New Roman" w:eastAsia="Times New Roman" w:hAnsi="Times New Roman"/>
                <w:sz w:val="18"/>
                <w:szCs w:val="18"/>
                <w:color w:val="auto"/>
              </w:rPr>
              <w:t>collaboration study) (ongoing trial)</w:t>
            </w:r>
          </w:p>
        </w:tc>
      </w:tr>
      <w:tr>
        <w:trPr>
          <w:trHeight w:val="231"/>
        </w:trPr>
        <w:tc>
          <w:tcPr>
            <w:tcW w:w="126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73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De novo or R/R AML (MD Anderson collaboration study) (ongoing trial)</w:t>
            </w:r>
          </w:p>
        </w:tc>
      </w:tr>
      <w:tr>
        <w:trPr>
          <w:trHeight w:val="226"/>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Phase 2a</w:t>
            </w:r>
          </w:p>
        </w:tc>
        <w:tc>
          <w:tcPr>
            <w:tcW w:w="7300" w:type="dxa"/>
            <w:vAlign w:val="bottom"/>
          </w:tcPr>
          <w:p>
            <w:pPr>
              <w:spacing w:after="0"/>
              <w:rPr>
                <w:sz w:val="19"/>
                <w:szCs w:val="19"/>
                <w:color w:val="auto"/>
              </w:rPr>
            </w:pPr>
          </w:p>
        </w:tc>
      </w:tr>
      <w:tr>
        <w:trPr>
          <w:trHeight w:val="226"/>
        </w:trPr>
        <w:tc>
          <w:tcPr>
            <w:tcW w:w="3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Zanidatamab</w:t>
            </w:r>
          </w:p>
        </w:tc>
        <w:tc>
          <w:tcPr>
            <w:tcW w:w="73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9"/>
              </w:rPr>
              <w:t>Previously treated HER2+HR+ breast cancer in combination with palbociclib (ongoing trial)</w:t>
            </w:r>
          </w:p>
        </w:tc>
      </w:tr>
      <w:tr>
        <w:trPr>
          <w:trHeight w:val="226"/>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Phase 1b/2</w:t>
            </w:r>
          </w:p>
        </w:tc>
        <w:tc>
          <w:tcPr>
            <w:tcW w:w="7300" w:type="dxa"/>
            <w:vAlign w:val="bottom"/>
          </w:tcPr>
          <w:p>
            <w:pPr>
              <w:spacing w:after="0"/>
              <w:rPr>
                <w:sz w:val="19"/>
                <w:szCs w:val="19"/>
                <w:color w:val="auto"/>
              </w:rPr>
            </w:pPr>
          </w:p>
        </w:tc>
      </w:tr>
      <w:tr>
        <w:trPr>
          <w:trHeight w:val="226"/>
        </w:trPr>
        <w:tc>
          <w:tcPr>
            <w:tcW w:w="3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Zanidatamab</w:t>
            </w:r>
          </w:p>
        </w:tc>
        <w:tc>
          <w:tcPr>
            <w:tcW w:w="73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First-line breast cancer and GEA (BeiGene trial) (ongoing trial)</w:t>
            </w:r>
          </w:p>
        </w:tc>
      </w:tr>
      <w:tr>
        <w:trPr>
          <w:trHeight w:val="226"/>
        </w:trPr>
        <w:tc>
          <w:tcPr>
            <w:tcW w:w="3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Zanidatamab</w:t>
            </w:r>
          </w:p>
        </w:tc>
        <w:tc>
          <w:tcPr>
            <w:tcW w:w="73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HER2-expressing breast cancer in combination with ALX148 (ongoing trial)</w:t>
            </w:r>
          </w:p>
        </w:tc>
      </w:tr>
      <w:tr>
        <w:trPr>
          <w:trHeight w:val="226"/>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Phase 1</w:t>
            </w:r>
          </w:p>
        </w:tc>
        <w:tc>
          <w:tcPr>
            <w:tcW w:w="7300" w:type="dxa"/>
            <w:vAlign w:val="bottom"/>
            <w:shd w:val="clear" w:color="auto" w:fill="CCEEFF"/>
          </w:tcPr>
          <w:p>
            <w:pPr>
              <w:spacing w:after="0"/>
              <w:rPr>
                <w:sz w:val="19"/>
                <w:szCs w:val="19"/>
                <w:color w:val="auto"/>
              </w:rPr>
            </w:pPr>
          </w:p>
        </w:tc>
      </w:tr>
      <w:tr>
        <w:trPr>
          <w:trHeight w:val="226"/>
        </w:trPr>
        <w:tc>
          <w:tcPr>
            <w:tcW w:w="3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JZP815</w:t>
            </w:r>
          </w:p>
        </w:tc>
        <w:tc>
          <w:tcPr>
            <w:tcW w:w="73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Raf and Ras mutant tumors (acquired from Redx) (ongoing trial)</w:t>
            </w:r>
          </w:p>
        </w:tc>
      </w:tr>
      <w:tr>
        <w:trPr>
          <w:trHeight w:val="173"/>
        </w:trPr>
        <w:tc>
          <w:tcPr>
            <w:tcW w:w="3840" w:type="dxa"/>
            <w:vAlign w:val="bottom"/>
            <w:gridSpan w:val="2"/>
            <w:shd w:val="clear" w:color="auto" w:fill="CCEEFF"/>
          </w:tcPr>
          <w:p>
            <w:pPr>
              <w:ind w:left="140"/>
              <w:spacing w:after="0" w:line="173" w:lineRule="exact"/>
              <w:rPr>
                <w:sz w:val="20"/>
                <w:szCs w:val="20"/>
                <w:color w:val="auto"/>
              </w:rPr>
            </w:pPr>
            <w:r>
              <w:rPr>
                <w:rFonts w:ascii="Times New Roman" w:cs="Times New Roman" w:eastAsia="Times New Roman" w:hAnsi="Times New Roman"/>
                <w:sz w:val="18"/>
                <w:szCs w:val="18"/>
                <w:color w:val="auto"/>
              </w:rPr>
              <w:t>Zanidatamab</w:t>
            </w:r>
          </w:p>
        </w:tc>
        <w:tc>
          <w:tcPr>
            <w:tcW w:w="7300" w:type="dxa"/>
            <w:vAlign w:val="bottom"/>
            <w:shd w:val="clear" w:color="auto" w:fill="CCEEFF"/>
          </w:tcPr>
          <w:p>
            <w:pPr>
              <w:ind w:left="640"/>
              <w:spacing w:after="0" w:line="173" w:lineRule="exact"/>
              <w:rPr>
                <w:sz w:val="20"/>
                <w:szCs w:val="20"/>
                <w:color w:val="auto"/>
              </w:rPr>
            </w:pPr>
            <w:r>
              <w:rPr>
                <w:rFonts w:ascii="Times New Roman" w:cs="Times New Roman" w:eastAsia="Times New Roman" w:hAnsi="Times New Roman"/>
                <w:sz w:val="18"/>
                <w:szCs w:val="18"/>
                <w:color w:val="auto"/>
              </w:rPr>
              <w:t>Previously treated metastatic HER2-expressing cancers in combination with select</w:t>
            </w:r>
          </w:p>
        </w:tc>
      </w:tr>
      <w:tr>
        <w:trPr>
          <w:trHeight w:val="240"/>
        </w:trPr>
        <w:tc>
          <w:tcPr>
            <w:tcW w:w="126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73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antineoplastic therapies (ongoing trial)</w:t>
            </w:r>
          </w:p>
        </w:tc>
      </w:tr>
      <w:tr>
        <w:trPr>
          <w:trHeight w:val="226"/>
        </w:trPr>
        <w:tc>
          <w:tcPr>
            <w:tcW w:w="3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JZP341 (long-acting </w:t>
            </w:r>
            <w:r>
              <w:rPr>
                <w:rFonts w:ascii="Times New Roman" w:cs="Times New Roman" w:eastAsia="Times New Roman" w:hAnsi="Times New Roman"/>
                <w:sz w:val="18"/>
                <w:szCs w:val="18"/>
                <w:i w:val="1"/>
                <w:iCs w:val="1"/>
                <w:color w:val="auto"/>
              </w:rPr>
              <w:t>Erwinia</w:t>
            </w:r>
            <w:r>
              <w:rPr>
                <w:rFonts w:ascii="Times New Roman" w:cs="Times New Roman" w:eastAsia="Times New Roman" w:hAnsi="Times New Roman"/>
                <w:sz w:val="18"/>
                <w:szCs w:val="18"/>
                <w:color w:val="auto"/>
              </w:rPr>
              <w:t xml:space="preserve"> asparaginase)</w:t>
            </w:r>
          </w:p>
        </w:tc>
        <w:tc>
          <w:tcPr>
            <w:tcW w:w="730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Solid tumors (licensed from Ligand Pharmaceuticals Incorporated, or Ligand) (ongoing trial)</w:t>
            </w:r>
          </w:p>
        </w:tc>
      </w:tr>
      <w:tr>
        <w:trPr>
          <w:trHeight w:val="226"/>
        </w:trPr>
        <w:tc>
          <w:tcPr>
            <w:tcW w:w="3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JZP898</w:t>
            </w:r>
          </w:p>
        </w:tc>
        <w:tc>
          <w:tcPr>
            <w:tcW w:w="73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Conditionally-activated IFNα INDUKINE™ molecule in solid tumors (ongoing trial)</w:t>
            </w:r>
          </w:p>
        </w:tc>
      </w:tr>
      <w:tr>
        <w:trPr>
          <w:trHeight w:val="226"/>
        </w:trPr>
        <w:tc>
          <w:tcPr>
            <w:tcW w:w="3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Vyxeos</w:t>
            </w:r>
          </w:p>
        </w:tc>
        <w:tc>
          <w:tcPr>
            <w:tcW w:w="730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8"/>
              </w:rPr>
              <w:t>Low intensity dosing for higher risk MDS (MD Anderson collaboration study) (ongoing trial)</w:t>
            </w:r>
          </w:p>
        </w:tc>
      </w:tr>
      <w:tr>
        <w:trPr>
          <w:trHeight w:val="226"/>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Preclinical</w:t>
            </w:r>
          </w:p>
        </w:tc>
        <w:tc>
          <w:tcPr>
            <w:tcW w:w="7300" w:type="dxa"/>
            <w:vAlign w:val="bottom"/>
            <w:shd w:val="clear" w:color="auto" w:fill="CCEEFF"/>
          </w:tcPr>
          <w:p>
            <w:pPr>
              <w:spacing w:after="0"/>
              <w:rPr>
                <w:sz w:val="19"/>
                <w:szCs w:val="19"/>
                <w:color w:val="auto"/>
              </w:rPr>
            </w:pPr>
          </w:p>
        </w:tc>
      </w:tr>
      <w:tr>
        <w:trPr>
          <w:trHeight w:val="226"/>
        </w:trPr>
        <w:tc>
          <w:tcPr>
            <w:tcW w:w="3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Undisclosed target</w:t>
            </w:r>
          </w:p>
        </w:tc>
        <w:tc>
          <w:tcPr>
            <w:tcW w:w="73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Ras/Raf/MAP kinase pathway (collaboration with Redx)</w:t>
            </w:r>
          </w:p>
        </w:tc>
      </w:tr>
      <w:tr>
        <w:trPr>
          <w:trHeight w:val="226"/>
        </w:trPr>
        <w:tc>
          <w:tcPr>
            <w:tcW w:w="3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Undisclosed targets</w:t>
            </w:r>
          </w:p>
        </w:tc>
        <w:tc>
          <w:tcPr>
            <w:tcW w:w="73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Oncology</w:t>
            </w:r>
          </w:p>
        </w:tc>
      </w:tr>
      <w:tr>
        <w:trPr>
          <w:trHeight w:val="226"/>
        </w:trPr>
        <w:tc>
          <w:tcPr>
            <w:tcW w:w="3840" w:type="dxa"/>
            <w:vAlign w:val="bottom"/>
            <w:gridSpan w:val="2"/>
          </w:tcPr>
          <w:p>
            <w:pPr>
              <w:ind w:left="140"/>
              <w:spacing w:after="0" w:line="226" w:lineRule="exact"/>
              <w:rPr>
                <w:sz w:val="20"/>
                <w:szCs w:val="20"/>
                <w:color w:val="auto"/>
              </w:rPr>
            </w:pPr>
            <w:r>
              <w:rPr>
                <w:rFonts w:ascii="Times New Roman" w:cs="Times New Roman" w:eastAsia="Times New Roman" w:hAnsi="Times New Roman"/>
                <w:sz w:val="18"/>
                <w:szCs w:val="18"/>
                <w:color w:val="auto"/>
              </w:rPr>
              <w:t>CombiPlex</w:t>
            </w:r>
            <w:r>
              <w:rPr>
                <w:rFonts w:ascii="Times New Roman" w:cs="Times New Roman" w:eastAsia="Times New Roman" w:hAnsi="Times New Roman"/>
                <w:sz w:val="23"/>
                <w:szCs w:val="23"/>
                <w:color w:val="auto"/>
                <w:vertAlign w:val="superscript"/>
              </w:rPr>
              <w:t>®</w:t>
            </w:r>
          </w:p>
        </w:tc>
        <w:tc>
          <w:tcPr>
            <w:tcW w:w="73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Oncology exploratory activities</w:t>
            </w:r>
          </w:p>
        </w:tc>
      </w:tr>
      <w:tr>
        <w:trPr>
          <w:trHeight w:val="226"/>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NEUROSCIENCE</w:t>
            </w:r>
          </w:p>
        </w:tc>
        <w:tc>
          <w:tcPr>
            <w:tcW w:w="7300" w:type="dxa"/>
            <w:vAlign w:val="bottom"/>
            <w:shd w:val="clear" w:color="auto" w:fill="CCEEFF"/>
          </w:tcPr>
          <w:p>
            <w:pPr>
              <w:spacing w:after="0"/>
              <w:rPr>
                <w:sz w:val="19"/>
                <w:szCs w:val="19"/>
                <w:color w:val="auto"/>
              </w:rPr>
            </w:pPr>
          </w:p>
        </w:tc>
      </w:tr>
      <w:tr>
        <w:trPr>
          <w:trHeight w:val="226"/>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7300" w:type="dxa"/>
            <w:vAlign w:val="bottom"/>
          </w:tcPr>
          <w:p>
            <w:pPr>
              <w:spacing w:after="0"/>
              <w:rPr>
                <w:sz w:val="19"/>
                <w:szCs w:val="19"/>
                <w:color w:val="auto"/>
              </w:rPr>
            </w:pPr>
          </w:p>
        </w:tc>
      </w:tr>
      <w:tr>
        <w:trPr>
          <w:trHeight w:val="226"/>
        </w:trPr>
        <w:tc>
          <w:tcPr>
            <w:tcW w:w="3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Epidyolex</w:t>
            </w:r>
          </w:p>
        </w:tc>
        <w:tc>
          <w:tcPr>
            <w:tcW w:w="73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LGS, TSC and DS (ongoing trial in Japan)</w:t>
            </w:r>
          </w:p>
        </w:tc>
      </w:tr>
      <w:tr>
        <w:trPr>
          <w:trHeight w:val="226"/>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Phase 2b</w:t>
            </w:r>
          </w:p>
        </w:tc>
        <w:tc>
          <w:tcPr>
            <w:tcW w:w="7300" w:type="dxa"/>
            <w:vAlign w:val="bottom"/>
          </w:tcPr>
          <w:p>
            <w:pPr>
              <w:spacing w:after="0"/>
              <w:rPr>
                <w:sz w:val="19"/>
                <w:szCs w:val="19"/>
                <w:color w:val="auto"/>
              </w:rPr>
            </w:pPr>
          </w:p>
        </w:tc>
      </w:tr>
      <w:tr>
        <w:trPr>
          <w:trHeight w:val="226"/>
        </w:trPr>
        <w:tc>
          <w:tcPr>
            <w:tcW w:w="3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Suvecaltamide (JZP385)</w:t>
            </w:r>
          </w:p>
        </w:tc>
        <w:tc>
          <w:tcPr>
            <w:tcW w:w="73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ET (ongoing trial)</w:t>
            </w:r>
          </w:p>
        </w:tc>
      </w:tr>
      <w:tr>
        <w:trPr>
          <w:trHeight w:val="226"/>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7300" w:type="dxa"/>
            <w:vAlign w:val="bottom"/>
          </w:tcPr>
          <w:p>
            <w:pPr>
              <w:spacing w:after="0"/>
              <w:rPr>
                <w:sz w:val="19"/>
                <w:szCs w:val="19"/>
                <w:color w:val="auto"/>
              </w:rPr>
            </w:pPr>
          </w:p>
        </w:tc>
      </w:tr>
      <w:tr>
        <w:trPr>
          <w:trHeight w:val="333"/>
        </w:trPr>
        <w:tc>
          <w:tcPr>
            <w:tcW w:w="3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Suvecaltamide (JZP385)</w:t>
            </w:r>
          </w:p>
        </w:tc>
        <w:tc>
          <w:tcPr>
            <w:tcW w:w="73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Parkinson's disease tremor (ongoing trial)</w:t>
            </w:r>
          </w:p>
        </w:tc>
      </w:tr>
      <w:tr>
        <w:trPr>
          <w:trHeight w:val="226"/>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Phase 1</w:t>
            </w:r>
          </w:p>
        </w:tc>
        <w:tc>
          <w:tcPr>
            <w:tcW w:w="7300" w:type="dxa"/>
            <w:vAlign w:val="bottom"/>
          </w:tcPr>
          <w:p>
            <w:pPr>
              <w:spacing w:after="0"/>
              <w:rPr>
                <w:sz w:val="19"/>
                <w:szCs w:val="19"/>
                <w:color w:val="auto"/>
              </w:rPr>
            </w:pPr>
          </w:p>
        </w:tc>
      </w:tr>
      <w:tr>
        <w:trPr>
          <w:trHeight w:val="226"/>
        </w:trPr>
        <w:tc>
          <w:tcPr>
            <w:tcW w:w="3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JZP324</w:t>
            </w:r>
          </w:p>
        </w:tc>
        <w:tc>
          <w:tcPr>
            <w:tcW w:w="73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Oxybate extended-release formulation (planned trial)</w:t>
            </w:r>
          </w:p>
        </w:tc>
      </w:tr>
      <w:tr>
        <w:trPr>
          <w:trHeight w:val="226"/>
        </w:trPr>
        <w:tc>
          <w:tcPr>
            <w:tcW w:w="3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JZP441*</w:t>
            </w:r>
          </w:p>
        </w:tc>
        <w:tc>
          <w:tcPr>
            <w:tcW w:w="73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Potent, highly selective oral orexin-2 receptor agonist (paused)</w:t>
            </w:r>
          </w:p>
        </w:tc>
      </w:tr>
      <w:tr>
        <w:trPr>
          <w:trHeight w:val="226"/>
        </w:trPr>
        <w:tc>
          <w:tcPr>
            <w:tcW w:w="3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Undisclosed cannabinoids</w:t>
            </w:r>
          </w:p>
        </w:tc>
        <w:tc>
          <w:tcPr>
            <w:tcW w:w="73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Other neuroscience (ongoing trials)</w:t>
            </w:r>
          </w:p>
        </w:tc>
      </w:tr>
      <w:tr>
        <w:trPr>
          <w:trHeight w:val="226"/>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Preclinical</w:t>
            </w:r>
          </w:p>
        </w:tc>
        <w:tc>
          <w:tcPr>
            <w:tcW w:w="7300" w:type="dxa"/>
            <w:vAlign w:val="bottom"/>
          </w:tcPr>
          <w:p>
            <w:pPr>
              <w:spacing w:after="0"/>
              <w:rPr>
                <w:sz w:val="19"/>
                <w:szCs w:val="19"/>
                <w:color w:val="auto"/>
              </w:rPr>
            </w:pPr>
          </w:p>
        </w:tc>
      </w:tr>
      <w:tr>
        <w:trPr>
          <w:trHeight w:val="173"/>
        </w:trPr>
        <w:tc>
          <w:tcPr>
            <w:tcW w:w="3840" w:type="dxa"/>
            <w:vAlign w:val="bottom"/>
            <w:gridSpan w:val="2"/>
            <w:shd w:val="clear" w:color="auto" w:fill="CCEEFF"/>
          </w:tcPr>
          <w:p>
            <w:pPr>
              <w:ind w:left="140"/>
              <w:spacing w:after="0" w:line="173" w:lineRule="exact"/>
              <w:rPr>
                <w:sz w:val="20"/>
                <w:szCs w:val="20"/>
                <w:color w:val="auto"/>
              </w:rPr>
            </w:pPr>
            <w:r>
              <w:rPr>
                <w:rFonts w:ascii="Times New Roman" w:cs="Times New Roman" w:eastAsia="Times New Roman" w:hAnsi="Times New Roman"/>
                <w:sz w:val="18"/>
                <w:szCs w:val="18"/>
                <w:color w:val="auto"/>
              </w:rPr>
              <w:t>Undisclosed targets</w:t>
            </w:r>
          </w:p>
        </w:tc>
        <w:tc>
          <w:tcPr>
            <w:tcW w:w="7300" w:type="dxa"/>
            <w:vAlign w:val="bottom"/>
            <w:shd w:val="clear" w:color="auto" w:fill="CCEEFF"/>
          </w:tcPr>
          <w:p>
            <w:pPr>
              <w:ind w:left="640"/>
              <w:spacing w:after="0" w:line="173" w:lineRule="exact"/>
              <w:rPr>
                <w:sz w:val="20"/>
                <w:szCs w:val="20"/>
                <w:color w:val="auto"/>
              </w:rPr>
            </w:pPr>
            <w:r>
              <w:rPr>
                <w:rFonts w:ascii="Times New Roman" w:cs="Times New Roman" w:eastAsia="Times New Roman" w:hAnsi="Times New Roman"/>
                <w:sz w:val="18"/>
                <w:szCs w:val="18"/>
                <w:color w:val="auto"/>
              </w:rPr>
              <w:t>Sleep</w:t>
            </w:r>
          </w:p>
        </w:tc>
      </w:tr>
      <w:tr>
        <w:trPr>
          <w:trHeight w:val="181"/>
        </w:trPr>
        <w:tc>
          <w:tcPr>
            <w:tcW w:w="126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7300" w:type="dxa"/>
            <w:vAlign w:val="bottom"/>
            <w:shd w:val="clear" w:color="auto" w:fill="CCEEFF"/>
          </w:tcPr>
          <w:p>
            <w:pPr>
              <w:ind w:left="640"/>
              <w:spacing w:after="0" w:line="182" w:lineRule="exact"/>
              <w:rPr>
                <w:sz w:val="20"/>
                <w:szCs w:val="20"/>
                <w:color w:val="auto"/>
              </w:rPr>
            </w:pPr>
            <w:r>
              <w:rPr>
                <w:rFonts w:ascii="Times New Roman" w:cs="Times New Roman" w:eastAsia="Times New Roman" w:hAnsi="Times New Roman"/>
                <w:sz w:val="18"/>
                <w:szCs w:val="18"/>
                <w:color w:val="auto"/>
              </w:rPr>
              <w:t>Epilepsy</w:t>
            </w:r>
          </w:p>
        </w:tc>
      </w:tr>
      <w:tr>
        <w:trPr>
          <w:trHeight w:val="231"/>
        </w:trPr>
        <w:tc>
          <w:tcPr>
            <w:tcW w:w="126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73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Other Neuroscience</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*Also known as DSP-0187 (see discussion above in this section for JZP441)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40"/>
          </w:cols>
          <w:pgMar w:left="320" w:top="106"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 Activities</w:t>
      </w:r>
    </w:p>
    <w:p>
      <w:pPr>
        <w:spacing w:after="0" w:line="114" w:lineRule="exact"/>
        <w:rPr>
          <w:sz w:val="20"/>
          <w:szCs w:val="20"/>
          <w:color w:val="auto"/>
        </w:rPr>
      </w:pPr>
    </w:p>
    <w:p>
      <w:pPr>
        <w:ind w:right="20" w:firstLine="439"/>
        <w:spacing w:after="0" w:line="252" w:lineRule="auto"/>
        <w:rPr>
          <w:sz w:val="20"/>
          <w:szCs w:val="20"/>
          <w:color w:val="auto"/>
        </w:rPr>
      </w:pPr>
      <w:r>
        <w:rPr>
          <w:rFonts w:ascii="Times New Roman" w:cs="Times New Roman" w:eastAsia="Times New Roman" w:hAnsi="Times New Roman"/>
          <w:sz w:val="18"/>
          <w:szCs w:val="18"/>
          <w:color w:val="auto"/>
        </w:rPr>
        <w:t>We have direct Jazz commercial operations in the U.S., Europe, Australia and Canada and a network of commercial distributors that represent our commercial interests in other key markets across the globe. In the U.S., our products are commercialized through a number of teams, including a team of experienced, trained sales professionals who provide education and promote Xywav, Xyrem, Epidiolex, Zepzelca, Rylaze, Vyxeos and Defitelio to healthcare providers in the appropriate specialties for each product, a team that interacts with payors and institutions to ensure access and coverage for the products, and a team that distributes the products throughout the U.S. healthcare system (wholesalers, pharmacies, hospitals, and community and academic institutions) and provides patient services.</w:t>
      </w:r>
    </w:p>
    <w:p>
      <w:pPr>
        <w:spacing w:after="0" w:line="80" w:lineRule="exact"/>
        <w:rPr>
          <w:sz w:val="20"/>
          <w:szCs w:val="20"/>
          <w:color w:val="auto"/>
        </w:rPr>
      </w:pPr>
    </w:p>
    <w:p>
      <w:pPr>
        <w:ind w:right="100" w:firstLine="439"/>
        <w:spacing w:after="0" w:line="254" w:lineRule="auto"/>
        <w:rPr>
          <w:sz w:val="20"/>
          <w:szCs w:val="20"/>
          <w:color w:val="auto"/>
        </w:rPr>
      </w:pPr>
      <w:r>
        <w:rPr>
          <w:rFonts w:ascii="Times New Roman" w:cs="Times New Roman" w:eastAsia="Times New Roman" w:hAnsi="Times New Roman"/>
          <w:sz w:val="18"/>
          <w:szCs w:val="18"/>
          <w:color w:val="auto"/>
        </w:rPr>
        <w:t>In Canada and in approved markets in Europe where we commercialize Defitelio and Vyxeos, we have a field force of hematology sales specialists. In markets where these products either are not approved or are unable to be promoted under local regulation, we have medical affairs personnel responsible for responding to medical information requests and for providing information consistent with local treatment protocols with respect to such products. In certain European markets, we have a sales team and a team of medical science liaisons supporting our rolling launch of Epidyolex. In addition, we directly market Xyrem and Zepzelca in Canada.</w:t>
      </w:r>
    </w:p>
    <w:p>
      <w:pPr>
        <w:spacing w:after="0" w:line="76" w:lineRule="exact"/>
        <w:rPr>
          <w:sz w:val="20"/>
          <w:szCs w:val="20"/>
          <w:color w:val="auto"/>
        </w:rPr>
      </w:pPr>
    </w:p>
    <w:p>
      <w:pPr>
        <w:ind w:firstLine="439"/>
        <w:spacing w:after="0" w:line="261" w:lineRule="auto"/>
        <w:rPr>
          <w:sz w:val="20"/>
          <w:szCs w:val="20"/>
          <w:color w:val="auto"/>
        </w:rPr>
      </w:pPr>
      <w:r>
        <w:rPr>
          <w:rFonts w:ascii="Times New Roman" w:cs="Times New Roman" w:eastAsia="Times New Roman" w:hAnsi="Times New Roman"/>
          <w:sz w:val="18"/>
          <w:szCs w:val="18"/>
          <w:color w:val="auto"/>
        </w:rPr>
        <w:t>Other commercial activities include marketing related services, pricing and access, industry analytics and insights, distribution services and commercial support services. We employ third party vendors, such as advertising agencies, market research firms and suppliers of marketing and other sales support-related services, to assist with our commercial activities. We also provide reimbursement and patient assistance support for our U.S. markets.</w:t>
      </w:r>
    </w:p>
    <w:p>
      <w:pPr>
        <w:spacing w:after="0" w:line="70" w:lineRule="exact"/>
        <w:rPr>
          <w:sz w:val="20"/>
          <w:szCs w:val="20"/>
          <w:color w:val="auto"/>
        </w:rPr>
      </w:pPr>
    </w:p>
    <w:p>
      <w:pPr>
        <w:ind w:right="100" w:firstLine="439"/>
        <w:spacing w:after="0" w:line="254" w:lineRule="auto"/>
        <w:rPr>
          <w:sz w:val="20"/>
          <w:szCs w:val="20"/>
          <w:color w:val="auto"/>
        </w:rPr>
      </w:pPr>
      <w:r>
        <w:rPr>
          <w:rFonts w:ascii="Times New Roman" w:cs="Times New Roman" w:eastAsia="Times New Roman" w:hAnsi="Times New Roman"/>
          <w:sz w:val="18"/>
          <w:szCs w:val="18"/>
          <w:color w:val="auto"/>
        </w:rPr>
        <w:t>We intend to scale the size of our sales force as appropriate to effectively reach our target audience in the specialty markets in which we currently operate. We promote Zepzelca, Rylaze, Vyxeos and Defitelio to many hematology and oncology specialists who operate in the same hospitals and outpatient clinical sites, and we believe that we benefit from operational synergies from this overlap. We expect that the launch of Enrylaze in Europe will be executed primarily through our existing team. Continued growth of our current marketed products and the launch of any future products may require a reevaluation of our field force and support organization in and outside the U.S.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 and Environment, Health and Safety</w:t>
      </w:r>
    </w:p>
    <w:p>
      <w:pPr>
        <w:spacing w:after="0" w:line="114" w:lineRule="exact"/>
        <w:rPr>
          <w:sz w:val="20"/>
          <w:szCs w:val="20"/>
          <w:color w:val="auto"/>
        </w:rPr>
      </w:pPr>
    </w:p>
    <w:p>
      <w:pPr>
        <w:ind w:right="220" w:firstLine="439"/>
        <w:spacing w:after="0" w:line="306" w:lineRule="auto"/>
        <w:rPr>
          <w:sz w:val="20"/>
          <w:szCs w:val="20"/>
          <w:color w:val="auto"/>
        </w:rPr>
      </w:pPr>
      <w:r>
        <w:rPr>
          <w:rFonts w:ascii="Times New Roman" w:cs="Times New Roman" w:eastAsia="Times New Roman" w:hAnsi="Times New Roman"/>
          <w:sz w:val="17"/>
          <w:szCs w:val="17"/>
          <w:color w:val="auto"/>
        </w:rPr>
        <w:t xml:space="preserve">We are committed to creating a company where the culture embodies our corporate purpose to innovate to transform the lives of patients and reflects our key goals: (1) be a great place to work and (2) live our core values of </w:t>
      </w:r>
      <w:r>
        <w:rPr>
          <w:rFonts w:ascii="Times New Roman" w:cs="Times New Roman" w:eastAsia="Times New Roman" w:hAnsi="Times New Roman"/>
          <w:sz w:val="17"/>
          <w:szCs w:val="17"/>
          <w:i w:val="1"/>
          <w:iCs w:val="1"/>
          <w:color w:val="auto"/>
        </w:rPr>
        <w:t>Integrity, Collaboration, Passion, Innovation, and Pursuit of Excellence.</w:t>
      </w:r>
    </w:p>
    <w:p>
      <w:pPr>
        <w:spacing w:after="0" w:line="32" w:lineRule="exact"/>
        <w:rPr>
          <w:sz w:val="20"/>
          <w:szCs w:val="20"/>
          <w:color w:val="auto"/>
        </w:rPr>
      </w:pPr>
    </w:p>
    <w:p>
      <w:pPr>
        <w:ind w:right="520" w:firstLine="43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Employee Demographics. </w:t>
      </w:r>
      <w:r>
        <w:rPr>
          <w:rFonts w:ascii="Times New Roman" w:cs="Times New Roman" w:eastAsia="Times New Roman" w:hAnsi="Times New Roman"/>
          <w:sz w:val="18"/>
          <w:szCs w:val="18"/>
          <w:color w:val="auto"/>
        </w:rPr>
        <w:t>As of December 31, 2023, Jazz employed approximately 2,800 people worldwide, of which approximately 50%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employed in the U.S. and approximately 50% were employed outside the U.S. primarily in the U.K., Ireland and across the EU. As an innovative biopharmaceutical company, we have over 750 employees — representing approximately 27% of our global workforce — supporting our research and development activities. We consider our employee relations to be very good.</w:t>
      </w:r>
    </w:p>
    <w:p>
      <w:pPr>
        <w:spacing w:after="0" w:line="72" w:lineRule="exact"/>
        <w:rPr>
          <w:sz w:val="20"/>
          <w:szCs w:val="20"/>
          <w:color w:val="auto"/>
        </w:rPr>
      </w:pPr>
    </w:p>
    <w:p>
      <w:pPr>
        <w:ind w:right="520" w:firstLine="439"/>
        <w:spacing w:after="0" w:line="278" w:lineRule="auto"/>
        <w:rPr>
          <w:sz w:val="20"/>
          <w:szCs w:val="20"/>
          <w:color w:val="auto"/>
        </w:rPr>
      </w:pPr>
      <w:r>
        <w:rPr>
          <w:rFonts w:ascii="Times New Roman" w:cs="Times New Roman" w:eastAsia="Times New Roman" w:hAnsi="Times New Roman"/>
          <w:sz w:val="18"/>
          <w:szCs w:val="18"/>
          <w:i w:val="1"/>
          <w:iCs w:val="1"/>
          <w:color w:val="auto"/>
        </w:rPr>
        <w:t xml:space="preserve">Diversity, Equity, Inclusion and Belonging. </w:t>
      </w:r>
      <w:r>
        <w:rPr>
          <w:rFonts w:ascii="Times New Roman" w:cs="Times New Roman" w:eastAsia="Times New Roman" w:hAnsi="Times New Roman"/>
          <w:sz w:val="18"/>
          <w:szCs w:val="18"/>
          <w:color w:val="auto"/>
        </w:rPr>
        <w:t>We make diversity, equity, inclusion and belonging, or DEIB, a priority because it is a key to driving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performance, unlocking the potential of our people and living our core values.</w:t>
      </w:r>
    </w:p>
    <w:p>
      <w:pPr>
        <w:spacing w:after="0" w:line="55" w:lineRule="exact"/>
        <w:rPr>
          <w:sz w:val="20"/>
          <w:szCs w:val="20"/>
          <w:color w:val="auto"/>
        </w:rPr>
      </w:pPr>
    </w:p>
    <w:p>
      <w:pPr>
        <w:jc w:val="both"/>
        <w:ind w:right="320" w:firstLine="439"/>
        <w:spacing w:after="0" w:line="261" w:lineRule="auto"/>
        <w:rPr>
          <w:sz w:val="20"/>
          <w:szCs w:val="20"/>
          <w:color w:val="auto"/>
        </w:rPr>
      </w:pPr>
      <w:r>
        <w:rPr>
          <w:rFonts w:ascii="Times New Roman" w:cs="Times New Roman" w:eastAsia="Times New Roman" w:hAnsi="Times New Roman"/>
          <w:sz w:val="18"/>
          <w:szCs w:val="18"/>
          <w:color w:val="auto"/>
        </w:rPr>
        <w:t>We strive to create a workplace culture that fosters the ability of our employees to be their authentic selves and contribute boldly. We aspire to have diversity through our entire workforce. We seek to surround underrepresented groups with allies to enable all employees to thrive equitably. Our board of directors and management team are committed to fostering DEIB in all parts of our business.</w:t>
      </w:r>
    </w:p>
    <w:p>
      <w:pPr>
        <w:spacing w:after="0" w:line="70" w:lineRule="exact"/>
        <w:rPr>
          <w:sz w:val="20"/>
          <w:szCs w:val="20"/>
          <w:color w:val="auto"/>
        </w:rPr>
      </w:pPr>
    </w:p>
    <w:p>
      <w:pPr>
        <w:jc w:val="both"/>
        <w:ind w:right="60" w:firstLine="439"/>
        <w:spacing w:after="0" w:line="261" w:lineRule="auto"/>
        <w:rPr>
          <w:sz w:val="20"/>
          <w:szCs w:val="20"/>
          <w:color w:val="auto"/>
        </w:rPr>
      </w:pPr>
      <w:r>
        <w:rPr>
          <w:rFonts w:ascii="Times New Roman" w:cs="Times New Roman" w:eastAsia="Times New Roman" w:hAnsi="Times New Roman"/>
          <w:sz w:val="18"/>
          <w:szCs w:val="18"/>
          <w:color w:val="auto"/>
        </w:rPr>
        <w:t>Our DEIB strategy includes: (1) building a more diverse workforce in terms of gender identity, race, ethnicity and sexual orientation and that represent unique backgrounds, experiences, thoughts and talents; (2) investing in talent development and driving equity; and (3) and creating a culture of inclusion and belonging.</w:t>
      </w:r>
    </w:p>
    <w:p>
      <w:pPr>
        <w:spacing w:after="0" w:line="70" w:lineRule="exact"/>
        <w:rPr>
          <w:sz w:val="20"/>
          <w:szCs w:val="20"/>
          <w:color w:val="auto"/>
        </w:rPr>
      </w:pPr>
    </w:p>
    <w:p>
      <w:pPr>
        <w:ind w:right="40" w:firstLine="439"/>
        <w:spacing w:after="0" w:line="251" w:lineRule="auto"/>
        <w:rPr>
          <w:sz w:val="20"/>
          <w:szCs w:val="20"/>
          <w:color w:val="auto"/>
        </w:rPr>
      </w:pPr>
      <w:r>
        <w:rPr>
          <w:rFonts w:ascii="Times New Roman" w:cs="Times New Roman" w:eastAsia="Times New Roman" w:hAnsi="Times New Roman"/>
          <w:sz w:val="18"/>
          <w:szCs w:val="18"/>
          <w:color w:val="auto"/>
        </w:rPr>
        <w:t>We believe an employee community that fosters diversity and inclusion leads to innovation and improved business performance. We have created three Employee Resource Teams, or ConcERTos, and five Affinity Forums and provided a platform for broader company engagement and education. Our three ConcERTos, “Community Beat,” “All Dimensions of Diversity” and “Inclusion for Innovation,” were established as broad self-led teams of employee volunteers with diverse backgrounds with the aim of connecting our employees, or Jazzicians, with similar visions and interests in an inclusive, welcoming, and collaborative setting. The five Affinity Forums include, ¡HOLA Jazz! (Hispanic Organization for Leadership Advancement), JazzSoul, JAWS (Jazz Association for Women Supporters), Jazz Pride and Pan-Asian and are places of connection and learning for members of these communities and their allies. As of the end of 2023, 32% of our global workforce were active in at least one of these groups.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80" w:firstLine="439"/>
        <w:spacing w:after="0" w:line="261" w:lineRule="auto"/>
        <w:rPr>
          <w:sz w:val="20"/>
          <w:szCs w:val="20"/>
          <w:color w:val="auto"/>
        </w:rPr>
      </w:pPr>
      <w:r>
        <w:rPr>
          <w:rFonts w:ascii="Times New Roman" w:cs="Times New Roman" w:eastAsia="Times New Roman" w:hAnsi="Times New Roman"/>
          <w:sz w:val="18"/>
          <w:szCs w:val="18"/>
          <w:color w:val="auto"/>
        </w:rPr>
        <w:t>We have established aspirational goals related to the diversity of our workforce, including representation of women and people of color, particularly at the leadership level (i.e., employees at executive director and above). In this regard, we have made some meaningful progress, as demonstrated by the following, as of December 31, 2023:</w:t>
      </w:r>
    </w:p>
    <w:p>
      <w:pPr>
        <w:spacing w:after="0" w:line="70" w:lineRule="exact"/>
        <w:rPr>
          <w:sz w:val="20"/>
          <w:szCs w:val="20"/>
          <w:color w:val="auto"/>
        </w:rPr>
      </w:pPr>
    </w:p>
    <w:p>
      <w:pPr>
        <w:ind w:left="640" w:hanging="314"/>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our board of directors and 60% of our executive committee is diverse in terms of gender, ethnicity and sexual orientation.</w:t>
      </w:r>
    </w:p>
    <w:p>
      <w:pPr>
        <w:spacing w:after="0" w:line="11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Women represent 54% of our global workforce and 47% at the leadership level (employees at executive director and above).</w:t>
      </w:r>
    </w:p>
    <w:p>
      <w:pPr>
        <w:spacing w:after="0" w:line="11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U.S., people of color represent 35% of our U.S. workforce and 20% at the leadership level.</w:t>
      </w:r>
    </w:p>
    <w:p>
      <w:pPr>
        <w:spacing w:after="0" w:line="112" w:lineRule="exact"/>
        <w:rPr>
          <w:sz w:val="20"/>
          <w:szCs w:val="20"/>
          <w:color w:val="auto"/>
        </w:rPr>
      </w:pPr>
    </w:p>
    <w:p>
      <w:pPr>
        <w:ind w:right="420" w:firstLine="439"/>
        <w:spacing w:after="0" w:line="276" w:lineRule="auto"/>
        <w:rPr>
          <w:sz w:val="20"/>
          <w:szCs w:val="20"/>
          <w:color w:val="auto"/>
        </w:rPr>
      </w:pPr>
      <w:r>
        <w:rPr>
          <w:rFonts w:ascii="Times New Roman" w:cs="Times New Roman" w:eastAsia="Times New Roman" w:hAnsi="Times New Roman"/>
          <w:sz w:val="18"/>
          <w:szCs w:val="18"/>
          <w:color w:val="auto"/>
        </w:rPr>
        <w:t>While we are proud of what we have accomplished to date, we remain committed to our aspiration of providing a diverse, equitable and inclusive workplace that is supportive of all backgrounds, including among our broader leadership.</w:t>
      </w:r>
    </w:p>
    <w:p>
      <w:pPr>
        <w:spacing w:after="0" w:line="54" w:lineRule="exact"/>
        <w:rPr>
          <w:sz w:val="20"/>
          <w:szCs w:val="20"/>
          <w:color w:val="auto"/>
        </w:rPr>
      </w:pPr>
    </w:p>
    <w:p>
      <w:pPr>
        <w:ind w:right="80" w:firstLine="43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Employee Engagement. </w:t>
      </w:r>
      <w:r>
        <w:rPr>
          <w:rFonts w:ascii="Times New Roman" w:cs="Times New Roman" w:eastAsia="Times New Roman" w:hAnsi="Times New Roman"/>
          <w:sz w:val="18"/>
          <w:szCs w:val="18"/>
          <w:color w:val="auto"/>
        </w:rPr>
        <w:t>We have a strong employee value proposition anchored in our shared commitment to our purpose to innovate to transform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lives of patients. We are committed to ensuring that we create a rich culture that provides a great place to work for our employees through company-wide efforts to connect employees to our shared purpose and to create an environment where our people feel valued, respected, and able to contribute to their full potential. We believe employee engagement and the power of our employee voices is foundational to strong performance. We have transparent and regular communication channels with our employees consisting of many forms – including all employee meetings, regular communication messages from executive leadership, town halls, top leadership forums, pulse check feedback mechanisms and engagement surveys.</w:t>
      </w:r>
    </w:p>
    <w:p>
      <w:pPr>
        <w:spacing w:after="0" w:line="77" w:lineRule="exact"/>
        <w:rPr>
          <w:sz w:val="20"/>
          <w:szCs w:val="20"/>
          <w:color w:val="auto"/>
        </w:rPr>
      </w:pPr>
    </w:p>
    <w:p>
      <w:pPr>
        <w:ind w:right="80" w:firstLine="439"/>
        <w:spacing w:after="0" w:line="239" w:lineRule="auto"/>
        <w:rPr>
          <w:sz w:val="20"/>
          <w:szCs w:val="20"/>
          <w:color w:val="auto"/>
        </w:rPr>
      </w:pPr>
      <w:r>
        <w:rPr>
          <w:rFonts w:ascii="Times New Roman" w:cs="Times New Roman" w:eastAsia="Times New Roman" w:hAnsi="Times New Roman"/>
          <w:sz w:val="18"/>
          <w:szCs w:val="18"/>
          <w:color w:val="auto"/>
        </w:rPr>
        <w:t>In 2023, to mark our 20-Year Anniversary we provided the opportunity for all employees to come together and reconnect to our Purpose and Values in a series of in-person and virtual events. In advance of the events, a culture diagnostic was completed to help us understand what behaviors will help drive future business success across Jazz and informed a refresh of the behavioral descriptors that underpin the Jazz Values. In total, 31 in-person and 11 virtual sessions across 9 global locations took place in the fourth quarter of 2023, with almost 2,000 employees taking part. The goal of these events, in addition to other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anniversary observances throughout the year, was to promote greater feelings of employee belonging and an increase in overall employee engagement, as well as help shift our culture to ensure sustained business success.</w:t>
      </w:r>
    </w:p>
    <w:p>
      <w:pPr>
        <w:spacing w:after="0" w:line="90" w:lineRule="exact"/>
        <w:rPr>
          <w:sz w:val="20"/>
          <w:szCs w:val="20"/>
          <w:color w:val="auto"/>
        </w:rPr>
      </w:pPr>
    </w:p>
    <w:p>
      <w:pPr>
        <w:ind w:right="100" w:firstLine="439"/>
        <w:spacing w:after="0" w:line="252" w:lineRule="auto"/>
        <w:rPr>
          <w:sz w:val="20"/>
          <w:szCs w:val="20"/>
          <w:color w:val="auto"/>
        </w:rPr>
      </w:pPr>
      <w:r>
        <w:rPr>
          <w:rFonts w:ascii="Times New Roman" w:cs="Times New Roman" w:eastAsia="Times New Roman" w:hAnsi="Times New Roman"/>
          <w:sz w:val="18"/>
          <w:szCs w:val="18"/>
          <w:color w:val="auto"/>
        </w:rPr>
        <w:t>Our employee feedback surveys are designed to help us measure overall employee engagement as well as gather insights on other important areas of our employee experience, and we consistently achieve participation rates above 75%. We consistently have high levels of engagement as measured by feelings of connection to our purpose, as well as Jazz being considered a good place to work by our employees. Our surveys also provide important insight into the areas where we have opportunities to focus, such as decision-making, planning and prioritizing work, and creating a greater sense of belonging. Our survey informs programs and activities aligned with achieving our corporate objectives and achieving our goal of evolving our operating culture for agility and scalability.</w:t>
      </w:r>
    </w:p>
    <w:p>
      <w:pPr>
        <w:spacing w:after="0" w:line="80" w:lineRule="exact"/>
        <w:rPr>
          <w:sz w:val="20"/>
          <w:szCs w:val="20"/>
          <w:color w:val="auto"/>
        </w:rPr>
      </w:pPr>
    </w:p>
    <w:p>
      <w:pPr>
        <w:ind w:firstLine="439"/>
        <w:spacing w:after="0" w:line="254" w:lineRule="auto"/>
        <w:rPr>
          <w:sz w:val="20"/>
          <w:szCs w:val="20"/>
          <w:color w:val="auto"/>
        </w:rPr>
      </w:pPr>
      <w:r>
        <w:rPr>
          <w:rFonts w:ascii="Times New Roman" w:cs="Times New Roman" w:eastAsia="Times New Roman" w:hAnsi="Times New Roman"/>
          <w:sz w:val="18"/>
          <w:szCs w:val="18"/>
          <w:color w:val="auto"/>
        </w:rPr>
        <w:t>Our Community Beat ConcERTo is made up of employee volunteers and representatives that promote company culture and create a sense of belonging and camaraderie among our employees. They foster programs and engagement activities on a local level to draw better connections to employees with the company strategy and business milestones, give back through community service, and promote different health and well-being initiatives. They play a pivotal role in fostering community within our working model by engaging remote employees and maximizing connection during times together at our sites and offices.</w:t>
      </w:r>
    </w:p>
    <w:p>
      <w:pPr>
        <w:spacing w:after="0" w:line="74" w:lineRule="exact"/>
        <w:rPr>
          <w:sz w:val="20"/>
          <w:szCs w:val="20"/>
          <w:color w:val="auto"/>
        </w:rPr>
      </w:pPr>
    </w:p>
    <w:p>
      <w:pPr>
        <w:ind w:right="100" w:firstLine="435"/>
        <w:spacing w:after="0" w:line="254" w:lineRule="auto"/>
        <w:rPr>
          <w:sz w:val="20"/>
          <w:szCs w:val="20"/>
          <w:color w:val="auto"/>
        </w:rPr>
      </w:pPr>
      <w:r>
        <w:rPr>
          <w:rFonts w:ascii="Times New Roman" w:cs="Times New Roman" w:eastAsia="Times New Roman" w:hAnsi="Times New Roman"/>
          <w:sz w:val="18"/>
          <w:szCs w:val="18"/>
          <w:i w:val="1"/>
          <w:iCs w:val="1"/>
          <w:color w:val="auto"/>
        </w:rPr>
        <w:t>Growth, Development and Total Rewards</w:t>
      </w:r>
      <w:r>
        <w:rPr>
          <w:rFonts w:ascii="Times New Roman" w:cs="Times New Roman" w:eastAsia="Times New Roman" w:hAnsi="Times New Roman"/>
          <w:sz w:val="18"/>
          <w:szCs w:val="18"/>
          <w:i w:val="1"/>
          <w:iCs w:val="1"/>
          <w:color w:val="323337"/>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talent strategy focuses on attracting the best talent, recognizing and rewarding the performance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employees as defined by both </w:t>
      </w:r>
      <w:r>
        <w:rPr>
          <w:rFonts w:ascii="Times New Roman" w:cs="Times New Roman" w:eastAsia="Times New Roman" w:hAnsi="Times New Roman"/>
          <w:sz w:val="18"/>
          <w:szCs w:val="18"/>
          <w:i w:val="1"/>
          <w:iCs w:val="1"/>
          <w:color w:val="auto"/>
        </w:rPr>
        <w:t>what</w:t>
      </w:r>
      <w:r>
        <w:rPr>
          <w:rFonts w:ascii="Times New Roman" w:cs="Times New Roman" w:eastAsia="Times New Roman" w:hAnsi="Times New Roman"/>
          <w:sz w:val="18"/>
          <w:szCs w:val="18"/>
          <w:color w:val="auto"/>
        </w:rPr>
        <w:t xml:space="preserve"> they accomplished and </w:t>
      </w:r>
      <w:r>
        <w:rPr>
          <w:rFonts w:ascii="Times New Roman" w:cs="Times New Roman" w:eastAsia="Times New Roman" w:hAnsi="Times New Roman"/>
          <w:sz w:val="18"/>
          <w:szCs w:val="18"/>
          <w:i w:val="1"/>
          <w:iCs w:val="1"/>
          <w:color w:val="auto"/>
        </w:rPr>
        <w:t>how</w:t>
      </w:r>
      <w:r>
        <w:rPr>
          <w:rFonts w:ascii="Times New Roman" w:cs="Times New Roman" w:eastAsia="Times New Roman" w:hAnsi="Times New Roman"/>
          <w:sz w:val="18"/>
          <w:szCs w:val="18"/>
          <w:color w:val="auto"/>
        </w:rPr>
        <w:t xml:space="preserve"> they accomplished it, and continually developing our talent through new experiences and learning opportunities. We believe there is ample opportunity for growth and development at Jazz and there is not a one size fits all approach to growing our talent. We strive to create the best career experience for all of our employees and encourage them to have regular dialogue with their leadership to create meaningful career development plans.</w:t>
      </w:r>
    </w:p>
    <w:p>
      <w:pPr>
        <w:spacing w:after="0" w:line="78" w:lineRule="exact"/>
        <w:rPr>
          <w:sz w:val="20"/>
          <w:szCs w:val="20"/>
          <w:color w:val="auto"/>
        </w:rPr>
      </w:pPr>
    </w:p>
    <w:p>
      <w:pPr>
        <w:ind w:right="260" w:firstLine="435"/>
        <w:spacing w:after="0" w:line="306" w:lineRule="auto"/>
        <w:rPr>
          <w:sz w:val="20"/>
          <w:szCs w:val="20"/>
          <w:color w:val="auto"/>
        </w:rPr>
      </w:pPr>
      <w:r>
        <w:rPr>
          <w:rFonts w:ascii="Times New Roman" w:cs="Times New Roman" w:eastAsia="Times New Roman" w:hAnsi="Times New Roman"/>
          <w:sz w:val="17"/>
          <w:szCs w:val="17"/>
          <w:color w:val="auto"/>
        </w:rPr>
        <w:t>Our performance management process supports our culture of continual feedback and coaching, and ongoing growth and development through new experiences and learning. We encourage all employees to have an individual development plan to outline learning and growth interests and focus areas.</w:t>
      </w:r>
    </w:p>
    <w:p>
      <w:pPr>
        <w:spacing w:after="0" w:line="34" w:lineRule="exact"/>
        <w:rPr>
          <w:sz w:val="20"/>
          <w:szCs w:val="20"/>
          <w:color w:val="auto"/>
        </w:rPr>
      </w:pPr>
    </w:p>
    <w:p>
      <w:pPr>
        <w:jc w:val="both"/>
        <w:ind w:right="140" w:firstLine="439"/>
        <w:spacing w:after="0" w:line="256" w:lineRule="auto"/>
        <w:rPr>
          <w:sz w:val="20"/>
          <w:szCs w:val="20"/>
          <w:color w:val="auto"/>
        </w:rPr>
      </w:pPr>
      <w:r>
        <w:rPr>
          <w:rFonts w:ascii="Times New Roman" w:cs="Times New Roman" w:eastAsia="Times New Roman" w:hAnsi="Times New Roman"/>
          <w:sz w:val="18"/>
          <w:szCs w:val="18"/>
          <w:color w:val="auto"/>
        </w:rPr>
        <w:t>We leverage digital learning platforms to provide on demand, bite-sized learning to all employees that can be accessed 24/7 on a range of topics from leadership, personal effectiveness and well-being. In addition, we provide a number of self-service learning resources via our intranet site on topics such as High-Performance Teamwork, Decision Making, Hybrid Working, and Digital Skills development. We continue to offer tuition reimbursement in our major markets aimed at growth and career development.</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40" w:firstLine="439"/>
        <w:spacing w:after="0" w:line="256" w:lineRule="auto"/>
        <w:rPr>
          <w:sz w:val="20"/>
          <w:szCs w:val="20"/>
          <w:color w:val="auto"/>
        </w:rPr>
      </w:pPr>
      <w:r>
        <w:rPr>
          <w:rFonts w:ascii="Times New Roman" w:cs="Times New Roman" w:eastAsia="Times New Roman" w:hAnsi="Times New Roman"/>
          <w:sz w:val="18"/>
          <w:szCs w:val="18"/>
          <w:color w:val="auto"/>
        </w:rPr>
        <w:t>In 2023, we continued to focus on developing the capabilities of our Global Leadership Team (Top 80 leaders) to build leadership excellence, strengthen relationships, and encourage cross functional collaboration in pursuit of our enterprise strategic goals. Our focus in 2023 was on building critical mindsets and behaviors linked to a high-performance culture, e.g., how to create an environment where people feel able to constructively challenge one another.</w:t>
      </w:r>
    </w:p>
    <w:p>
      <w:pPr>
        <w:spacing w:after="0" w:line="75" w:lineRule="exact"/>
        <w:rPr>
          <w:sz w:val="20"/>
          <w:szCs w:val="20"/>
          <w:color w:val="auto"/>
        </w:rPr>
      </w:pPr>
    </w:p>
    <w:p>
      <w:pPr>
        <w:ind w:right="200" w:firstLine="439"/>
        <w:spacing w:after="0" w:line="261" w:lineRule="auto"/>
        <w:rPr>
          <w:sz w:val="20"/>
          <w:szCs w:val="20"/>
          <w:color w:val="auto"/>
        </w:rPr>
      </w:pPr>
      <w:r>
        <w:rPr>
          <w:rFonts w:ascii="Times New Roman" w:cs="Times New Roman" w:eastAsia="Times New Roman" w:hAnsi="Times New Roman"/>
          <w:sz w:val="18"/>
          <w:szCs w:val="18"/>
          <w:color w:val="auto"/>
        </w:rPr>
        <w:t>Our management and leadership teams place significant focus and attention to diversity, capability development, and succession planning for critical roles. We regularly review talent development and succession plans for each of our functions to successfully maintain business operations and develop a pipeline of talent. We have aspirational goals concerning employee retention, diversity, and talent development.</w:t>
      </w:r>
    </w:p>
    <w:p>
      <w:pPr>
        <w:spacing w:after="0" w:line="70" w:lineRule="exact"/>
        <w:rPr>
          <w:sz w:val="20"/>
          <w:szCs w:val="20"/>
          <w:color w:val="auto"/>
        </w:rPr>
      </w:pPr>
    </w:p>
    <w:p>
      <w:pPr>
        <w:ind w:right="40" w:firstLine="439"/>
        <w:spacing w:after="0" w:line="254" w:lineRule="auto"/>
        <w:rPr>
          <w:sz w:val="20"/>
          <w:szCs w:val="20"/>
          <w:color w:val="auto"/>
        </w:rPr>
      </w:pPr>
      <w:r>
        <w:rPr>
          <w:rFonts w:ascii="Times New Roman" w:cs="Times New Roman" w:eastAsia="Times New Roman" w:hAnsi="Times New Roman"/>
          <w:sz w:val="18"/>
          <w:szCs w:val="18"/>
          <w:color w:val="auto"/>
        </w:rPr>
        <w:t>We provide our employees with what we believe to be market competitive and locally relevant compensation and benefits that support our overarching strategy to attract, retain and reward highly talented employees in an extremely competitive and dynamic industry. This includes broad-based participation in our annual incentive plan, which rewards employees based on the company’s achievement of pre-established goals (or sales targets in the case of sales incentive plans) as well as performance against their personal objectives and our long-term equity incentive plans, which fosters an ownership culture and provides employees with the opportunity to share in the long-term success they help create.</w:t>
      </w:r>
    </w:p>
    <w:p>
      <w:pPr>
        <w:spacing w:after="0" w:line="76" w:lineRule="exact"/>
        <w:rPr>
          <w:sz w:val="20"/>
          <w:szCs w:val="20"/>
          <w:color w:val="auto"/>
        </w:rPr>
      </w:pPr>
    </w:p>
    <w:p>
      <w:pPr>
        <w:jc w:val="both"/>
        <w:ind w:right="140" w:firstLine="439"/>
        <w:spacing w:after="0" w:line="283" w:lineRule="auto"/>
        <w:rPr>
          <w:sz w:val="20"/>
          <w:szCs w:val="20"/>
          <w:color w:val="auto"/>
        </w:rPr>
      </w:pPr>
      <w:r>
        <w:rPr>
          <w:rFonts w:ascii="Times New Roman" w:cs="Times New Roman" w:eastAsia="Times New Roman" w:hAnsi="Times New Roman"/>
          <w:sz w:val="17"/>
          <w:szCs w:val="17"/>
          <w:color w:val="auto"/>
        </w:rPr>
        <w:t>We strive to create a culture of health and well-being throughout the organization by offering a diverse and customizable set of programs focusing on employee experience, self-care, work-life balance, flexibility and early intervention. In addition to traditional employee benefits, we support employees and their families through access to a suite of innovative programs that are designed to enhance their physical, financial, emotional and social well-being.</w:t>
      </w:r>
    </w:p>
    <w:p>
      <w:pPr>
        <w:spacing w:after="0" w:line="54" w:lineRule="exact"/>
        <w:rPr>
          <w:sz w:val="20"/>
          <w:szCs w:val="20"/>
          <w:color w:val="auto"/>
        </w:rPr>
      </w:pPr>
    </w:p>
    <w:p>
      <w:pPr>
        <w:ind w:left="640" w:right="460" w:hanging="314"/>
        <w:spacing w:after="0" w:line="276"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a robust set of offerings centered around mental and emotional health including our employee assistance program, which provides employees and their family counseling support – from everyday matters to more serious ones.</w:t>
      </w:r>
    </w:p>
    <w:p>
      <w:pPr>
        <w:spacing w:after="0" w:line="56" w:lineRule="exact"/>
        <w:rPr>
          <w:rFonts w:ascii="Times New Roman" w:cs="Times New Roman" w:eastAsia="Times New Roman" w:hAnsi="Times New Roman"/>
          <w:sz w:val="18"/>
          <w:szCs w:val="18"/>
          <w:color w:val="auto"/>
        </w:rPr>
      </w:pPr>
    </w:p>
    <w:p>
      <w:pPr>
        <w:ind w:left="640" w:right="80" w:hanging="314"/>
        <w:spacing w:after="0" w:line="261"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an enhanced suite of differentiated global leave and time-off polices to address the needs of our diverse employee population through varying stages of life, including minimum standards for new parent leave (irrespective of gender or how a family is created), family caregiver leave and bereavement leave. We also offer a global volunteer day to provide employees time off with full pay to give back to their communities.</w:t>
      </w:r>
    </w:p>
    <w:p>
      <w:pPr>
        <w:spacing w:after="0" w:line="70" w:lineRule="exact"/>
        <w:rPr>
          <w:rFonts w:ascii="Times New Roman" w:cs="Times New Roman" w:eastAsia="Times New Roman" w:hAnsi="Times New Roman"/>
          <w:sz w:val="18"/>
          <w:szCs w:val="18"/>
          <w:color w:val="auto"/>
        </w:rPr>
      </w:pPr>
    </w:p>
    <w:p>
      <w:pPr>
        <w:ind w:left="640" w:right="60" w:hanging="314"/>
        <w:spacing w:after="0" w:line="276"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recently introduced our Wellbeing Reimbursement Account, which reimburses employees for a wide array of expenses that support their overall wellbeing, empowering them to choose what is most important to them.</w:t>
      </w:r>
    </w:p>
    <w:p>
      <w:pPr>
        <w:spacing w:after="0" w:line="54" w:lineRule="exact"/>
        <w:rPr>
          <w:sz w:val="20"/>
          <w:szCs w:val="20"/>
          <w:color w:val="auto"/>
        </w:rPr>
      </w:pPr>
    </w:p>
    <w:p>
      <w:pPr>
        <w:jc w:val="both"/>
        <w:ind w:right="400" w:firstLine="439"/>
        <w:spacing w:after="0" w:line="262" w:lineRule="auto"/>
        <w:rPr>
          <w:sz w:val="20"/>
          <w:szCs w:val="20"/>
          <w:color w:val="auto"/>
        </w:rPr>
      </w:pPr>
      <w:r>
        <w:rPr>
          <w:rFonts w:ascii="Times New Roman" w:cs="Times New Roman" w:eastAsia="Times New Roman" w:hAnsi="Times New Roman"/>
          <w:sz w:val="18"/>
          <w:szCs w:val="18"/>
          <w:i w:val="1"/>
          <w:iCs w:val="1"/>
          <w:color w:val="auto"/>
        </w:rPr>
        <w:t>Workplace Safety &amp; Employee Care</w:t>
      </w:r>
      <w:r>
        <w:rPr>
          <w:rFonts w:ascii="Times New Roman" w:cs="Times New Roman" w:eastAsia="Times New Roman" w:hAnsi="Times New Roman"/>
          <w:sz w:val="18"/>
          <w:szCs w:val="18"/>
          <w:color w:val="auto"/>
        </w:rPr>
        <w:t>. Workplace safety is always a top priority for us. To create and sustain a safe and healthy workplace,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implemented initiatives designed to address risk evaluation, education and training of employees, use of appropriate personal protective equipment, and compliance with relevant national and international health and safety standards.</w:t>
      </w:r>
    </w:p>
    <w:p>
      <w:pPr>
        <w:spacing w:after="0" w:line="70" w:lineRule="exact"/>
        <w:rPr>
          <w:sz w:val="20"/>
          <w:szCs w:val="20"/>
          <w:color w:val="auto"/>
        </w:rPr>
      </w:pPr>
    </w:p>
    <w:p>
      <w:pPr>
        <w:ind w:right="40" w:firstLine="439"/>
        <w:spacing w:after="0" w:line="251" w:lineRule="auto"/>
        <w:rPr>
          <w:sz w:val="20"/>
          <w:szCs w:val="20"/>
          <w:color w:val="auto"/>
        </w:rPr>
      </w:pPr>
      <w:r>
        <w:rPr>
          <w:rFonts w:ascii="Times New Roman" w:cs="Times New Roman" w:eastAsia="Times New Roman" w:hAnsi="Times New Roman"/>
          <w:sz w:val="18"/>
          <w:szCs w:val="18"/>
          <w:color w:val="auto"/>
        </w:rPr>
        <w:t>We leverage an employee support framework focused on Care, Connection, Continuity and Consciousness (our “4Cs”) to enable our employees to live into our values and support one another while doing everything we can to deliver on our patient mission. Important to this framework are new leader expectations and tools given the rise and complexity of emerging employee demands and needs – including more flexibility to address personal needs, a greater connection to understand the whole person and their lives, and more active support surrounding social injustice. We provide productivity and collaboration tools and resources for employees working remotely, including training and toolkits to help leaders effectively lead and manage remote teams; increased flexibility within work schedules and leave programs to support employees caring for children and others; expanded employees assistance and mindfulness programs to help employees and their families manage anxiety, stress, and overall wellbeing; and increased investment in resources focused on inclusion and belonging.</w:t>
      </w:r>
    </w:p>
    <w:p>
      <w:pPr>
        <w:spacing w:after="0" w:line="79" w:lineRule="exact"/>
        <w:rPr>
          <w:sz w:val="20"/>
          <w:szCs w:val="20"/>
          <w:color w:val="auto"/>
        </w:rPr>
      </w:pPr>
    </w:p>
    <w:p>
      <w:pPr>
        <w:ind w:right="220" w:firstLine="439"/>
        <w:spacing w:after="0" w:line="261" w:lineRule="auto"/>
        <w:rPr>
          <w:sz w:val="20"/>
          <w:szCs w:val="20"/>
          <w:color w:val="auto"/>
        </w:rPr>
      </w:pPr>
      <w:r>
        <w:rPr>
          <w:rFonts w:ascii="Times New Roman" w:cs="Times New Roman" w:eastAsia="Times New Roman" w:hAnsi="Times New Roman"/>
          <w:sz w:val="18"/>
          <w:szCs w:val="18"/>
          <w:color w:val="auto"/>
        </w:rPr>
        <w:t>Through direct input from employees, external insights and best practices, we developed our flexible working model; expanding the power of intentional collaboration and our ability to more effectively manage our global and highly distributed team workforce. This approach to work, called “Jazz Remix,” aims to provide eligible employees with the greatest flexibility and agility to globally connect, collaborate, innovate and perform.</w:t>
      </w:r>
    </w:p>
    <w:p>
      <w:pPr>
        <w:spacing w:after="0" w:line="68" w:lineRule="exact"/>
        <w:rPr>
          <w:sz w:val="20"/>
          <w:szCs w:val="20"/>
          <w:color w:val="auto"/>
        </w:rPr>
      </w:pPr>
    </w:p>
    <w:p>
      <w:pPr>
        <w:ind w:firstLine="439"/>
        <w:spacing w:after="0" w:line="250" w:lineRule="auto"/>
        <w:rPr>
          <w:sz w:val="20"/>
          <w:szCs w:val="20"/>
          <w:color w:val="auto"/>
        </w:rPr>
      </w:pPr>
      <w:r>
        <w:rPr>
          <w:rFonts w:ascii="Times New Roman" w:cs="Times New Roman" w:eastAsia="Times New Roman" w:hAnsi="Times New Roman"/>
          <w:sz w:val="18"/>
          <w:szCs w:val="18"/>
          <w:i w:val="1"/>
          <w:iCs w:val="1"/>
          <w:color w:val="auto"/>
        </w:rPr>
        <w:t>Environment, Health and Safety</w:t>
      </w:r>
      <w:r>
        <w:rPr>
          <w:rFonts w:ascii="Times New Roman" w:cs="Times New Roman" w:eastAsia="Times New Roman" w:hAnsi="Times New Roman"/>
          <w:sz w:val="18"/>
          <w:szCs w:val="18"/>
          <w:color w:val="auto"/>
        </w:rPr>
        <w:t>. Our operations are subject to complex and increasingly stringent environmental, health and safety laws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in the countries where we operate and, in particular, in Ireland, the U.K. and Italy where we have manufacturing facilities. Our manufacturing activities involve the controlled storage, use and disposal of chemicals and solvents. Environmental and health and safety authorities in Ireland, the U.K. and Italy administer laws governing, among other matters, the emission of pollutants into the air (including the workplace), the discharge of pollutants into bodies of water, the storage, use, handling and disposal of hazardous substances, the exposure of persons to hazardous substances, and the general health, safety and welfare of employees and members of the public. In certain cases, such laws, directives and regulations may impose strict liability for pollution of the environment and contamination resulting from spills, disposals or other releases of hazardous substances or waste. Costs, damages and/or fines may result from the presence, investigation and remediation of such contamination at properties currently or formerly owned, leased or operated by us or at off-site locations,</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460"/>
        <w:spacing w:after="0" w:line="276" w:lineRule="auto"/>
        <w:rPr>
          <w:sz w:val="20"/>
          <w:szCs w:val="20"/>
          <w:color w:val="auto"/>
        </w:rPr>
      </w:pPr>
      <w:r>
        <w:rPr>
          <w:rFonts w:ascii="Times New Roman" w:cs="Times New Roman" w:eastAsia="Times New Roman" w:hAnsi="Times New Roman"/>
          <w:sz w:val="18"/>
          <w:szCs w:val="18"/>
          <w:color w:val="auto"/>
        </w:rPr>
        <w:t>including where we have arranged for the disposal of hazardous substances or waste. In addition, we may be subject to third party claims, including for natural resource damages, personal injury and property damage, in connection with such contamination.</w:t>
      </w:r>
    </w:p>
    <w:p>
      <w:pPr>
        <w:spacing w:after="0" w:line="56" w:lineRule="exact"/>
        <w:rPr>
          <w:sz w:val="20"/>
          <w:szCs w:val="20"/>
          <w:color w:val="auto"/>
        </w:rPr>
      </w:pPr>
    </w:p>
    <w:p>
      <w:pPr>
        <w:ind w:right="20" w:firstLine="439"/>
        <w:spacing w:after="0" w:line="251" w:lineRule="auto"/>
        <w:rPr>
          <w:sz w:val="20"/>
          <w:szCs w:val="20"/>
          <w:color w:val="auto"/>
        </w:rPr>
      </w:pPr>
      <w:r>
        <w:rPr>
          <w:rFonts w:ascii="Times New Roman" w:cs="Times New Roman" w:eastAsia="Times New Roman" w:hAnsi="Times New Roman"/>
          <w:sz w:val="18"/>
          <w:szCs w:val="18"/>
          <w:color w:val="auto"/>
        </w:rPr>
        <w:t>We seek to operate our manufacturing facilities in an environmentally responsible way to protect our people, our business, our environment and the local communities in which we operate. In light of the potential impact of our business on the environment, we have adopted a number of internal environmental policies and management systems designed to manage our operations in compliance with applicable laws, directives and regulations on environmental protection and in support of environmental sustainability and local biodiversity. Our environmental policies and management systems include procedures for assessing compliance with applicable environmental laws and regulations and reporting incidents of non-compliance to applicable governmental authorities. For example, we have environmental policies governing our manufacturing facilities in Ireland, the U.K. and Italy, which demonstrate our commitment to environmental sustainability and require us to minimize resource use (e.g., energy and water) and waste generation, optimize the use of raw materials, and undertake continuous improvement in environmental performance, with an emphasis on pollution prevention.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14" w:lineRule="exact"/>
        <w:rPr>
          <w:sz w:val="20"/>
          <w:szCs w:val="20"/>
          <w:color w:val="auto"/>
        </w:rPr>
      </w:pPr>
    </w:p>
    <w:p>
      <w:pPr>
        <w:ind w:right="20" w:firstLine="439"/>
        <w:spacing w:after="0" w:line="254" w:lineRule="auto"/>
        <w:rPr>
          <w:sz w:val="20"/>
          <w:szCs w:val="20"/>
          <w:color w:val="auto"/>
        </w:rPr>
      </w:pPr>
      <w:r>
        <w:rPr>
          <w:rFonts w:ascii="Times New Roman" w:cs="Times New Roman" w:eastAsia="Times New Roman" w:hAnsi="Times New Roman"/>
          <w:sz w:val="18"/>
          <w:szCs w:val="18"/>
          <w:color w:val="auto"/>
        </w:rPr>
        <w:t>The biopharmaceutical industry is highly competitive. Our products compete, and our product candidates may in the future compete, with currently existing therapies, product candidates currently under development by us and others and/or future product candidates, including new chemical entities that may be safer, more effective or more convenient than our products. Any products that we develop may be commercialized in competitive markets, and our competitors, which include large global pharmaceutical companies and small research-based companies and institutions, may succeed in developing products that render our products obsolete or noncompetitive.</w:t>
      </w:r>
    </w:p>
    <w:p>
      <w:pPr>
        <w:spacing w:after="0" w:line="76" w:lineRule="exact"/>
        <w:rPr>
          <w:sz w:val="20"/>
          <w:szCs w:val="20"/>
          <w:color w:val="auto"/>
        </w:rPr>
      </w:pPr>
    </w:p>
    <w:p>
      <w:pPr>
        <w:ind w:right="100" w:firstLine="439"/>
        <w:spacing w:after="0" w:line="261" w:lineRule="auto"/>
        <w:rPr>
          <w:sz w:val="20"/>
          <w:szCs w:val="20"/>
          <w:color w:val="auto"/>
        </w:rPr>
      </w:pPr>
      <w:r>
        <w:rPr>
          <w:rFonts w:ascii="Times New Roman" w:cs="Times New Roman" w:eastAsia="Times New Roman" w:hAnsi="Times New Roman"/>
          <w:sz w:val="18"/>
          <w:szCs w:val="18"/>
          <w:color w:val="auto"/>
        </w:rPr>
        <w:t>With respect to competition we face from generic drugs, certain U.S. state laws allow for, and in some instances in the absence of specific instructions from the prescribing physician mandate, the dispensing of generic products rather than branded products when a generic version is available. Generic competition often results in decreases in the net prices at which branded products can be sold.</w:t>
      </w:r>
    </w:p>
    <w:p>
      <w:pPr>
        <w:spacing w:after="0" w:line="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particular, our products and most advanced product candidates face or may face competition as described below:</w:t>
      </w:r>
    </w:p>
    <w:p>
      <w:pPr>
        <w:spacing w:after="0" w:line="110" w:lineRule="exact"/>
        <w:rPr>
          <w:sz w:val="20"/>
          <w:szCs w:val="20"/>
          <w:color w:val="auto"/>
        </w:rPr>
      </w:pPr>
    </w:p>
    <w:p>
      <w:pPr>
        <w:ind w:left="720" w:hanging="314"/>
        <w:spacing w:after="0" w:line="217" w:lineRule="exact"/>
        <w:tabs>
          <w:tab w:leader="none" w:pos="71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Xywav and Xyrem</w:t>
      </w:r>
      <w:r>
        <w:rPr>
          <w:rFonts w:ascii="Times New Roman" w:cs="Times New Roman" w:eastAsia="Times New Roman" w:hAnsi="Times New Roman"/>
          <w:sz w:val="18"/>
          <w:szCs w:val="18"/>
          <w:color w:val="auto"/>
        </w:rPr>
        <w:t>. Xywav and Xyrem are approved by FDA and marketed in the U.S. for the treatment of both cataplexy and EDS in both adult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pediatric patients with narcolepsy. We and others have launched products to treat EDS in narcolepsy and may in the future launch products to treat cataplexy in narcolepsy that are competitive with or disrupt the market. Xywav and Xyrem face competition from Lumryz, a branded product for treatment of cataplexy and/or EDS in narcolepsy. Avadel’s Lumryz, a once-nightly dose, high-sodium oxybate, was launched in the U.S. market in June 2023. On June 22, 2023, we filed a complaint in the United States District Court for the District of Columbia seeking a declaration that FDA’s approval of the NDA for Avadel's Lumryz was unlawful. In the complaint, we allege that FDA acted outside its authority under the Orphan Drug Act, when, despite ODE protecting Xywav, FDA approved the Lumryz NDA and granted Lumryz ODE based on FDA’s finding that Lumryz makes a major contribution to patient care, and is therefore clinically superior to Xywav and Xyrem. We cannot at this time predict the timing or ultimate outcome of this litigation or the impact of this litigation on our sleep products, Xywav and Xyrem. For additional information on litigation involving this matter, see “</w:t>
      </w:r>
      <w:r>
        <w:rPr>
          <w:rFonts w:ascii="Times New Roman" w:cs="Times New Roman" w:eastAsia="Times New Roman" w:hAnsi="Times New Roman"/>
          <w:sz w:val="18"/>
          <w:szCs w:val="18"/>
          <w:i w:val="1"/>
          <w:iCs w:val="1"/>
          <w:color w:val="auto"/>
        </w:rPr>
        <w:t>FDA Litigation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Avadel Patent Litigation</w:t>
      </w:r>
      <w:r>
        <w:rPr>
          <w:rFonts w:ascii="Times New Roman" w:cs="Times New Roman" w:eastAsia="Times New Roman" w:hAnsi="Times New Roman"/>
          <w:sz w:val="18"/>
          <w:szCs w:val="18"/>
          <w:color w:val="auto"/>
        </w:rPr>
        <w:t>” in Note 14, Commitments and Contingencies-Legal Proceedings of the Notes to Consolidated Financial Statements, included in Part IV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70" w:lineRule="exact"/>
        <w:rPr>
          <w:rFonts w:ascii="Times New Roman" w:cs="Times New Roman" w:eastAsia="Times New Roman" w:hAnsi="Times New Roman"/>
          <w:sz w:val="18"/>
          <w:szCs w:val="18"/>
          <w:i w:val="1"/>
          <w:iCs w:val="1"/>
          <w:color w:val="auto"/>
        </w:rPr>
      </w:pPr>
    </w:p>
    <w:p>
      <w:pPr>
        <w:ind w:left="720" w:right="60"/>
        <w:spacing w:after="0" w:line="249"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addition, since January 2023 our oxybate products have faced competition from an AG version of high-sodium oxybate pursuant to a settlement agreement we entered into with an abbreviated new drug application, or ANDA, filer, and since July 2023, an additional AG version of high-sodium oxybate from a volume-limited ANDA filer. Collectively, these AG version of high-sodium oxybate have negatively impacted and are expected to continue to negatively impact Xyrem and Xywav sales for patients with narcolepsy. Specifically, a wholly owned subsidiary of Hikma Pharmaceuticals PLC, or Hikma, launched its AG version of sodium oxybate in January 2023 and Amneal Pharmaceuticals LLC, or Amneal, launched its AG version of sodium oxybate in July 2023. Hikma has elected to continue to sell the Hikma AG product, with royalties to be paid to us, for a total of up to four years beginning in January 2024, which election may be terminated by Hikma in accordance with the notice provisions in the agreements between the parties. We have the right to receive a meaningful royalty from Hikma on net sales of the Hikma AG product; the royalty rate was fixed for the second half of 2023. There was also a substantial increase in the royalty rate beginning in January 2024, which will remain fixed for the duration of the agreement's term. For a description of generic versions of sodium oxybate and/or new products for the treatment of cataplexy and/or EDS that currently compete or could in the future compete with, or otherwise disrupt the market for, Xywav and Xyrem, as well as a description of our settlement agreements with ANDA filers, see the risk factor under the heading “</w:t>
      </w:r>
      <w:r>
        <w:rPr>
          <w:rFonts w:ascii="Times New Roman" w:cs="Times New Roman" w:eastAsia="Times New Roman" w:hAnsi="Times New Roman"/>
          <w:sz w:val="18"/>
          <w:szCs w:val="18"/>
          <w:i w:val="1"/>
          <w:iCs w:val="1"/>
          <w:color w:val="auto"/>
        </w:rPr>
        <w:t>The introduction of 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products in the U.S. market that compete with, or otherwise disrupt the market for, our oxybate</w:t>
      </w: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720" w:right="300"/>
        <w:spacing w:after="0" w:line="237" w:lineRule="exact"/>
        <w:rPr>
          <w:sz w:val="20"/>
          <w:szCs w:val="20"/>
          <w:color w:val="auto"/>
        </w:rPr>
      </w:pPr>
      <w:r>
        <w:rPr>
          <w:rFonts w:ascii="Times New Roman" w:cs="Times New Roman" w:eastAsia="Times New Roman" w:hAnsi="Times New Roman"/>
          <w:sz w:val="18"/>
          <w:szCs w:val="18"/>
          <w:i w:val="1"/>
          <w:iCs w:val="1"/>
          <w:color w:val="auto"/>
        </w:rPr>
        <w:t xml:space="preserve">products has adversely affected and may continue to adversely affect sales of our oxybate products” </w:t>
      </w:r>
      <w:r>
        <w:rPr>
          <w:rFonts w:ascii="Times New Roman" w:cs="Times New Roman" w:eastAsia="Times New Roman" w:hAnsi="Times New Roman"/>
          <w:sz w:val="18"/>
          <w:szCs w:val="18"/>
          <w:color w:val="auto"/>
        </w:rPr>
        <w:t>in Part I, Item 1A of this Annual Report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62" w:lineRule="exact"/>
        <w:rPr>
          <w:sz w:val="20"/>
          <w:szCs w:val="20"/>
          <w:color w:val="auto"/>
        </w:rPr>
      </w:pPr>
    </w:p>
    <w:p>
      <w:pPr>
        <w:ind w:left="720" w:right="120"/>
        <w:spacing w:after="0" w:line="256" w:lineRule="auto"/>
        <w:rPr>
          <w:sz w:val="20"/>
          <w:szCs w:val="20"/>
          <w:color w:val="auto"/>
        </w:rPr>
      </w:pPr>
      <w:r>
        <w:rPr>
          <w:rFonts w:ascii="Times New Roman" w:cs="Times New Roman" w:eastAsia="Times New Roman" w:hAnsi="Times New Roman"/>
          <w:sz w:val="18"/>
          <w:szCs w:val="18"/>
          <w:color w:val="auto"/>
        </w:rPr>
        <w:t>In addition, Xywav and Xyrem may face competition in the future from other new sodium oxybate formulations for treatment of narcolepsy. Also, in the future we expect competition from generic versions of sodium oxybate. For example, we received notices in June 2021 and February 2023, that Lupin and Teva, respectively, filed ANDAs for generic versions of Xywav. On October 13, 2023, Lupin announced that it has received tentative approval for its application to market a generic version of Xywav.</w:t>
      </w:r>
    </w:p>
    <w:p>
      <w:pPr>
        <w:spacing w:after="0" w:line="75" w:lineRule="exact"/>
        <w:rPr>
          <w:sz w:val="20"/>
          <w:szCs w:val="20"/>
          <w:color w:val="auto"/>
        </w:rPr>
      </w:pPr>
    </w:p>
    <w:p>
      <w:pPr>
        <w:ind w:left="720" w:right="20"/>
        <w:spacing w:after="0" w:line="250" w:lineRule="auto"/>
        <w:rPr>
          <w:sz w:val="20"/>
          <w:szCs w:val="20"/>
          <w:color w:val="auto"/>
        </w:rPr>
      </w:pPr>
      <w:r>
        <w:rPr>
          <w:rFonts w:ascii="Times New Roman" w:cs="Times New Roman" w:eastAsia="Times New Roman" w:hAnsi="Times New Roman"/>
          <w:sz w:val="18"/>
          <w:szCs w:val="18"/>
          <w:color w:val="auto"/>
        </w:rPr>
        <w:t>Non-oxybate products intended for the treatment of EDS or cataplexy in narcolepsy or IH (Xywav is the first and only FDA-approved therapy to treat IH), including new market entrants, even if not directly competitive with Xywav or Xyrem, could have the effect of changing treatment regimens and payor or formulary coverage of Xywav or Xyrem in favor of other products, and indirectly materially and adversely affect sales of Xywav and Xyrem. Xywav and Xyrem face competition from Sunosi® (solriamfetol), which we sold to Axsome Therapeutics, Inc. in 2022. Xywav and Xyrem may face increased competition from new branded entrants to treat EDS or cataplexy in narcolepsy such as pitolisant, which has been approved by FDA for the treatment of both cataplexy and EDS in adult patients with narcolepsy. Other companies have announced that they have product candidates in various phases of development to treat the symptoms of narcolepsy, such as Axsome’s reboxetine, and various companies are performing research on orexin agonists for the treatment of sleep disorders, including Takeda Pharmaceutical Company Limited, Merck &amp; Co., Inc., Eisai Co., Ltd., Centessa Pharmaceuticals plc and Alkermes plc.</w:t>
      </w:r>
    </w:p>
    <w:p>
      <w:pPr>
        <w:spacing w:after="0" w:line="83" w:lineRule="exact"/>
        <w:rPr>
          <w:sz w:val="20"/>
          <w:szCs w:val="20"/>
          <w:color w:val="auto"/>
        </w:rPr>
      </w:pPr>
    </w:p>
    <w:p>
      <w:pPr>
        <w:ind w:left="720" w:right="40"/>
        <w:spacing w:after="0" w:line="251" w:lineRule="auto"/>
        <w:rPr>
          <w:sz w:val="20"/>
          <w:szCs w:val="20"/>
          <w:color w:val="auto"/>
        </w:rPr>
      </w:pPr>
      <w:r>
        <w:rPr>
          <w:rFonts w:ascii="Times New Roman" w:cs="Times New Roman" w:eastAsia="Times New Roman" w:hAnsi="Times New Roman"/>
          <w:sz w:val="18"/>
          <w:szCs w:val="18"/>
          <w:color w:val="auto"/>
        </w:rPr>
        <w:t>In addition, we are also aware that prescribers often prescribe branded or generic medications for cataplexy before prescribing or instead of prescribing oxybate therapy, and that payors often require patients to try such medications before they will cover Xywav or Xyrem, even if they are not approved for this use. For example, prescribers often treat mild cataplexy with drugs that have not been approved by FDA for this indication, including tricyclic antidepressants and selective serotonin reuptake inhibitors or selective norepinephrine reuptake inhibitors. We are also aware that branded or generic stimulants may be prescribed off-label for treatment of EDS in narcolepsy. Wake-promoting agents modafinil and armodafinil, including both branded and generic equivalents, are approved for the treatment of EDS in narcolepsy and other conditions, and may be used in conjunction with or instead of Xywav or Xyrem.</w:t>
      </w:r>
    </w:p>
    <w:p>
      <w:pPr>
        <w:spacing w:after="0" w:line="80" w:lineRule="exact"/>
        <w:rPr>
          <w:sz w:val="20"/>
          <w:szCs w:val="20"/>
          <w:color w:val="auto"/>
        </w:rPr>
      </w:pPr>
    </w:p>
    <w:p>
      <w:pPr>
        <w:ind w:left="720" w:hanging="314"/>
        <w:spacing w:after="0" w:line="250" w:lineRule="auto"/>
        <w:tabs>
          <w:tab w:leader="none" w:pos="7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Epidiolex</w:t>
      </w:r>
      <w:r>
        <w:rPr>
          <w:rFonts w:ascii="Times New Roman" w:cs="Times New Roman" w:eastAsia="Times New Roman" w:hAnsi="Times New Roman"/>
          <w:sz w:val="18"/>
          <w:szCs w:val="18"/>
          <w:color w:val="auto"/>
        </w:rPr>
        <w:t>. Patients in the U.S. suffering from seizures associated with DS, LGS or TSC are treated with a variety of FDA-approved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clobazam, clonazepam, valproate, lamotrigine, levetiracetam, rufinamide, topiramate, ethosuximide, and zonisamide. FDA approved Zogenix, Inc.'s low-dose fenfluramine in DS in June 2020, and for LGS in March 2022. In March 2022, UCB S.A. announced that it had completed its acquisition of Zogenix. FDA approved Marinus Pharmaceuticals, Inc.’s ganaxolone for the treatment of seizures associated with cyclin-dependent kinase-like 5 deficiency disorder in March 2022. Ovid Therapeutics Inc./Takeda Pharmaceutical Company Limited and Eisai Company Limited are developing therapies for treating Developmental and Epileptic Encephalopathies (includes DS and LGS). Stiripentol has been approved in Europe for several years to treat DS and was approved in 2018 by the FDA. Zynerba Pharmaceuticals, Inc. is developing a topical formulation of cannabidiol, or CBD, for which it is working with FDA on a path forward on CONNECT-FX data for Zygel in Fragile X syndrome. There are a number of public and private companies in the early stages of developing genetic therapies for DS, including Stoke Therapeutics, Inc., which has an antisense oligonucleotide, STK-001, in early clinical trials.</w:t>
      </w:r>
    </w:p>
    <w:p>
      <w:pPr>
        <w:spacing w:after="0" w:line="82" w:lineRule="exact"/>
        <w:rPr>
          <w:rFonts w:ascii="Times New Roman" w:cs="Times New Roman" w:eastAsia="Times New Roman" w:hAnsi="Times New Roman"/>
          <w:sz w:val="18"/>
          <w:szCs w:val="18"/>
          <w:color w:val="auto"/>
        </w:rPr>
      </w:pPr>
    </w:p>
    <w:p>
      <w:pPr>
        <w:ind w:left="720"/>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there are non-FDA approved CBD preparations being made available from companies in the medical marijuana industry, which might attempt to compete with Epidiolex. While federal law prohibits the sale and distribution of most marijuana products not approved or authorized by FDA, the vast majority of states and the District of Columbia have legalized either CBD or marijuana for either recreational or medical use, or both. Under the U.S. Farm Bill, enacted in late 2018, certain extracts and other material derived from cannabis are no longer controlled under the Federal Controlled Substances Act, or CSA. However, the marketing of such products as a food, dietary supplement, or for medical purposes remains subject to FDA requirements. With respect to the marketing of CBD as a food or dietary supplement, in January 2023 FDA concluded that the existing regulatory frameworks for foods and supplements were not appropriate for CBD products and denied three citizen petitions that had asked the agency to conduct rulemaking to allow the marketing of CBD products as dietary supplements. In addition, Congressional efforts related to legalization of marijuana continue. Although our business is distinct from that of entities marketing FDA-unapproved marijuana and CBD-containing dietary supplement, future legislation or federal government action authorizing the sale, distribution, use, and insurance reimbursement of non-FDA approved marijuana or CBD products could increase competition for and adversely affect our ability to generate sales of Epidiolex and our cannabinoid product candidates.</w:t>
      </w:r>
    </w:p>
    <w:p>
      <w:pPr>
        <w:spacing w:after="0" w:line="85" w:lineRule="exact"/>
        <w:rPr>
          <w:rFonts w:ascii="Times New Roman" w:cs="Times New Roman" w:eastAsia="Times New Roman" w:hAnsi="Times New Roman"/>
          <w:sz w:val="18"/>
          <w:szCs w:val="18"/>
          <w:color w:val="auto"/>
        </w:rPr>
      </w:pPr>
    </w:p>
    <w:p>
      <w:pPr>
        <w:ind w:left="720" w:right="34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aware of exploratory research into the effects of tetrahydrocannabinol, often referred to as THC, and CBD drug formulations; discovery research within the pharmaceutical industry into synthetic agonists and antagonists of</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720" w:right="120"/>
        <w:spacing w:after="0" w:line="261" w:lineRule="auto"/>
        <w:rPr>
          <w:sz w:val="20"/>
          <w:szCs w:val="20"/>
          <w:color w:val="auto"/>
        </w:rPr>
      </w:pPr>
      <w:r>
        <w:rPr>
          <w:rFonts w:ascii="Times New Roman" w:cs="Times New Roman" w:eastAsia="Times New Roman" w:hAnsi="Times New Roman"/>
          <w:sz w:val="18"/>
          <w:szCs w:val="18"/>
          <w:color w:val="auto"/>
        </w:rPr>
        <w:t>CB1 and CB2 receptors; companies that supply synthetic cannabinoids and cannabis extracts to researchers for pre-clinical and clinical investigation; and various companies that cultivate cannabis plants with a view to supplying herbal cannabis or nonpharmaceutical cannabis-based formulations to patients. These activities have not been approved by the FDA but may in the future compete with our products.</w:t>
      </w:r>
    </w:p>
    <w:p>
      <w:pPr>
        <w:spacing w:after="0" w:line="70" w:lineRule="exact"/>
        <w:rPr>
          <w:sz w:val="20"/>
          <w:szCs w:val="20"/>
          <w:color w:val="auto"/>
        </w:rPr>
      </w:pPr>
    </w:p>
    <w:p>
      <w:pPr>
        <w:ind w:left="720" w:right="20"/>
        <w:spacing w:after="0" w:line="216" w:lineRule="exact"/>
        <w:rPr>
          <w:sz w:val="20"/>
          <w:szCs w:val="20"/>
          <w:color w:val="auto"/>
        </w:rPr>
      </w:pPr>
      <w:r>
        <w:rPr>
          <w:rFonts w:ascii="Times New Roman" w:cs="Times New Roman" w:eastAsia="Times New Roman" w:hAnsi="Times New Roman"/>
          <w:sz w:val="18"/>
          <w:szCs w:val="18"/>
          <w:color w:val="auto"/>
        </w:rPr>
        <w:t>Moreover, we expect that Epidiolex will face competition from generic products in the future. In November and December 2022, we received notices from various ANDA filers that they have each filed with FDA an ANDA for a generic version of Epidiolex (cannabidiol) oral solution. In January 2023, we filed patent infringement suits against these ANDA filers. For a description of this litigation, see “</w:t>
      </w:r>
      <w:r>
        <w:rPr>
          <w:rFonts w:ascii="Times New Roman" w:cs="Times New Roman" w:eastAsia="Times New Roman" w:hAnsi="Times New Roman"/>
          <w:sz w:val="18"/>
          <w:szCs w:val="18"/>
          <w:i w:val="1"/>
          <w:iCs w:val="1"/>
          <w:color w:val="auto"/>
        </w:rPr>
        <w:t>Epidiolex Patent Litigation</w:t>
      </w:r>
      <w:r>
        <w:rPr>
          <w:rFonts w:ascii="Times New Roman" w:cs="Times New Roman" w:eastAsia="Times New Roman" w:hAnsi="Times New Roman"/>
          <w:sz w:val="18"/>
          <w:szCs w:val="18"/>
          <w:color w:val="auto"/>
        </w:rPr>
        <w:t>” in Note 14, Commitments and Contingencies-Legal Proceedings of the Notes to Consolidated Financial Statements, included in Part IV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As a result of these lawsuits, we expect that a stay of approval of up to 30 months will be imposed by FDA on these ANDA filers.</w:t>
      </w:r>
    </w:p>
    <w:p>
      <w:pPr>
        <w:spacing w:after="0" w:line="89" w:lineRule="exact"/>
        <w:rPr>
          <w:sz w:val="20"/>
          <w:szCs w:val="20"/>
          <w:color w:val="auto"/>
        </w:rPr>
      </w:pPr>
    </w:p>
    <w:p>
      <w:pPr>
        <w:ind w:left="720" w:right="140" w:hanging="314"/>
        <w:spacing w:after="0" w:line="257" w:lineRule="auto"/>
        <w:tabs>
          <w:tab w:leader="none" w:pos="71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Zepzelca. </w:t>
      </w:r>
      <w:r>
        <w:rPr>
          <w:rFonts w:ascii="Times New Roman" w:cs="Times New Roman" w:eastAsia="Times New Roman" w:hAnsi="Times New Roman"/>
          <w:sz w:val="18"/>
          <w:szCs w:val="18"/>
          <w:color w:val="auto"/>
        </w:rPr>
        <w:t>Zepzelca faces competition from topotecan, which is also an approved treatment in second line SCLC in the U.S., as well as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regimens for relapsed SCLC currently recommended in compendia guidelines, including rechallenge with first line platinum chemotherapy. There are also a number of products and immunotherapies for the treatment of second line SCLC in various phases of development, including Amgen Inc.’s tarlatamab.</w:t>
      </w:r>
    </w:p>
    <w:p>
      <w:pPr>
        <w:spacing w:after="0" w:line="71" w:lineRule="exact"/>
        <w:rPr>
          <w:rFonts w:ascii="Times New Roman" w:cs="Times New Roman" w:eastAsia="Times New Roman" w:hAnsi="Times New Roman"/>
          <w:sz w:val="18"/>
          <w:szCs w:val="18"/>
          <w:i w:val="1"/>
          <w:iCs w:val="1"/>
          <w:color w:val="auto"/>
        </w:rPr>
      </w:pPr>
    </w:p>
    <w:p>
      <w:pPr>
        <w:ind w:left="720" w:right="60" w:hanging="314"/>
        <w:spacing w:after="0" w:line="269" w:lineRule="auto"/>
        <w:tabs>
          <w:tab w:leader="none" w:pos="715" w:val="left"/>
        </w:tabs>
        <w:numPr>
          <w:ilvl w:val="0"/>
          <w:numId w:val="1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Rylaze. </w:t>
      </w:r>
      <w:r>
        <w:rPr>
          <w:rFonts w:ascii="Times New Roman" w:cs="Times New Roman" w:eastAsia="Times New Roman" w:hAnsi="Times New Roman"/>
          <w:sz w:val="17"/>
          <w:szCs w:val="17"/>
          <w:color w:val="auto"/>
        </w:rPr>
        <w:t>Rylaze may face competition from Erwinaze in the future. Erwinaze was previously approved and commercialized by us as a treatment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ALL patients with hypersensitivity to </w:t>
      </w:r>
      <w:r>
        <w:rPr>
          <w:rFonts w:ascii="Times New Roman" w:cs="Times New Roman" w:eastAsia="Times New Roman" w:hAnsi="Times New Roman"/>
          <w:sz w:val="17"/>
          <w:szCs w:val="17"/>
          <w:i w:val="1"/>
          <w:iCs w:val="1"/>
          <w:color w:val="auto"/>
        </w:rPr>
        <w:t>E. coli</w:t>
      </w:r>
      <w:r>
        <w:rPr>
          <w:rFonts w:ascii="Times New Roman" w:cs="Times New Roman" w:eastAsia="Times New Roman" w:hAnsi="Times New Roman"/>
          <w:sz w:val="17"/>
          <w:szCs w:val="17"/>
          <w:color w:val="auto"/>
        </w:rPr>
        <w:t>-derived asparaginase. In April 2020, Porton Biopharma Limited, or PBL, granted Clinigen Group plc, or Clinigen, a global license for Erwinaze. However, in December 2021, Clinigen announced that FDA issued a complete response letter to PBL’s BLA for Erwinaze, indicating that the BLA cannot be approved in its current form. Outside of the U.S., Enrylaze faces competition from Erwinase. Rylaze may also face competition from other companies who have developed or are developing new treatments for ALL. In addition, some new asparaginase treatments could reduce the rate of hypersensitivity in patients with ALL, and new treatment protocols are being developed and approved for ALL that may not include asparaginase-containing regimens, including some for the treatment of relapsed or refractory ALL patients.</w:t>
      </w:r>
    </w:p>
    <w:p>
      <w:pPr>
        <w:spacing w:after="0" w:line="63" w:lineRule="exact"/>
        <w:rPr>
          <w:rFonts w:ascii="Times New Roman" w:cs="Times New Roman" w:eastAsia="Times New Roman" w:hAnsi="Times New Roman"/>
          <w:sz w:val="17"/>
          <w:szCs w:val="17"/>
          <w:i w:val="1"/>
          <w:iCs w:val="1"/>
          <w:color w:val="auto"/>
        </w:rPr>
      </w:pPr>
    </w:p>
    <w:p>
      <w:pPr>
        <w:ind w:left="720" w:hanging="314"/>
        <w:spacing w:after="0" w:line="249" w:lineRule="auto"/>
        <w:tabs>
          <w:tab w:leader="none" w:pos="71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Vyxeos</w:t>
      </w:r>
      <w:r>
        <w:rPr>
          <w:rFonts w:ascii="Times New Roman" w:cs="Times New Roman" w:eastAsia="Times New Roman" w:hAnsi="Times New Roman"/>
          <w:sz w:val="18"/>
          <w:szCs w:val="18"/>
          <w:color w:val="auto"/>
        </w:rPr>
        <w:t>. With respect to Vyxeos, there are a number of alternative established therapies in AML. A key consideration in the treatment of AML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patients is the patient’s suitability for chemotherapy. The AML patient population studied in the Vyxeos Phase 3 clinical trial supporting our NDA included 60-75 year old fit patients, or those deemed able to tolerate intensive induction chemotherapy. Prior to Vyxeos, the most widely recognized option for the treatment of newly-diagnosed t-AML and AML-MRC in fit patients was cytarabine in combination with daunorubicin, known as 7+3, which is still used today in this population, along with other intensive chemotherapy regimens, particularly in patients under the age of 60. Also, since Vyxeos was approved, several other products have been approved by FDA or are in development as treatment options for newly diagnosed AML patients eligible for intensive chemotherapy, such as targeted agents (e.g. midostaurin, enasidenib and ivosidenib), immunotherapies (e.g., gemtuzumab ozogamicin and chimeric antigen receptor T-cell therapy), and agents disrupting leukemia cell survival (e.g., glasdegib). We are also aware of the increasing use of venetoclax combined with either a hypomethylating agent or low-dose cytarabine, a treatment approved by FDA in newly diagnosed AML patients who are age 75 years or older, or who have comorbidities that preclude use of intensive induction chemotherapy. With ongoing trends in the U.S. towards lower-intensity treatments and away from intensive chemotherapy regimens for AML, we note increasing competition from other therapeutic options as we continue to educate providers on the clinical benefits of Vyxeos in appropriate patients.</w:t>
      </w:r>
    </w:p>
    <w:p>
      <w:pPr>
        <w:spacing w:after="0" w:line="83" w:lineRule="exact"/>
        <w:rPr>
          <w:rFonts w:ascii="Times New Roman" w:cs="Times New Roman" w:eastAsia="Times New Roman" w:hAnsi="Times New Roman"/>
          <w:sz w:val="18"/>
          <w:szCs w:val="18"/>
          <w:i w:val="1"/>
          <w:iCs w:val="1"/>
          <w:color w:val="auto"/>
        </w:rPr>
      </w:pPr>
    </w:p>
    <w:p>
      <w:pPr>
        <w:ind w:left="720" w:right="20" w:hanging="314"/>
        <w:spacing w:after="0" w:line="254" w:lineRule="auto"/>
        <w:tabs>
          <w:tab w:leader="none" w:pos="71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Defitelio</w:t>
      </w:r>
      <w:r>
        <w:rPr>
          <w:rFonts w:ascii="Times New Roman" w:cs="Times New Roman" w:eastAsia="Times New Roman" w:hAnsi="Times New Roman"/>
          <w:sz w:val="18"/>
          <w:szCs w:val="18"/>
          <w:color w:val="auto"/>
        </w:rPr>
        <w:t>. While there is currently no direct competition to Defitelio to treat severe VOD, changes in the types of conditioning regimens used as part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HSCT may affect the incidence of VOD diagnosis and demand for Defitelio. There was a significant decline in the number of patients receiving HSCT due to the effects of the COVID-19 pandemic. Moving forward, while HSCT procedures are gradually returning to pre-pandemic numbers, we expect changes in chemotherapy regimens and the increasing use of cell therapies to potentially lower the incidence of sVOD; additionally, there has been a reduction of prophylactic use of Defitelio in Europe.</w:t>
      </w:r>
    </w:p>
    <w:p>
      <w:pPr>
        <w:spacing w:after="0" w:line="78" w:lineRule="exact"/>
        <w:rPr>
          <w:sz w:val="20"/>
          <w:szCs w:val="20"/>
          <w:color w:val="auto"/>
        </w:rPr>
      </w:pPr>
    </w:p>
    <w:p>
      <w:pPr>
        <w:ind w:right="200" w:firstLine="439"/>
        <w:spacing w:after="0" w:line="256" w:lineRule="auto"/>
        <w:rPr>
          <w:sz w:val="20"/>
          <w:szCs w:val="20"/>
          <w:color w:val="auto"/>
        </w:rPr>
      </w:pPr>
      <w:r>
        <w:rPr>
          <w:rFonts w:ascii="Times New Roman" w:cs="Times New Roman" w:eastAsia="Times New Roman" w:hAnsi="Times New Roman"/>
          <w:sz w:val="18"/>
          <w:szCs w:val="18"/>
          <w:color w:val="auto"/>
        </w:rPr>
        <w:t>An important part of our corporate strategy is to build a diversified product pipeline, including by acquiring or in-licensing and developing, or partnering to license and develop, additional products and product candidates that we believe are highly differentiated and have significant commercial potential. Our ability to continue to grow our product portfolio requires that we compete successfully with other pharmaceutical companies, many of which may have substantially greater financial sales and marketing resources, to acquire or in-license products and product candidates.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14" w:lineRule="exact"/>
        <w:rPr>
          <w:sz w:val="20"/>
          <w:szCs w:val="20"/>
          <w:color w:val="auto"/>
        </w:rPr>
      </w:pPr>
    </w:p>
    <w:p>
      <w:pPr>
        <w:ind w:right="40" w:firstLine="439"/>
        <w:spacing w:after="0" w:line="276" w:lineRule="auto"/>
        <w:rPr>
          <w:sz w:val="20"/>
          <w:szCs w:val="20"/>
          <w:color w:val="auto"/>
        </w:rPr>
      </w:pPr>
      <w:r>
        <w:rPr>
          <w:rFonts w:ascii="Times New Roman" w:cs="Times New Roman" w:eastAsia="Times New Roman" w:hAnsi="Times New Roman"/>
          <w:sz w:val="18"/>
          <w:szCs w:val="18"/>
          <w:color w:val="auto"/>
        </w:rPr>
        <w:t>In the U.S., Xywav and Xyrem are sold to one certified specialty pharmacy, ESSDS, that ships Xywav and Xyrem directly to patients. Also in the U.S., Epidiolex is sold to specialty pharmacies, wholesalers and specialty distributors. Defitelio</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is sold to hospital customers through subsidiary specialty distributors of McKesson Corporation, or McKesson. Zepzelca, Rylaze and Vyxeos are sold to customers through subsidiary specialty distributors of McKesson, Cencora, Inc. (formerly named AmerisourceBergen Corporation), or Cencora, and Cardinal Health, Inc., or Cardinal. We have distribution services agreements made in the ordinary course of business with McKesson, Cencora and Cardinal and a pharmacy services agreement with ESSDS that provides for the distribution of Xywav and Xyrem to patients. For more information regarding our relationship with ESSDS, see “Business—Our Commercialized Products—Xyrem” in this Part I, Item 1. Purchases are made on a purchase order basis.</w:t>
      </w:r>
    </w:p>
    <w:p>
      <w:pPr>
        <w:spacing w:after="0" w:line="64" w:lineRule="exact"/>
        <w:rPr>
          <w:sz w:val="20"/>
          <w:szCs w:val="20"/>
          <w:color w:val="auto"/>
        </w:rPr>
      </w:pPr>
    </w:p>
    <w:p>
      <w:pPr>
        <w:ind w:right="40" w:firstLine="439"/>
        <w:spacing w:after="0" w:line="270" w:lineRule="auto"/>
        <w:rPr>
          <w:sz w:val="20"/>
          <w:szCs w:val="20"/>
          <w:color w:val="auto"/>
        </w:rPr>
      </w:pPr>
      <w:r>
        <w:rPr>
          <w:rFonts w:ascii="Times New Roman" w:cs="Times New Roman" w:eastAsia="Times New Roman" w:hAnsi="Times New Roman"/>
          <w:sz w:val="17"/>
          <w:szCs w:val="17"/>
          <w:color w:val="auto"/>
        </w:rPr>
        <w:t>In certain countries in Europe, Defitelio and Vyxeos are sold pursuant to marketing authorizations. We distribute these products through Durbin PLC, a U.K.-based wholesaler and distributor, and O&amp;M Movianto Nederland BV, our centralized European logistics services provider, to hospitals and local wholesalers in Europe where we market these products directly and, in other markets in Europe and elsewhere where we do not market these products directly, to local distributors and wholesalers. In certain countries in Europe, Epidyolex is sold pursuant to marketing authorizations. We distribute Epidyolex through a variety of wholesalers and distributors. In countries where there is no marketing authorization, Epidyolex is available pursuant to named patient programs, temporary use authorizations or similar authorizations in accordance with local regulations controlling the medical use of unapproved products.</w:t>
      </w:r>
    </w:p>
    <w:p>
      <w:pPr>
        <w:spacing w:after="0" w:line="65" w:lineRule="exact"/>
        <w:rPr>
          <w:sz w:val="20"/>
          <w:szCs w:val="20"/>
          <w:color w:val="auto"/>
        </w:rPr>
      </w:pPr>
    </w:p>
    <w:p>
      <w:pPr>
        <w:ind w:right="320" w:firstLine="439"/>
        <w:spacing w:after="0" w:line="276" w:lineRule="auto"/>
        <w:rPr>
          <w:sz w:val="20"/>
          <w:szCs w:val="20"/>
          <w:color w:val="auto"/>
        </w:rPr>
      </w:pPr>
      <w:r>
        <w:rPr>
          <w:rFonts w:ascii="Times New Roman" w:cs="Times New Roman" w:eastAsia="Times New Roman" w:hAnsi="Times New Roman"/>
          <w:sz w:val="18"/>
          <w:szCs w:val="18"/>
          <w:color w:val="auto"/>
        </w:rPr>
        <w:t>We commercialize and distribute Xyrem in Canada for the treatment of cataplexy in patients with narcolepsy. Xyrem is also sold in 21 countries by UCB (which has rights to market Xyrem in 54 countries).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14" w:lineRule="exact"/>
        <w:rPr>
          <w:sz w:val="20"/>
          <w:szCs w:val="20"/>
          <w:color w:val="auto"/>
        </w:rPr>
      </w:pPr>
    </w:p>
    <w:p>
      <w:pPr>
        <w:ind w:right="60" w:firstLine="439"/>
        <w:spacing w:after="0" w:line="272" w:lineRule="auto"/>
        <w:rPr>
          <w:sz w:val="20"/>
          <w:szCs w:val="20"/>
          <w:color w:val="auto"/>
        </w:rPr>
      </w:pPr>
      <w:r>
        <w:rPr>
          <w:rFonts w:ascii="Times New Roman" w:cs="Times New Roman" w:eastAsia="Times New Roman" w:hAnsi="Times New Roman"/>
          <w:sz w:val="17"/>
          <w:szCs w:val="17"/>
          <w:color w:val="auto"/>
        </w:rPr>
        <w:t>We have a manufacturing and development facility in Athlone, Ireland where we manufacture Xywav and Xyrem, a manufacturing and development facility in Kent Science Park, U.K. where we produce Epidiolex/Epidyolex, and a manufacturing plant in Villa Guardia, Italy where we produce defibrotide drug substance. We currently do not have our own commercial manufacturing or packaging capability for our other products, product candidates or their active pharmaceutical ingredients, or APIs. As a result, our ability to develop and supply products in a timely and competitive manner depends on third party suppliers being able to meet our ongoing commercial and clinical trial needs for API, other raw materials, packaging materials and finished products.</w:t>
      </w:r>
    </w:p>
    <w:p>
      <w:pPr>
        <w:spacing w:after="0" w:line="6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Lead Marketed Products</w:t>
      </w:r>
    </w:p>
    <w:p>
      <w:pPr>
        <w:spacing w:after="0" w:line="114" w:lineRule="exact"/>
        <w:rPr>
          <w:sz w:val="20"/>
          <w:szCs w:val="20"/>
          <w:color w:val="auto"/>
        </w:rPr>
      </w:pPr>
    </w:p>
    <w:p>
      <w:pPr>
        <w:ind w:right="80" w:firstLine="439"/>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Xywav. </w:t>
      </w:r>
      <w:r>
        <w:rPr>
          <w:rFonts w:ascii="Times New Roman" w:cs="Times New Roman" w:eastAsia="Times New Roman" w:hAnsi="Times New Roman"/>
          <w:sz w:val="17"/>
          <w:szCs w:val="17"/>
          <w:color w:val="auto"/>
        </w:rPr>
        <w:t>Xywav is manufactured at our Athlone facility. Xywav, like Xyrem, is a Schedule III controlled substance in the U.S. The API of Xywav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calcium, magnesium, potassium and sodium salts of gamma-hydroxybutyric acid (as gamma-hydroxybutyric acid is the API for Xyrem), which are Schedule I controlled substances in the U.S. As a result, Xywav and Xyrem are subject to regulation by the U.S. Drug Enforcement Administration, or DEA, under the CSA, and its manufacturing and distribution are highly restricted. Quotas from the DEA are required in order to manufacture or procure calcium, magnesium, potassium and sodium salts of gamma-hydroxybutyric acid in the U.S. For information related to DEA quota requirements, see “Business— Government Regulation—Other Post-Approval Pharmaceutical Product Regulation—Controlled Substance Regulations” in this Part I, Item 1.</w:t>
      </w:r>
    </w:p>
    <w:p>
      <w:pPr>
        <w:spacing w:after="0" w:line="65" w:lineRule="exact"/>
        <w:rPr>
          <w:sz w:val="20"/>
          <w:szCs w:val="20"/>
          <w:color w:val="auto"/>
        </w:rPr>
      </w:pPr>
    </w:p>
    <w:p>
      <w:pPr>
        <w:ind w:right="140" w:firstLine="43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Xyrem. </w:t>
      </w:r>
      <w:r>
        <w:rPr>
          <w:rFonts w:ascii="Times New Roman" w:cs="Times New Roman" w:eastAsia="Times New Roman" w:hAnsi="Times New Roman"/>
          <w:sz w:val="18"/>
          <w:szCs w:val="18"/>
          <w:color w:val="auto"/>
        </w:rPr>
        <w:t>Xyrem is manufactured by us in our Athlone facility and by Patheon Pharmaceuticals Inc., which we refer to together with its affiliates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Patheon, under a Master Manufacturing Services Agreement, or the Patheon Agreement, entered into with Patheon in 2015. We manufacture Xyrem in our Athlone facility for most of our U.S. commercial supply and rely on Patheon to supply Xyrem for other markets, though we are not required to purchase Xyrem exclusively from Patheon. The current term of the Patheon Agreement will expire in December 2024, subject to further automatic two-yearly extensions if Patheon is then providing manufacturing services for any product, unless either party provides prior notice of termination. In addition, we may terminate the Patheon Agreement for any reason upon 12 months’ prior written notice.</w:t>
      </w:r>
    </w:p>
    <w:p>
      <w:pPr>
        <w:spacing w:after="0" w:line="77" w:lineRule="exact"/>
        <w:rPr>
          <w:sz w:val="20"/>
          <w:szCs w:val="20"/>
          <w:color w:val="auto"/>
        </w:rPr>
      </w:pPr>
    </w:p>
    <w:p>
      <w:pPr>
        <w:ind w:firstLine="439"/>
        <w:spacing w:after="0" w:line="254" w:lineRule="auto"/>
        <w:rPr>
          <w:sz w:val="20"/>
          <w:szCs w:val="20"/>
          <w:color w:val="auto"/>
        </w:rPr>
      </w:pPr>
      <w:r>
        <w:rPr>
          <w:rFonts w:ascii="Times New Roman" w:cs="Times New Roman" w:eastAsia="Times New Roman" w:hAnsi="Times New Roman"/>
          <w:sz w:val="18"/>
          <w:szCs w:val="18"/>
          <w:color w:val="auto"/>
        </w:rPr>
        <w:t>Siegfried USA, LLC and its European affiliates, or Siegfried, supply sodium oxybate, the API of Xyrem, to Patheon and our Athlone facility. Although Siegfried has been our only supplier of sodium oxybate since 2012, we have the right to purchase a portion of our worldwide requirements of sodium oxybate from other suppliers. The agreement with Siegfried expires in April 2024, subject to automatic three-year extensions until either party provides advance notice of its intent to terminate the agreement. During the term of the agreement and, under certain circumstances for 18 months after the agreement terminates, Siegfried is not permitted to manufacture sodium oxybate for any other company.</w:t>
      </w:r>
    </w:p>
    <w:p>
      <w:pPr>
        <w:spacing w:after="0" w:line="74" w:lineRule="exact"/>
        <w:rPr>
          <w:sz w:val="20"/>
          <w:szCs w:val="20"/>
          <w:color w:val="auto"/>
        </w:rPr>
      </w:pPr>
    </w:p>
    <w:p>
      <w:pPr>
        <w:jc w:val="both"/>
        <w:ind w:right="660" w:firstLine="439"/>
        <w:spacing w:after="0" w:line="308" w:lineRule="auto"/>
        <w:rPr>
          <w:sz w:val="20"/>
          <w:szCs w:val="20"/>
          <w:color w:val="auto"/>
        </w:rPr>
      </w:pPr>
      <w:r>
        <w:rPr>
          <w:rFonts w:ascii="Times New Roman" w:cs="Times New Roman" w:eastAsia="Times New Roman" w:hAnsi="Times New Roman"/>
          <w:sz w:val="17"/>
          <w:szCs w:val="17"/>
          <w:i w:val="1"/>
          <w:iCs w:val="1"/>
          <w:color w:val="auto"/>
        </w:rPr>
        <w:t xml:space="preserve">Epidiolex. </w:t>
      </w:r>
      <w:r>
        <w:rPr>
          <w:rFonts w:ascii="Times New Roman" w:cs="Times New Roman" w:eastAsia="Times New Roman" w:hAnsi="Times New Roman"/>
          <w:sz w:val="17"/>
          <w:szCs w:val="17"/>
          <w:color w:val="auto"/>
        </w:rPr>
        <w:t>Epidiolex/Epidyolex is manufactured by us in our Kent Science Park facility in the U.K. Epidiolex is a pharmaceutical formulation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comprising highly purified plant-derived CBD. We cultivate our cannabinoid plants in the U.K. under highly controlled and standardized conditions.</w:t>
      </w:r>
    </w:p>
    <w:p>
      <w:pPr>
        <w:spacing w:after="0" w:line="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Zepzelca</w:t>
      </w:r>
      <w:r>
        <w:rPr>
          <w:rFonts w:ascii="Times New Roman" w:cs="Times New Roman" w:eastAsia="Times New Roman" w:hAnsi="Times New Roman"/>
          <w:sz w:val="17"/>
          <w:szCs w:val="17"/>
          <w:color w:val="auto"/>
        </w:rPr>
        <w:t>. Zepzelca is manufactured by Simtra Biopharma Solutions, or Simtra. The current term of the agreement with Simtra will expire in December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and will then be subject to automatic two-year extensions, unless either party provides advance notice of its intent to terminate the agreement.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PharmaMar retains manufacturing rights for the API for U.S. and Canadian commercial supply of Zepzelca.</w:t>
      </w: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firstLine="43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Rylaze. </w:t>
      </w:r>
      <w:r>
        <w:rPr>
          <w:rFonts w:ascii="Times New Roman" w:cs="Times New Roman" w:eastAsia="Times New Roman" w:hAnsi="Times New Roman"/>
          <w:sz w:val="18"/>
          <w:szCs w:val="18"/>
          <w:color w:val="auto"/>
        </w:rPr>
        <w:t>Rylaze is currently manufactured by Patheon, and the API of Rylaze is manufactured by AGC Biologics A/S. The initial term of the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Patheon will expire in December 2025 and will then be subject to automatic two-year extensions, unless either party provides advance notice of its intent to terminate the agreement. The initial term of the agreement with AGC Biologics A/S will expire in October 2026 and will then be subject to automatic three-year extensions, unless either party provides advance notice of its intent to terminate the agreement.</w:t>
      </w:r>
    </w:p>
    <w:p>
      <w:pPr>
        <w:spacing w:after="0" w:line="72" w:lineRule="exact"/>
        <w:rPr>
          <w:sz w:val="20"/>
          <w:szCs w:val="20"/>
          <w:color w:val="auto"/>
        </w:rPr>
      </w:pPr>
    </w:p>
    <w:p>
      <w:pPr>
        <w:ind w:right="160" w:firstLine="43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Vyxeos. </w:t>
      </w:r>
      <w:r>
        <w:rPr>
          <w:rFonts w:ascii="Times New Roman" w:cs="Times New Roman" w:eastAsia="Times New Roman" w:hAnsi="Times New Roman"/>
          <w:sz w:val="18"/>
          <w:szCs w:val="18"/>
          <w:color w:val="auto"/>
        </w:rPr>
        <w:t>Vyxeos is manufactured by Simtra, which is a sole source supplier from a single site location, using our CombiPlex technology platform.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CombiPlex products represent formulations with increased manufacturing complexities associated with producing drug delivery vehicles encapsulating two or more drugs that are maintained at a fixed ratio and, in the case of Vyxeos, two drugs that are co-encapsulated in a freeze-dried liposomal format. Our manufacturing agreement with Simtra expires in August 2025, subject to automatic three-year renewal terms, unless either party provides advance notice of its intent to terminate the agreement. While other contract manufacturers may be able to produce Vyxeos, the proprietary technology that supports the manufacture of Vyxeos is not easily transferable. The marketing authorization in the EU for Vyxeos also requires us to comply with certain manufacturing-related post-approval commitments.</w:t>
      </w:r>
    </w:p>
    <w:p>
      <w:pPr>
        <w:spacing w:after="0" w:line="76" w:lineRule="exact"/>
        <w:rPr>
          <w:sz w:val="20"/>
          <w:szCs w:val="20"/>
          <w:color w:val="auto"/>
        </w:rPr>
      </w:pPr>
    </w:p>
    <w:p>
      <w:pPr>
        <w:ind w:right="80" w:firstLine="43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Defitelio. </w:t>
      </w:r>
      <w:r>
        <w:rPr>
          <w:rFonts w:ascii="Times New Roman" w:cs="Times New Roman" w:eastAsia="Times New Roman" w:hAnsi="Times New Roman"/>
          <w:sz w:val="18"/>
          <w:szCs w:val="18"/>
          <w:color w:val="auto"/>
        </w:rPr>
        <w:t>We are our own sole supplier of, and we believe that we are currently the sole worldwide producer of, defibrotide API. We manufacture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defibrotide API from porcine DNA in a single facility located in Villa Guardia, Italy. Patheon currently processes defibrotide API into its finished vial form under a specific product agreement entered into under a separate agreement with Patheon. Patheon is the sole provider of our commercial and clinical supply of Defitelio; however, we are not required to purchase Defitelio exclusively from Patheon. If Patheon does not or is not able to supply us with Defitelio for any reason, it may take time and resources to implement and execute the necessary technology transfer to another processor, and such delay could negatively impact our anticipated revenues from Defitelio and could potentially cause us to breach contractual obligations with customers or to violate local laws requiring us to deliver the product to those in need.</w:t>
      </w:r>
    </w:p>
    <w:p>
      <w:pPr>
        <w:spacing w:after="0" w:line="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Product Candidates</w:t>
      </w:r>
    </w:p>
    <w:p>
      <w:pPr>
        <w:spacing w:after="0" w:line="114" w:lineRule="exact"/>
        <w:rPr>
          <w:sz w:val="20"/>
          <w:szCs w:val="20"/>
          <w:color w:val="auto"/>
        </w:rPr>
      </w:pPr>
    </w:p>
    <w:p>
      <w:pPr>
        <w:ind w:right="20" w:firstLine="439"/>
        <w:spacing w:after="0" w:line="225" w:lineRule="exact"/>
        <w:rPr>
          <w:sz w:val="20"/>
          <w:szCs w:val="20"/>
          <w:color w:val="auto"/>
        </w:rPr>
      </w:pPr>
      <w:r>
        <w:rPr>
          <w:rFonts w:ascii="Times New Roman" w:cs="Times New Roman" w:eastAsia="Times New Roman" w:hAnsi="Times New Roman"/>
          <w:sz w:val="18"/>
          <w:szCs w:val="18"/>
          <w:color w:val="auto"/>
        </w:rPr>
        <w:t>For discussion of the challenges we face with respect to supply of our products and product candidates, see the risk factor under the heading “</w:t>
      </w:r>
      <w:r>
        <w:rPr>
          <w:rFonts w:ascii="Times New Roman" w:cs="Times New Roman" w:eastAsia="Times New Roman" w:hAnsi="Times New Roman"/>
          <w:sz w:val="18"/>
          <w:szCs w:val="18"/>
          <w:i w:val="1"/>
          <w:iCs w:val="1"/>
          <w:color w:val="auto"/>
        </w:rPr>
        <w:t>Delays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problems in the supply of our products for sale or for use in clinical trials, loss of our single source suppliers or failure to comply with manufacturing regulations could materially and adversely affect our business, financial condition, results of operations and growth prospects” </w:t>
      </w:r>
      <w:r>
        <w:rPr>
          <w:rFonts w:ascii="Times New Roman" w:cs="Times New Roman" w:eastAsia="Times New Roman" w:hAnsi="Times New Roman"/>
          <w:sz w:val="18"/>
          <w:szCs w:val="18"/>
          <w:color w:val="auto"/>
        </w:rPr>
        <w:t>in Part I, Item 1A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Proprietary Rights</w:t>
      </w:r>
    </w:p>
    <w:p>
      <w:pPr>
        <w:spacing w:after="0" w:line="114" w:lineRule="exact"/>
        <w:rPr>
          <w:sz w:val="20"/>
          <w:szCs w:val="20"/>
          <w:color w:val="auto"/>
        </w:rPr>
      </w:pPr>
    </w:p>
    <w:p>
      <w:pPr>
        <w:ind w:right="80" w:firstLine="439"/>
        <w:spacing w:after="0" w:line="250" w:lineRule="auto"/>
        <w:rPr>
          <w:sz w:val="20"/>
          <w:szCs w:val="20"/>
          <w:color w:val="auto"/>
        </w:rPr>
      </w:pPr>
      <w:r>
        <w:rPr>
          <w:rFonts w:ascii="Times New Roman" w:cs="Times New Roman" w:eastAsia="Times New Roman" w:hAnsi="Times New Roman"/>
          <w:sz w:val="18"/>
          <w:szCs w:val="18"/>
          <w:color w:val="auto"/>
        </w:rPr>
        <w:t>We actively seek to patent, or to acquire or obtain licenses to third party patents, to protect our products and product candidates and related inventions and improvements that we consider important to our business. We own a portfolio of U.S. and non-U.S. patents and patent applications and have licensed rights to a number of issued patents and patent applications. Our owned and licensed patents and patent applications cover or relate to our products and product candidates, including certain formulations, used to treat particular conditions, distribution methods and methods of administration, drug delivery technologies and delivery profiles and methods of making and use. Patents extend for varying periods according to the date of the patent filing or grant and the legal term of patents in the various countries where patent protection is obtained. The patent laws of non-U.S. countries differ from those in U.S., and the degree of protection afforded by non-U.S. patents may be different from the protection offered by U.S. patents. In addition to patents, our products and product candidates are in some instances protected by various regulatory exclusivities. For a description of those exclusivities and their regulatory background, see “Business—Government Regulation—Marketing Exclusivity—The Hatch-Waxman Act” in this Part I, Item 1.</w:t>
      </w:r>
    </w:p>
    <w:p>
      <w:pPr>
        <w:spacing w:after="0" w:line="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patents, patent applications and regulatory exclusivities that relate to our marketed products include:</w:t>
      </w:r>
    </w:p>
    <w:p>
      <w:pPr>
        <w:spacing w:after="0" w:line="110" w:lineRule="exact"/>
        <w:rPr>
          <w:sz w:val="20"/>
          <w:szCs w:val="20"/>
          <w:color w:val="auto"/>
        </w:rPr>
      </w:pPr>
    </w:p>
    <w:p>
      <w:pPr>
        <w:ind w:left="720" w:right="120" w:hanging="314"/>
        <w:spacing w:after="0" w:line="220" w:lineRule="exact"/>
        <w:tabs>
          <w:tab w:leader="none" w:pos="7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Xywav. </w:t>
      </w:r>
      <w:r>
        <w:rPr>
          <w:rFonts w:ascii="Times New Roman" w:cs="Times New Roman" w:eastAsia="Times New Roman" w:hAnsi="Times New Roman"/>
          <w:sz w:val="18"/>
          <w:szCs w:val="18"/>
          <w:color w:val="auto"/>
        </w:rPr>
        <w:t>We have 13 U.S. patents that relate to Xywav. These patents expire from 2033 to 2037. In addition, we have patent applications that relate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Xywav for use in additional indications that would, if issued, expire between 2040 and 2041. Xywav has been granted ODE by FDA to treat narcolepsy through 2027 and to treat IH through 2028. Some of our Xywav patents have been subject to patent litigation with the companies who filed ANDAs seeking to market a generic version of Xywav. For example, we received notices in June 2021 and February 2023, that Lupin and Teva, respectively, filed ANDAs for generic versions of Xywav. For additional information on litigation involving these matters, see Note 14, Commitments and Contingencies-Legal Proceedings of the Notes to Consolidated Financial Statements, included in Part IV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63" w:lineRule="exact"/>
        <w:rPr>
          <w:rFonts w:ascii="Times New Roman" w:cs="Times New Roman" w:eastAsia="Times New Roman" w:hAnsi="Times New Roman"/>
          <w:sz w:val="18"/>
          <w:szCs w:val="18"/>
          <w:color w:val="auto"/>
        </w:rPr>
      </w:pPr>
    </w:p>
    <w:p>
      <w:pPr>
        <w:ind w:left="720" w:right="80" w:hanging="314"/>
        <w:spacing w:after="0" w:line="253" w:lineRule="auto"/>
        <w:tabs>
          <w:tab w:leader="none" w:pos="7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Xyrem</w:t>
      </w:r>
      <w:r>
        <w:rPr>
          <w:rFonts w:ascii="Times New Roman" w:cs="Times New Roman" w:eastAsia="Times New Roman" w:hAnsi="Times New Roman"/>
          <w:sz w:val="18"/>
          <w:szCs w:val="18"/>
          <w:color w:val="auto"/>
        </w:rPr>
        <w:t>. We currently have six issued patents in the U.S. relating to Xyrem listed in FDA’s publication “Approved Drug Products with Therapeutic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Equivalence Evaluations,” or the Orange Book. Our patents relate to Xyrem’s restricted distribution system and a drug-drug interaction, or DDI, between Xyrem and divalproex sodium. In October 2018, as a result of FDA’s grant of pediatric exclusivity, an additional six months was added to the original expiration dates of all of our Orange Book-listed patents that existed at that time. As a result, our Orange Book-listed patents have periods of exclusivity between December 2022 (with an additional six months for pediatric exclusivity) and September 2033. Some of our Xyrem patents have been subject to patent litigation with the companies who filed</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720" w:right="100"/>
        <w:spacing w:after="0" w:line="217" w:lineRule="exact"/>
        <w:rPr>
          <w:sz w:val="20"/>
          <w:szCs w:val="20"/>
          <w:color w:val="auto"/>
        </w:rPr>
      </w:pPr>
      <w:r>
        <w:rPr>
          <w:rFonts w:ascii="Times New Roman" w:cs="Times New Roman" w:eastAsia="Times New Roman" w:hAnsi="Times New Roman"/>
          <w:sz w:val="18"/>
          <w:szCs w:val="18"/>
          <w:color w:val="auto"/>
        </w:rPr>
        <w:t>ANDAs seeking to market a generic version of Xyrem, including challenge through the inter partes review, or IPR, procedures of the Patent Trial and Appeal Board, or PTAB, of the U.S. Patent and Trademark Office, or USPTO. Some IPR petitions were dismissed by the PTAB. However, in July 2018, the United States Court of Appeals for the Federal Circuit upheld on appeal PTAB decisions finding that six patents associated with the Xywav and Xyrem REMS and three claims of a seventh REMS patent were unpatentable. As a result, we will not be able to enforce patents or claims that the PTAB found unpatentable. Although we have settled all patent litigation against the ten companies that filed ANDAs, it is possible that additional companies may challenge our U.S. patents for Xyrem in the future. For a description of our Xyrem settlements, see the risk factor under the heading “The introduction of new products in the U.S. market that compete with, or otherwise disrupt the market for, our oxybate products has adversely affected and may continue to adversely affect sales of our oxybate products” in Part I, Item 1A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additional information on litigation involving or Orange Book-listed patents, see “</w:t>
      </w:r>
      <w:r>
        <w:rPr>
          <w:rFonts w:ascii="Times New Roman" w:cs="Times New Roman" w:eastAsia="Times New Roman" w:hAnsi="Times New Roman"/>
          <w:sz w:val="18"/>
          <w:szCs w:val="18"/>
          <w:i w:val="1"/>
          <w:iCs w:val="1"/>
          <w:color w:val="auto"/>
        </w:rPr>
        <w:t>Avadel Patent Litigation</w:t>
      </w:r>
      <w:r>
        <w:rPr>
          <w:rFonts w:ascii="Times New Roman" w:cs="Times New Roman" w:eastAsia="Times New Roman" w:hAnsi="Times New Roman"/>
          <w:sz w:val="18"/>
          <w:szCs w:val="18"/>
          <w:color w:val="auto"/>
        </w:rPr>
        <w:t>” in Note 14, Commitments and Contingencies-Legal Proceedings of the Notes to Consolidated Financial Statements, included in Part IV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68" w:lineRule="exact"/>
        <w:rPr>
          <w:sz w:val="20"/>
          <w:szCs w:val="20"/>
          <w:color w:val="auto"/>
        </w:rPr>
      </w:pPr>
    </w:p>
    <w:p>
      <w:pPr>
        <w:ind w:left="720" w:right="280"/>
        <w:spacing w:after="0" w:line="256" w:lineRule="auto"/>
        <w:rPr>
          <w:sz w:val="20"/>
          <w:szCs w:val="20"/>
          <w:color w:val="auto"/>
        </w:rPr>
      </w:pPr>
      <w:r>
        <w:rPr>
          <w:rFonts w:ascii="Times New Roman" w:cs="Times New Roman" w:eastAsia="Times New Roman" w:hAnsi="Times New Roman"/>
          <w:sz w:val="18"/>
          <w:szCs w:val="18"/>
          <w:color w:val="auto"/>
        </w:rPr>
        <w:t>A Xyrem formulation patent that had issued in multiple non-U.S. countries expired in 2019. The European Patent Office has issued a method of administration patent relating to the DDI between Xyrem and divalproex sodium that will expire in 2034. That patent is licensed to UCB as the marketing authorization holder outside of the U.S. and Canada, and UCB has the right to enforce it. In addition to our issued patents, we have patent applications relating to Xyrem pending in the U.S. and other countries.</w:t>
      </w:r>
    </w:p>
    <w:p>
      <w:pPr>
        <w:spacing w:after="0" w:line="73" w:lineRule="exact"/>
        <w:rPr>
          <w:sz w:val="20"/>
          <w:szCs w:val="20"/>
          <w:color w:val="auto"/>
        </w:rPr>
      </w:pPr>
    </w:p>
    <w:p>
      <w:pPr>
        <w:ind w:left="720" w:hanging="314"/>
        <w:spacing w:after="0" w:line="217" w:lineRule="exact"/>
        <w:tabs>
          <w:tab w:leader="none" w:pos="71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Epidiolex. </w:t>
      </w:r>
      <w:r>
        <w:rPr>
          <w:rFonts w:ascii="Times New Roman" w:cs="Times New Roman" w:eastAsia="Times New Roman" w:hAnsi="Times New Roman"/>
          <w:sz w:val="17"/>
          <w:szCs w:val="17"/>
          <w:color w:val="auto"/>
        </w:rPr>
        <w:t>Our patent portfolio relating to the use of CBD in the treatment of epileptic encephalopathies includes 28 issued U.S. patents listed in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Orange Book. These patents claim the use of CBD for the treatment of convulsive, drop and atonic seizures associated with both LGS and DS, an oral composition of CBD, as well as the use of CBD in combination with clobazam, and the teaching that dose adjustment may be needed when concomitantly prescribed. The patents currently listed in the Orange Book will expire between 2035 and 2041. We have filed corresponding patent applications in many jurisdictions worldwide, including Europe, U.K., Canada, Japan, Mexico, Australia and New Zealand. The USPTO has granted a patent based on data that demonstrates that Epidiolex provides a benefit over synthetic CBD in an animal model of epilepsy, which will expire in 2039 and we have listed it in the Orange Book. Epidiolex has received ODE to treat seizures associated with LGS and DS through 2025 and TSC through 2027. Some of our Epidiolex patents have been subject to patent litigation with the companies who filed ANDAs seeking to market a generic version of Epidiolex. In November and December 2022, ten companies sent us notices that they had filed ANDAs seeking approval to market a generic version of Epidiolex. For additional information on litigation involving these matters, see Note 14, Commitments and Contingencies-Legal Proceedings of the Notes to Consolidated Financial Statements, included in Part IV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w:t>
      </w:r>
    </w:p>
    <w:p>
      <w:pPr>
        <w:spacing w:after="0" w:line="66" w:lineRule="exact"/>
        <w:rPr>
          <w:rFonts w:ascii="Times New Roman" w:cs="Times New Roman" w:eastAsia="Times New Roman" w:hAnsi="Times New Roman"/>
          <w:sz w:val="17"/>
          <w:szCs w:val="17"/>
          <w:color w:val="auto"/>
        </w:rPr>
      </w:pPr>
    </w:p>
    <w:p>
      <w:pPr>
        <w:ind w:left="720" w:right="40" w:hanging="314"/>
        <w:spacing w:after="0" w:line="252" w:lineRule="auto"/>
        <w:tabs>
          <w:tab w:leader="none" w:pos="7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Zepzelca</w:t>
      </w:r>
      <w:r>
        <w:rPr>
          <w:rFonts w:ascii="Times New Roman" w:cs="Times New Roman" w:eastAsia="Times New Roman" w:hAnsi="Times New Roman"/>
          <w:sz w:val="18"/>
          <w:szCs w:val="18"/>
          <w:color w:val="auto"/>
        </w:rPr>
        <w:t>. In December 2019, we entered into an exclusive license agreement with PharmaMar pursuant to which we obtained exclusive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and commercialization rights to Zepzelca. In October 2020, we entered into the amended license agreement which expanded our exclusive license to include rights to develop and commercialize Zepzelca in Canada. We have a portfolio of in-licensed U.S. and Canadian patents for lurbinectedin relating to compositions, methods of use, and processes. For example, one Orange Book listed U.S. patent (expiring in 2029, with granted patent term extension) covers a genus of compounds, including lurbinectedin, and use in treating various cancers. A request for extension (CSP) has also been filed in Canada. Zepzelca has also been granted ODE for the treatment of adults with metastatic SCLC with disease progression on or after platinum-based chemotherapy until 2027 and new chemical entity exclusivity until 2025 in the U.S.</w:t>
      </w:r>
    </w:p>
    <w:p>
      <w:pPr>
        <w:spacing w:after="0" w:line="76" w:lineRule="exact"/>
        <w:rPr>
          <w:rFonts w:ascii="Times New Roman" w:cs="Times New Roman" w:eastAsia="Times New Roman" w:hAnsi="Times New Roman"/>
          <w:sz w:val="18"/>
          <w:szCs w:val="18"/>
          <w:color w:val="auto"/>
        </w:rPr>
      </w:pPr>
    </w:p>
    <w:p>
      <w:pPr>
        <w:ind w:left="720" w:hanging="314"/>
        <w:spacing w:after="0" w:line="239" w:lineRule="auto"/>
        <w:tabs>
          <w:tab w:leader="none" w:pos="7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Rylaze</w:t>
      </w:r>
      <w:r>
        <w:rPr>
          <w:rFonts w:ascii="Times New Roman" w:cs="Times New Roman" w:eastAsia="Times New Roman" w:hAnsi="Times New Roman"/>
          <w:sz w:val="18"/>
          <w:szCs w:val="18"/>
          <w:color w:val="auto"/>
        </w:rPr>
        <w:t>. In 2016, we obtained worldwide rights from Pfenex, Inc., or Pfenex, including Pfenex’s patent rights relating to Rylaze, to develop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commercialize multiple early-stage hematology product candidates, including a license to two U.S. process patents relating to Rylaze, with respective expirations in 2026 and 2038. Pfenex has been acquired by Ligand Pharmaceuticals Incorporated. Rylaze has been granted orphan drug designation for the treatment of patients with ALL or LBL. We have two patent application families relating to dosing regimens. One covers the dosing regimen (25mg/m</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intramuscularly every 48 hours), while the other covers various dosing regimens of interest. If issued, these would expire in 2040 and 2042, respectively. Another patent application relating to formulations of asparaginase would expire in 2042, if issued.</w:t>
      </w:r>
    </w:p>
    <w:p>
      <w:pPr>
        <w:spacing w:after="0" w:line="90" w:lineRule="exact"/>
        <w:rPr>
          <w:rFonts w:ascii="Times New Roman" w:cs="Times New Roman" w:eastAsia="Times New Roman" w:hAnsi="Times New Roman"/>
          <w:sz w:val="18"/>
          <w:szCs w:val="18"/>
          <w:color w:val="auto"/>
        </w:rPr>
      </w:pPr>
    </w:p>
    <w:p>
      <w:pPr>
        <w:ind w:left="720" w:right="80" w:hanging="314"/>
        <w:spacing w:after="0" w:line="253" w:lineRule="auto"/>
        <w:tabs>
          <w:tab w:leader="none" w:pos="7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Vyxeos. </w:t>
      </w:r>
      <w:r>
        <w:rPr>
          <w:rFonts w:ascii="Times New Roman" w:cs="Times New Roman" w:eastAsia="Times New Roman" w:hAnsi="Times New Roman"/>
          <w:sz w:val="18"/>
          <w:szCs w:val="18"/>
          <w:color w:val="auto"/>
        </w:rPr>
        <w:t>We have a portfolio of U.S. and non-U.S. patents and patent applications for Vyxeos and the CombiPlex technology platform relating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various compositions and methods of making and use. These include seven U.S. patents covering Vyxeos compositions and methods of use expiring between 2025 and 2032 and two U.S. patents covering CombiPlex (which also cover Vyxeos) expiring in January 2027. These patents are listed in the Orange Book. Vyxeos has been granted ODE by FDA until August 2024, seven years from its FDA approval, for the treatment of adults with newly-diagnosed t-AML or AML-MRC. In March 2021, FDA approved an expanded label for Vyxeos for the treatment of t-AML or AML-MRC in pediatric patients 1 year and older. In addition, Vyxeos has</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720" w:right="60"/>
        <w:spacing w:after="0" w:line="261" w:lineRule="auto"/>
        <w:rPr>
          <w:sz w:val="20"/>
          <w:szCs w:val="20"/>
          <w:color w:val="auto"/>
        </w:rPr>
      </w:pPr>
      <w:r>
        <w:rPr>
          <w:rFonts w:ascii="Times New Roman" w:cs="Times New Roman" w:eastAsia="Times New Roman" w:hAnsi="Times New Roman"/>
          <w:sz w:val="18"/>
          <w:szCs w:val="18"/>
          <w:color w:val="auto"/>
        </w:rPr>
        <w:t>been granted orphan drug designation by the EC until August 2028, ten years from its EC approval for the treatment of adults with newly-diagnosed t-AML or AML-MRC and was approved by Health Canada for treatment of adults with newly diagnosed t-AML or AML-MRC in April 2021.</w:t>
      </w:r>
    </w:p>
    <w:p>
      <w:pPr>
        <w:spacing w:after="0" w:line="68" w:lineRule="exact"/>
        <w:rPr>
          <w:sz w:val="20"/>
          <w:szCs w:val="20"/>
          <w:color w:val="auto"/>
        </w:rPr>
      </w:pPr>
    </w:p>
    <w:p>
      <w:pPr>
        <w:ind w:left="720" w:hanging="314"/>
        <w:spacing w:after="0" w:line="252" w:lineRule="auto"/>
        <w:tabs>
          <w:tab w:leader="none" w:pos="7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Defitelio</w:t>
      </w:r>
      <w:r>
        <w:rPr>
          <w:rFonts w:ascii="Times New Roman" w:cs="Times New Roman" w:eastAsia="Times New Roman" w:hAnsi="Times New Roman"/>
          <w:sz w:val="18"/>
          <w:szCs w:val="18"/>
          <w:color w:val="auto"/>
        </w:rPr>
        <w:t>. The unique process of deriving defibrotide from porcine DNA is extensive and uses both chemical and biological processes that rely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complex characterization methods. We have U.S. and non-U.S. patents and patent applications relating to various compositions, methods of use and methods of characterization, with the issued patents expiring at various times between 2021 and 2035. Three U.S. patents are listed in the Orange Book. Defibrotide has also been granted orphan drug designation by the Korean Ministry of Food and Drug Safety to treat and prevent VOD, by the Commonwealth of Australia-Department of Health for the treatment of VOD and by the EC for the prevention of acute Graft-versus-Host Disease and has also received approvals in Canada, Brazil and Switzerland. We acquired the rights to defibrotide for the treatment and prevention of VOD in North America, Central America and South America from Sigma-Tau Pharmaceuticals, Inc. in 2014.</w:t>
      </w:r>
    </w:p>
    <w:p>
      <w:pPr>
        <w:spacing w:after="0" w:line="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patents and/or patent applications that relate to our product candidates include:</w:t>
      </w:r>
    </w:p>
    <w:p>
      <w:pPr>
        <w:spacing w:after="0" w:line="110" w:lineRule="exact"/>
        <w:rPr>
          <w:sz w:val="20"/>
          <w:szCs w:val="20"/>
          <w:color w:val="auto"/>
        </w:rPr>
      </w:pPr>
    </w:p>
    <w:p>
      <w:pPr>
        <w:ind w:left="720" w:right="40" w:hanging="314"/>
        <w:spacing w:after="0" w:line="262" w:lineRule="auto"/>
        <w:tabs>
          <w:tab w:leader="none" w:pos="7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Zanidatamab</w:t>
      </w:r>
      <w:r>
        <w:rPr>
          <w:rFonts w:ascii="Times New Roman" w:cs="Times New Roman" w:eastAsia="Times New Roman" w:hAnsi="Times New Roman"/>
          <w:sz w:val="18"/>
          <w:szCs w:val="18"/>
          <w:color w:val="auto"/>
        </w:rPr>
        <w:t>. Through a license agreement with Zymeworks BC Inc. in 2022, we obtained a license to a portfolio of U.S. and non-U.S. patents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patent applications, including rights relating to compositions and methods of using zanidatamab. The portfolio contains a U.S. composition of matter patent relating to zanidatamab, which expires in 2034 (excluding any adjustments or extensions).</w:t>
      </w:r>
    </w:p>
    <w:p>
      <w:pPr>
        <w:spacing w:after="0" w:line="67" w:lineRule="exact"/>
        <w:rPr>
          <w:rFonts w:ascii="Times New Roman" w:cs="Times New Roman" w:eastAsia="Times New Roman" w:hAnsi="Times New Roman"/>
          <w:sz w:val="18"/>
          <w:szCs w:val="18"/>
          <w:color w:val="auto"/>
        </w:rPr>
      </w:pPr>
    </w:p>
    <w:p>
      <w:pPr>
        <w:ind w:left="720" w:right="140" w:hanging="314"/>
        <w:spacing w:after="0" w:line="262" w:lineRule="auto"/>
        <w:tabs>
          <w:tab w:leader="none" w:pos="7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JZP815</w:t>
      </w:r>
      <w:r>
        <w:rPr>
          <w:rFonts w:ascii="Times New Roman" w:cs="Times New Roman" w:eastAsia="Times New Roman" w:hAnsi="Times New Roman"/>
          <w:sz w:val="18"/>
          <w:szCs w:val="18"/>
          <w:color w:val="auto"/>
        </w:rPr>
        <w:t>. Through a collaboration agreement and an asset purchase agreement with Redx in 2019, we acquired a portfolio of U.S. and non-U.S.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patents and patent applications, including rights relating to compositions and methods of using JZP815. The portfolio contains a U.S. composition of matter patent relating to JZP815, which expires in 2035 (excluding any adjustments or extensions).</w:t>
      </w:r>
    </w:p>
    <w:p>
      <w:pPr>
        <w:spacing w:after="0" w:line="67" w:lineRule="exact"/>
        <w:rPr>
          <w:rFonts w:ascii="Times New Roman" w:cs="Times New Roman" w:eastAsia="Times New Roman" w:hAnsi="Times New Roman"/>
          <w:sz w:val="18"/>
          <w:szCs w:val="18"/>
          <w:color w:val="auto"/>
        </w:rPr>
      </w:pPr>
    </w:p>
    <w:p>
      <w:pPr>
        <w:ind w:left="720" w:right="300" w:hanging="314"/>
        <w:spacing w:after="0" w:line="262" w:lineRule="auto"/>
        <w:tabs>
          <w:tab w:leader="none" w:pos="7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JZP898</w:t>
      </w:r>
      <w:r>
        <w:rPr>
          <w:rFonts w:ascii="Times New Roman" w:cs="Times New Roman" w:eastAsia="Times New Roman" w:hAnsi="Times New Roman"/>
          <w:sz w:val="18"/>
          <w:szCs w:val="18"/>
          <w:color w:val="auto"/>
        </w:rPr>
        <w:t>. Through a license agreement with Werewolf in 2022, we obtained a license to a portfolio of U.S. and non-U.S. patents and patent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applications, including rights relating to compositions and methods of using JZP898. The portfolio contains a U.S. composition of matter patent relating to JZP898, which, if granted, expires in 2040 (excluding any adjustments or extensions).</w:t>
      </w:r>
    </w:p>
    <w:p>
      <w:pPr>
        <w:spacing w:after="0" w:line="67" w:lineRule="exact"/>
        <w:rPr>
          <w:rFonts w:ascii="Times New Roman" w:cs="Times New Roman" w:eastAsia="Times New Roman" w:hAnsi="Times New Roman"/>
          <w:sz w:val="18"/>
          <w:szCs w:val="18"/>
          <w:color w:val="auto"/>
        </w:rPr>
      </w:pPr>
    </w:p>
    <w:p>
      <w:pPr>
        <w:ind w:left="720" w:hanging="314"/>
        <w:spacing w:after="0" w:line="257" w:lineRule="auto"/>
        <w:tabs>
          <w:tab w:leader="none" w:pos="7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Suvecaltamide (JZP385)</w:t>
      </w:r>
      <w:r>
        <w:rPr>
          <w:rFonts w:ascii="Times New Roman" w:cs="Times New Roman" w:eastAsia="Times New Roman" w:hAnsi="Times New Roman"/>
          <w:sz w:val="18"/>
          <w:szCs w:val="18"/>
          <w:color w:val="auto"/>
        </w:rPr>
        <w:t>. Through the acquisition of Cavion in 2019, we obtained a portfolio of U.S. and non-U.S. patents and patent applications,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rights relating to compositions and methods of using suvecaltamide. The portfolio includes a U.S. composition of matter patent relating to suvecaltamide, which expires in 2027, but which may be extended to 2032 depending on regulatory approval. A U.S. patent to the treatment of ET may provide supplemental protection to 2039.</w:t>
      </w:r>
    </w:p>
    <w:p>
      <w:pPr>
        <w:spacing w:after="0" w:line="71" w:lineRule="exact"/>
        <w:rPr>
          <w:rFonts w:ascii="Times New Roman" w:cs="Times New Roman" w:eastAsia="Times New Roman" w:hAnsi="Times New Roman"/>
          <w:sz w:val="18"/>
          <w:szCs w:val="18"/>
          <w:color w:val="auto"/>
        </w:rPr>
      </w:pPr>
    </w:p>
    <w:p>
      <w:pPr>
        <w:ind w:left="720" w:right="300" w:hanging="314"/>
        <w:spacing w:after="0" w:line="262" w:lineRule="auto"/>
        <w:tabs>
          <w:tab w:leader="none" w:pos="7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JZP441</w:t>
      </w:r>
      <w:r>
        <w:rPr>
          <w:rFonts w:ascii="Times New Roman" w:cs="Times New Roman" w:eastAsia="Times New Roman" w:hAnsi="Times New Roman"/>
          <w:sz w:val="18"/>
          <w:szCs w:val="18"/>
          <w:color w:val="auto"/>
        </w:rPr>
        <w:t>. Through a license agreement with Sumitomo in 2022, we obtained a license to a portfolio of U.S. and non-U.S. patents and patent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applications, including rights relating to compositions and methods of using JZP441. The portfolio contains a U.S. composition of matter patent relating to JZP441, which expires in 2040 (excluding any adjustments or extensions).</w:t>
      </w:r>
    </w:p>
    <w:p>
      <w:pPr>
        <w:spacing w:after="0" w:line="70" w:lineRule="exact"/>
        <w:rPr>
          <w:sz w:val="20"/>
          <w:szCs w:val="20"/>
          <w:color w:val="auto"/>
        </w:rPr>
      </w:pPr>
    </w:p>
    <w:p>
      <w:pPr>
        <w:ind w:firstLine="439"/>
        <w:spacing w:after="0" w:line="225" w:lineRule="exact"/>
        <w:rPr>
          <w:sz w:val="20"/>
          <w:szCs w:val="20"/>
          <w:color w:val="auto"/>
        </w:rPr>
      </w:pPr>
      <w:r>
        <w:rPr>
          <w:rFonts w:ascii="Times New Roman" w:cs="Times New Roman" w:eastAsia="Times New Roman" w:hAnsi="Times New Roman"/>
          <w:sz w:val="18"/>
          <w:szCs w:val="18"/>
          <w:color w:val="auto"/>
        </w:rPr>
        <w:t>In addition, we have rights to a number of trademarks and service marks, and pending trademark and service mark applications, in the U.S. and elsewhere in the world to further protect the proprietary position of our products. For a discussion of the challenges we face in obtaining or maintaining patent and/or trade secret protection, see the risk factors under the heading “Risks Related to Our Intellectual Property” in Part I, Item 1A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14" w:lineRule="exact"/>
        <w:rPr>
          <w:sz w:val="20"/>
          <w:szCs w:val="20"/>
          <w:color w:val="auto"/>
        </w:rPr>
      </w:pPr>
    </w:p>
    <w:p>
      <w:pPr>
        <w:ind w:right="240" w:firstLine="439"/>
        <w:spacing w:after="0" w:line="256" w:lineRule="auto"/>
        <w:rPr>
          <w:sz w:val="20"/>
          <w:szCs w:val="20"/>
          <w:color w:val="auto"/>
        </w:rPr>
      </w:pPr>
      <w:r>
        <w:rPr>
          <w:rFonts w:ascii="Times New Roman" w:cs="Times New Roman" w:eastAsia="Times New Roman" w:hAnsi="Times New Roman"/>
          <w:sz w:val="18"/>
          <w:szCs w:val="18"/>
          <w:color w:val="auto"/>
        </w:rPr>
        <w:t>As a global pharmaceutical company, our activities are subject to extensive regulation in the U.S., Europe and other countries where we do business. Regulatory requirements encompass the entire life cycle of pharmaceutical products, from research and development activities to marketing approval, manufacturing, labeling, packaging, adverse event and safety reporting, storage, advertising, promotion, sale, pricing and reimbursement, recordkeeping, distribution, importing and exporting. Regulations differ from country to country and are constantly evolving.</w:t>
      </w:r>
    </w:p>
    <w:p>
      <w:pPr>
        <w:spacing w:after="0" w:line="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Testing and Approval of Pharmaceutical Products</w:t>
      </w:r>
    </w:p>
    <w:p>
      <w:pPr>
        <w:spacing w:after="0" w:line="116" w:lineRule="exact"/>
        <w:rPr>
          <w:sz w:val="20"/>
          <w:szCs w:val="20"/>
          <w:color w:val="auto"/>
        </w:rPr>
      </w:pPr>
    </w:p>
    <w:p>
      <w:pPr>
        <w:ind w:right="60" w:firstLine="439"/>
        <w:spacing w:after="0" w:line="276" w:lineRule="auto"/>
        <w:rPr>
          <w:sz w:val="20"/>
          <w:szCs w:val="20"/>
          <w:color w:val="auto"/>
        </w:rPr>
      </w:pPr>
      <w:r>
        <w:rPr>
          <w:rFonts w:ascii="Times New Roman" w:cs="Times New Roman" w:eastAsia="Times New Roman" w:hAnsi="Times New Roman"/>
          <w:sz w:val="17"/>
          <w:szCs w:val="17"/>
          <w:color w:val="auto"/>
        </w:rPr>
        <w:t>We are not permitted to market a product in a country until we receive approval from the relevant regulatory authority, such as FDA in the U.S. and the EC or the competent authorities of the EU member states. An application for marketing approval must contain information generated by the applicant, also called a sponsor, demonstrating the quality, safety and efficacy of the product candidate, including data from preclinical and clinical trials, proposed product packaging and labeling and information pertaining to product formulation and the manufacture and analytical testing of the API and the finished product.</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40" w:firstLine="439"/>
        <w:spacing w:after="0" w:line="276" w:lineRule="auto"/>
        <w:rPr>
          <w:sz w:val="20"/>
          <w:szCs w:val="20"/>
          <w:color w:val="auto"/>
        </w:rPr>
      </w:pPr>
      <w:r>
        <w:rPr>
          <w:rFonts w:ascii="Times New Roman" w:cs="Times New Roman" w:eastAsia="Times New Roman" w:hAnsi="Times New Roman"/>
          <w:sz w:val="18"/>
          <w:szCs w:val="18"/>
          <w:color w:val="auto"/>
        </w:rPr>
        <w:t>In the U.S., FDA reviews and, if warranted, approves applications for marketing approval. The process for obtaining marketing approval in the U.S. for a drug or biologic product candidate generally includes:</w:t>
      </w:r>
    </w:p>
    <w:p>
      <w:pPr>
        <w:spacing w:after="0" w:line="56" w:lineRule="exact"/>
        <w:rPr>
          <w:sz w:val="20"/>
          <w:szCs w:val="20"/>
          <w:color w:val="auto"/>
        </w:rPr>
      </w:pPr>
    </w:p>
    <w:p>
      <w:pPr>
        <w:ind w:left="720" w:right="700" w:hanging="314"/>
        <w:spacing w:after="0" w:line="276" w:lineRule="auto"/>
        <w:tabs>
          <w:tab w:leader="none" w:pos="7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preclinical laboratory and animal testing and submitting the results to FDA in an investigational new drug, or IND, application requesting approval to test the product candidate in human clinical trials;</w:t>
      </w:r>
    </w:p>
    <w:p>
      <w:pPr>
        <w:spacing w:after="0" w:line="56" w:lineRule="exact"/>
        <w:rPr>
          <w:rFonts w:ascii="Times New Roman" w:cs="Times New Roman" w:eastAsia="Times New Roman" w:hAnsi="Times New Roman"/>
          <w:sz w:val="18"/>
          <w:szCs w:val="18"/>
          <w:color w:val="auto"/>
        </w:rPr>
      </w:pPr>
    </w:p>
    <w:p>
      <w:pPr>
        <w:ind w:left="720" w:hanging="314"/>
        <w:spacing w:after="0"/>
        <w:tabs>
          <w:tab w:leader="none" w:pos="7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conducting adequate and well-controlled human clinical trials to establish the safety and efficacy of the product candidate in the desired indication;</w:t>
      </w:r>
    </w:p>
    <w:p>
      <w:pPr>
        <w:spacing w:after="0" w:line="123" w:lineRule="exact"/>
        <w:rPr>
          <w:rFonts w:ascii="Times New Roman" w:cs="Times New Roman" w:eastAsia="Times New Roman" w:hAnsi="Times New Roman"/>
          <w:sz w:val="17"/>
          <w:szCs w:val="17"/>
          <w:color w:val="auto"/>
        </w:rPr>
      </w:pPr>
    </w:p>
    <w:p>
      <w:pPr>
        <w:ind w:left="720" w:hanging="314"/>
        <w:spacing w:after="0"/>
        <w:tabs>
          <w:tab w:leader="none" w:pos="7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submitting an NDA, supplemental New Drug Application, or sNDA or BLA as appropriate, to FDA seeking approval for a specific indication; and</w:t>
      </w:r>
    </w:p>
    <w:p>
      <w:pPr>
        <w:spacing w:after="0" w:line="123" w:lineRule="exact"/>
        <w:rPr>
          <w:rFonts w:ascii="Times New Roman" w:cs="Times New Roman" w:eastAsia="Times New Roman" w:hAnsi="Times New Roman"/>
          <w:sz w:val="17"/>
          <w:szCs w:val="17"/>
          <w:color w:val="auto"/>
        </w:rPr>
      </w:pPr>
    </w:p>
    <w:p>
      <w:pPr>
        <w:ind w:left="720" w:right="100" w:hanging="314"/>
        <w:spacing w:after="0" w:line="261" w:lineRule="auto"/>
        <w:tabs>
          <w:tab w:leader="none" w:pos="7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inspections by FDA of the facilities where the product candidate is manufactured, analyzed and stored to demonstrate compliance with current Good Manufacturing Practices, or cGMP, and any requested FDA audits of the clinical trial sites that generated the data supporting the application.</w:t>
      </w:r>
    </w:p>
    <w:p>
      <w:pPr>
        <w:spacing w:after="0" w:line="70" w:lineRule="exact"/>
        <w:rPr>
          <w:sz w:val="20"/>
          <w:szCs w:val="20"/>
          <w:color w:val="auto"/>
        </w:rPr>
      </w:pPr>
    </w:p>
    <w:p>
      <w:pPr>
        <w:ind w:firstLine="439"/>
        <w:spacing w:after="0" w:line="250" w:lineRule="auto"/>
        <w:rPr>
          <w:sz w:val="20"/>
          <w:szCs w:val="20"/>
          <w:color w:val="auto"/>
        </w:rPr>
      </w:pPr>
      <w:r>
        <w:rPr>
          <w:rFonts w:ascii="Times New Roman" w:cs="Times New Roman" w:eastAsia="Times New Roman" w:hAnsi="Times New Roman"/>
          <w:sz w:val="18"/>
          <w:szCs w:val="18"/>
          <w:color w:val="auto"/>
        </w:rPr>
        <w:t>Human clinical trials conducted before approval of a product generally proceed in three sequential phases, although the phases may overlap. In Phase 1, the initial introduction of the product candidate in humans, the product candidate is typically tested to assess metabolism, pharmacokinetics, pharmacological actions and tolerability, including side effects associated with increasing doses. Phase 2 usually involves clinical trials in a limited patient population to determine the effectiveness of the product candidate for a particular indication or indications, dosage tolerance and optimum dosage and to identify common adverse effects and safety risks. If a product candidate demonstrates evidence of effectiveness and an acceptable safety profile in Phase 2, Phase 3 clinical trials are undertaken to obtain additional information about clinical efficacy and safety in a larger number of patients. Clinical trials must be conducted in accordance with specific protocols, as well as FDA requirements related to conducting the trials and recording and reporting the results, commonly referred to as good clinical practices, to ensure that the resulting data are credible and accurate and that the trial participants are adequately protected. FDA enforces good clinical practices through periodic inspections of trial sponsors, clinical investigators and trial sites.</w:t>
      </w:r>
    </w:p>
    <w:p>
      <w:pPr>
        <w:spacing w:after="0" w:line="83" w:lineRule="exact"/>
        <w:rPr>
          <w:sz w:val="20"/>
          <w:szCs w:val="20"/>
          <w:color w:val="auto"/>
        </w:rPr>
      </w:pPr>
    </w:p>
    <w:p>
      <w:pPr>
        <w:ind w:right="60" w:firstLine="439"/>
        <w:spacing w:after="0" w:line="252" w:lineRule="auto"/>
        <w:rPr>
          <w:sz w:val="20"/>
          <w:szCs w:val="20"/>
          <w:color w:val="auto"/>
        </w:rPr>
      </w:pPr>
      <w:r>
        <w:rPr>
          <w:rFonts w:ascii="Times New Roman" w:cs="Times New Roman" w:eastAsia="Times New Roman" w:hAnsi="Times New Roman"/>
          <w:sz w:val="18"/>
          <w:szCs w:val="18"/>
          <w:color w:val="auto"/>
        </w:rPr>
        <w:t>Once an NDA, sNDA or BLA has been compiled and submitted, FDA performs an initial review before it accepts the application for filing. FDA may refuse to file an application and/or request additional information before acceptance. Once accepted for filing, FDA begins an in-depth review of the application. Under the current goals and policies agreed to by FDA under the Prescription Drug User Fee Act, or PDUFA, for a new molecular entity, FDA has ten months from the filing decision in which to complete its initial review of a standard application and respond to the applicant, and six months from the filing decision for a priority application. FDA does not always meet its PDUFA goal dates, and in certain circumstances, the PDUFA goal date may be extended.</w:t>
      </w:r>
    </w:p>
    <w:p>
      <w:pPr>
        <w:spacing w:after="0" w:line="80" w:lineRule="exact"/>
        <w:rPr>
          <w:sz w:val="20"/>
          <w:szCs w:val="20"/>
          <w:color w:val="auto"/>
        </w:rPr>
      </w:pPr>
    </w:p>
    <w:p>
      <w:pPr>
        <w:ind w:right="160" w:firstLine="439"/>
        <w:spacing w:after="0" w:line="267" w:lineRule="auto"/>
        <w:rPr>
          <w:sz w:val="20"/>
          <w:szCs w:val="20"/>
          <w:color w:val="auto"/>
        </w:rPr>
      </w:pPr>
      <w:r>
        <w:rPr>
          <w:rFonts w:ascii="Times New Roman" w:cs="Times New Roman" w:eastAsia="Times New Roman" w:hAnsi="Times New Roman"/>
          <w:sz w:val="17"/>
          <w:szCs w:val="17"/>
          <w:color w:val="auto"/>
        </w:rPr>
        <w:t>FDA also has various programs, including Fast Track, Priority Review, Breakthrough Therapy and Accelerated Approval (Subpart H and E), RTOR pilot program, that are intended to expedite the process for reviewing certain applications and/or provide for approval on the basis of surrogate endpoints or restricted distribution. Generally, products may be eligible for one or more of these programs if they are intended for serious or life-threatening diseases or conditions, have potential to address unmet medical needs, or may provide meaningful benefit over existing treatments. For example, FDA granted Vyxeos Breakthrough Therapy and Fast Track designations and granted Priority Review with respect to our NDA for Vyxeos for the treatment of t-AML and AML-MRC that was approved in August 2017. In addition, a priority review voucher, or PRV, may be used to obtain priority review by FDA for one of our future regulatory submissions. We used the PRV we acquired in May 2018 to obtain priority review for our Xywav for the treatment of IH sNDA, which was approved by FDA in August 2021. In June 2020, FDA granted Accelerated Approval to Zepzelca for relapsed SCLC. In December 2020, we initiated the submission of a BLA for Rylaze for ALL under the RTOR pilot program, which was approved by FDA in June 2021.</w:t>
      </w:r>
    </w:p>
    <w:p>
      <w:pPr>
        <w:spacing w:after="0" w:line="66" w:lineRule="exact"/>
        <w:rPr>
          <w:sz w:val="20"/>
          <w:szCs w:val="20"/>
          <w:color w:val="auto"/>
        </w:rPr>
      </w:pPr>
    </w:p>
    <w:p>
      <w:pPr>
        <w:ind w:right="20" w:firstLine="439"/>
        <w:spacing w:after="0" w:line="270" w:lineRule="auto"/>
        <w:rPr>
          <w:sz w:val="20"/>
          <w:szCs w:val="20"/>
          <w:color w:val="auto"/>
        </w:rPr>
      </w:pPr>
      <w:r>
        <w:rPr>
          <w:rFonts w:ascii="Times New Roman" w:cs="Times New Roman" w:eastAsia="Times New Roman" w:hAnsi="Times New Roman"/>
          <w:sz w:val="17"/>
          <w:szCs w:val="17"/>
          <w:color w:val="auto"/>
        </w:rPr>
        <w:t>During its review of an application, FDA evaluates whether the product demonstrates the required level of safety and efficacy for the indication for which approval is sought and conducts the inspections and audits described above. FDA may also refer an application to an advisory committee, typically a panel of clinicians, for review, evaluation and a non-binding recommendation as to whether the application should be approved. When FDA completes its evaluation, it issues either an approval letter or a complete response letter. A complete response letter generally outlines what FDA considers to be the deficiencies in the application and may indicate that substantial additional testing or information is required prior to FDA approval of the product. If and when identified deficiencies have been addressed to FDA’s satisfaction after a review of the resubmission of the application FDA will issue an approval letter.</w:t>
      </w:r>
    </w:p>
    <w:p>
      <w:pPr>
        <w:spacing w:after="0" w:line="65" w:lineRule="exact"/>
        <w:rPr>
          <w:sz w:val="20"/>
          <w:szCs w:val="20"/>
          <w:color w:val="auto"/>
        </w:rPr>
      </w:pPr>
    </w:p>
    <w:p>
      <w:pPr>
        <w:ind w:right="240" w:firstLine="439"/>
        <w:spacing w:after="0" w:line="254" w:lineRule="auto"/>
        <w:rPr>
          <w:sz w:val="20"/>
          <w:szCs w:val="20"/>
          <w:color w:val="auto"/>
        </w:rPr>
      </w:pPr>
      <w:r>
        <w:rPr>
          <w:rFonts w:ascii="Times New Roman" w:cs="Times New Roman" w:eastAsia="Times New Roman" w:hAnsi="Times New Roman"/>
          <w:sz w:val="18"/>
          <w:szCs w:val="18"/>
          <w:color w:val="auto"/>
        </w:rPr>
        <w:t>Even if a product is approved, the approval may be subject to limitations based on FDA’s interpretation of the data submitted in the application. For example, as a condition of approval, FDA may require the sponsor to agree to certain post-marketing requirements, such as conducting Phase 4, or post-approval, clinical trials to gain additional safety data or to document a clinical benefit in the case of products approved under Accelerated Approval regulations. FDA’s approval of the NDA for Defitelio included a number of post-marketing commitments and requirements, including the requirement that we conduct a clinical trial to analyze the safety of defibrotide versus best supportive care in the prevention of VOD in adult and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pediatric patients. For its approval of Vyxeos, FDA required that we conduct a safety study to characterize infusion-related reactions in patients treated with Vyxeos and a clinical trial to determine dosing to minimize toxicity in patients with moderate and severe renal impairment. Further, FDA granted Accelerated Approval to Zepzelca for relapsed SCLC based on data from a Phase 2 trial, which approval is contingent upon verification and description of clinical benefit in a post-marketing clinical trial.</w:t>
      </w:r>
    </w:p>
    <w:p>
      <w:pPr>
        <w:spacing w:after="0" w:line="75" w:lineRule="exact"/>
        <w:rPr>
          <w:sz w:val="20"/>
          <w:szCs w:val="20"/>
          <w:color w:val="auto"/>
        </w:rPr>
      </w:pPr>
    </w:p>
    <w:p>
      <w:pPr>
        <w:ind w:right="80" w:firstLine="439"/>
        <w:spacing w:after="0" w:line="220" w:lineRule="exact"/>
        <w:rPr>
          <w:sz w:val="20"/>
          <w:szCs w:val="20"/>
          <w:color w:val="auto"/>
        </w:rPr>
      </w:pPr>
      <w:r>
        <w:rPr>
          <w:rFonts w:ascii="Times New Roman" w:cs="Times New Roman" w:eastAsia="Times New Roman" w:hAnsi="Times New Roman"/>
          <w:sz w:val="18"/>
          <w:szCs w:val="18"/>
          <w:color w:val="auto"/>
        </w:rPr>
        <w:t>In addition, if FDA determines that a REMS is necessary to ensure that the benefits of the product outweigh the risks, a sponsor may be required to include a proposed REMS (either as part of the application or after approval), which may include a patient package insert or a medication guide to provide information to consumers about the product’s risks and benefits; a plan for communication to healthcare providers; or conditions on the product’s prescribing or distribution referred to as elements to assure safe use. Xywav and Xyrem are required to have a REMS. For more discussion regarding the Xywav and Xyrem REMS, see the risk factors under the headings “</w:t>
      </w:r>
      <w:r>
        <w:rPr>
          <w:rFonts w:ascii="Times New Roman" w:cs="Times New Roman" w:eastAsia="Times New Roman" w:hAnsi="Times New Roman"/>
          <w:sz w:val="18"/>
          <w:szCs w:val="18"/>
          <w:i w:val="1"/>
          <w:iCs w:val="1"/>
          <w:color w:val="auto"/>
        </w:rPr>
        <w:t>The distribution and sale of our oxybate products are subject to significant regulatory restrictions,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including the requirements of a REMS, and these regulatory requirements subject us to risks and uncertainties, any of which could negatively impact sales of Xywav and Xyrem</w:t>
      </w:r>
      <w:r>
        <w:rPr>
          <w:rFonts w:ascii="Times New Roman" w:cs="Times New Roman" w:eastAsia="Times New Roman" w:hAnsi="Times New Roman"/>
          <w:sz w:val="18"/>
          <w:szCs w:val="18"/>
          <w:color w:val="auto"/>
        </w:rPr>
        <w:t>” and “Risks Related to Our Intellectual Property” in Part I, Item 1A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64" w:lineRule="exact"/>
        <w:rPr>
          <w:sz w:val="20"/>
          <w:szCs w:val="20"/>
          <w:color w:val="auto"/>
        </w:rPr>
      </w:pPr>
    </w:p>
    <w:p>
      <w:pPr>
        <w:ind w:firstLine="439"/>
        <w:spacing w:after="0" w:line="263" w:lineRule="auto"/>
        <w:rPr>
          <w:sz w:val="20"/>
          <w:szCs w:val="20"/>
          <w:color w:val="auto"/>
        </w:rPr>
      </w:pPr>
      <w:r>
        <w:rPr>
          <w:rFonts w:ascii="Times New Roman" w:cs="Times New Roman" w:eastAsia="Times New Roman" w:hAnsi="Times New Roman"/>
          <w:sz w:val="17"/>
          <w:szCs w:val="17"/>
          <w:color w:val="auto"/>
        </w:rPr>
        <w:t>The EU and many individual countries have regulatory structures similar to the U.S. for conducting preclinical and clinical testing and applying for marketing approval or authorization, although specifics may vary widely from country to country. Clinical trials in the EU must be conducted in accordance with the requirements of the EU Clinical Trials Regulation and applicable good clinical practice standards. In the EU, there are several procedures for requesting marketing authorization which can be more efficient than applying for authorization on a country-by-country basis. There is a “centralized” procedure allowing submission of a single marketing authorization application to the European Medicines Agency, or EMA. If the EMA issues a positive opinion, the EC will grant a centralized marketing authorization that is valid in all EU member states and three of the four European Free Trade Association countries (Iceland, Liechtenstein and Norway). The centralized procedure is mandatory for certain medicinal products, including orphan medicinal products and biotechnology-derived medicinal products, and optional for others. There is also a “decentralized” procedure allowing companies to file identical applications to several EU member states simultaneously for product candidates that have not yet been authorized in any EU member state and a “mutual recognition” procedure allowing companies that have a product already authorized in one EU member state to apply for that authorization to be recognized by the competent authorities in other EU member states. The U.K.’s withdrawal from the EU on January 31, 2020, commonly referred to as Brexit, has created uncertainty concerning the future relationship between the U.K. and the EU. Among the changes that have had a direct impact are that Great Britain (England, Scotland and Wales) is now treated as a third country. To mitigate the immediate impact of this in December 2020, the EU and U.K. reached an agreement in principle on the framework for their future relationship, the EU-U.K. Trade and Cooperation Agreement, or TCA. With regard to EU regulations, Northern Ireland continues to follow the EU regulatory rules. As part of the TCA, the EU and the U.K. recognize Good Manufacturing Practice, or GMP, inspections carried out by the other party and the acceptance of official GMP documents issued by the other party. The TCA also encourages, although it does not oblige, the parties to consult one another on proposals to introduce significant changes to technical regulations or inspection procedures. Among the areas of absence of mutual recognition are batch testing and batch release. The U.K. has unilaterally agreed to accept EU batch testing and batch release; there is a list of approved countries for import into Great Britain, currently including EU and EEA countries, which require no import testing or U.K. “qualified person” release certification. However, the EU continues to apply EU laws that require batch testing and batch release to take place in the EU territory. This means that medicinal products that are tested and released in the U.K. must be retested and re-released when entering the EU market for commercial use. As regards marketing authorizations, Great Britain has introduced a separate regulatory submission process, approval process and a separate national marketing authorization. Northern Ireland, however, continues to be covered by the marketing authorizations granted by the EC.</w:t>
      </w:r>
    </w:p>
    <w:p>
      <w:pPr>
        <w:spacing w:after="0" w:line="292" w:lineRule="exact"/>
        <w:rPr>
          <w:sz w:val="20"/>
          <w:szCs w:val="20"/>
          <w:color w:val="auto"/>
        </w:rPr>
      </w:pPr>
    </w:p>
    <w:p>
      <w:pPr>
        <w:ind w:right="80" w:firstLine="439"/>
        <w:spacing w:after="0" w:line="256" w:lineRule="auto"/>
        <w:rPr>
          <w:sz w:val="20"/>
          <w:szCs w:val="20"/>
          <w:color w:val="auto"/>
        </w:rPr>
      </w:pPr>
      <w:r>
        <w:rPr>
          <w:rFonts w:ascii="Times New Roman" w:cs="Times New Roman" w:eastAsia="Times New Roman" w:hAnsi="Times New Roman"/>
          <w:sz w:val="18"/>
          <w:szCs w:val="18"/>
          <w:color w:val="auto"/>
        </w:rPr>
        <w:t>The maximum timeframe for the evaluation of an application in the EU under the centralized procedure is 210 days, subject to certain exceptions and clock stops. An initial marketing authorization granted in the EU is valid for five years, with renewal subject to re-evaluation of the risk-benefit profile of the product. Once renewed, the authorization is usually valid for an unlimited period unless the national competent authority or the EC decides on justified grounds to proceed with one additional five-year renewal.</w:t>
      </w:r>
    </w:p>
    <w:p>
      <w:pPr>
        <w:spacing w:after="0" w:line="75" w:lineRule="exact"/>
        <w:rPr>
          <w:sz w:val="20"/>
          <w:szCs w:val="20"/>
          <w:color w:val="auto"/>
        </w:rPr>
      </w:pPr>
    </w:p>
    <w:p>
      <w:pPr>
        <w:ind w:right="100" w:firstLine="439"/>
        <w:spacing w:after="0" w:line="250" w:lineRule="auto"/>
        <w:rPr>
          <w:sz w:val="20"/>
          <w:szCs w:val="20"/>
          <w:color w:val="auto"/>
        </w:rPr>
      </w:pPr>
      <w:r>
        <w:rPr>
          <w:rFonts w:ascii="Times New Roman" w:cs="Times New Roman" w:eastAsia="Times New Roman" w:hAnsi="Times New Roman"/>
          <w:sz w:val="18"/>
          <w:szCs w:val="18"/>
          <w:color w:val="auto"/>
        </w:rPr>
        <w:t>In the EU, if an applicant can demonstrate that comprehensive data on the efficacy and safety of the product under normal conditions of use cannot be provided due to certain specified objective and verifiable reasons, products may be granted marketing authorization “under exceptional circumstances.” A marketing authorization granted under exceptional circumstances is valid for five years, subject to an annual reassessment of conditions imposed by the EC. The marketing authorization in the EU for Defitelio was granted under exceptional circumstances because it was not possible to obtain complete information about the product due to the rarity of the disease and because ethical considerations prevented conducting a study directly comparing Defitelio with best supportive care or a placebo. As a result, the marketing authorization requires us to comply with a number of post-marketing obligations, including obligations relating to the manufacture of the drug substance and finished product, the submission of data concerning patients treated with the product collected through a third-party patient registry and the establishment of a multi-center, multinational and prospective observational patient registry to investigate the</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8"/>
          <w:szCs w:val="18"/>
          <w:color w:val="auto"/>
        </w:rPr>
        <w:t>long-term safety, health outcomes and patterns of utilization of Defitelio during normal use. We are in the process of conducting the post-authorization study in the EU to provide further data on long-term safety, health outcomes and patterns of utilization of Defitelio in normal use.</w:t>
      </w:r>
    </w:p>
    <w:p>
      <w:pPr>
        <w:spacing w:after="0" w:line="56" w:lineRule="exact"/>
        <w:rPr>
          <w:sz w:val="20"/>
          <w:szCs w:val="20"/>
          <w:color w:val="auto"/>
        </w:rPr>
      </w:pPr>
    </w:p>
    <w:p>
      <w:pPr>
        <w:ind w:firstLine="439"/>
        <w:spacing w:after="0" w:line="254" w:lineRule="auto"/>
        <w:rPr>
          <w:sz w:val="20"/>
          <w:szCs w:val="20"/>
          <w:color w:val="auto"/>
        </w:rPr>
      </w:pPr>
      <w:r>
        <w:rPr>
          <w:rFonts w:ascii="Times New Roman" w:cs="Times New Roman" w:eastAsia="Times New Roman" w:hAnsi="Times New Roman"/>
          <w:sz w:val="18"/>
          <w:szCs w:val="18"/>
          <w:color w:val="auto"/>
        </w:rPr>
        <w:t>Similar to the use of REMS in the U.S. to ensure that the benefits of a product outweigh its risks, in the EU and other countries we are required and may, in the future in relation to new products, be required to agree to post-marketing obligations or conditions in the marketing authorization for our products, to include a patient package insert or a medication guide to provide information to consumers about the product’s risks and benefits, to implement a plan for communication to healthcare providers, and to impose restrictions on the product’s distribution. For example, the marketing authorization in the EU for Vyxeos requires us to comply with certain manufacturing-related post-approval commitments.</w:t>
      </w:r>
    </w:p>
    <w:p>
      <w:pPr>
        <w:spacing w:after="0" w:line="76" w:lineRule="exact"/>
        <w:rPr>
          <w:sz w:val="20"/>
          <w:szCs w:val="20"/>
          <w:color w:val="auto"/>
        </w:rPr>
      </w:pPr>
    </w:p>
    <w:p>
      <w:pPr>
        <w:ind w:right="20" w:firstLine="439"/>
        <w:spacing w:after="0" w:line="254" w:lineRule="auto"/>
        <w:rPr>
          <w:sz w:val="20"/>
          <w:szCs w:val="20"/>
          <w:color w:val="auto"/>
        </w:rPr>
      </w:pPr>
      <w:r>
        <w:rPr>
          <w:rFonts w:ascii="Times New Roman" w:cs="Times New Roman" w:eastAsia="Times New Roman" w:hAnsi="Times New Roman"/>
          <w:sz w:val="18"/>
          <w:szCs w:val="18"/>
          <w:color w:val="auto"/>
        </w:rPr>
        <w:t>After approval, certain changes to the approved product, such as adding new indications, making certain manufacturing changes, modifying a REMS, or making certain additional labeling claims, are subject to further regulatory review and approval. Obtaining approval for a new indication generally requires that additional clinical studies be conducted to demonstrate that the product is safe and effective for the new intended use. Such regulatory reviews can result in denial or modification of the planned changes, or requirements to conduct additional tests or evaluations that can substantially delay or increase the cost of the planned changes.</w:t>
      </w:r>
    </w:p>
    <w:p>
      <w:pPr>
        <w:spacing w:after="0" w:line="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Manufacture of Pharmaceutical Products</w:t>
      </w:r>
    </w:p>
    <w:p>
      <w:pPr>
        <w:spacing w:after="0" w:line="116" w:lineRule="exact"/>
        <w:rPr>
          <w:sz w:val="20"/>
          <w:szCs w:val="20"/>
          <w:color w:val="auto"/>
        </w:rPr>
      </w:pPr>
    </w:p>
    <w:p>
      <w:pPr>
        <w:ind w:right="60" w:firstLine="439"/>
        <w:spacing w:after="0" w:line="251" w:lineRule="auto"/>
        <w:rPr>
          <w:sz w:val="20"/>
          <w:szCs w:val="20"/>
          <w:color w:val="auto"/>
        </w:rPr>
      </w:pPr>
      <w:r>
        <w:rPr>
          <w:rFonts w:ascii="Times New Roman" w:cs="Times New Roman" w:eastAsia="Times New Roman" w:hAnsi="Times New Roman"/>
          <w:sz w:val="18"/>
          <w:szCs w:val="18"/>
          <w:color w:val="auto"/>
        </w:rPr>
        <w:t>The manufacturing process for pharmaceutical products is highly regulated, and regulators may shut down manufacturing facilities that they believe do not comply with regulations. We and the third party suppliers of our products are subject to cGMP, which are extensive regulations governing manufacturing processes, stability testing, recordkeeping and quality standards as defined by FDA, the EC, the EMA, competent authorities of EU member states and other regulatory authorities. FDA also periodically inspects manufacturing facilities and the sponsor’s and manufacturer’s records related to manufacturing, and assesses compliance with cGMP. Following such inspections, FDA may issue notices on Form FDA 483 and warning letters. In addition to Form FDA 483 notices and warning letters, failure to comply with the statutory and regulatory requirements may result in suspension of manufacturing, product seizure, withdrawal of the product from the market, administrative, civil and criminal penalties, among other enforcement remedies both in the U.S. and in non-U.S. countries.</w:t>
      </w:r>
    </w:p>
    <w:p>
      <w:pPr>
        <w:spacing w:after="0" w:line="79" w:lineRule="exact"/>
        <w:rPr>
          <w:sz w:val="20"/>
          <w:szCs w:val="20"/>
          <w:color w:val="auto"/>
        </w:rPr>
      </w:pPr>
    </w:p>
    <w:p>
      <w:pPr>
        <w:ind w:right="80" w:firstLine="439"/>
        <w:spacing w:after="0" w:line="254" w:lineRule="auto"/>
        <w:rPr>
          <w:sz w:val="20"/>
          <w:szCs w:val="20"/>
          <w:color w:val="auto"/>
        </w:rPr>
      </w:pPr>
      <w:r>
        <w:rPr>
          <w:rFonts w:ascii="Times New Roman" w:cs="Times New Roman" w:eastAsia="Times New Roman" w:hAnsi="Times New Roman"/>
          <w:sz w:val="18"/>
          <w:szCs w:val="18"/>
          <w:color w:val="auto"/>
        </w:rPr>
        <w:t>In the EU, a manufacturing authorization is required to manufacture medicinal products, and the manufacturing authorization holder must comply with various requirements set out in applicable EU laws, regulations and guidance. These requirements include compliance with EU cGMP standards when manufacturing products and their APIs, including APIs manufactured outside of the EU with the intention of importing them into the EU. In addition to inspection reports, manufacturers and marketing authorization holders may be subject to civil, criminal or administrative sanctions, including suspension of manufacturing authorization, in cases of non-compliance with the EU or EU member states’ requirements applicable to manufacturing.</w:t>
      </w:r>
    </w:p>
    <w:p>
      <w:pPr>
        <w:spacing w:after="0" w:line="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of Pharmaceutical Products</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Advertising and Promotional Activities</w:t>
      </w:r>
    </w:p>
    <w:p>
      <w:pPr>
        <w:spacing w:after="0" w:line="114" w:lineRule="exact"/>
        <w:rPr>
          <w:sz w:val="20"/>
          <w:szCs w:val="20"/>
          <w:color w:val="auto"/>
        </w:rPr>
      </w:pPr>
    </w:p>
    <w:p>
      <w:pPr>
        <w:ind w:right="60" w:firstLine="439"/>
        <w:spacing w:after="0" w:line="252" w:lineRule="auto"/>
        <w:rPr>
          <w:sz w:val="20"/>
          <w:szCs w:val="20"/>
          <w:color w:val="auto"/>
        </w:rPr>
      </w:pPr>
      <w:r>
        <w:rPr>
          <w:rFonts w:ascii="Times New Roman" w:cs="Times New Roman" w:eastAsia="Times New Roman" w:hAnsi="Times New Roman"/>
          <w:sz w:val="18"/>
          <w:szCs w:val="18"/>
          <w:color w:val="auto"/>
        </w:rPr>
        <w:t>FDA regulates advertising and promotional activities for products in the U.S., requiring advertising, promotional materials and labeling to be truthful and not misleading, and products to be marketed only for their approved indications and in accordance with the provisions of the approved label. FDA actively investigates allegations of off-label promotion in order to enforce regulations prohibiting these types of activities. FDA routinely issues informal and more formal communications such as untitled letters or warning letters interpreting its authority over these matters. While such communications may not be considered final agency decisions, many companies may decide not to contest the agency’s interpretations so as to avoid disputes with FDA, even if they believe the claims they were making to be truthful, not misleading and otherwise lawful.</w:t>
      </w:r>
    </w:p>
    <w:p>
      <w:pPr>
        <w:spacing w:after="0" w:line="80" w:lineRule="exact"/>
        <w:rPr>
          <w:sz w:val="20"/>
          <w:szCs w:val="20"/>
          <w:color w:val="auto"/>
        </w:rPr>
      </w:pPr>
    </w:p>
    <w:p>
      <w:pPr>
        <w:ind w:right="40" w:firstLine="439"/>
        <w:spacing w:after="0" w:line="250" w:lineRule="auto"/>
        <w:rPr>
          <w:sz w:val="20"/>
          <w:szCs w:val="20"/>
          <w:color w:val="auto"/>
        </w:rPr>
      </w:pPr>
      <w:r>
        <w:rPr>
          <w:rFonts w:ascii="Times New Roman" w:cs="Times New Roman" w:eastAsia="Times New Roman" w:hAnsi="Times New Roman"/>
          <w:sz w:val="18"/>
          <w:szCs w:val="18"/>
          <w:color w:val="auto"/>
        </w:rPr>
        <w:t>In the EU, the advertising and promotion of our products are subject to laws governing promotion of medicinal products, interactions with physicians, misleading and comparative advertising and unfair commercial practices. For example, applicable laws require that promotional materials and advertising in relation to medicinal products comply with the product’s Summary of Product Characteristics, or SmPC, as approved by the competent authorities in connection with a marketing authorization approval. The SmPC is the document that provides information to physicians concerning the safe and effective use of the product. Promotional activity that does not comply with the SmPC is considered off-label and is prohibited in the EU. Other applicable laws at the EU level and in the individual EU member states also apply to the advertising and promotion of medicinal products, including laws that prohibit the direct-to-consumer advertising of prescription-only medicinal products and further limit or restrict the advertising and promotion of our products to the general public and to health care professionals. Violations of the rules governing the promotion of medicinal products in the EU could be penalized by administrative measures, fines and imprisonment.</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Fraud and Abuse</w:t>
      </w:r>
    </w:p>
    <w:p>
      <w:pPr>
        <w:spacing w:after="0" w:line="114" w:lineRule="exact"/>
        <w:rPr>
          <w:sz w:val="20"/>
          <w:szCs w:val="20"/>
          <w:color w:val="auto"/>
        </w:rPr>
      </w:pPr>
    </w:p>
    <w:p>
      <w:pPr>
        <w:ind w:right="60" w:firstLine="439"/>
        <w:spacing w:after="0" w:line="264" w:lineRule="auto"/>
        <w:rPr>
          <w:sz w:val="20"/>
          <w:szCs w:val="20"/>
          <w:color w:val="auto"/>
        </w:rPr>
      </w:pPr>
      <w:r>
        <w:rPr>
          <w:rFonts w:ascii="Times New Roman" w:cs="Times New Roman" w:eastAsia="Times New Roman" w:hAnsi="Times New Roman"/>
          <w:sz w:val="17"/>
          <w:szCs w:val="17"/>
          <w:color w:val="auto"/>
        </w:rPr>
        <w:t>We are also subject to numerous fraud and abuse laws and regulations globally. In the U.S., there are a variety of federal and state laws restricting certain marketing practices in the pharmaceutical industry pertaining to healthcare fraud and abuse, including anti-kickback laws and false claims laws. Our sales, marketing, patient support and medical activities may be subject to scrutiny under these laws. The U.S. federal healthcare program Anti-Kickback Statute prohibits, among other things, knowingly and willfully offering, paying, soliciting or receiving anything of value to induce (or in return for) the referral of business, including the purchase, recommendation or prescription of a particular drug reimbursable under Medicare, Medicaid or other federally financed healthcare programs. The statute has been interpreted to apply to arrangements between pharmaceutical companies on one hand and patients, prescribers, purchasers and formulary managers on the other. Although there are a number of statutory exemptions and regulatory safe harbors protecting certain common manufacturer business arrangements and activities from prosecution and administrative sanction, the exemptions and safe harbors are drawn narrowly and are subject to regulatory revision or changes in interpretation by the U.S. Department of Justice, or DOJ, and the Office of Inspector General of the U.S. Department of Health and Human Services, or OIG. Practices or arrangements that involve remuneration may be subject to scrutiny if they do not qualify for an exemption or safe harbor. For example, in November 2020, the OIG issued a Special Fraud Alert to highlight certain inherent risks of remuneration related to speaker programs sponsored by drug and device companies, which may not in all circumstances qualify under either safe harbor or statutory exception protection. The Special Fraud Alert sent a clear signal that speaker programs will be subject to potentially heightened enforcement scrutiny, in particular for those programs with certain characteristics identified as risk factors by OIG, including meals exceeding modest value or where alcohol is made available; lack of substantive or new content presented; programs held at venues not conducive to the exchange of educational information; repeat attendees or attendees without a legitimate business interest; sales or marketing influence on speaker selection; and excessive speaker compensation. Violations of the federal Anti-Kickback Statute may be established without providing specific intent to violate the statute, and may be punishable by civil, criminal, and administrative fines and penalties, damages, imprisonment, and/or exclusion from participation in federal healthcare programs.</w:t>
      </w:r>
    </w:p>
    <w:p>
      <w:pPr>
        <w:spacing w:after="0" w:line="70" w:lineRule="exact"/>
        <w:rPr>
          <w:sz w:val="20"/>
          <w:szCs w:val="20"/>
          <w:color w:val="auto"/>
        </w:rPr>
      </w:pPr>
    </w:p>
    <w:p>
      <w:pPr>
        <w:ind w:firstLine="439"/>
        <w:spacing w:after="0" w:line="252" w:lineRule="auto"/>
        <w:rPr>
          <w:sz w:val="20"/>
          <w:szCs w:val="20"/>
          <w:color w:val="auto"/>
        </w:rPr>
      </w:pPr>
      <w:r>
        <w:rPr>
          <w:rFonts w:ascii="Times New Roman" w:cs="Times New Roman" w:eastAsia="Times New Roman" w:hAnsi="Times New Roman"/>
          <w:sz w:val="18"/>
          <w:szCs w:val="18"/>
          <w:color w:val="auto"/>
        </w:rPr>
        <w:t>The federal civil False Claims Act prohibits, among other things, any person from knowingly presenting, or causing to be presented, a false or fraudulent claim for payment of federal funds, or knowingly making, or causing to be made, a false statement to get a false claim paid. A claim resulting from a violation of the federal Anti-Kickback Statute constitutes a false or fraudulent claim. The False Claims Act also permits a private individual acting as a “whistleblower” to bring actions on behalf of themselves and the federal government alleging violations of the statute and to share in any monetary recovery. Violations of the False Claims Act may result in significant financial penalties (including mandatory penalties on a per claim or statement basis), treble damages and exclusion from participation in federal health care programs.</w:t>
      </w:r>
    </w:p>
    <w:p>
      <w:pPr>
        <w:spacing w:after="0" w:line="80" w:lineRule="exact"/>
        <w:rPr>
          <w:sz w:val="20"/>
          <w:szCs w:val="20"/>
          <w:color w:val="auto"/>
        </w:rPr>
      </w:pPr>
    </w:p>
    <w:p>
      <w:pPr>
        <w:ind w:right="80" w:firstLine="439"/>
        <w:spacing w:after="0" w:line="252" w:lineRule="auto"/>
        <w:rPr>
          <w:sz w:val="20"/>
          <w:szCs w:val="20"/>
          <w:color w:val="auto"/>
        </w:rPr>
      </w:pPr>
      <w:r>
        <w:rPr>
          <w:rFonts w:ascii="Times New Roman" w:cs="Times New Roman" w:eastAsia="Times New Roman" w:hAnsi="Times New Roman"/>
          <w:sz w:val="18"/>
          <w:szCs w:val="18"/>
          <w:color w:val="auto"/>
        </w:rPr>
        <w:t>Pharmaceutical companies are subject to other federal false claim and statements laws, some of which extend to non-government health benefit programs. For example, the healthcare fraud provisions under the Health Insurance Portability and Accountability Act of 1996 and its implementing regulations, or HIPAA, impose criminal liability for, among other things, knowingly and willfully executing, or attempting to execute, a scheme to defraud any health care benefit program, including private third party payors, or falsifying or covering up a material fact or making any materially false or fraudulent statement in connection with the delivery of or payment for health care benefits, items or services. Violations of HIPAA fraud provisions may result in criminal, civil and administrative penalties, fines and damages, including exclusion from participation in federal healthcare programs.</w:t>
      </w:r>
    </w:p>
    <w:p>
      <w:pPr>
        <w:spacing w:after="0" w:line="80" w:lineRule="exact"/>
        <w:rPr>
          <w:sz w:val="20"/>
          <w:szCs w:val="20"/>
          <w:color w:val="auto"/>
        </w:rPr>
      </w:pPr>
    </w:p>
    <w:p>
      <w:pPr>
        <w:ind w:right="160" w:firstLine="439"/>
        <w:spacing w:after="0" w:line="256" w:lineRule="auto"/>
        <w:rPr>
          <w:sz w:val="20"/>
          <w:szCs w:val="20"/>
          <w:color w:val="auto"/>
        </w:rPr>
      </w:pPr>
      <w:r>
        <w:rPr>
          <w:rFonts w:ascii="Times New Roman" w:cs="Times New Roman" w:eastAsia="Times New Roman" w:hAnsi="Times New Roman"/>
          <w:sz w:val="18"/>
          <w:szCs w:val="18"/>
          <w:color w:val="auto"/>
        </w:rPr>
        <w:t>The majority of individual states also have statutes or regulations similar to the federal anti-kickback law and the False Claims Act, which apply to items and services reimbursed under Medicaid and other state programs, or, in several states, apply regardless of the payor. Other states restrict whether and when pharmaceutical companies may provide meals to health care professionals or engage in other marketing-related activities, and certain states and cities require identification or licensing of sales representatives.</w:t>
      </w:r>
    </w:p>
    <w:p>
      <w:pPr>
        <w:spacing w:after="0" w:line="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Other Post-Approval Pharmaceutical Product Regulation</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Safety Reporting/Pharmacovigilance</w:t>
      </w:r>
    </w:p>
    <w:p>
      <w:pPr>
        <w:spacing w:after="0" w:line="114" w:lineRule="exact"/>
        <w:rPr>
          <w:sz w:val="20"/>
          <w:szCs w:val="20"/>
          <w:color w:val="auto"/>
        </w:rPr>
      </w:pPr>
    </w:p>
    <w:p>
      <w:pPr>
        <w:ind w:right="40" w:firstLine="439"/>
        <w:spacing w:after="0" w:line="251" w:lineRule="auto"/>
        <w:rPr>
          <w:sz w:val="20"/>
          <w:szCs w:val="20"/>
          <w:color w:val="auto"/>
        </w:rPr>
      </w:pPr>
      <w:r>
        <w:rPr>
          <w:rFonts w:ascii="Times New Roman" w:cs="Times New Roman" w:eastAsia="Times New Roman" w:hAnsi="Times New Roman"/>
          <w:sz w:val="18"/>
          <w:szCs w:val="18"/>
          <w:color w:val="auto"/>
        </w:rPr>
        <w:t>FDA, the EMA and other governmental authorities track information on side effects and adverse events reported during clinical studies and after marketing approval. We are required to file periodic safety update reports with the authorities concerning adverse events. If, upon review, an authority determines that any events and/or reports indicate a trend or signal, they can require a change in a product label, restrict sales and marketing, require post-approval safety studies, require a labor intensive collection of data regarding the risks and benefits of marketed products and ongoing assessments of those risks and benefits and/or require or conduct other actions, potentially including withdrawal or suspension of the product from the market. For example, if the EMA has concerns that the risk-benefit profile of a product has changed, it can, following an investigation procedure, adopt an opinion advising that the existing marketing authorization for the product be varied or suspended and requiring the marketing authorization holder to conduct post-authorization safety studies. The opinion is then submitted for</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20"/>
        <w:spacing w:after="0" w:line="276" w:lineRule="auto"/>
        <w:rPr>
          <w:sz w:val="20"/>
          <w:szCs w:val="20"/>
          <w:color w:val="auto"/>
        </w:rPr>
      </w:pPr>
      <w:r>
        <w:rPr>
          <w:rFonts w:ascii="Times New Roman" w:cs="Times New Roman" w:eastAsia="Times New Roman" w:hAnsi="Times New Roman"/>
          <w:sz w:val="18"/>
          <w:szCs w:val="18"/>
          <w:color w:val="auto"/>
        </w:rPr>
        <w:t>approval by the EC. Also, from time to time, FDA issues drug safety communications on its adverse event reporting system based on its review of reported adverse events.</w:t>
      </w:r>
    </w:p>
    <w:p>
      <w:pPr>
        <w:spacing w:after="0" w:line="56" w:lineRule="exact"/>
        <w:rPr>
          <w:sz w:val="20"/>
          <w:szCs w:val="20"/>
          <w:color w:val="auto"/>
        </w:rPr>
      </w:pPr>
    </w:p>
    <w:p>
      <w:pPr>
        <w:ind w:firstLine="439"/>
        <w:spacing w:after="0" w:line="251" w:lineRule="auto"/>
        <w:rPr>
          <w:sz w:val="20"/>
          <w:szCs w:val="20"/>
          <w:color w:val="auto"/>
        </w:rPr>
      </w:pPr>
      <w:r>
        <w:rPr>
          <w:rFonts w:ascii="Times New Roman" w:cs="Times New Roman" w:eastAsia="Times New Roman" w:hAnsi="Times New Roman"/>
          <w:sz w:val="18"/>
          <w:szCs w:val="18"/>
          <w:color w:val="auto"/>
        </w:rPr>
        <w:t>FDA and the competent authorities of the EU member states on behalf of the EMA also periodically inspect our records related to safety reporting. Following such inspections, FDA may issue notices on FDA Form 483 and warning letters that could cause us to modify certain activities. An FDA Form 483 notice, if issued, can list conditions FDA investigators believe may have violated relevant FDA regulations or guidance. Failure to adequately and promptly correct the observation(s) can result in a warning letter or other regulatory enforcement action. Similarly, the EMA’s Pharmacovigilance Risk Assessment Committee may propose to the Committee for Medicinal Products for Human Use that the marketing authorization holder be required to take specific steps. Non-compliance can lead to the variation, suspension or withdrawal of marketing authorization or imposition of financial penalties or other enforcement measures.</w:t>
      </w:r>
    </w:p>
    <w:p>
      <w:pPr>
        <w:spacing w:after="0" w:line="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Sunshine Act and Transparency Laws</w:t>
      </w:r>
    </w:p>
    <w:p>
      <w:pPr>
        <w:spacing w:after="0" w:line="114" w:lineRule="exact"/>
        <w:rPr>
          <w:sz w:val="20"/>
          <w:szCs w:val="20"/>
          <w:color w:val="auto"/>
        </w:rPr>
      </w:pPr>
    </w:p>
    <w:p>
      <w:pPr>
        <w:ind w:right="80" w:firstLine="439"/>
        <w:spacing w:after="0" w:line="252" w:lineRule="auto"/>
        <w:rPr>
          <w:sz w:val="20"/>
          <w:szCs w:val="20"/>
          <w:color w:val="auto"/>
        </w:rPr>
      </w:pPr>
      <w:r>
        <w:rPr>
          <w:rFonts w:ascii="Times New Roman" w:cs="Times New Roman" w:eastAsia="Times New Roman" w:hAnsi="Times New Roman"/>
          <w:sz w:val="18"/>
          <w:szCs w:val="18"/>
          <w:color w:val="auto"/>
        </w:rPr>
        <w:t>The Physician Payment Sunshine Act requires tracking of payments and transfers of value to physicians and teaching hospitals and ownership interests held by physicians and their families, and reporting to the federal government and public disclosure of these data. Since 2022, reporting has been required of information regarding payments and transfers of value provided to physician assistants, nurse practitioners, clinical nurse specialists, certified nurse anesthetists, and certified nurse-midwives. A number of states now require pharmaceutical companies to report expenses relating to the marketing and promotion of pharmaceutical products and to report gifts and payments to healthcare providers in the states. Government agencies and private entities may inquire about our marketing practices or pursue other enforcement activities based on the disclosures in those public reports.</w:t>
      </w:r>
    </w:p>
    <w:p>
      <w:pPr>
        <w:spacing w:after="0" w:line="80" w:lineRule="exact"/>
        <w:rPr>
          <w:sz w:val="20"/>
          <w:szCs w:val="20"/>
          <w:color w:val="auto"/>
        </w:rPr>
      </w:pPr>
    </w:p>
    <w:p>
      <w:pPr>
        <w:ind w:right="120" w:firstLine="439"/>
        <w:spacing w:after="0" w:line="251" w:lineRule="auto"/>
        <w:rPr>
          <w:sz w:val="20"/>
          <w:szCs w:val="20"/>
          <w:color w:val="auto"/>
        </w:rPr>
      </w:pPr>
      <w:r>
        <w:rPr>
          <w:rFonts w:ascii="Times New Roman" w:cs="Times New Roman" w:eastAsia="Times New Roman" w:hAnsi="Times New Roman"/>
          <w:sz w:val="18"/>
          <w:szCs w:val="18"/>
          <w:color w:val="auto"/>
        </w:rPr>
        <w:t>Outside the U.S., interactions between pharmaceutical companies and physicians are also governed by strict laws, regulations, industry self-regulation codes of conduct and physicians’ codes of professional conduct. The provision of benefits or advantages to physicians to induce or encourage the prescription, recommendation, endorsement, purchase, supply, order or use of medicinal products, which is prohibited in the EU, is governed by the national anti-bribery laws of the EU member states, as described below in “Business—Government Regulation—Anti-Corruption Legislation” in this Part I, Item 1. Violation of these laws could result in substantial fines and imprisonment. Certain EU member states, or industry codes of conduct, require that payments made to physicians be publicly disclosed. Moreover, agreements with physicians must often be the subject of prior notification and approval by the physician’s employer, his/her competent professional organization, and/or the competent authorities of the individual EU member states. Failure to comply with these requirements could result in reputational risk, public reprimands, administrative penalties, fines or imprisonment.</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Controlled Substance Regulations</w:t>
      </w:r>
    </w:p>
    <w:p>
      <w:pPr>
        <w:spacing w:after="0" w:line="114" w:lineRule="exact"/>
        <w:rPr>
          <w:sz w:val="20"/>
          <w:szCs w:val="20"/>
          <w:color w:val="auto"/>
        </w:rPr>
      </w:pPr>
    </w:p>
    <w:p>
      <w:pPr>
        <w:ind w:right="40" w:firstLine="439"/>
        <w:spacing w:after="0" w:line="249" w:lineRule="auto"/>
        <w:rPr>
          <w:sz w:val="20"/>
          <w:szCs w:val="20"/>
          <w:color w:val="auto"/>
        </w:rPr>
      </w:pPr>
      <w:r>
        <w:rPr>
          <w:rFonts w:ascii="Times New Roman" w:cs="Times New Roman" w:eastAsia="Times New Roman" w:hAnsi="Times New Roman"/>
          <w:sz w:val="18"/>
          <w:szCs w:val="18"/>
          <w:color w:val="auto"/>
        </w:rPr>
        <w:t>A drug product approved by FDA may be subject to scheduling as a controlled substance under the CSA depending on the drug’s potential for abuse. Controlled substances that are pharmaceutical products are subject to a high degree of regulation under the CSA, which establishes, among other things, certain registration, manufacturing quotas, security, recordkeeping, reporting, import, export and other requirements administered by the DEA. The DEA classifies controlled substances into five schedules. Schedule I substances by definition have a high potential for abuse, have no currently “accepted medical use” in the U.S., lack accepted safety for use under medical supervision, and may not be prescribed, marketed or sold in the U.S. Pharmaceutical products approved for use in the U.S. may be classified as Schedule II, III, IV or V, with Schedule II substances considered to present the highest potential for abuse or dependence and Schedule V substances the lowest relative risk of abuse. The API of Xywav and Xyrem, oxybate salts, are regulated by the DEA as Schedule I controlled substances, and Xywav and Xyrem drug products are regulated as Schedule III controlled substances. Certain product candidates we are developing contain controlled substances as defined in the CSA. Drug products approved by FDA that contain cannabis or cannabis extracts may be controlled substances and will be rescheduled to Schedules II-V after approval, or, like Epidiolex, removed completely from the schedules by operation of other laws.</w:t>
      </w:r>
    </w:p>
    <w:p>
      <w:pPr>
        <w:spacing w:after="0" w:line="87" w:lineRule="exact"/>
        <w:rPr>
          <w:sz w:val="20"/>
          <w:szCs w:val="20"/>
          <w:color w:val="auto"/>
        </w:rPr>
      </w:pPr>
    </w:p>
    <w:p>
      <w:pPr>
        <w:ind w:right="60" w:firstLine="439"/>
        <w:spacing w:after="0" w:line="252" w:lineRule="auto"/>
        <w:rPr>
          <w:sz w:val="20"/>
          <w:szCs w:val="20"/>
          <w:color w:val="auto"/>
        </w:rPr>
      </w:pPr>
      <w:r>
        <w:rPr>
          <w:rFonts w:ascii="Times New Roman" w:cs="Times New Roman" w:eastAsia="Times New Roman" w:hAnsi="Times New Roman"/>
          <w:sz w:val="18"/>
          <w:szCs w:val="18"/>
          <w:color w:val="auto"/>
        </w:rPr>
        <w:t>The DEA limits the quantity of certain Schedule I and II controlled substances that may be manufactured and procured in the U.S. in any given calendar year through a quota system and, as a result, quotas from the DEA are required in order to manufacture and procure oxybate salts in the U.S. Accordingly, we require DEA quotas for Siegfried, our U.S. based sodium oxybate supplier, to manufacture sodium oxybate and for Patheon, our U.S.-based Xyrem supplier, to procure sodium oxybate from Siegfried in order to manufacture and supply us with Xyrem drug product. We also require DEA quotas for Patheon to manufacture and procure the API of Xywav oxybate salt. Xywav and Xyrem manufactured at our plant in Ireland enters the U.S. as a Schedule III drug and thus does not require a DEA manufacturing or procurement quota.</w:t>
      </w:r>
    </w:p>
    <w:p>
      <w:pPr>
        <w:spacing w:after="0" w:line="80" w:lineRule="exact"/>
        <w:rPr>
          <w:sz w:val="20"/>
          <w:szCs w:val="20"/>
          <w:color w:val="auto"/>
        </w:rPr>
      </w:pPr>
    </w:p>
    <w:p>
      <w:pPr>
        <w:ind w:right="40" w:firstLine="439"/>
        <w:spacing w:after="0" w:line="256" w:lineRule="auto"/>
        <w:rPr>
          <w:sz w:val="20"/>
          <w:szCs w:val="20"/>
          <w:color w:val="auto"/>
        </w:rPr>
      </w:pPr>
      <w:r>
        <w:rPr>
          <w:rFonts w:ascii="Times New Roman" w:cs="Times New Roman" w:eastAsia="Times New Roman" w:hAnsi="Times New Roman"/>
          <w:sz w:val="18"/>
          <w:szCs w:val="18"/>
          <w:color w:val="auto"/>
        </w:rPr>
        <w:t>As Schedule III drugs, Xywav and Xyrem are also subject to DEA and state regulations relating to the importation, manufacturing, storage, distribution and physician prescription procedures, including limitations on prescription refills. In addition, the third parties who perform our clinical and commercial manufacturing, distribution, dispensing and clinical studies for Xywav and Xyrem are required to maintain necessary DEA registrations and state licenses. The DEA periodically inspects facilities for compliance with its rules and regulations.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Other Regulations</w:t>
      </w:r>
    </w:p>
    <w:p>
      <w:pPr>
        <w:spacing w:after="0" w:line="114" w:lineRule="exact"/>
        <w:rPr>
          <w:sz w:val="20"/>
          <w:szCs w:val="20"/>
          <w:color w:val="auto"/>
        </w:rPr>
      </w:pPr>
    </w:p>
    <w:p>
      <w:pPr>
        <w:ind w:firstLine="439"/>
        <w:spacing w:after="0" w:line="254" w:lineRule="auto"/>
        <w:rPr>
          <w:sz w:val="20"/>
          <w:szCs w:val="20"/>
          <w:color w:val="auto"/>
        </w:rPr>
      </w:pPr>
      <w:r>
        <w:rPr>
          <w:rFonts w:ascii="Times New Roman" w:cs="Times New Roman" w:eastAsia="Times New Roman" w:hAnsi="Times New Roman"/>
          <w:sz w:val="18"/>
          <w:szCs w:val="18"/>
          <w:color w:val="auto"/>
        </w:rPr>
        <w:t>There are many other requirements and restrictions in the U.S. and elsewhere imposed on pharmaceutical companies and their activities, including those related to the posting of information relating to clinical studies and their outcomes, the export and importation of products, required authorizations for distributors, the identification or licensing of sales representatives, restrictions on the ability of manufacturers to offer co-pay support to patients for certain prescription drugs, implementation of required compliance programs or marketing codes of conduct, protection of the environment, taxation and work safety. Non-compliance with such requirements may result in civil, criminal or administrative sanctions.</w:t>
      </w:r>
    </w:p>
    <w:p>
      <w:pPr>
        <w:spacing w:after="0" w:line="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Anti-Corruption Legislation</w:t>
      </w:r>
    </w:p>
    <w:p>
      <w:pPr>
        <w:spacing w:after="0" w:line="116" w:lineRule="exact"/>
        <w:rPr>
          <w:sz w:val="20"/>
          <w:szCs w:val="20"/>
          <w:color w:val="auto"/>
        </w:rPr>
      </w:pPr>
    </w:p>
    <w:p>
      <w:pPr>
        <w:ind w:right="100" w:firstLine="439"/>
        <w:spacing w:after="0" w:line="265" w:lineRule="auto"/>
        <w:rPr>
          <w:sz w:val="20"/>
          <w:szCs w:val="20"/>
          <w:color w:val="auto"/>
        </w:rPr>
      </w:pPr>
      <w:r>
        <w:rPr>
          <w:rFonts w:ascii="Times New Roman" w:cs="Times New Roman" w:eastAsia="Times New Roman" w:hAnsi="Times New Roman"/>
          <w:sz w:val="17"/>
          <w:szCs w:val="17"/>
          <w:color w:val="auto"/>
        </w:rPr>
        <w:t>Our business activities outside of the U.S. are subject to the U.S. Foreign Corrupt Practices Act, or FCPA, and similar anti-bribery or anti-corruption laws, regulations, industry self-regulation codes of conduct and physicians’ codes of professional conduct or rules of other countries in which we operate, including the U.K. Bribery Act of 2010, or the U.K. Bribery Act. The FCPA and similar anti-corruption laws in other countries generally prohibit the offering, promising, giving, or authorizing others to give anything of value, either directly or indirectly, to U.S. or non-U.S. government officials in order to improperly influence any act or decision, secure an improper advantage, or obtain or retain business. The FCPA also requires public companies to make and keep books and records that accurately and fairly reflect the transactions of the company and to devise and maintain an adequate system of internal accounting controls. The U.K. Bribery Act prohibits giving, offering, or promising bribes to any person, including U.K. and non-U.K. government officials and private persons, as well as requesting, agreeing to receive, or accepting bribes from any person. In addition, under the U.K. Bribery Act, companies that carry on a business or part of a business in the U.K. may be held liable for bribes given, offered or promised to any person, including U.K. and non-U.K. government officials and private persons in any country, by employees and persons associated with the company in order to obtain or retain business or a business advantage for the company. Liability is strict, with no element of a corrupt state of mind, but a defense of having in place adequate procedures designed to prevent bribery is available under the U.K. Bribery Act and certain other laws; under the FCPA, it might be considered as a mitigating factor.</w:t>
      </w:r>
    </w:p>
    <w:p>
      <w:pPr>
        <w:spacing w:after="0" w:line="72" w:lineRule="exact"/>
        <w:rPr>
          <w:sz w:val="20"/>
          <w:szCs w:val="20"/>
          <w:color w:val="auto"/>
        </w:rPr>
      </w:pPr>
    </w:p>
    <w:p>
      <w:pPr>
        <w:ind w:right="20" w:firstLine="439"/>
        <w:spacing w:after="0" w:line="249" w:lineRule="auto"/>
        <w:rPr>
          <w:sz w:val="20"/>
          <w:szCs w:val="20"/>
          <w:color w:val="auto"/>
        </w:rPr>
      </w:pPr>
      <w:r>
        <w:rPr>
          <w:rFonts w:ascii="Times New Roman" w:cs="Times New Roman" w:eastAsia="Times New Roman" w:hAnsi="Times New Roman"/>
          <w:sz w:val="18"/>
          <w:szCs w:val="18"/>
          <w:color w:val="auto"/>
        </w:rPr>
        <w:t>As described above, our business is heavily regulated and therefore involves significant interaction with government officials in many countries. Additionally, in certain countries, the health care providers who prescribe pharmaceuticals are employed by their government, and the purchasers of pharmaceuticals are government entities; therefore, our dealings with these prescribers and purchasers may be subject to the FCPA, the U.K. Bribery Act and similar laws. Recently the Securities and Exchange Commission, or SEC, and the DOJ have increased their FCPA enforcement activities with respect to pharmaceutical companies. In addition, under the Dodd-Frank Wall Street Reform and Consumer Protection Act, private individuals who report to the SEC original information that leads to successful enforcement actions may be eligible for a monetary award. We engage in ongoing efforts designed to ensure our compliance with these laws, including conducting due diligence of our business partners, requiring training of our employees on FCPA requirements, and implementing and maintaining policies, procedures, and internal controls to ensure compliance with the FCPA and similar laws. However, there is no certainty that all employees and third party business partners (including our distributors, wholesalers, agents, contractors, and other partners) will comply with anti-bribery laws. In particular, we do not control the actions of our suppliers and other third party agents, although we may be liable for their actions. Violation of these laws may result in civil or criminal sanctions, which could include monetary fines, criminal penalties, disgorgement of past profits, and could cause disruption to our business, including through procurement bans or similar administrative actions. It is possible that an adverse outcome in an FCPA action could materially affect our consolidated results of operations, liquidity, and financial position and result in parallel civil litigation such as securities class actions and shareholder derivative suits.</w:t>
      </w:r>
    </w:p>
    <w:p>
      <w:pPr>
        <w:spacing w:after="0" w:line="7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Data Protection and Privacy</w:t>
      </w:r>
    </w:p>
    <w:p>
      <w:pPr>
        <w:spacing w:after="0" w:line="116" w:lineRule="exact"/>
        <w:rPr>
          <w:sz w:val="20"/>
          <w:szCs w:val="20"/>
          <w:color w:val="auto"/>
        </w:rPr>
      </w:pPr>
    </w:p>
    <w:p>
      <w:pPr>
        <w:ind w:right="40" w:firstLine="439"/>
        <w:spacing w:after="0" w:line="270" w:lineRule="auto"/>
        <w:rPr>
          <w:sz w:val="20"/>
          <w:szCs w:val="20"/>
          <w:color w:val="auto"/>
        </w:rPr>
      </w:pPr>
      <w:r>
        <w:rPr>
          <w:rFonts w:ascii="Times New Roman" w:cs="Times New Roman" w:eastAsia="Times New Roman" w:hAnsi="Times New Roman"/>
          <w:sz w:val="17"/>
          <w:szCs w:val="17"/>
          <w:color w:val="auto"/>
        </w:rPr>
        <w:t>We are subject to data protection and privacy laws and regulations globally, which restrict the processing of personal data. The legislative and regulatory landscape for privacy and data security continues to evolve with an increased attention in countries globally that could potentially affect our business. In particular, we are subject to the EU General Data Protection Regulation, which imposes penalties up to 4% of annual global revenue, the California Consumer Privacy Act of 2018 and numerous other federal, state, national and international laws and regulations that govern the privacy and security of the personal data we collect and maintain. These laws and regulations applicable to our business, increase potential enforcement and litigation activity. In order to manage these evolving risks, we have adopted a global privacy program that governs the processing of personal data across our business.</w:t>
      </w:r>
    </w:p>
    <w:p>
      <w:pPr>
        <w:spacing w:after="0" w:line="6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Marketing Exclusivity</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The Hatch-Waxman Act</w:t>
      </w:r>
    </w:p>
    <w:p>
      <w:pPr>
        <w:spacing w:after="0" w:line="114" w:lineRule="exact"/>
        <w:rPr>
          <w:sz w:val="20"/>
          <w:szCs w:val="20"/>
          <w:color w:val="auto"/>
        </w:rPr>
      </w:pPr>
    </w:p>
    <w:p>
      <w:pPr>
        <w:ind w:right="160" w:firstLine="439"/>
        <w:spacing w:after="0" w:line="261" w:lineRule="auto"/>
        <w:rPr>
          <w:sz w:val="20"/>
          <w:szCs w:val="20"/>
          <w:color w:val="auto"/>
        </w:rPr>
      </w:pPr>
      <w:r>
        <w:rPr>
          <w:rFonts w:ascii="Times New Roman" w:cs="Times New Roman" w:eastAsia="Times New Roman" w:hAnsi="Times New Roman"/>
          <w:sz w:val="18"/>
          <w:szCs w:val="18"/>
          <w:color w:val="auto"/>
        </w:rPr>
        <w:t>The marketing approval process described above for the U.S. is premised on the applicant being the owner of, or having obtained a right of reference to, all of the data required to prove the safety and effectiveness of a drug product. This type of marketing application, sometimes referred to as a “full” or “stand-alone” NDA, is governed by Section 505(b)(1) of the United</w:t>
      </w: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States Federal Food, Drug, and Cosmetic Act, or FDCA. A Section 505(b)(1) NDA contains full reports of investigations of safety and effectiveness, which includes the results of preclinical and clinical trials, together with detailed information on the manufacture and composition of the product, in addition to other information. As an alternative, the Drug Price Competition and Patent Term Restoration Act of 1984, or the Hatch-Waxman Act, provides two abbreviated approval pathways for certain drug products.</w:t>
      </w:r>
    </w:p>
    <w:p>
      <w:pPr>
        <w:spacing w:after="0" w:line="75" w:lineRule="exact"/>
        <w:rPr>
          <w:sz w:val="20"/>
          <w:szCs w:val="20"/>
          <w:color w:val="auto"/>
        </w:rPr>
      </w:pPr>
    </w:p>
    <w:p>
      <w:pPr>
        <w:ind w:right="40" w:firstLine="439"/>
        <w:spacing w:after="0" w:line="251" w:lineRule="auto"/>
        <w:rPr>
          <w:sz w:val="20"/>
          <w:szCs w:val="20"/>
          <w:color w:val="auto"/>
        </w:rPr>
      </w:pPr>
      <w:r>
        <w:rPr>
          <w:rFonts w:ascii="Times New Roman" w:cs="Times New Roman" w:eastAsia="Times New Roman" w:hAnsi="Times New Roman"/>
          <w:sz w:val="18"/>
          <w:szCs w:val="18"/>
          <w:color w:val="auto"/>
        </w:rPr>
        <w:t>The first path, under Section 505(b)(2) of the FDCA, usually is used for the approval of a product that is similar, but not identical, to a previously-approved brand-name product, referred to as the reference listed drug, or RLD. Under this path, the applicant is permitted to rely to some degree on FDA’s finding that the RLD is safe and effective and must submit its own product-specific data on safety and effectiveness only to the extent necessary to bridge the differences between the products. The second abbreviated path established under the Hatch-Waxman Act is for the approval of generic drugs. Section 505(j) of the FDCA permits the submission of an ANDA for a generic version of an approved, brand-name drug. Generally, an ANDA must contain data and information showing that the proposed generic product and the RLD (i) have the same active ingredient, in the same strength and dosage form, to be delivered via the same route of administration, (ii) are intended for the same uses, and (iii) are bioequivalent. This data and information are provided instead of data and information independently demonstrating the proposed generic product’s safety and effectiveness.</w:t>
      </w:r>
    </w:p>
    <w:p>
      <w:pPr>
        <w:spacing w:after="0" w:line="79" w:lineRule="exact"/>
        <w:rPr>
          <w:sz w:val="20"/>
          <w:szCs w:val="20"/>
          <w:color w:val="auto"/>
        </w:rPr>
      </w:pPr>
    </w:p>
    <w:p>
      <w:pPr>
        <w:ind w:firstLine="439"/>
        <w:spacing w:after="0" w:line="264" w:lineRule="auto"/>
        <w:rPr>
          <w:sz w:val="20"/>
          <w:szCs w:val="20"/>
          <w:color w:val="auto"/>
        </w:rPr>
      </w:pPr>
      <w:r>
        <w:rPr>
          <w:rFonts w:ascii="Times New Roman" w:cs="Times New Roman" w:eastAsia="Times New Roman" w:hAnsi="Times New Roman"/>
          <w:sz w:val="17"/>
          <w:szCs w:val="17"/>
          <w:color w:val="auto"/>
        </w:rPr>
        <w:t>The Hatch-Waxman Act requires an ANDA or a Section 505(b)(2) NDA applicant to certify that there are no patents listed for that product in the Orange Book, or that for each Orange Book-listed patent either the listed patent has expired, the listed patent will expire on a particular date and approval is sought after patent expiration, or the listed patent is invalid or will not be infringed by the manufacture, use or sale of the new product. A certification that approval is sought after patent expiration is called a “Paragraph III Certification.” A certification that the new product will not infringe the RLD’s Orange Book-listed patents, or that such patents are invalid, is called a “Paragraph IV Certification.” If a relevant patent covers an approved method of use, an ANDA or Section 505(b)(2) NDA applicant can also file a statement, called, in the case of an ANDA, a “section viii statement,” that the application does not seek approval of the method of use covered by the listed patent. With such a statement, the applicant must “carve out” the protected method of use (typically an indication and related material) from the proposed product’s labeling. If the applicant makes a Paragraph III Certification, the ANDA or the Section 505(b)</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NDA will not be approved until the listed patents claiming the RLD have expired.</w:t>
      </w:r>
    </w:p>
    <w:p>
      <w:pPr>
        <w:spacing w:after="0" w:line="93" w:lineRule="exact"/>
        <w:rPr>
          <w:sz w:val="20"/>
          <w:szCs w:val="20"/>
          <w:color w:val="auto"/>
        </w:rPr>
      </w:pPr>
    </w:p>
    <w:p>
      <w:pPr>
        <w:ind w:right="40" w:firstLine="439"/>
        <w:spacing w:after="0" w:line="267" w:lineRule="auto"/>
        <w:rPr>
          <w:sz w:val="20"/>
          <w:szCs w:val="20"/>
          <w:color w:val="auto"/>
        </w:rPr>
      </w:pPr>
      <w:r>
        <w:rPr>
          <w:rFonts w:ascii="Times New Roman" w:cs="Times New Roman" w:eastAsia="Times New Roman" w:hAnsi="Times New Roman"/>
          <w:sz w:val="17"/>
          <w:szCs w:val="17"/>
          <w:color w:val="auto"/>
        </w:rPr>
        <w:t>If the applicant has provided a Paragraph IV Certification to FDA, the applicant must also send a notice of that certification to the NDA holder and the relevant patent holders once FDA accepts the ANDA or the Section 505(b)(2) NDA for filing. The NDA and patent holders then have 45 days to initiate a patent infringement lawsuit. Filing the lawsuit triggers an automatic stay on FDA’s approval of the ANDA or the Section 505(b)(2) NDA until the earliest of 30 months after the NDA holder’s receipt of the notice of Paragraph IV Certification, expiration of the patent, certain settlements of the lawsuit, or a decision in the infringement case that is favorable to the applicant. FDA may issue tentative approval of an application if the application meets all conditions for approval but cannot receive effective approval because the 30-month stay or another period of regulatory exclusivity has not expired. If an ANDA or Section 505(b)(2) NDA is approved before conclusion of any relevant patent litigation, the applicant can choose to launch the product, but does so “at risk” of being liable for damages, and potentially treble damages, if the RLD sponsor or patent holder ultimately prevails in patent litigation.</w:t>
      </w:r>
    </w:p>
    <w:p>
      <w:pPr>
        <w:spacing w:after="0" w:line="71" w:lineRule="exact"/>
        <w:rPr>
          <w:sz w:val="20"/>
          <w:szCs w:val="20"/>
          <w:color w:val="auto"/>
        </w:rPr>
      </w:pPr>
    </w:p>
    <w:p>
      <w:pPr>
        <w:ind w:right="40" w:firstLine="439"/>
        <w:spacing w:after="0" w:line="250" w:lineRule="auto"/>
        <w:rPr>
          <w:sz w:val="20"/>
          <w:szCs w:val="20"/>
          <w:color w:val="auto"/>
        </w:rPr>
      </w:pPr>
      <w:r>
        <w:rPr>
          <w:rFonts w:ascii="Times New Roman" w:cs="Times New Roman" w:eastAsia="Times New Roman" w:hAnsi="Times New Roman"/>
          <w:sz w:val="18"/>
          <w:szCs w:val="18"/>
          <w:color w:val="auto"/>
        </w:rPr>
        <w:t>Under the Hatch-Waxman Act, newly approved drugs and indications may benefit from statutory periods of non-patent marketing exclusivity that can potentially delay review or approval of an ANDA or Section 505(b)(2) application. For example, the Hatch-Waxman Act provides five-year marketing exclusivity to the first applicant to gain approval of an NDA for a new chemical entity, meaning a drug containing an active moiety that FDA has not previously approved. During this period, FDA cannot accept for review an ANDA or a Section 505(b)(2) NDA for a product containing the same moiety, except that an application containing a Paragraph IV Certification may be submitted after four years, which may trigger the litigation and stay described above. The Hatch-Waxman Act also provides three years of marketing exclusivity with the approval of an NDA, including a Section 505(b)(2) NDA, for a product containing a previously-approved moiety but that incorporates a change (such as a new indication, dosage form or strength) from an approved product with the same moiety, if the change required clinical data from new investigations that were conducted or sponsored by the applicant. This three-year exclusivity does not preclude submission of the ANDA or Section 505(b)(2) NDA for such a product, but prevents FDA from giving final approval to such product.</w:t>
      </w:r>
    </w:p>
    <w:p>
      <w:pPr>
        <w:spacing w:after="0" w:line="80" w:lineRule="exact"/>
        <w:rPr>
          <w:sz w:val="20"/>
          <w:szCs w:val="20"/>
          <w:color w:val="auto"/>
        </w:rPr>
      </w:pPr>
    </w:p>
    <w:p>
      <w:pPr>
        <w:ind w:right="220" w:firstLine="439"/>
        <w:spacing w:after="0" w:line="252" w:lineRule="auto"/>
        <w:rPr>
          <w:sz w:val="20"/>
          <w:szCs w:val="20"/>
          <w:color w:val="auto"/>
        </w:rPr>
      </w:pPr>
      <w:r>
        <w:rPr>
          <w:rFonts w:ascii="Times New Roman" w:cs="Times New Roman" w:eastAsia="Times New Roman" w:hAnsi="Times New Roman"/>
          <w:sz w:val="18"/>
          <w:szCs w:val="18"/>
          <w:color w:val="auto"/>
        </w:rPr>
        <w:t>The Hatch-Waxman Act also permits a patent term extension of up to five years (but not beyond 14 years from the date of approval) for an NDA, including a Section 505(b)(2) NDA, that is approved for a product that contains an active ingredient that has not previously been approved. The extension, which compensates for patent term lost during product development and FDA regulatory review process, is generally equal to the sum of one-half the time between the effective date of an IND application and the submission date of an NDA, and all of the time between the submission date of an NDA and the approval of that application. It is available for only one patent for a given product, and it must be a patent that claims the product or a method of using or manufacturing the product. The USPTO, in consultation with FDA, reviews and approves applications for patent term extension.</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40" w:firstLine="439"/>
        <w:spacing w:after="0" w:line="251" w:lineRule="auto"/>
        <w:rPr>
          <w:sz w:val="20"/>
          <w:szCs w:val="20"/>
          <w:color w:val="auto"/>
        </w:rPr>
      </w:pPr>
      <w:r>
        <w:rPr>
          <w:rFonts w:ascii="Times New Roman" w:cs="Times New Roman" w:eastAsia="Times New Roman" w:hAnsi="Times New Roman"/>
          <w:sz w:val="18"/>
          <w:szCs w:val="18"/>
          <w:color w:val="auto"/>
        </w:rPr>
        <w:t>In the EU, innovative medicinal products that are subject to marketing authorization on the basis of a full dossier qualify for eight years’ data exclusivity upon marketing authorization and an additional two years’ market exclusivity. Data exclusivity prevents regulatory authorities in the EU from referencing the innovator’s data to assess a generic application or biosimilar application for eight years from the date of authorization of the innovative product, after which a generic or biosimilar marketing authorization application can be submitted, and the innovator’s data may be referenced. However, the generic product or biosimilar products cannot be marketed in the EU for a further two years thereafter. The overall ten-year period may be extended for a further year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Orphan Drug and Other Exclusivities</w:t>
      </w:r>
    </w:p>
    <w:p>
      <w:pPr>
        <w:spacing w:after="0" w:line="114" w:lineRule="exact"/>
        <w:rPr>
          <w:sz w:val="20"/>
          <w:szCs w:val="20"/>
          <w:color w:val="auto"/>
        </w:rPr>
      </w:pPr>
    </w:p>
    <w:p>
      <w:pPr>
        <w:ind w:right="20" w:firstLine="439"/>
        <w:spacing w:after="0" w:line="248" w:lineRule="auto"/>
        <w:rPr>
          <w:sz w:val="20"/>
          <w:szCs w:val="20"/>
          <w:color w:val="auto"/>
        </w:rPr>
      </w:pPr>
      <w:r>
        <w:rPr>
          <w:rFonts w:ascii="Times New Roman" w:cs="Times New Roman" w:eastAsia="Times New Roman" w:hAnsi="Times New Roman"/>
          <w:sz w:val="18"/>
          <w:szCs w:val="18"/>
          <w:color w:val="auto"/>
        </w:rPr>
        <w:t>Some jurisdictions, including the U.S., may designate drugs or biologics for relatively small patient populations as orphan drugs. FDA grants orphan drug designation to drugs or biologics intended to treat a rare disease or condition, which is one that affects fewer than 200,000 individuals in the U.S., or more than 200,000 individuals, but for which there is no reasonable expectation that the cost of developing the product and making it available in the U.S. for the disease or condition will be recovered from U.S. sales of the product. Orphan drug designation does not shorten the duration of the regulatory review process or lower the approval standards, but can provide important benefits, including consultation with FDA. If a product is approved for its orphan designated use, it may be entitled to ODE, which blocks FDA from approving for seven years any other application for a product that is the same drug for the same indication. If there is a previously-approved product that is the same drug for the same indication, orphan drug designation requires the sponsor to provide a plausible hypothesis of clinical superiority over the approved product, whereas ODE requires the sponsor to actually demonstrate clinical superiority. Clinical superiority can be established by way of greater efficacy, greater safety, or making a major contribution to patient care. Additionally, a later product can be approved if the sponsor holding ODE consents, or cannot adequately supply the market. ODE does not prevent approval of another sponsor’s application for different indications or uses of the same drug, or for different drugs for the same indication. Defibrotide has been granted ODE by FDA to treat and prevent VOD until March 2023. Vyxeos has been granted ODE by FDA for the treatment of AML until August 2024. Epidiolex has received ODE to treat seizures associated with LGS and DS through 2025 and TSC through 2027. In June 2021, FDA, recognized seven years of ODE for Xywav stating that Xywav is clinically superior to Xyrem by means of greater safety due to reduced chronic sodium burden. Xywav has been granted ODE by FDA to treat narcolepsy through 2027 and to treat IH through 2028. Rylaze has been granted ODE for the treatment of patients with ALL or LBL until 2028.</w:t>
      </w:r>
    </w:p>
    <w:p>
      <w:pPr>
        <w:spacing w:after="0" w:line="92" w:lineRule="exact"/>
        <w:rPr>
          <w:sz w:val="20"/>
          <w:szCs w:val="20"/>
          <w:color w:val="auto"/>
        </w:rPr>
      </w:pPr>
    </w:p>
    <w:p>
      <w:pPr>
        <w:ind w:firstLine="439"/>
        <w:spacing w:after="0" w:line="276" w:lineRule="auto"/>
        <w:rPr>
          <w:sz w:val="20"/>
          <w:szCs w:val="20"/>
          <w:color w:val="auto"/>
        </w:rPr>
      </w:pPr>
      <w:r>
        <w:rPr>
          <w:rFonts w:ascii="Times New Roman" w:cs="Times New Roman" w:eastAsia="Times New Roman" w:hAnsi="Times New Roman"/>
          <w:sz w:val="17"/>
          <w:szCs w:val="17"/>
          <w:color w:val="auto"/>
        </w:rPr>
        <w:t>Biologic products approved under a BLA are subject to the Biologics Price Competition and Innovation Act, or BPCIA, which authorizes an abbreviated approval pathway for a biological product that is “biosimilar” to an already approved biologic, or reference product. The BPCIA provides periods of exclusivity that protect a reference product from competition by biosimilars. FDA may not accept a biosimilar application for review until four years after the date of first licensure of the reference product, and the biosimilar cannot be licensed until 12 years after the reference product was first licensed.</w:t>
      </w:r>
    </w:p>
    <w:p>
      <w:pPr>
        <w:spacing w:after="0" w:line="59" w:lineRule="exact"/>
        <w:rPr>
          <w:sz w:val="20"/>
          <w:szCs w:val="20"/>
          <w:color w:val="auto"/>
        </w:rPr>
      </w:pPr>
    </w:p>
    <w:p>
      <w:pPr>
        <w:ind w:right="80" w:firstLine="439"/>
        <w:spacing w:after="0" w:line="251" w:lineRule="auto"/>
        <w:rPr>
          <w:sz w:val="20"/>
          <w:szCs w:val="20"/>
          <w:color w:val="auto"/>
        </w:rPr>
      </w:pPr>
      <w:r>
        <w:rPr>
          <w:rFonts w:ascii="Times New Roman" w:cs="Times New Roman" w:eastAsia="Times New Roman" w:hAnsi="Times New Roman"/>
          <w:sz w:val="18"/>
          <w:szCs w:val="18"/>
          <w:color w:val="auto"/>
        </w:rPr>
        <w:t>Under certain circumstances, the exclusivity periods applicable to drugs and biologics and the patent-related protections applicable to drugs may be eligible for a six-month extension if the sponsor submits pediatric data that fairly respond to a written request from FDA for such data. This exclusivity may be granted even if the data does not support a pediatric indication. We consider seeking pediatric exclusivity for our products whenever appropriate. For example, in response to a written request from FDA, we conducted a Phase 3 clinical trial to assess the safety and efficacy of Xyrem in children and adolescents aged seven to 17 who have narcolepsy with cataplexy, and submitted study results in a supplement to the Xyrem NDA, seeking approval for this indication. In October 2018, FDA approved the sNDA and notified us that we had been granted pediatric exclusivity, extending by six months the preclusive effect of our Orange Book-listed patents for Xyrem, as well as the three-year regulatory exclusivity period granted to the Xyrem pediatric indication because of the clinical studies that were necessary for approval of the sNDA.</w:t>
      </w:r>
    </w:p>
    <w:p>
      <w:pPr>
        <w:spacing w:after="0" w:line="79" w:lineRule="exact"/>
        <w:rPr>
          <w:sz w:val="20"/>
          <w:szCs w:val="20"/>
          <w:color w:val="auto"/>
        </w:rPr>
      </w:pPr>
    </w:p>
    <w:p>
      <w:pPr>
        <w:ind w:right="40" w:firstLine="439"/>
        <w:spacing w:after="0" w:line="266" w:lineRule="auto"/>
        <w:rPr>
          <w:sz w:val="20"/>
          <w:szCs w:val="20"/>
          <w:color w:val="auto"/>
        </w:rPr>
      </w:pPr>
      <w:r>
        <w:rPr>
          <w:rFonts w:ascii="Times New Roman" w:cs="Times New Roman" w:eastAsia="Times New Roman" w:hAnsi="Times New Roman"/>
          <w:sz w:val="17"/>
          <w:szCs w:val="17"/>
          <w:color w:val="auto"/>
        </w:rPr>
        <w:t>In the EU, orphan drug designation may be granted to products that can be used to treat life-threatening diseases or chronically debilitating conditions with an incidence of no more than five in 10,000 people or that, for economic reasons, would be unlikely to be developed without incentives. Orphan designated medicinal products are entitled to a range of benefits during the development and regulatory review process and ten years of market exclusivity in all EU member states upon approval. As in the U.S., a similar medicinal product with the same orphan indication may be approved, notwithstanding orphan product exclusivity, if the exclusivity holder gives consent or if the manufacturer of the original orphan medicinal product is unable to supply sufficient quantities. Marketing authorization may also be granted to a similar medicinal product with the same orphan indication if the similar product is deemed safer, more effective or otherwise clinically superior to the original orphan medicinal product. The period of market exclusivity granted in relation to the original orphan medicinal product may, in addition, be reduced to six years if it can be demonstrated, on the basis of available evidence, that the original orphan medicinal product is sufficiently profitable not to justify maintenance of market exclusivity. Defibrotide has been granted orphan drug designation by the EC for the treatment of VOD and prevention of GvHD until October 2023, by the Korean Ministry of Food and Drug</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Safety to treat and prevent VOD, and by the Commonwealth of Australia-Department of Health for the treatment of VOD. Vyxeos has been granted orphan drug designation by the EC until August 2028. We also received Orphan Designation from EMA’s Committee for Orphan Medicinal Products, or COMP, for Epidyolex for DS, LGS and TSC, and the COMP reconfirmed the designation for DS, LGS and TSC upon EC’s approval.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Pharmaceutical Pricing, Reimbursement by Government and Private Payors and Patient Access</w:t>
      </w:r>
    </w:p>
    <w:p>
      <w:pPr>
        <w:spacing w:after="0" w:line="1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Pricing and Reimbursement</w:t>
      </w:r>
    </w:p>
    <w:p>
      <w:pPr>
        <w:spacing w:after="0" w:line="116" w:lineRule="exact"/>
        <w:rPr>
          <w:sz w:val="20"/>
          <w:szCs w:val="20"/>
          <w:color w:val="auto"/>
        </w:rPr>
      </w:pPr>
    </w:p>
    <w:p>
      <w:pPr>
        <w:ind w:right="20" w:firstLine="439"/>
        <w:spacing w:after="0" w:line="249" w:lineRule="auto"/>
        <w:rPr>
          <w:sz w:val="20"/>
          <w:szCs w:val="20"/>
          <w:color w:val="auto"/>
        </w:rPr>
      </w:pPr>
      <w:r>
        <w:rPr>
          <w:rFonts w:ascii="Times New Roman" w:cs="Times New Roman" w:eastAsia="Times New Roman" w:hAnsi="Times New Roman"/>
          <w:sz w:val="18"/>
          <w:szCs w:val="18"/>
          <w:color w:val="auto"/>
        </w:rPr>
        <w:t>Successful commercialization of our products depends in significant part on adequate financial coverage and reimbursement from third party payors, including governmental payors (such as the Medicaid and Medicare programs in the U.S.), managed care organizations and private health insurers. Third party payors decide which drugs will be reimbursed and establish reimbursement and co-pay levels and conditions for reimbursement. Third party payors are increasingly challenging the prices charged for medical products and services by examining their cost effectiveness, as demonstrated in pharmacoeconomic and/or clinical studies, in addition to their safety and efficacy. In some cases, for example, third party payors try to encourage the use of less expensive products, when available, through their prescription benefits coverage and reimbursement, co-pay and prior authorization policies. The process for determining whether a payor will provide coverage for a product may be separate from the process for setting the price or reimbursement rate that the payor will pay for the product once coverage is approved. Third party payors may require prior approval before covering a specific product, or may require patients and health care providers to try other covered products first. Third party payors may also limit coverage to specific products on an approved list, or formulary, which might not include all of the approved products for a particular indication. For certain categories of products, third party payors, principally through contracted PBMs negotiate rebates with drug manufacturers for inclusion of products on their formularies in specific positions or coverage criteria. Beginning in the third quarter of 2019, we have been entering into agreements with certain PBMs or similar organizations to provide rebates for our products where coverage was provided and products were listed in certain formulary positions, among other conditions.</w:t>
      </w:r>
    </w:p>
    <w:p>
      <w:pPr>
        <w:spacing w:after="0" w:line="45" w:lineRule="exact"/>
        <w:rPr>
          <w:sz w:val="20"/>
          <w:szCs w:val="20"/>
          <w:color w:val="auto"/>
        </w:rPr>
      </w:pPr>
    </w:p>
    <w:p>
      <w:pPr>
        <w:ind w:firstLine="439"/>
        <w:spacing w:after="0" w:line="218" w:lineRule="exact"/>
        <w:rPr>
          <w:sz w:val="20"/>
          <w:szCs w:val="20"/>
          <w:color w:val="auto"/>
        </w:rPr>
      </w:pPr>
      <w:r>
        <w:rPr>
          <w:rFonts w:ascii="Times New Roman" w:cs="Times New Roman" w:eastAsia="Times New Roman" w:hAnsi="Times New Roman"/>
          <w:sz w:val="18"/>
          <w:szCs w:val="18"/>
          <w:color w:val="auto"/>
        </w:rPr>
        <w:t>Medicaid is a joint federal and state program that is administered by the states for 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income and disabled beneficiaries. Medicare is a federal program that is administered by the federal government covering individuals age 65 and over as well as those with certain disabilities. Medicare Part B pays physicians who administer our products. Under the Medicaid Drug Rebate Program, as a condition of having federal funds made available to the states for our drugs under Medicare Part B, we are required to pay a rebate to each state Medicaid program for our covered outpatient drugs that are dispensed to Medicaid beneficiaries and paid for by a state Medicaid program. Medicaid rebates are based on pricing data we report on a monthly and quarterly basis to the U.S. Centers for Medicare &amp; Medicaid Services, or CMS, the federal agency that administers the Medicaid Drug Rebate Program and Medicare. These data include the average manufacturer price and, in the case of innovator products, the best price for each drug which, in general, represents the lowest price available from the manufacturer to any entity in the U.S. in any pricing structure, calculated to include all applicable sales and associated rebates, discounts and other price concessions. If we become aware that our reporting for a prior quarter was incorrect, or has changed as a result of recalculation of the pricing data, we are obligated to resubmit the corrected data for up to three years after those data originally were due. We are required to provide average sales price, or ASP, information for certain of our products to CMS on a quarterly basis. The ASP is calculated based on a statutorily defined formula as well as regulations and interpretations of the statute by CMS. This information is used to compute Medicare payment rates, with rates for Medicare Part B drugs outside the hospital outpatient setting and in the hospital outpatient setting consisting of ASP plus a specified percentage.</w:t>
      </w:r>
    </w:p>
    <w:p>
      <w:pPr>
        <w:spacing w:after="0" w:line="89" w:lineRule="exact"/>
        <w:rPr>
          <w:sz w:val="20"/>
          <w:szCs w:val="20"/>
          <w:color w:val="auto"/>
        </w:rPr>
      </w:pPr>
    </w:p>
    <w:p>
      <w:pPr>
        <w:ind w:right="60" w:firstLine="439"/>
        <w:spacing w:after="0" w:line="249" w:lineRule="auto"/>
        <w:rPr>
          <w:sz w:val="20"/>
          <w:szCs w:val="20"/>
          <w:color w:val="auto"/>
        </w:rPr>
      </w:pPr>
      <w:r>
        <w:rPr>
          <w:rFonts w:ascii="Times New Roman" w:cs="Times New Roman" w:eastAsia="Times New Roman" w:hAnsi="Times New Roman"/>
          <w:sz w:val="18"/>
          <w:szCs w:val="18"/>
          <w:color w:val="auto"/>
        </w:rPr>
        <w:t>Federal law requires that any company that participates in the Medicaid Drug Rebate Program also participate in the Public Health Service’s 340B program, or the 340B program, in order for federal funds to be available for the manufacturer’s drugs under Medicaid and Medicare Part B. The 340B program, which is administered by the Health Resources and Services Administration, or HRSA, requires participating manufacturers to agree to charge statutorily defined covered entities no more than the 340B “ceiling price” for the manufacturer’s covered drugs used in an outpatient setting. These 340B covered entities include certain qualifying community health clinics, a variety of entities that receive health services grants from the Public Health Service, and multiple categories of hospitals, including children’s hospitals, critical access hospitals, free standing cancer hospitals and hospitals that serve a disproportionate share of low-income patients. The 340B ceiling price is calculated using a statutory formula, which is based on the average manufacturer price and rebate amount for the covered outpatient drug as calculated under the Medicaid Drug Rebate Program, and in general, products subject to Medicaid price reporting and rebate liability are also subject to the 340B ceiling price calculation and discount requirement. A regulation regarding the calculation of the 340B ceiling price and the imposition of civil monetary penalties on manufacturers that knowingly and intentionally overcharge covered entities became effective on January 1, 2019. We also are required to report our 340B ceiling prices to HRSA on a quarterly basis and HRSA then publishes them to 340B covered entities. In addition, legislation may be introduced that, if passed, would further expand the 340B program to additional covered entities or would require participating manufacturers to agree to provide 340B discounted pricing on drugs used in an inpatient setting.</w:t>
      </w:r>
    </w:p>
    <w:p>
      <w:pPr>
        <w:spacing w:after="0" w:line="84" w:lineRule="exact"/>
        <w:rPr>
          <w:sz w:val="20"/>
          <w:szCs w:val="20"/>
          <w:color w:val="auto"/>
        </w:rPr>
      </w:pPr>
    </w:p>
    <w:p>
      <w:pPr>
        <w:ind w:right="40" w:firstLine="439"/>
        <w:spacing w:after="0" w:line="276" w:lineRule="auto"/>
        <w:rPr>
          <w:sz w:val="20"/>
          <w:szCs w:val="20"/>
          <w:color w:val="auto"/>
        </w:rPr>
      </w:pPr>
      <w:r>
        <w:rPr>
          <w:rFonts w:ascii="Times New Roman" w:cs="Times New Roman" w:eastAsia="Times New Roman" w:hAnsi="Times New Roman"/>
          <w:sz w:val="18"/>
          <w:szCs w:val="18"/>
          <w:color w:val="auto"/>
        </w:rPr>
        <w:t>A provision in The American Rescue Plan Act of 2021 eliminated, effective January 2024, the statutory cap on rebates drug manufacturers are required to pay under the Medicaid Drug Rebate Program. The elimination of the cap on rebates means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that manufacturer discounts to Medicaid may rise beginning in 2024 and, in certain circumstances, rebates could exceed the amount that state Medicaid programs pay for the drug. This policy change will have the greatest impact on drugs whose prices have reached the 100 percent Average Manufacturer Price rebate cap. Further, the Inflation Reduction Act of 2022 among other things, requires the U.S. Department of Health and Human Services Secretary to negotiate, with respect to Medicare units and subject to a specified cap, the price of a set number of certain high Medicare spend drugs and biologicals per year starting in 2026, penalizes manufacturers of certain Medicare Parts B and D drugs for price increases above inflation, and makes several changes to the Medicare Part D benefit, including a limit on annual out-of-pocket costs, and a change in manufacturer liability under the program, which could negatively affect our business and financial condition.</w:t>
      </w:r>
    </w:p>
    <w:p>
      <w:pPr>
        <w:spacing w:after="0" w:line="82" w:lineRule="exact"/>
        <w:rPr>
          <w:sz w:val="20"/>
          <w:szCs w:val="20"/>
          <w:color w:val="auto"/>
        </w:rPr>
      </w:pPr>
    </w:p>
    <w:p>
      <w:pPr>
        <w:ind w:right="240" w:firstLine="439"/>
        <w:spacing w:after="0" w:line="261" w:lineRule="auto"/>
        <w:rPr>
          <w:sz w:val="20"/>
          <w:szCs w:val="20"/>
          <w:color w:val="auto"/>
        </w:rPr>
      </w:pPr>
      <w:r>
        <w:rPr>
          <w:rFonts w:ascii="Times New Roman" w:cs="Times New Roman" w:eastAsia="Times New Roman" w:hAnsi="Times New Roman"/>
          <w:sz w:val="18"/>
          <w:szCs w:val="18"/>
          <w:color w:val="auto"/>
        </w:rPr>
        <w:t>Effective January 2023, a provision of the Infrastructure Investment and Jobs Act requires a manufacturer of single source drugs or biologicals in single-use packages or single dose containers to pay a refund on discarded amounts of drug under Medicare Part B where the discarded amount exceeds an applicable threshold.</w:t>
      </w:r>
    </w:p>
    <w:p>
      <w:pPr>
        <w:spacing w:after="0" w:line="70" w:lineRule="exact"/>
        <w:rPr>
          <w:sz w:val="20"/>
          <w:szCs w:val="20"/>
          <w:color w:val="auto"/>
        </w:rPr>
      </w:pPr>
    </w:p>
    <w:p>
      <w:pPr>
        <w:ind w:right="20" w:firstLine="439"/>
        <w:spacing w:after="0" w:line="250" w:lineRule="auto"/>
        <w:rPr>
          <w:sz w:val="20"/>
          <w:szCs w:val="20"/>
          <w:color w:val="auto"/>
        </w:rPr>
      </w:pPr>
      <w:r>
        <w:rPr>
          <w:rFonts w:ascii="Times New Roman" w:cs="Times New Roman" w:eastAsia="Times New Roman" w:hAnsi="Times New Roman"/>
          <w:sz w:val="18"/>
          <w:szCs w:val="18"/>
          <w:color w:val="auto"/>
        </w:rPr>
        <w:t>In order to be eligible to have our products paid for with federal funds under the Medicaid and Medicare Part B programs and purchased by certain federal agencies and grantees, we also participate in the U.S. Department of Veterans Affairs, or VA, Federal Supply Schedule, or FSS, pricing program. Under this program, we are obligated to make our products available for procurement on an FSS contract under which we must comply with standard government terms and conditions and charge a price to certain federal agencies that is no higher than the statutory Federal Ceiling Price, or FCP. The FCP is based on the non-federal average manufacturer price, or Non-FAMP, which we calculate and report to the VA on a quarterly and annual basis. We also participate in the Tricare Retail Pharmacy program, under which we pay quarterly rebates on utilization of innovator products that are dispensed through the Tricare Retail Pharmacy network to Tricare beneficiaries. The rebates are calculated as the difference between the annual Non-FAMP and FCP. Pricing and rebate calculations vary across products and programs, are complex, and are often subject to interpretation by us, governmental or regulatory agencies and the courts, which can change and evolve over time.</w:t>
      </w:r>
    </w:p>
    <w:p>
      <w:pPr>
        <w:spacing w:after="0" w:line="83" w:lineRule="exact"/>
        <w:rPr>
          <w:sz w:val="20"/>
          <w:szCs w:val="20"/>
          <w:color w:val="auto"/>
        </w:rPr>
      </w:pPr>
    </w:p>
    <w:p>
      <w:pPr>
        <w:ind w:firstLine="439"/>
        <w:spacing w:after="0" w:line="251" w:lineRule="auto"/>
        <w:rPr>
          <w:sz w:val="20"/>
          <w:szCs w:val="20"/>
          <w:color w:val="auto"/>
        </w:rPr>
      </w:pPr>
      <w:r>
        <w:rPr>
          <w:rFonts w:ascii="Times New Roman" w:cs="Times New Roman" w:eastAsia="Times New Roman" w:hAnsi="Times New Roman"/>
          <w:sz w:val="18"/>
          <w:szCs w:val="18"/>
          <w:color w:val="auto"/>
        </w:rPr>
        <w:t>In addition, in the U.S., drug pricing by pharmaceutical companies is currently, and is expected to continue to be, under close scrutiny, including with respect to companies that have increased the price of products after acquiring those products from other companies. There are numerous ongoing efforts at the federal and state level seeking to indirectly or directly regulate drug prices to reduce overall healthcare costs using tools such as price ceilings, value-based pricing and increased transparency and disclosure obligations. Numerous states have passed or are considering legislation that requires or purports to require companies to report pricing information, including proprietary pricing information. For example, in 2017, California adopted a prescription drug price transparency state bill requiring advance notice of and an explanation for price increases of certain drugs that exceed a specified threshold. Similar bills have been previously introduced at the federal level and additional legislation could be introduced this year.</w:t>
      </w:r>
    </w:p>
    <w:p>
      <w:pPr>
        <w:spacing w:after="0" w:line="82" w:lineRule="exact"/>
        <w:rPr>
          <w:sz w:val="20"/>
          <w:szCs w:val="20"/>
          <w:color w:val="auto"/>
        </w:rPr>
      </w:pPr>
    </w:p>
    <w:p>
      <w:pPr>
        <w:ind w:right="40" w:firstLine="439"/>
        <w:spacing w:after="0" w:line="249" w:lineRule="auto"/>
        <w:rPr>
          <w:sz w:val="20"/>
          <w:szCs w:val="20"/>
          <w:color w:val="auto"/>
        </w:rPr>
      </w:pPr>
      <w:r>
        <w:rPr>
          <w:rFonts w:ascii="Times New Roman" w:cs="Times New Roman" w:eastAsia="Times New Roman" w:hAnsi="Times New Roman"/>
          <w:sz w:val="18"/>
          <w:szCs w:val="18"/>
          <w:color w:val="auto"/>
        </w:rPr>
        <w:t>Similar to what is occurring in the U.S., political, economic and regulatory developments outside of the U.S. are also subjecting the healthcare industry to fundamental changes and challenges. Pressure by governments and other stakeholders on prices and reimbursement levels continue to exist. In various EU member states we expect to be subject to continuous cost-cutting measures, such as voluntary and temporary sales rebates, lower maximum prices, lower or lack of reimbursement coverage and incentives to use cheaper, usually generic, products as an alternative. Health technology assessment, or HTA, of medicinal products is becoming an increasingly common part of the pricing and reimbursement procedures in some EU member states, including countries representing major markets. The HTA process, which is governed by the national laws of these countries, is the procedure according to which the assessment of the public health impact, therapeutic impact and the economic and societal impact of use of a given medicinal product in the national healthcare systems of the individual country is conducted. HTA generally compares attributes of individual medicinal products, as compared with other treatment options available on the market. The outcome of HTA regarding specific medicinal products will often influence the pricing and reimbursement status granted to these medicinal products by the competent authorities of individual EU member states. In December 2021, the EC adopted a HTA regulation intended to boost cooperation among EU member states in assessing health technologies, including new medicinal products. The regulation will apply to all EU member states from January 2025 provides that EU member states will be able to use common HTA tools, methodologies, and procedures across the EU. Individual EU member states will continue to be responsible for drawing conclusions on the overall value of a new health technology for their healthcare system, and pricing and reimbursement decisions.</w:t>
      </w:r>
    </w:p>
    <w:p>
      <w:pPr>
        <w:spacing w:after="0" w:line="82" w:lineRule="exact"/>
        <w:rPr>
          <w:sz w:val="20"/>
          <w:szCs w:val="20"/>
          <w:color w:val="auto"/>
        </w:rPr>
      </w:pPr>
    </w:p>
    <w:p>
      <w:pPr>
        <w:ind w:right="300" w:firstLine="439"/>
        <w:spacing w:after="0" w:line="251" w:lineRule="auto"/>
        <w:rPr>
          <w:sz w:val="20"/>
          <w:szCs w:val="20"/>
          <w:color w:val="auto"/>
        </w:rPr>
      </w:pPr>
      <w:r>
        <w:rPr>
          <w:rFonts w:ascii="Times New Roman" w:cs="Times New Roman" w:eastAsia="Times New Roman" w:hAnsi="Times New Roman"/>
          <w:sz w:val="18"/>
          <w:szCs w:val="18"/>
          <w:color w:val="auto"/>
        </w:rPr>
        <w:t>In the EU, our products are marketed through various channels and within different legal frameworks. The making available or placing on the EU market of unauthorized medicinal products is generally prohibited. However, the competent authorities of the EU member states may exceptionally and temporarily allow and reimburse the supply of such unauthorized products, either on a named patient basis or through a compassionate use process, to individual patients or a group of patients with a chronically or seriously debilitating disease or whose disease is considered to be life-threatening, and who cannot be treated satisfactorily by an authorized medicinal product. Such reimbursement may no longer be available if authorization for named patient or compassionate use programs expire or is terminated or if marketing authorization is granted for the product. In some EU member states, authorization and reimbursement policies may also delay commercialization of our products, or</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may adversely affect our ability to sell our products on a profitable basis. After initial price and reimbursement approvals, reductions in prices and changes in reimbursement levels can be triggered by multiple factors, including reference pricing systems and publication of discounts by third party payors or authorities in other countries. In the EU, prices can be reduced further by parallel distribution and parallel trade, or arbitrage between low-priced and high-priced EU member states.</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more information, including with respect to recent legal developments regarding the Medicaid Drug Rebate Program, Medicare Part B, and the</w:t>
      </w:r>
    </w:p>
    <w:p>
      <w:pPr>
        <w:spacing w:after="0" w:line="25" w:lineRule="exact"/>
        <w:rPr>
          <w:sz w:val="20"/>
          <w:szCs w:val="20"/>
          <w:color w:val="auto"/>
        </w:rPr>
      </w:pPr>
    </w:p>
    <w:p>
      <w:pPr>
        <w:ind w:right="40"/>
        <w:spacing w:after="0" w:line="216" w:lineRule="exact"/>
        <w:rPr>
          <w:sz w:val="20"/>
          <w:szCs w:val="20"/>
          <w:color w:val="auto"/>
        </w:rPr>
      </w:pPr>
      <w:r>
        <w:rPr>
          <w:rFonts w:ascii="Times New Roman" w:cs="Times New Roman" w:eastAsia="Times New Roman" w:hAnsi="Times New Roman"/>
          <w:sz w:val="18"/>
          <w:szCs w:val="18"/>
          <w:color w:val="auto"/>
        </w:rPr>
        <w:t>340B program, see the risk factors under the headings “</w:t>
      </w:r>
      <w:r>
        <w:rPr>
          <w:rFonts w:ascii="Times New Roman" w:cs="Times New Roman" w:eastAsia="Times New Roman" w:hAnsi="Times New Roman"/>
          <w:sz w:val="18"/>
          <w:szCs w:val="18"/>
          <w:i w:val="1"/>
          <w:iCs w:val="1"/>
          <w:color w:val="auto"/>
        </w:rPr>
        <w:t>Adequate coverage and reimbursement from third party payors may not be available for our products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we may be unable to successfully contract for coverage from pharmacy benefit managers and group purchasing organizations, which could diminish our sales or affect our ability to sell our products profitably; conversely, to secure coverage from these organizations, we may be required to pay rebates or other discounts or other restrictions to reimbursement that could diminish our sales,”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The pricing of pharmaceutical products has come under increasing scrutiny as part of a global trend toward healthcare cost containment and resulting changes in healthcare law and policy may impact our business in ways that we cannot currently predict, which could have a material adverse effect on our business and financial condition”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 </w:t>
      </w:r>
      <w:r>
        <w:rPr>
          <w:rFonts w:ascii="Times New Roman" w:cs="Times New Roman" w:eastAsia="Times New Roman" w:hAnsi="Times New Roman"/>
          <w:sz w:val="18"/>
          <w:szCs w:val="18"/>
          <w:color w:val="auto"/>
        </w:rPr>
        <w:t>in Part I, Item 1A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6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Patient Copay Assistance and Free Product Programs</w:t>
      </w:r>
    </w:p>
    <w:p>
      <w:pPr>
        <w:spacing w:after="0" w:line="116" w:lineRule="exact"/>
        <w:rPr>
          <w:sz w:val="20"/>
          <w:szCs w:val="20"/>
          <w:color w:val="auto"/>
        </w:rPr>
      </w:pPr>
    </w:p>
    <w:p>
      <w:pPr>
        <w:ind w:firstLine="439"/>
        <w:spacing w:after="0" w:line="254" w:lineRule="auto"/>
        <w:rPr>
          <w:sz w:val="20"/>
          <w:szCs w:val="20"/>
          <w:color w:val="auto"/>
        </w:rPr>
      </w:pPr>
      <w:r>
        <w:rPr>
          <w:rFonts w:ascii="Times New Roman" w:cs="Times New Roman" w:eastAsia="Times New Roman" w:hAnsi="Times New Roman"/>
          <w:sz w:val="18"/>
          <w:szCs w:val="18"/>
          <w:color w:val="auto"/>
        </w:rPr>
        <w:t>We have various patient programs to help patients access and pay for our products, including co-pay coupons for certain products, services that help patients determine their insurance coverage for our products, and a free product program. We also make grants to independent charitable foundations that help financially needy patients with their premium, and co-pay and co-insurance obligations. There has been enhanced scrutiny of company-sponsored patient assistance programs, including co-pay assistance programs and donations to third-party charities that provide such assistance, as well as reimbursement support offerings.</w:t>
      </w:r>
    </w:p>
    <w:p>
      <w:pPr>
        <w:spacing w:after="0" w:line="76" w:lineRule="exact"/>
        <w:rPr>
          <w:sz w:val="20"/>
          <w:szCs w:val="20"/>
          <w:color w:val="auto"/>
        </w:rPr>
      </w:pPr>
    </w:p>
    <w:p>
      <w:pPr>
        <w:ind w:right="20" w:firstLine="439"/>
        <w:spacing w:after="0" w:line="267" w:lineRule="auto"/>
        <w:rPr>
          <w:sz w:val="20"/>
          <w:szCs w:val="20"/>
          <w:color w:val="auto"/>
        </w:rPr>
      </w:pPr>
      <w:r>
        <w:rPr>
          <w:rFonts w:ascii="Times New Roman" w:cs="Times New Roman" w:eastAsia="Times New Roman" w:hAnsi="Times New Roman"/>
          <w:sz w:val="17"/>
          <w:szCs w:val="17"/>
          <w:color w:val="auto"/>
        </w:rPr>
        <w:t xml:space="preserve">The OIG has established guidelines for pharmaceutical manufacturers who make donations to charitable organizations providing co-pay assistance to Medicare patients. Such donations are unlikely to run afoul of the anti-kickback laws provided that the organizations receiving donations, among other things, are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charities, are entirely independent of and not controlled by the manufacturer, provide aid to applicants on a first-come basis according to consistent financial criteria, and do not link aid to use of a donor’s product. In 2016 and 2017, we received subpoenas from the U.S. Attorney’s Office for the District of Massachusetts requesting documents related to our support of charitable organizations that provide financial assistance to Medicare patients. In April 2019, we finalized our civil settlement agreement with the DOJ and OIG, and entered into a corporate integrity agreement requiring us to maintain our ongoing corporate compliance program and obligating us to implement or continue, as applicable, a set of defined corporate integrity activities to ensure compliance with OIG’s policies around charitable contributions for a period of five years from the effective date of the corporate integrity agreement.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Jazz Pharmaceuticals plc</w:t>
      </w:r>
    </w:p>
    <w:p>
      <w:pPr>
        <w:spacing w:after="0" w:line="114" w:lineRule="exact"/>
        <w:rPr>
          <w:sz w:val="20"/>
          <w:szCs w:val="20"/>
          <w:color w:val="auto"/>
        </w:rPr>
      </w:pPr>
    </w:p>
    <w:p>
      <w:pPr>
        <w:ind w:right="20" w:firstLine="439"/>
        <w:spacing w:after="0" w:line="254" w:lineRule="auto"/>
        <w:rPr>
          <w:sz w:val="20"/>
          <w:szCs w:val="20"/>
          <w:color w:val="auto"/>
        </w:rPr>
      </w:pPr>
      <w:r>
        <w:rPr>
          <w:rFonts w:ascii="Times New Roman" w:cs="Times New Roman" w:eastAsia="Times New Roman" w:hAnsi="Times New Roman"/>
          <w:sz w:val="18"/>
          <w:szCs w:val="18"/>
          <w:color w:val="auto"/>
        </w:rPr>
        <w:t>Jazz Pharmaceuticals plc was formed under the laws of Ireland (registered number 399192) as a private limited liability company in March 2005 under the name Azur Pharma Limited and was subsequently re-registered as a public limited company under the name Azur Pharma Public Limited Company, or Azur Pharma, in October 2011. On January 18, 2012, the businesses of Jazz Pharmaceuticals, Inc. and Azur Pharma were combined in a merger transaction, in connection with which Azur Pharma was re-named Jazz Pharmaceuticals plc and we became the parent company of and successor to Jazz Pharmaceuticals, Inc.</w:t>
      </w:r>
    </w:p>
    <w:p>
      <w:pPr>
        <w:spacing w:after="0" w:line="76" w:lineRule="exact"/>
        <w:rPr>
          <w:sz w:val="20"/>
          <w:szCs w:val="20"/>
          <w:color w:val="auto"/>
        </w:rPr>
      </w:pPr>
    </w:p>
    <w:p>
      <w:pPr>
        <w:ind w:right="520" w:firstLine="439"/>
        <w:spacing w:after="0" w:line="370" w:lineRule="auto"/>
        <w:rPr>
          <w:sz w:val="20"/>
          <w:szCs w:val="20"/>
          <w:color w:val="auto"/>
        </w:rPr>
      </w:pPr>
      <w:r>
        <w:rPr>
          <w:rFonts w:ascii="Times New Roman" w:cs="Times New Roman" w:eastAsia="Times New Roman" w:hAnsi="Times New Roman"/>
          <w:sz w:val="18"/>
          <w:szCs w:val="18"/>
          <w:color w:val="auto"/>
        </w:rPr>
        <w:t xml:space="preserve">Our predecessor, Jazz Pharmaceuticals, Inc., was incorporated in California in March 2003 and was reincorporated in Delaware in January 2004. </w:t>
      </w:r>
      <w:r>
        <w:rPr>
          <w:rFonts w:ascii="Times New Roman" w:cs="Times New Roman" w:eastAsia="Times New Roman" w:hAnsi="Times New Roman"/>
          <w:sz w:val="18"/>
          <w:szCs w:val="18"/>
          <w:b w:val="1"/>
          <w:bCs w:val="1"/>
          <w:color w:val="auto"/>
        </w:rPr>
        <w:t>Available Information</w:t>
      </w:r>
    </w:p>
    <w:p>
      <w:pPr>
        <w:spacing w:after="0" w:line="1" w:lineRule="exact"/>
        <w:rPr>
          <w:sz w:val="20"/>
          <w:szCs w:val="20"/>
          <w:color w:val="auto"/>
        </w:rPr>
      </w:pPr>
    </w:p>
    <w:p>
      <w:pPr>
        <w:ind w:right="600" w:firstLine="439"/>
        <w:spacing w:after="0" w:line="276" w:lineRule="auto"/>
        <w:rPr>
          <w:sz w:val="20"/>
          <w:szCs w:val="20"/>
          <w:color w:val="auto"/>
        </w:rPr>
      </w:pPr>
      <w:r>
        <w:rPr>
          <w:rFonts w:ascii="Times New Roman" w:cs="Times New Roman" w:eastAsia="Times New Roman" w:hAnsi="Times New Roman"/>
          <w:sz w:val="18"/>
          <w:szCs w:val="18"/>
          <w:color w:val="auto"/>
        </w:rPr>
        <w:t>The mailing address of our headquarters is Fifth Floor, Waterloo Exchange, Waterloo Road, Dublin 4, Ireland, and our telephone number at that location is 353-1-634-7800. Our website is www.jazzpharmaceuticals.com.</w:t>
      </w:r>
    </w:p>
    <w:p>
      <w:pPr>
        <w:spacing w:after="0" w:line="56" w:lineRule="exact"/>
        <w:rPr>
          <w:sz w:val="20"/>
          <w:szCs w:val="20"/>
          <w:color w:val="auto"/>
        </w:rPr>
      </w:pPr>
    </w:p>
    <w:p>
      <w:pPr>
        <w:ind w:right="20" w:firstLine="439"/>
        <w:spacing w:after="0" w:line="222" w:lineRule="exact"/>
        <w:rPr>
          <w:sz w:val="20"/>
          <w:szCs w:val="20"/>
          <w:color w:val="auto"/>
        </w:rPr>
      </w:pPr>
      <w:r>
        <w:rPr>
          <w:rFonts w:ascii="Times New Roman" w:cs="Times New Roman" w:eastAsia="Times New Roman" w:hAnsi="Times New Roman"/>
          <w:sz w:val="18"/>
          <w:szCs w:val="18"/>
          <w:color w:val="auto"/>
        </w:rPr>
        <w:t>We file or furnish pursuant to Section 13(a) or 15(d) of the Securities Exchange Act of 1934, as amended, as applicable, our Annual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Quarterly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Current Reports on Form 8-K, amendments to those reports, proxy statements and other information electronically with the SEC. Through a link on our website, we make copies of our periodic and current reports, amendments to those reports, proxy statements and other information available, free of charge, as soon as reasonably practicable after we electronically file such material with, or furnish it to, the SEC. Information found on, or accessible through, our website is not a part of, and is not incorporated into,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2" w:lineRule="exact"/>
        <w:rPr>
          <w:sz w:val="20"/>
          <w:szCs w:val="20"/>
          <w:color w:val="auto"/>
        </w:rPr>
      </w:pPr>
    </w:p>
    <w:p>
      <w:pPr>
        <w:ind w:right="240" w:firstLine="439"/>
        <w:spacing w:after="0" w:line="222" w:lineRule="exact"/>
        <w:rPr>
          <w:sz w:val="20"/>
          <w:szCs w:val="20"/>
          <w:color w:val="auto"/>
        </w:rPr>
      </w:pPr>
      <w:r>
        <w:rPr>
          <w:rFonts w:ascii="Times New Roman" w:cs="Times New Roman" w:eastAsia="Times New Roman" w:hAnsi="Times New Roman"/>
          <w:sz w:val="18"/>
          <w:szCs w:val="18"/>
          <w:i w:val="1"/>
          <w:iCs w:val="1"/>
          <w:color w:val="auto"/>
        </w:rPr>
        <w:t>We have identified the following risks and uncertainties that may have a material adverse effect on our business, financial condition or results of operations. The risks described below are not the only ones we face. Additional risks not presently known to us or that we currently believe are immaterial may also significantly impair our business operations. Our business could be harmed by any of these risks. The trading price of our ordinary shares could decline due to any of these risks, and you may lose all or part of your investment. In assessing these risks, you should also refer to the other information contained in this Annual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K, including our consolidated financial statements and accompanying notes.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Lead Products and Product Candidates</w:t>
      </w:r>
    </w:p>
    <w:p>
      <w:pPr>
        <w:spacing w:after="0" w:line="110"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inability to maintain or increase sales from our oxybate franchise would have a material adverse effect on our business, financial condition, results of operations and growth prospects.</w:t>
      </w:r>
    </w:p>
    <w:p>
      <w:pPr>
        <w:spacing w:after="0" w:line="54" w:lineRule="exact"/>
        <w:rPr>
          <w:sz w:val="20"/>
          <w:szCs w:val="20"/>
          <w:color w:val="auto"/>
        </w:rPr>
      </w:pPr>
    </w:p>
    <w:p>
      <w:pPr>
        <w:ind w:firstLine="439"/>
        <w:spacing w:after="0" w:line="263" w:lineRule="auto"/>
        <w:rPr>
          <w:sz w:val="20"/>
          <w:szCs w:val="20"/>
          <w:color w:val="auto"/>
        </w:rPr>
      </w:pPr>
      <w:r>
        <w:rPr>
          <w:rFonts w:ascii="Times New Roman" w:cs="Times New Roman" w:eastAsia="Times New Roman" w:hAnsi="Times New Roman"/>
          <w:sz w:val="17"/>
          <w:szCs w:val="17"/>
          <w:color w:val="auto"/>
        </w:rPr>
        <w:t>Historically, our business was substantially dependent on Xyrem, and our financial results were significantly influenced by sales of Xyrem. Our operating plan assumes that Xywav, our oxybate product launched in November 2020, will remain the treatment of choice for patients who can benefit from oxybate treatment. While we expect that our business will continue to be meaningfully dependent on oxybate revenues, there is no guarantee that oxybate revenues will remain at current levels, or that oxybate revenues will otherwise grow in future periods. In this regard, our ability to maintain or increase oxybate revenues and realize the anticipated benefits from our investment in Xywav are subject to a number of risks and uncertainties as discussed in greater detail below, including those related to the launch of Xywav for the treatment of idiopathic hypersomnia, or IH, in adults and adoption in that indication; competition from the introduction of authorized generic, or AG, versions of sodium oxybate and new products, such as Avadel’s once-nightly dose, high-sodium oxybate branded product Lumryz, for treatment of cataplexy and/or excessive daytime sleepiness, or EDS, in adults with narcolepsy in the U.S. market, as well as potential future competition from additional AG and generic versions of sodium oxybate and from other competitors; increased pricing pressure from, changes in policies by, or restrictions on reimbursement imposed by, third party payors, including our ability to maintain adequate coverage and reimbursement for Xywav and Xyrem; increased rebates required to maintain access to our products; challenges to our intellectual property around Xyrem and/or Xywav, including from pending antitrust and intellectual property litigation; and continued acceptance of Xywav and Xyrem by physicians and patients. For example, Xyrem product sales have decreased since the launch of Xywav due to the continued adoption of Xywav among existing Xyrem patients and new-to-oxybate narcolepsy patients driven by educational initiatives around the benefit of lowering sodium intake. In addition, a wholly owned subsidiary of Hikma Pharmaceuticals PLC, or Hikma, launched its AG version of sodium oxybate in January 2023 and Amneal Pharmaceuticals LLC, or Amneal, launched its AG version of sodium oxybate in July 2023. We have seen a negative impact and expect to see a further negative impact on our oxybate revenues as a result of these AG products and Avadel’s Lumryz and any generic products and new branded products. A substantial further decline in oxybate revenues could cause us to reduce our operating expenses or seek to raise additional funds, which would have a material adverse effect on our business, financial condition, results of operations and growth prospects, including on our ability to acquire, in-license or develop new products to grow our business.</w:t>
      </w:r>
    </w:p>
    <w:p>
      <w:pPr>
        <w:spacing w:after="0" w:line="79"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introduction of new products in the U.S. market that compete with, or otherwise disrupt the market for, our oxybate products has adversely affected and may continue to adversely affect sales of our oxybate products.</w:t>
      </w:r>
    </w:p>
    <w:p>
      <w:pPr>
        <w:spacing w:after="0" w:line="54" w:lineRule="exact"/>
        <w:rPr>
          <w:sz w:val="20"/>
          <w:szCs w:val="20"/>
          <w:color w:val="auto"/>
        </w:rPr>
      </w:pPr>
    </w:p>
    <w:p>
      <w:pPr>
        <w:ind w:right="120" w:firstLine="439"/>
        <w:spacing w:after="0" w:line="276" w:lineRule="auto"/>
        <w:rPr>
          <w:sz w:val="20"/>
          <w:szCs w:val="20"/>
          <w:color w:val="auto"/>
        </w:rPr>
      </w:pPr>
      <w:r>
        <w:rPr>
          <w:rFonts w:ascii="Times New Roman" w:cs="Times New Roman" w:eastAsia="Times New Roman" w:hAnsi="Times New Roman"/>
          <w:sz w:val="18"/>
          <w:szCs w:val="18"/>
          <w:color w:val="auto"/>
        </w:rPr>
        <w:t>New treatment options for cataplexy and EDS in narcolepsy have been commercially launched, and in the future, other products may be launched that are competitive with or disrupt the market for our oxybate products, Xywav and Xyrem.</w:t>
      </w:r>
    </w:p>
    <w:p>
      <w:pPr>
        <w:spacing w:after="0" w:line="56" w:lineRule="exact"/>
        <w:rPr>
          <w:sz w:val="20"/>
          <w:szCs w:val="20"/>
          <w:color w:val="auto"/>
        </w:rPr>
      </w:pPr>
    </w:p>
    <w:p>
      <w:pPr>
        <w:ind w:right="20" w:firstLine="439"/>
        <w:spacing w:after="0" w:line="249" w:lineRule="auto"/>
        <w:rPr>
          <w:sz w:val="20"/>
          <w:szCs w:val="20"/>
          <w:color w:val="auto"/>
        </w:rPr>
      </w:pPr>
      <w:r>
        <w:rPr>
          <w:rFonts w:ascii="Times New Roman" w:cs="Times New Roman" w:eastAsia="Times New Roman" w:hAnsi="Times New Roman"/>
          <w:sz w:val="18"/>
          <w:szCs w:val="18"/>
          <w:color w:val="auto"/>
        </w:rPr>
        <w:t>Ten companies have sent us notices that they had filed abbreviated new drug applications, or ANDAs, seeking approval to market a generic version of Xyrem. We filed patent lawsuits against all ten companies and have settled with all ten of the companies. To date, the U.S. Food and Drug Administration, or FDA, has approved or tentatively approved four of these ANDAs, and we believe that it is likely that FDA will approve or tentatively approve some or all of the others. Pursuant to our patent litigation settlement with the first filer, Hikma launched its AG version of sodium oxybate, in the U.S. beginning on January 1, 2023. Accordingly, beginning in January 2023, Xywav and Xyrem face competition from an AG version of sodium oxybate. We also granted Hikma a license to launch its own generic sodium oxybate product, but if it elects to launch its own generic product, Hikma will no longer have the right to sell the Hikma AG product. In our settlements with Amneal, Lupin Inc., or Lupin, and Par Pharmaceutical, Inc., or Par, we granted each party the right to sell a limited volume of an AG product in the U.S. beginning on July 1, 2023 and ending on December 31, 2025, with royalties to be paid to us. Amneal launched its AG version of sodium oxybate in July 2023. At this time, Amneal has rights to sell a low-single-digit percentage of historical Xyrem sales over each 6-month sales period. At this time, Lupin and Par have elected not to launch an AG product. AG products are distributed through the same risk evaluation and mitigation strategy, or REMS, as Xywav and Xyrem. We also granted each of Amneal, Lupin and Par a license to launch its own generic sodium oxybate product under its ANDA on or after December 31, 2025, or earlier under certain circumstances, including the circumstance where Hikma elects to launch its own generic product. If Amneal, Lupin or Par elects to launch its own generic product under such circumstance, it will no longer have the right to sell an AG product. In our settlements with each of six other ANDA filers, we granted each a license to launch</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its own generic sodium oxybate product under its ANDA on or after December 31, 2025, or earlier under certain circumstances, including circumstances where Hikma launches its own generic sodium oxybate product. It is possible that additional companies may file ANDAs seeking to market a generic version of Xyrem which could lead to additional patent litigation or challenges with respect to Xyrem.</w:t>
      </w:r>
    </w:p>
    <w:p>
      <w:pPr>
        <w:spacing w:after="0" w:line="70" w:lineRule="exact"/>
        <w:rPr>
          <w:sz w:val="20"/>
          <w:szCs w:val="20"/>
          <w:color w:val="auto"/>
        </w:rPr>
      </w:pPr>
    </w:p>
    <w:p>
      <w:pPr>
        <w:ind w:right="40" w:firstLine="439"/>
        <w:spacing w:after="0" w:line="250" w:lineRule="auto"/>
        <w:rPr>
          <w:sz w:val="20"/>
          <w:szCs w:val="20"/>
          <w:color w:val="auto"/>
        </w:rPr>
      </w:pPr>
      <w:r>
        <w:rPr>
          <w:rFonts w:ascii="Times New Roman" w:cs="Times New Roman" w:eastAsia="Times New Roman" w:hAnsi="Times New Roman"/>
          <w:sz w:val="18"/>
          <w:szCs w:val="18"/>
          <w:color w:val="auto"/>
        </w:rPr>
        <w:t>Any ANDA holder launching an AG product or another generic sodium oxybate product will independently establish the price of the AG product and/or its own generic sodium oxybate product and determine the types of discounts or rebates they will offer parties that purchase or pay for the product. Generic competition often results in decreases in the net prices at which branded products can be sold. A component of drug pricing is the manufacturer’s list price for a drug to wholesalers or direct purchasers in the U.S. (without discounts, rebates or other reductions) referred to as the Wholesale Acquisition Cost, or WAC. In this regard, Hikma and Amneal launched their AG products in 2023 at a WAC that was less than 15% lower than the WAC for Xyrem. After any introduction of a generic product, whether or not it is an AG product, a significant percentage of the prescriptions written for Xyrem have been, and will likely be, filled with the generic product. Certain U.S. state laws allow for, and in some instances in the absence of specific instructions from the prescribing physician mandate, the dispensing of generic products rather than branded products when a generic version is available. This has resulted in reduced sales of, and revenue from, Xyrem. We continue to receive royalties and other revenue based on sales of AG products in accordance with the terms of our settlement agreements.</w:t>
      </w:r>
    </w:p>
    <w:p>
      <w:pPr>
        <w:spacing w:after="0" w:line="80" w:lineRule="exact"/>
        <w:rPr>
          <w:sz w:val="20"/>
          <w:szCs w:val="20"/>
          <w:color w:val="auto"/>
        </w:rPr>
      </w:pPr>
    </w:p>
    <w:p>
      <w:pPr>
        <w:ind w:firstLine="439"/>
        <w:spacing w:after="0" w:line="215" w:lineRule="exact"/>
        <w:rPr>
          <w:sz w:val="20"/>
          <w:szCs w:val="20"/>
          <w:color w:val="auto"/>
        </w:rPr>
      </w:pPr>
      <w:r>
        <w:rPr>
          <w:rFonts w:ascii="Times New Roman" w:cs="Times New Roman" w:eastAsia="Times New Roman" w:hAnsi="Times New Roman"/>
          <w:sz w:val="18"/>
          <w:szCs w:val="18"/>
          <w:color w:val="auto"/>
        </w:rPr>
        <w:t>Other companies may develop sodium oxybate products for treatment of narcolepsy, using an alternative formulation or a different delivery technology, and seek approval in the U.S. using a new drug application, or NDA, approval pathway under Section 505(b)(2) and referencing the safety and efficacy data for Xyrem. For example, we face competition from branded products for treatment of cataplexy and/or EDS in narcolepsy, such as Avadel’s Lumryz. On May 1, 2023, Avadel announced that it had received FDA approval and orphan drug exclusivity through May 1, 2030 for Lumryz, a fixed-dose, sodium oxybate which uses its proprietary technology for the treatment of EDS and cataplexy in patients with narcolepsy. For additional information on litigation involving this matter, see "FDA Litigation" in Note 14, Commitments and Contingencies-Legal Proceedings of the Notes to Consolidated Financial Statements, included in Part IV of this Annual Report on Form10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Xyrem and Xywav also face increased competition from other branded entrants to treat EDS in narcolepsy such as pitolisant and Sunosi. Other companies have announced that they have product candidates in various phases of development to treat the symptoms of narcolepsy, such as Axsome Therapeutics, Inc.’s reboxetine, and various companies are performing research and development on orexin agonists for the treatment of sleep disorders.</w:t>
      </w:r>
    </w:p>
    <w:p>
      <w:pPr>
        <w:spacing w:after="0" w:line="89" w:lineRule="exact"/>
        <w:rPr>
          <w:sz w:val="20"/>
          <w:szCs w:val="20"/>
          <w:color w:val="auto"/>
        </w:rPr>
      </w:pPr>
    </w:p>
    <w:p>
      <w:pPr>
        <w:ind w:right="180" w:firstLine="439"/>
        <w:spacing w:after="0" w:line="252" w:lineRule="auto"/>
        <w:rPr>
          <w:sz w:val="20"/>
          <w:szCs w:val="20"/>
          <w:color w:val="auto"/>
        </w:rPr>
      </w:pPr>
      <w:r>
        <w:rPr>
          <w:rFonts w:ascii="Times New Roman" w:cs="Times New Roman" w:eastAsia="Times New Roman" w:hAnsi="Times New Roman"/>
          <w:sz w:val="18"/>
          <w:szCs w:val="18"/>
          <w:color w:val="auto"/>
        </w:rPr>
        <w:t>We expect that Xywav for the treatment of both cataplexy and EDS in patients with narcolepsy will continue to face competition from generic or AG sodium oxybate products or branded entrants in narcolepsy, such as Avadel’s Lumryz notwithstanding FDA recognizing Orphan Drug Exclusivity, or ODE, for Xywav. For example, we received notices in June 2021 and February 2023, that Lupin and Teva, respectively, filed ANDAs for generic versions of Xywav. On October 13, 2023, Lupin announced that it has received tentative approval for its application to market a generic version of Xywav. Additional companies may file ANDAs seeking to market a generic version of Xywav which could lead to additional patent litigation or challenges with respect to Xywav.</w:t>
      </w:r>
    </w:p>
    <w:p>
      <w:pPr>
        <w:spacing w:after="0" w:line="80" w:lineRule="exact"/>
        <w:rPr>
          <w:sz w:val="20"/>
          <w:szCs w:val="20"/>
          <w:color w:val="auto"/>
        </w:rPr>
      </w:pPr>
    </w:p>
    <w:p>
      <w:pPr>
        <w:ind w:firstLine="439"/>
        <w:spacing w:after="0" w:line="218" w:lineRule="exact"/>
        <w:rPr>
          <w:sz w:val="20"/>
          <w:szCs w:val="20"/>
          <w:color w:val="auto"/>
        </w:rPr>
      </w:pPr>
      <w:r>
        <w:rPr>
          <w:rFonts w:ascii="Times New Roman" w:cs="Times New Roman" w:eastAsia="Times New Roman" w:hAnsi="Times New Roman"/>
          <w:sz w:val="18"/>
          <w:szCs w:val="18"/>
          <w:color w:val="auto"/>
        </w:rPr>
        <w:t>Moreover, generic or AG sodium oxybate products or branded sodium oxybate entrants in narcolepsy, such as Avadel’s Lumryz, as well as non-oxybate products intended for the treatment of EDS or cataplexy in narcolepsy or IH including new market entrants, even if not directly competitive with Xywav or Xyrem, have had and may continue to have the effect of changing treatment regimens and payor or formulary coverage of Xywav or Xyrem in favor of other products, and indirectly materially and adversely affect sales of Xywav and Xyrem. Examples of such new market entrants of non-oxybate products include pitolisant, a drug that was approved by FDA in 2019 for the treatment of EDS in adult patients with narcolepsy and approved by FDA in 2020 for an adult cataplexy indication in the U.S. Pitolisant has also been approved and marketed in Europe to treat adult patients with narcolepsy, with or without cataplexy, and to treat EDS in obstructive sleep apnea. In addition, we are also aware that prescribers often prescribe branded or generic medications for cataplexy, before or instead of prescribing oxybate therapy in Xywav and Xyrem, and that payors often require patients to try such medications before they will cover Xywav or Xyrem, even if they are not approved for this use. Examples of such products are described in “Business—Competition” in Part I, Item 1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63" w:lineRule="exact"/>
        <w:rPr>
          <w:sz w:val="20"/>
          <w:szCs w:val="20"/>
          <w:color w:val="auto"/>
        </w:rPr>
      </w:pPr>
    </w:p>
    <w:p>
      <w:pPr>
        <w:ind w:right="40" w:firstLine="439"/>
        <w:spacing w:after="0" w:line="261" w:lineRule="auto"/>
        <w:rPr>
          <w:sz w:val="20"/>
          <w:szCs w:val="20"/>
          <w:color w:val="auto"/>
        </w:rPr>
      </w:pPr>
      <w:r>
        <w:rPr>
          <w:rFonts w:ascii="Times New Roman" w:cs="Times New Roman" w:eastAsia="Times New Roman" w:hAnsi="Times New Roman"/>
          <w:sz w:val="18"/>
          <w:szCs w:val="18"/>
          <w:color w:val="auto"/>
        </w:rPr>
        <w:t>We expect that the approval and launch of AG products or other generic versions of Xyrem or Xywav and the approval and launch of any other sodium oxybate product, such as Avadel’s Lumryz, or alternative product that treats narcolepsy will continue to have a negative impact and could have a material adverse effect on our sales of Xywav and Xyrem and on our business, financial condition, results of operations and growth prospects.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The distribution and sale of our oxybate products are subject to significant regulatory restrictions, including the requirements of a REMS and safety reporting requirements, and these regulatory and safety requirements subject us to risks and uncertainties, any of which could negatively impact sales of Xywav and Xyrem.</w:t>
      </w:r>
    </w:p>
    <w:p>
      <w:pPr>
        <w:spacing w:after="0" w:line="69" w:lineRule="exact"/>
        <w:rPr>
          <w:sz w:val="20"/>
          <w:szCs w:val="20"/>
          <w:color w:val="auto"/>
        </w:rPr>
      </w:pPr>
    </w:p>
    <w:p>
      <w:pPr>
        <w:ind w:right="60" w:firstLine="439"/>
        <w:spacing w:after="0" w:line="251" w:lineRule="auto"/>
        <w:rPr>
          <w:sz w:val="20"/>
          <w:szCs w:val="20"/>
          <w:color w:val="auto"/>
        </w:rPr>
      </w:pPr>
      <w:r>
        <w:rPr>
          <w:rFonts w:ascii="Times New Roman" w:cs="Times New Roman" w:eastAsia="Times New Roman" w:hAnsi="Times New Roman"/>
          <w:sz w:val="18"/>
          <w:szCs w:val="18"/>
          <w:color w:val="auto"/>
        </w:rPr>
        <w:t>The active pharmaceutical ingredient, or API, of Xywav and Xyrem, is a form of gamma-hydroxybutyric acid, or GHB, a central nervous system depressant known to be associated with facilitated sexual assault as well as with respiratory depression and other serious side effects. As a result, FDA requires that we maintain a REMS with elements to assure safe use, or ETASU, for Xywav and Xyrem to help ensure that the benefits of the drug in the treatment of cataplexy and EDS in narcolepsy outweigh the serious risks of the drug. The REMS imposes extensive controls and restrictions on the sales and marketing of Xywav and Xyrem that we are responsible for implementing. Any failure to demonstrate our substantial compliance with our REMS obligations, or a determination by FDA that the REMS is not meeting its goals, could result in enforcement action by FDA, lead to changes in our REMS obligations, negatively affect sales of Xywav or Xyrem, result in additional costs and expenses for us and/or require us to invest a significant amount of resources, any of which could materially and adversely affect our business, financial condition, results of operations and growth prospects.</w:t>
      </w:r>
    </w:p>
    <w:p>
      <w:pPr>
        <w:spacing w:after="0" w:line="79" w:lineRule="exact"/>
        <w:rPr>
          <w:sz w:val="20"/>
          <w:szCs w:val="20"/>
          <w:color w:val="auto"/>
        </w:rPr>
      </w:pPr>
    </w:p>
    <w:p>
      <w:pPr>
        <w:ind w:right="20" w:firstLine="439"/>
        <w:spacing w:after="0" w:line="250" w:lineRule="auto"/>
        <w:rPr>
          <w:sz w:val="20"/>
          <w:szCs w:val="20"/>
          <w:color w:val="auto"/>
        </w:rPr>
      </w:pPr>
      <w:r>
        <w:rPr>
          <w:rFonts w:ascii="Times New Roman" w:cs="Times New Roman" w:eastAsia="Times New Roman" w:hAnsi="Times New Roman"/>
          <w:sz w:val="18"/>
          <w:szCs w:val="18"/>
          <w:color w:val="auto"/>
        </w:rPr>
        <w:t>FDA will evaluate the Xywav and Xyrem REMS on an ongoing basis and will require modifications as may be appropriate. In 2023, FDA requested certain modifications to the Xywav and Xyrem REMS that FDA approved in January 2024 as part of additional modifications to the REMS that we requested. We cannot predict whether FDA will request, seek to require or ultimately require additional modifications to, or impose additional requirements on, the Xywav and Xyrem REMS, including in connection with the submission of new oxybate products or indications, the introduction of AGs, or to accommodate generics, or whether FDA will approve modifications to the Xywav and Xyrem REMS that we consider warranted. Any modifications approved, required or rejected by FDA could change the safety profile of Xywav or Xyrem, and have a significant negative impact in terms of product liability, public acceptance of Xywav or Xyrem as a treatment for cataplexy and EDS in narcolepsy, and prescribers’ willingness to prescribe, and patients’ willingness to take, Xywav or Xyrem, any of which could have a material adverse effect on our business. Modifications approved, required or rejected by FDA could also make it more difficult or expensive for us to distribute Xywav or Xyrem, make distribution easier for oxybate competitors, disrupt continuity of care for Xywav or Xyrem patients and/or negatively affect sales of Xywav or Xyrem.</w:t>
      </w:r>
    </w:p>
    <w:p>
      <w:pPr>
        <w:spacing w:after="0" w:line="80" w:lineRule="exact"/>
        <w:rPr>
          <w:sz w:val="20"/>
          <w:szCs w:val="20"/>
          <w:color w:val="auto"/>
        </w:rPr>
      </w:pPr>
    </w:p>
    <w:p>
      <w:pPr>
        <w:ind w:right="60" w:firstLine="439"/>
        <w:spacing w:after="0" w:line="249" w:lineRule="auto"/>
        <w:rPr>
          <w:sz w:val="20"/>
          <w:szCs w:val="20"/>
          <w:color w:val="auto"/>
        </w:rPr>
      </w:pPr>
      <w:r>
        <w:rPr>
          <w:rFonts w:ascii="Times New Roman" w:cs="Times New Roman" w:eastAsia="Times New Roman" w:hAnsi="Times New Roman"/>
          <w:sz w:val="18"/>
          <w:szCs w:val="18"/>
          <w:color w:val="auto"/>
        </w:rPr>
        <w:t>We depend on outside vendors, including Express Scripts Specialty Distribution Services, Inc., the central certified pharmacy, to distribute Xywav and Xyrem in the U.S., provide patient support services and implement the requirements of the Xywav and Xyrem REMS. If the central pharmacy fails to meet the requirements of the Xywav and Xyrem REMS applicable to the central pharmacy or otherwise does not fulfill its contractual obligations to us, moves to terminate our agreement, refuses or fails to adequately serve patients, or fails to promptly and adequately address operational challenges or challenges in implementing REMS modifications, the fulfillment of Xywav or Xyrem prescriptions and our sales would be adversely affected. If we change to a new central pharmacy, new contracts might be required with government payors and other insurers who pay for Xywav or Xyrem, and the terms of any new contracts could be less favorable to us than current agreements. In addition, any new central pharmacy would need to be registered with the U.S. Drug Enforcement Administration, or DEA, and certified under the REMS and would also need to implement the particular processes, procedures and activities necessary to distribute under the Xywav and Xyrem REMS. Transitioning to a new pharmacy could result in product shortages, which would negatively affect sales of Xywav and Xyrem, result in additional costs and expenses for us and/or take a significant amount of time, any of which could materially and adversely affect our business, financial condition, results of operations and growth prospects.</w:t>
      </w:r>
    </w:p>
    <w:p>
      <w:pPr>
        <w:spacing w:after="0" w:line="87" w:lineRule="exact"/>
        <w:rPr>
          <w:sz w:val="20"/>
          <w:szCs w:val="20"/>
          <w:color w:val="auto"/>
        </w:rPr>
      </w:pPr>
    </w:p>
    <w:p>
      <w:pPr>
        <w:ind w:firstLine="439"/>
        <w:spacing w:after="0" w:line="249" w:lineRule="auto"/>
        <w:rPr>
          <w:sz w:val="20"/>
          <w:szCs w:val="20"/>
          <w:color w:val="auto"/>
        </w:rPr>
      </w:pPr>
      <w:r>
        <w:rPr>
          <w:rFonts w:ascii="Times New Roman" w:cs="Times New Roman" w:eastAsia="Times New Roman" w:hAnsi="Times New Roman"/>
          <w:sz w:val="18"/>
          <w:szCs w:val="18"/>
          <w:color w:val="auto"/>
        </w:rPr>
        <w:t>In its approval of Hikma’s ANDA, FDA waived the requirement of a single shared REMS with the Xywav and Xyrem REMS, approving Hikma’s ANDA with a generic sodium oxybate REMS separate from the Xywav and Xyrem REMS, except for the requirement that the sodium oxybate REMS program pharmacies contact the Xywav and Xyrem REMS by phone to verify and report certain information. The generic sodium oxybate REMS was approved with the condition that it be open to all future sponsors of ANDAs or NDAs for sodium oxybate products. In its approval of Avadel’s sodium oxybate product, FDA also approved a separate REMS for that product, also with a requirement that the pharmacies in the Avadel-sponsored REMS contact the Xywav and Xyrem REMS to verify and report certain information. Administration of multiple sodium oxybate REMS systems, including sodium oxybate distribution systems that are less restrictive than the Xywav and Xyrem REMS (such as the generic sodium oxybate REMS or Avadel's sodium oxybate REMS), could increase the risks associated with oxybate distribution, could make it more difficult or expensive for us to distribute Xywav and Xyrem and disrupt patient access to Xywav or Xyrem. Because patients, consumers and others may not differentiate sodium oxybate products from Xyrem or differentiate between the different REMS programs, any negative outcomes, including risks to the public, caused by or otherwise related to a separate sodium oxybate REMS, could have a significant negative impact in terms of product liability, our reputation and good will, public acceptance of Xywav or Xyrem as a treatment for cataplexy and EDS in narcolepsy, and prescribers’ willingness to prescribe, and patients’ willingness to take, Xywav or Xyrem, any of which could have a material adverse effect on our business.</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40" w:firstLine="439"/>
        <w:spacing w:after="0" w:line="254" w:lineRule="auto"/>
        <w:rPr>
          <w:sz w:val="20"/>
          <w:szCs w:val="20"/>
          <w:color w:val="auto"/>
        </w:rPr>
      </w:pPr>
      <w:r>
        <w:rPr>
          <w:rFonts w:ascii="Times New Roman" w:cs="Times New Roman" w:eastAsia="Times New Roman" w:hAnsi="Times New Roman"/>
          <w:sz w:val="18"/>
          <w:szCs w:val="18"/>
          <w:color w:val="auto"/>
        </w:rPr>
        <w:t>We may face pressure to further modify the Xywav and Xyrem REMS, including proprietary data required for the safe distribution of sodium oxybate, in connection with FDA’s approval of the generic sodium oxybate REMS or another oxybate REMS that has been approved or may be submitted or approved in the future. We cannot predict the outcome or impact on our business of any future action that we may take with respect to FDA’s waiver of the single shared system REMS requirement, its approval and tentative approval of generic versions of sodium oxybate or the consequences of distribution of sodium oxybate through the generic sodium oxybate REMS approved by FDA or another separate REMS.</w:t>
      </w:r>
    </w:p>
    <w:p>
      <w:pPr>
        <w:spacing w:after="0" w:line="76" w:lineRule="exact"/>
        <w:rPr>
          <w:sz w:val="20"/>
          <w:szCs w:val="20"/>
          <w:color w:val="auto"/>
        </w:rPr>
      </w:pPr>
    </w:p>
    <w:p>
      <w:pPr>
        <w:ind w:firstLine="439"/>
        <w:spacing w:after="0" w:line="250" w:lineRule="auto"/>
        <w:rPr>
          <w:sz w:val="20"/>
          <w:szCs w:val="20"/>
          <w:color w:val="auto"/>
        </w:rPr>
      </w:pPr>
      <w:r>
        <w:rPr>
          <w:rFonts w:ascii="Times New Roman" w:cs="Times New Roman" w:eastAsia="Times New Roman" w:hAnsi="Times New Roman"/>
          <w:sz w:val="18"/>
          <w:szCs w:val="18"/>
          <w:color w:val="auto"/>
        </w:rPr>
        <w:t>REMS programs have increasingly drawn public scrutiny from the U.S. Congress, the Federal Trade Commission, or FTC, the United States Patent and Trademark Office, or USPTO, and FDA, with allegations that such programs are used as a means of improperly blocking or delaying competition. In December 2019, as part of the Further Consolidated Appropriations Act of 2020, the U.S. Congress passed legislation known as the Creating and Restoring Equal Access To Equivalent Samples Act, or CREATES. CREATES is intended to prevent companies from using REMS and other restricted distribution programs as a means to deny potential competitors access to product samples that are reasonably necessary to conduct testing in support of an application that references a listed drug or biologic, and provides such potential competitors a potential private right of action if the innovator fails to timely provide samples upon request. CREATES also grants FDA additional authority regarding generic products with REMS. A further example of continued interest in REMS oversight came from the USPTO in collaboration with FDA in November 2022, when they published a Request for Comment, or RFC, in the Federal Register that asked, “What policy considerations or concerns should the USPTO and the FDA explore in relation to the patenting of REMS associated with certain FDA-approved products?” The comments for this RFC closed on February 6, 2023.</w:t>
      </w:r>
    </w:p>
    <w:p>
      <w:pPr>
        <w:spacing w:after="0" w:line="80" w:lineRule="exact"/>
        <w:rPr>
          <w:sz w:val="20"/>
          <w:szCs w:val="20"/>
          <w:color w:val="auto"/>
        </w:rPr>
      </w:pPr>
    </w:p>
    <w:p>
      <w:pPr>
        <w:ind w:right="20" w:firstLine="439"/>
        <w:spacing w:after="0" w:line="214" w:lineRule="exact"/>
        <w:rPr>
          <w:sz w:val="20"/>
          <w:szCs w:val="20"/>
          <w:color w:val="auto"/>
        </w:rPr>
      </w:pPr>
      <w:r>
        <w:rPr>
          <w:rFonts w:ascii="Times New Roman" w:cs="Times New Roman" w:eastAsia="Times New Roman" w:hAnsi="Times New Roman"/>
          <w:sz w:val="18"/>
          <w:szCs w:val="18"/>
          <w:color w:val="auto"/>
        </w:rPr>
        <w:t>It is possible that the FTC, FDA or other governmental authorities could claim that, or launch an investigation into whether, we are using our REMS programs in an anticompetitive manner or have engaged in other anticompetitive practices, whether under CREATES or otherwise. The Federal Food, Drug and Cosmetic Act further states that a REMS ETASU shall not be used by an NDA holder to block or delay generic drugs or drugs covered by an application under Section 505(b)(2) from entering the market. In its 2015 letter approving the Xyrem REMS, FDA expressed concern that we were aware that the Xyrem REMS is blocking competition. From June 2020 to May 2022, we were served with a number of lawsuits that included allegations that we had used the Xyrem REMS to delay approval of generic sodium oxybate. In December 2020, these cases were centralized and transferred to the United States District Court for the Northern District of California, where the multidistrict litigation will proceed for the purpose of discovery and pre-trial proceedings. For additional information on these lawsuits, see "Xyrem Antitrust Litigation" (and for other litigation involving our listing of our REMS patent in FDA's publication “Approved Drug Products with Therapeutic Equivalence Evaluations,” or Orange Book, see "Avadel Litigation") in Note 14, Commitments and Contingencies-Legal Proceedings of the Notes to Consolidated Financial Statements, included in Part IV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It is possible that additional lawsuits will be filed against us making similar or related allegations or that governmental authorities could commence an investigation. We cannot predict the outcome of these or potential additional lawsuits; however, if the plaintiffs were to be successful in their claims, they may be entitled to injunctive relief or we may be required to pay significant monetary damages, which could have a material adverse effect on our business, financial condition, results of operations and growth prospects.</w:t>
      </w:r>
    </w:p>
    <w:p>
      <w:pPr>
        <w:spacing w:after="0" w:line="94" w:lineRule="exact"/>
        <w:rPr>
          <w:sz w:val="20"/>
          <w:szCs w:val="20"/>
          <w:color w:val="auto"/>
        </w:rPr>
      </w:pPr>
    </w:p>
    <w:p>
      <w:pPr>
        <w:ind w:firstLine="439"/>
        <w:spacing w:after="0" w:line="251" w:lineRule="auto"/>
        <w:rPr>
          <w:sz w:val="20"/>
          <w:szCs w:val="20"/>
          <w:color w:val="auto"/>
        </w:rPr>
      </w:pPr>
      <w:r>
        <w:rPr>
          <w:rFonts w:ascii="Times New Roman" w:cs="Times New Roman" w:eastAsia="Times New Roman" w:hAnsi="Times New Roman"/>
          <w:sz w:val="18"/>
          <w:szCs w:val="18"/>
          <w:color w:val="auto"/>
        </w:rPr>
        <w:t>Pharmaceutical companies, including their agents and employees, are required to monitor adverse events occurring during the use of their products and report them to FDA. The patient counseling and monitoring requirements of the Xywav and Xyrem REMS provide more extensive information about adverse events experienced by patients taking Xywav and Xyrem, including deaths, than is generally available for other products that are not subject to similar REMS requirements. As required by FDA and other regulatory agencies, the adverse event information that we collect for Xywav and Xyrem is regularly reported to FDA and could result in FDA requiring changes to Xywav and/or Xyrem labeling, including additional warnings or additional boxed warnings, or requiring us to take other actions that could have an adverse effect on patient and prescriber acceptance of Xywav and Xyrem. As required by FDA, Xywav’s and Xyrem’s current labeling includes a boxed warning regarding the risk of central nervous system depression and misuse and abuse.</w:t>
      </w:r>
    </w:p>
    <w:p>
      <w:pPr>
        <w:spacing w:after="0" w:line="82" w:lineRule="exact"/>
        <w:rPr>
          <w:sz w:val="20"/>
          <w:szCs w:val="20"/>
          <w:color w:val="auto"/>
        </w:rPr>
      </w:pPr>
    </w:p>
    <w:p>
      <w:pPr>
        <w:ind w:right="280" w:firstLine="439"/>
        <w:spacing w:after="0" w:line="261" w:lineRule="auto"/>
        <w:rPr>
          <w:sz w:val="20"/>
          <w:szCs w:val="20"/>
          <w:color w:val="auto"/>
        </w:rPr>
      </w:pPr>
      <w:r>
        <w:rPr>
          <w:rFonts w:ascii="Times New Roman" w:cs="Times New Roman" w:eastAsia="Times New Roman" w:hAnsi="Times New Roman"/>
          <w:sz w:val="18"/>
          <w:szCs w:val="18"/>
          <w:color w:val="auto"/>
        </w:rPr>
        <w:t>Any failure to demonstrate our substantial compliance with the REMS or any other applicable regulatory requirements to the satisfaction of FDA or another regulatory authority could result in such regulatory authorities taking actions in the future which could have a material adverse effect on oxybate product sales and therefore on our business, financial condition, results of operations and growth prospects.</w:t>
      </w:r>
    </w:p>
    <w:p>
      <w:pPr>
        <w:spacing w:after="0" w:line="66"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inability to maintain or increase sales of Epidiolex/Epidyolex would have a material adverse effect on our business, financial condition, results of operations and growth prospects.</w:t>
      </w:r>
    </w:p>
    <w:p>
      <w:pPr>
        <w:spacing w:after="0" w:line="93" w:lineRule="exact"/>
        <w:rPr>
          <w:sz w:val="20"/>
          <w:szCs w:val="20"/>
          <w:color w:val="auto"/>
        </w:rPr>
      </w:pPr>
    </w:p>
    <w:p>
      <w:pPr>
        <w:ind w:right="100" w:firstLine="439"/>
        <w:spacing w:after="0" w:line="254" w:lineRule="auto"/>
        <w:rPr>
          <w:sz w:val="20"/>
          <w:szCs w:val="20"/>
          <w:color w:val="auto"/>
        </w:rPr>
      </w:pPr>
      <w:r>
        <w:rPr>
          <w:rFonts w:ascii="Times New Roman" w:cs="Times New Roman" w:eastAsia="Times New Roman" w:hAnsi="Times New Roman"/>
          <w:sz w:val="18"/>
          <w:szCs w:val="18"/>
          <w:color w:val="auto"/>
        </w:rPr>
        <w:t>Our ability to maintain or increase sales of Epidiolex/Epidyolex (cannabidiol) is subject to many risks. There are many factors that could cause the commercialization of Epidiolex to be unsuccessful, including a number of factors that are outside our control. The commercial success of Epidiolex depends on the extent to which patients and physicians accept and adopt Epidiolex as a treatment for seizures associated with Lennox-Gastaut syndrome, Dravet syndrome and Tuberous Sclerosis Complex, and we do not know whether our or others’ estimates in this regard will be accurate. Physicians may not prescribe</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0"/>
        <w:spacing w:after="0" w:line="219" w:lineRule="exact"/>
        <w:rPr>
          <w:sz w:val="20"/>
          <w:szCs w:val="20"/>
          <w:color w:val="auto"/>
        </w:rPr>
      </w:pPr>
      <w:r>
        <w:rPr>
          <w:rFonts w:ascii="Times New Roman" w:cs="Times New Roman" w:eastAsia="Times New Roman" w:hAnsi="Times New Roman"/>
          <w:sz w:val="18"/>
          <w:szCs w:val="18"/>
          <w:color w:val="auto"/>
        </w:rPr>
        <w:t>Epidiolex and patients may be unwilling to use Epidiolex if coverage is not provided or reimbursement is inadequate to cover a significant portion of the cost. Additionally, any negative development for Epidiolex in the market, in clinical development for additional indications, or in regulatory processes in other jurisdictions, may adversely impact the commercial results and potential of Epidiolex. In the future, we expect Epidiolex to face competition from generic cannabinoids. In November and December 2022, we received notices from various ANDA filers that they have each filed with FDA an ANDA for a generic version of Epidiolex (cannabidiol) oral solution. In January 2023, we filed patent infringement suits against these ANDA filers. As a result of these lawsuits, a stay of approval of up to 30 months will be imposed by FDA on these ANDA filers. For additional information see “</w:t>
      </w:r>
      <w:r>
        <w:rPr>
          <w:rFonts w:ascii="Times New Roman" w:cs="Times New Roman" w:eastAsia="Times New Roman" w:hAnsi="Times New Roman"/>
          <w:sz w:val="18"/>
          <w:szCs w:val="18"/>
          <w:i w:val="1"/>
          <w:iCs w:val="1"/>
          <w:color w:val="auto"/>
        </w:rPr>
        <w:t>Epidiolex Patent Litigation</w:t>
      </w:r>
      <w:r>
        <w:rPr>
          <w:rFonts w:ascii="Times New Roman" w:cs="Times New Roman" w:eastAsia="Times New Roman" w:hAnsi="Times New Roman"/>
          <w:sz w:val="18"/>
          <w:szCs w:val="18"/>
          <w:color w:val="auto"/>
        </w:rPr>
        <w:t>” in Note 14, Commitments and Contingencies-Legal Proceedings of the Notes to Consolidated Financial Statements, included in Part IV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61" w:lineRule="exact"/>
        <w:rPr>
          <w:sz w:val="20"/>
          <w:szCs w:val="20"/>
          <w:color w:val="auto"/>
        </w:rPr>
      </w:pPr>
    </w:p>
    <w:p>
      <w:pPr>
        <w:ind w:right="4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While we expect our oxybate products and Epidiolex/Epidyolex to remain our largest products, our success also depends on our ability to effectively commercialize our other existing products and potential future products.</w:t>
      </w:r>
    </w:p>
    <w:p>
      <w:pPr>
        <w:spacing w:after="0" w:line="54" w:lineRule="exact"/>
        <w:rPr>
          <w:sz w:val="20"/>
          <w:szCs w:val="20"/>
          <w:color w:val="auto"/>
        </w:rPr>
      </w:pPr>
    </w:p>
    <w:p>
      <w:pPr>
        <w:ind w:firstLine="439"/>
        <w:spacing w:after="0" w:line="256" w:lineRule="auto"/>
        <w:rPr>
          <w:sz w:val="20"/>
          <w:szCs w:val="20"/>
          <w:color w:val="auto"/>
        </w:rPr>
      </w:pPr>
      <w:r>
        <w:rPr>
          <w:rFonts w:ascii="Times New Roman" w:cs="Times New Roman" w:eastAsia="Times New Roman" w:hAnsi="Times New Roman"/>
          <w:sz w:val="18"/>
          <w:szCs w:val="18"/>
          <w:color w:val="auto"/>
        </w:rPr>
        <w:t>In addition to Xywav, Xyrem, Epidiolex/Epidyolex and our other neuroscience products and product candidates, we are commercializing a portfolio of products, including our other lead marketed products, Zepzelca, Rylaze, Vyxeos and Defitelio. An inability to effectively commercialize our other lead marketed products and to maximize their potential where possible through successful research and development activities could have a material adverse effect on our business, financial condition, results of operations and growth prospects.</w:t>
      </w:r>
    </w:p>
    <w:p>
      <w:pPr>
        <w:spacing w:after="0" w:line="75" w:lineRule="exact"/>
        <w:rPr>
          <w:sz w:val="20"/>
          <w:szCs w:val="20"/>
          <w:color w:val="auto"/>
        </w:rPr>
      </w:pPr>
    </w:p>
    <w:p>
      <w:pPr>
        <w:ind w:right="40" w:firstLine="439"/>
        <w:spacing w:after="0" w:line="248" w:lineRule="auto"/>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8"/>
          <w:szCs w:val="18"/>
          <w:color w:val="212529"/>
        </w:rPr>
        <w:t>ur ability to realize the anticipated benefits from our investment in Zepzelca</w:t>
      </w:r>
      <w:r>
        <w:rPr>
          <w:rFonts w:ascii="Times New Roman" w:cs="Times New Roman" w:eastAsia="Times New Roman" w:hAnsi="Times New Roman"/>
          <w:sz w:val="18"/>
          <w:szCs w:val="18"/>
          <w:color w:val="auto"/>
        </w:rPr>
        <w:t xml:space="preserve"> is </w:t>
      </w:r>
      <w:r>
        <w:rPr>
          <w:rFonts w:ascii="Times New Roman" w:cs="Times New Roman" w:eastAsia="Times New Roman" w:hAnsi="Times New Roman"/>
          <w:sz w:val="18"/>
          <w:szCs w:val="18"/>
          <w:color w:val="212529"/>
        </w:rPr>
        <w:t>subject to a number of risks and uncertainties, including</w:t>
      </w:r>
      <w:r>
        <w:rPr>
          <w:rFonts w:ascii="Times New Roman" w:cs="Times New Roman" w:eastAsia="Times New Roman" w:hAnsi="Times New Roman"/>
          <w:sz w:val="18"/>
          <w:szCs w:val="18"/>
          <w:color w:val="auto"/>
        </w:rPr>
        <w:t xml:space="preserve"> our ability to successfully commercialize Zepzelca in the U.S. and Canada; adequate supply of Zepzelca to meet demand; </w:t>
      </w:r>
      <w:r>
        <w:rPr>
          <w:rFonts w:ascii="Times New Roman" w:cs="Times New Roman" w:eastAsia="Times New Roman" w:hAnsi="Times New Roman"/>
          <w:sz w:val="18"/>
          <w:szCs w:val="18"/>
          <w:color w:val="212529"/>
        </w:rPr>
        <w:t>availability of favorable treatment pathway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designations pricing and adequate coverage and reimbursement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 xml:space="preserve"> the limited experience of, and need to educate, physicians in the use of Zepzelca for the treatment of </w:t>
      </w:r>
      <w:r>
        <w:rPr>
          <w:rFonts w:ascii="Times New Roman" w:cs="Times New Roman" w:eastAsia="Times New Roman" w:hAnsi="Times New Roman"/>
          <w:sz w:val="18"/>
          <w:szCs w:val="18"/>
          <w:color w:val="000000"/>
        </w:rPr>
        <w:t>metastatic small cell lung cancer, or</w:t>
      </w:r>
      <w:r>
        <w:rPr>
          <w:rFonts w:ascii="Times New Roman" w:cs="Times New Roman" w:eastAsia="Times New Roman" w:hAnsi="Times New Roman"/>
          <w:sz w:val="18"/>
          <w:szCs w:val="18"/>
          <w:color w:val="212529"/>
        </w:rPr>
        <w:t xml:space="preserve"> SCLC</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 xml:space="preserve"> the potential for negative trial data read-outs in ongoing or future Zepzelca clinical trials; our and Pharma Mar, S.A., or PharmaMar’s, ability to maintain accelerated approval or successfully complete a confirmatory study of Zepzelca; and our ability to educate health care providers about Zepzelca in the treatment of relapsed, metastatic SCLC in the U.S. and patients’ access to lung cancer screening, diagnosis and treatment. O</w:t>
      </w:r>
      <w:r>
        <w:rPr>
          <w:rFonts w:ascii="Times New Roman" w:cs="Times New Roman" w:eastAsia="Times New Roman" w:hAnsi="Times New Roman"/>
          <w:sz w:val="18"/>
          <w:szCs w:val="18"/>
          <w:color w:val="000000"/>
        </w:rPr>
        <w:t>ur ability to realize the anticipated benefits from our investments in Rylaze is subject to a number of uncertainties, including our</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ability to successfully commercialize Rylaze including creating awareness among health care professionals and ensuring that patients with acute lymphoblastic leukemia or lymphoblastic lymphoma will be given the appropriate course of therapy and dosing regimen based on the currently approved label. </w:t>
      </w:r>
      <w:r>
        <w:rPr>
          <w:rFonts w:ascii="Times New Roman" w:cs="Times New Roman" w:eastAsia="Times New Roman" w:hAnsi="Times New Roman"/>
          <w:sz w:val="18"/>
          <w:szCs w:val="18"/>
          <w:color w:val="212529"/>
        </w:rPr>
        <w:t>Our ability to realize the anticipated benefits from our investment in</w:t>
      </w:r>
      <w:r>
        <w:rPr>
          <w:rFonts w:ascii="Times New Roman" w:cs="Times New Roman" w:eastAsia="Times New Roman" w:hAnsi="Times New Roman"/>
          <w:sz w:val="18"/>
          <w:szCs w:val="18"/>
          <w:color w:val="000000"/>
        </w:rPr>
        <w:t xml:space="preserve"> Vyxeos </w:t>
      </w:r>
      <w:r>
        <w:rPr>
          <w:rFonts w:ascii="Times New Roman" w:cs="Times New Roman" w:eastAsia="Times New Roman" w:hAnsi="Times New Roman"/>
          <w:sz w:val="18"/>
          <w:szCs w:val="18"/>
          <w:color w:val="212529"/>
        </w:rPr>
        <w:t>is subject to a number of risks and uncertainties, including</w:t>
      </w:r>
      <w:r>
        <w:rPr>
          <w:rFonts w:ascii="Times New Roman" w:cs="Times New Roman" w:eastAsia="Times New Roman" w:hAnsi="Times New Roman"/>
          <w:sz w:val="18"/>
          <w:szCs w:val="18"/>
          <w:color w:val="000000"/>
        </w:rPr>
        <w:t xml:space="preserve"> our ability to differentiate Vyxeos from other liposomal chemotherapies and generically available chemotherapy combinations with which physicians and treatment centers are more familiar; </w:t>
      </w:r>
      <w:r>
        <w:rPr>
          <w:rFonts w:ascii="Times New Roman" w:cs="Times New Roman" w:eastAsia="Times New Roman" w:hAnsi="Times New Roman"/>
          <w:sz w:val="18"/>
          <w:szCs w:val="18"/>
          <w:color w:val="212529"/>
        </w:rPr>
        <w:t>acceptance by hospital pharmacy and therapeutics committees in the U.S., the European Union, or EU, and other countries;</w:t>
      </w:r>
      <w:r>
        <w:rPr>
          <w:rFonts w:ascii="Times New Roman" w:cs="Times New Roman" w:eastAsia="Times New Roman" w:hAnsi="Times New Roman"/>
          <w:sz w:val="18"/>
          <w:szCs w:val="18"/>
          <w:color w:val="000000"/>
        </w:rPr>
        <w:t xml:space="preserve"> the increasing complexity of the acute myeloid leukemia, or AML, landscape requiring changes in patient identification and treatment selection, including diagnostic tests and monitoring that clinicians may find challenging to incorporate; the use of new and novel compounds in AML that are either used off-label or are only approved for use in combination with other agents and that have not been tested in combination with Vyxeos; the increasing use of venetoclax, which received full FDA approval in October 2020 for AML treatment; the limited size of the population of high-risk AML patients who may potentially be indicated for treatment with Vyxeos; </w:t>
      </w:r>
      <w:r>
        <w:rPr>
          <w:rFonts w:ascii="Times New Roman" w:cs="Times New Roman" w:eastAsia="Times New Roman" w:hAnsi="Times New Roman"/>
          <w:sz w:val="18"/>
          <w:szCs w:val="18"/>
          <w:color w:val="212529"/>
        </w:rPr>
        <w:t>the availability of adequate coverage, pricing and reimbursement approvals;</w:t>
      </w:r>
      <w:r>
        <w:rPr>
          <w:rFonts w:ascii="Times New Roman" w:cs="Times New Roman" w:eastAsia="Times New Roman" w:hAnsi="Times New Roman"/>
          <w:sz w:val="18"/>
          <w:szCs w:val="18"/>
          <w:color w:val="000000"/>
        </w:rPr>
        <w:t xml:space="preserve"> ongoing trends in the U.S. towards lower-intensity treatments and away from intensive chemotherapy regimens, such as Vyxeos; </w:t>
      </w:r>
      <w:r>
        <w:rPr>
          <w:rFonts w:ascii="Times New Roman" w:cs="Times New Roman" w:eastAsia="Times New Roman" w:hAnsi="Times New Roman"/>
          <w:sz w:val="18"/>
          <w:szCs w:val="18"/>
          <w:color w:val="212529"/>
        </w:rPr>
        <w:t>and competition from new and existing products that are used in place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 xml:space="preserve">of intensive chemotherapy treatments like Vyxeos and potential competition from products in development. Our ability to maintain and grow sales and to realize the anticipated benefits from our investment in </w:t>
      </w:r>
      <w:r>
        <w:rPr>
          <w:rFonts w:ascii="Times New Roman" w:cs="Times New Roman" w:eastAsia="Times New Roman" w:hAnsi="Times New Roman"/>
          <w:sz w:val="18"/>
          <w:szCs w:val="18"/>
          <w:color w:val="000000"/>
        </w:rPr>
        <w:t>Defitelio</w:t>
      </w:r>
      <w:r>
        <w:rPr>
          <w:rFonts w:ascii="Times New Roman" w:cs="Times New Roman" w:eastAsia="Times New Roman" w:hAnsi="Times New Roman"/>
          <w:sz w:val="18"/>
          <w:szCs w:val="18"/>
          <w:color w:val="212529"/>
        </w:rPr>
        <w:t xml:space="preserve"> is subject to a number of risks and uncertainties, including continued acceptance by hospital pharmacy and therapeutics committees in the U.S., the EU </w:t>
      </w:r>
      <w:r>
        <w:rPr>
          <w:rFonts w:ascii="Times New Roman" w:cs="Times New Roman" w:eastAsia="Times New Roman" w:hAnsi="Times New Roman"/>
          <w:sz w:val="18"/>
          <w:szCs w:val="18"/>
          <w:color w:val="000000"/>
        </w:rPr>
        <w:t>and other countries; the</w:t>
      </w:r>
      <w:r>
        <w:rPr>
          <w:rFonts w:ascii="Times New Roman" w:cs="Times New Roman" w:eastAsia="Times New Roman" w:hAnsi="Times New Roman"/>
          <w:sz w:val="18"/>
          <w:szCs w:val="18"/>
          <w:color w:val="212529"/>
        </w:rPr>
        <w:t xml:space="preserve"> continued availability of favorable pricing and adequate coverage and reimbursement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 xml:space="preserve"> the limited experience of, and need to educate, physicians and other health care providers in recognizing, diagnosing and treating </w:t>
      </w:r>
      <w:r>
        <w:rPr>
          <w:rFonts w:ascii="Times New Roman" w:cs="Times New Roman" w:eastAsia="Times New Roman" w:hAnsi="Times New Roman"/>
          <w:sz w:val="18"/>
          <w:szCs w:val="18"/>
          <w:color w:val="000000"/>
        </w:rPr>
        <w:t>hepatic</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veno-occlusive disease, or VOD, particularly in adults; the possibility that physicians recognizing VOD symptoms may not initiate or may delay initiation of treatment while waiting for those symptoms to improve, or may terminate treatment before the end of the recommended dosing schedule; changes in chemotherapy regimens and the increasing use of cell therapies to potentially lower the incidence of severe VOD; </w:t>
      </w:r>
      <w:r>
        <w:rPr>
          <w:rFonts w:ascii="Times New Roman" w:cs="Times New Roman" w:eastAsia="Times New Roman" w:hAnsi="Times New Roman"/>
          <w:sz w:val="18"/>
          <w:szCs w:val="18"/>
          <w:color w:val="212529"/>
        </w:rPr>
        <w:t>and the limited size of the population of</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VOD patients who are indicated for treatment with Defitelio.</w:t>
      </w:r>
    </w:p>
    <w:p>
      <w:pPr>
        <w:spacing w:after="0" w:line="79"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from other companies, including companies with larger sales organizations and more experience working with large and diverse product portfolios, and competition from generic drugs.</w:t>
      </w:r>
    </w:p>
    <w:p>
      <w:pPr>
        <w:spacing w:after="0" w:line="54" w:lineRule="exact"/>
        <w:rPr>
          <w:sz w:val="20"/>
          <w:szCs w:val="20"/>
          <w:color w:val="auto"/>
        </w:rPr>
      </w:pPr>
    </w:p>
    <w:p>
      <w:pPr>
        <w:ind w:right="140" w:firstLine="439"/>
        <w:spacing w:after="0" w:line="254" w:lineRule="auto"/>
        <w:rPr>
          <w:sz w:val="20"/>
          <w:szCs w:val="20"/>
          <w:color w:val="auto"/>
        </w:rPr>
      </w:pPr>
      <w:r>
        <w:rPr>
          <w:rFonts w:ascii="Times New Roman" w:cs="Times New Roman" w:eastAsia="Times New Roman" w:hAnsi="Times New Roman"/>
          <w:sz w:val="18"/>
          <w:szCs w:val="18"/>
          <w:color w:val="auto"/>
        </w:rPr>
        <w:t>Our products compete, and our product candidates may in the future compete, with currently existing therapies, including other branded products, AG and other generic products, product candidates currently under development by us and others and/or future product candidates, including new chemical entities that may be safer or more effective or more convenient than our products. Any products that we develop may be commercialized in competitive markets, and our competitors, which include large global pharmaceutical companies and small research-based companies and institutions, may succeed in developing products that render our products obsolete or noncompetitive. Many of our competitors, particularly large pharmaceutical and</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7"/>
          <w:szCs w:val="17"/>
          <w:color w:val="auto"/>
        </w:rPr>
        <w:t>life sciences companies, have substantially greater financial, operational and human resources than we do. Smaller or earlier stage companies may also prove to be significant competitors, particularly through focused development programs and collaborative arrangements with large, established companies. In addition, many of our competitors deploy more personnel to market and sell their products than we do, and we compete with other companies to recruit, hire, train and retain pharmaceutical sales and marketing personnel. If our sales force and sales support organization are not appropriately resourced and sized to adequately promote our products, the commercial potential of our current and any future products may be diminished. In any event, the commercial potential of our current products and any future products may be reduced or eliminated if our competitors develop or acquire and commercialize generic or branded products that are safer or more effective, are more convenient or are less expensive than our products. If we are unable to compete successfully, our commercial opportunities will be reduced and our business, results of operations and financial conditions may be materially harmed.</w:t>
      </w:r>
    </w:p>
    <w:p>
      <w:pPr>
        <w:spacing w:after="0" w:line="71" w:lineRule="exact"/>
        <w:rPr>
          <w:sz w:val="20"/>
          <w:szCs w:val="20"/>
          <w:color w:val="auto"/>
        </w:rPr>
      </w:pPr>
    </w:p>
    <w:p>
      <w:pPr>
        <w:ind w:firstLine="439"/>
        <w:spacing w:after="0" w:line="218" w:lineRule="exact"/>
        <w:rPr>
          <w:sz w:val="20"/>
          <w:szCs w:val="20"/>
          <w:color w:val="auto"/>
        </w:rPr>
      </w:pPr>
      <w:r>
        <w:rPr>
          <w:rFonts w:ascii="Times New Roman" w:cs="Times New Roman" w:eastAsia="Times New Roman" w:hAnsi="Times New Roman"/>
          <w:sz w:val="18"/>
          <w:szCs w:val="18"/>
          <w:color w:val="auto"/>
        </w:rPr>
        <w:t>For a description of the competition that our lead marketed products and most advanced product candidates face or may face, see the discussion in “Business—Competition” in Part I, Item 1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the risk factor under the heading “</w:t>
      </w:r>
      <w:r>
        <w:rPr>
          <w:rFonts w:ascii="Times New Roman" w:cs="Times New Roman" w:eastAsia="Times New Roman" w:hAnsi="Times New Roman"/>
          <w:sz w:val="18"/>
          <w:szCs w:val="18"/>
          <w:i w:val="1"/>
          <w:iCs w:val="1"/>
          <w:color w:val="auto"/>
        </w:rPr>
        <w:t>The introduction of new products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U.S. market that compete with, or otherwise disrupt the market for, our oxybate products has adversely affected and may continue to adversely affect sales of our oxybate products” </w:t>
      </w:r>
      <w:r>
        <w:rPr>
          <w:rFonts w:ascii="Times New Roman" w:cs="Times New Roman" w:eastAsia="Times New Roman" w:hAnsi="Times New Roman"/>
          <w:sz w:val="18"/>
          <w:szCs w:val="18"/>
          <w:color w:val="auto"/>
        </w:rPr>
        <w:t>in this Part I, Item 1A.</w:t>
      </w:r>
    </w:p>
    <w:p>
      <w:pPr>
        <w:spacing w:after="0" w:line="8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Adequate coverage and reimbursement from third party payors may not be available for our products and we may be unable to successfully contract for coverage from pharmacy benefit managers and other organizations; conversely, to secure coverage from these organizations, we may be required to pay rebates or other discounts or other restrictions to reimbursement, either of which could diminish our sales or adversely affect our ability to sell our products profitably.</w:t>
      </w:r>
    </w:p>
    <w:p>
      <w:pPr>
        <w:spacing w:after="0" w:line="72" w:lineRule="exact"/>
        <w:rPr>
          <w:sz w:val="20"/>
          <w:szCs w:val="20"/>
          <w:color w:val="auto"/>
        </w:rPr>
      </w:pPr>
    </w:p>
    <w:p>
      <w:pPr>
        <w:ind w:right="20" w:firstLine="439"/>
        <w:spacing w:after="0" w:line="251" w:lineRule="auto"/>
        <w:rPr>
          <w:sz w:val="20"/>
          <w:szCs w:val="20"/>
          <w:color w:val="auto"/>
        </w:rPr>
      </w:pPr>
      <w:r>
        <w:rPr>
          <w:rFonts w:ascii="Times New Roman" w:cs="Times New Roman" w:eastAsia="Times New Roman" w:hAnsi="Times New Roman"/>
          <w:sz w:val="18"/>
          <w:szCs w:val="18"/>
          <w:color w:val="auto"/>
        </w:rPr>
        <w:t>In both U.S. and non-U.S. markets, our ability to successfully commercialize and achieve market acceptance of our products depends in significant part on adequate financial coverage and reimbursement from third party payors, including governmental payors (such as the Medicare and Medicaid programs in the U.S.), managed care organizations and private health insurers. Without third party payor reimbursement, patients may not be able to obtain or afford prescribed medications. In addition, reimbursement guidelines and incentives provided to prescribing physicians by third party payors may have a significant impact on the prescribing physicians’ willingness and ability to prescribe our products. The demand for, and the profitability of, our products could be materially harmed if state Medicaid programs, the Medicare program, other healthcare programs in the U.S. or elsewhere, or third party commercial payors in the U.S. or elsewhere deny reimbursement for our products, limit the indications for which our products will be reimbursed, or provide reimbursement only on unfavorable terms.</w:t>
      </w:r>
    </w:p>
    <w:p>
      <w:pPr>
        <w:spacing w:after="0" w:line="79" w:lineRule="exact"/>
        <w:rPr>
          <w:sz w:val="20"/>
          <w:szCs w:val="20"/>
          <w:color w:val="auto"/>
        </w:rPr>
      </w:pPr>
    </w:p>
    <w:p>
      <w:pPr>
        <w:ind w:right="180" w:firstLine="439"/>
        <w:spacing w:after="0" w:line="252" w:lineRule="auto"/>
        <w:rPr>
          <w:sz w:val="20"/>
          <w:szCs w:val="20"/>
          <w:color w:val="auto"/>
        </w:rPr>
      </w:pPr>
      <w:r>
        <w:rPr>
          <w:rFonts w:ascii="Times New Roman" w:cs="Times New Roman" w:eastAsia="Times New Roman" w:hAnsi="Times New Roman"/>
          <w:sz w:val="18"/>
          <w:szCs w:val="18"/>
          <w:color w:val="auto"/>
        </w:rPr>
        <w:t>As part of the overall trend toward cost containment, third party payors often require prior authorization for, and require reauthorization for continuation of, prescription products or impose step edits, which require prior use of another medication, usually a generic or preferred brand, prior to approving coverage for a new or more expensive product. Such restrictive conditions for reimbursement and an increase in reimbursement-related activities can extend the time required to fill prescriptions and may discourage patients from seeking treatment. We cannot predict actions that third party payors may take, or whether they will limit the access and level of reimbursement for our products or refuse to provide any approvals or coverage. From time to time, third party payors have refused to provide reimbursement for our products, and others may do so in the future.</w:t>
      </w:r>
    </w:p>
    <w:p>
      <w:pPr>
        <w:spacing w:after="0" w:line="80" w:lineRule="exact"/>
        <w:rPr>
          <w:sz w:val="20"/>
          <w:szCs w:val="20"/>
          <w:color w:val="auto"/>
        </w:rPr>
      </w:pPr>
    </w:p>
    <w:p>
      <w:pPr>
        <w:ind w:right="80" w:firstLine="439"/>
        <w:spacing w:after="0" w:line="251" w:lineRule="auto"/>
        <w:rPr>
          <w:sz w:val="20"/>
          <w:szCs w:val="20"/>
          <w:color w:val="auto"/>
        </w:rPr>
      </w:pPr>
      <w:r>
        <w:rPr>
          <w:rFonts w:ascii="Times New Roman" w:cs="Times New Roman" w:eastAsia="Times New Roman" w:hAnsi="Times New Roman"/>
          <w:sz w:val="18"/>
          <w:szCs w:val="18"/>
          <w:color w:val="auto"/>
        </w:rPr>
        <w:t>Third party payors increasingly examine the cost-effectiveness of pharmaceutical products, in addition to their safety and efficacy, when making coverage and reimbursement decisions. We may need to conduct expensive pharmacoeconomic and/or clinical studies in order to demonstrate the cost-effectiveness of our products. If our competitors offer their products at prices that provide purportedly lower treatment costs than our products, or otherwise suggest that their products are safer, more effective or more cost-effective than our products, this may result in a greater level of access for their products relative to our products, which would reduce our sales and harm our results of operations. In some cases, for example, third party payors try to encourage the use of less expensive generic products through their prescription benefit coverage and reimbursement and co-pay policies. Because some of our products compete in a market with both branded and generic products, obtaining and maintaining access and reimbursement coverage for our products may be more challenging than for products that are new chemical entities for which no therapeutic alternatives exist.</w:t>
      </w:r>
    </w:p>
    <w:p>
      <w:pPr>
        <w:spacing w:after="0" w:line="79" w:lineRule="exact"/>
        <w:rPr>
          <w:sz w:val="20"/>
          <w:szCs w:val="20"/>
          <w:color w:val="auto"/>
        </w:rPr>
      </w:pPr>
    </w:p>
    <w:p>
      <w:pPr>
        <w:jc w:val="both"/>
        <w:ind w:right="40" w:firstLine="439"/>
        <w:spacing w:after="0" w:line="269" w:lineRule="auto"/>
        <w:rPr>
          <w:sz w:val="20"/>
          <w:szCs w:val="20"/>
          <w:color w:val="auto"/>
        </w:rPr>
      </w:pPr>
      <w:r>
        <w:rPr>
          <w:rFonts w:ascii="Times New Roman" w:cs="Times New Roman" w:eastAsia="Times New Roman" w:hAnsi="Times New Roman"/>
          <w:sz w:val="17"/>
          <w:szCs w:val="17"/>
          <w:color w:val="auto"/>
        </w:rPr>
        <w:t>Third party pharmacy benefit managers, or PBMs, other similar organizations and payors can limit coverage to specific products on an approved list, or formulary, which might not include all of the approved products for a particular indication, and to exclude drugs from their formularies in favor of competitor drugs or alternative treatments, or place drugs on formulary tiers with higher patient co-pay obligations, and/or to mandate stricter utilization criteria.</w:t>
      </w:r>
    </w:p>
    <w:p>
      <w:pPr>
        <w:spacing w:after="0" w:line="1"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8"/>
          <w:szCs w:val="18"/>
          <w:color w:val="auto"/>
        </w:rPr>
        <w:t>Formulary exclusion effectively encourages patients and providers to seek alternative treatments, make a complex and time-intensive request for medical exemptions, or pay 100% of the cost of a drug. In addition, in many instances, certain PBMs, other similar organizations and third party payors may exert negotiating leverage by requiring incremental rebates, discounts or other concessions from manufacturers in order to maintain formulary positions, which could continue to result in higher gross to net deductions for affected products. In this regard, we have entered into agreements with PBMs and payor accounts to provide rebates to those entities related to formulary coverage for our products, but we cannot guarantee that we will be able to agree to coverage terms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with other PBMs and other third party payors. Payors could decide to exclude our products from formulary coverage lists, impose step edits that require patients to try alternative, including generic, treatments before authorizing payment for our products, limit the types of diagnoses for which coverage will be provided or impose a moratorium on coverage for products while the payor makes a coverage decision. An inability to maintain adequate formulary positions could increase patient cost-sharing for our products and cause some patients to determine not to use our products. Any delays or unforeseen difficulties in reimbursement approvals could limit patient access, depress therapy adherence rates, and adversely impact our ability to successfully commercialize our products. If we are unsuccessful in maintaining broad coverage for our products, our anticipated revenue from and growth prospects for our products could be negatively affected.</w:t>
      </w:r>
    </w:p>
    <w:p>
      <w:pPr>
        <w:spacing w:after="0" w:line="82" w:lineRule="exact"/>
        <w:rPr>
          <w:sz w:val="20"/>
          <w:szCs w:val="20"/>
          <w:color w:val="auto"/>
        </w:rPr>
      </w:pPr>
    </w:p>
    <w:p>
      <w:pPr>
        <w:ind w:right="80" w:firstLine="439"/>
        <w:spacing w:after="0" w:line="248" w:lineRule="auto"/>
        <w:rPr>
          <w:sz w:val="20"/>
          <w:szCs w:val="20"/>
          <w:color w:val="auto"/>
        </w:rPr>
      </w:pPr>
      <w:r>
        <w:rPr>
          <w:rFonts w:ascii="Times New Roman" w:cs="Times New Roman" w:eastAsia="Times New Roman" w:hAnsi="Times New Roman"/>
          <w:sz w:val="18"/>
          <w:szCs w:val="18"/>
          <w:color w:val="auto"/>
        </w:rPr>
        <w:t xml:space="preserve">In many countries outside the U.S., procedures to obtain price approvals, coverage and reimbursement can take considerable time after the receipt of marketing authorization. Many European countries periodically review their reimbursement of medicinal products, which could have an adverse impact on reimbursement status. In addition, we expect that legislators, policymakers and healthcare insurance funds in the EU member states will continue to propose and implement cost-containing measures, such as lower maximum prices, lower or lack of reimbursement coverage and incentives to use cheaper, usually generic, products as an alternative to branded products, and/or branded products available through parallel import to keep healthcare costs down. Moreover, in order to obtain reimbursement for our products in some European countries, including some EU member states, we may be required to compile additional data comparing the cost-effectiveness of our products to other available therapies. Health Technology Assessment, or HTA, of medicinal products is becoming an increasingly common part of the pricing and reimbursement procedures in some EU member states, including those representing the larger markets. The HTA process, which is currently governed by national laws in each EU member state,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 although beginning in January 2025, the EU HTA regulation will apply; this regulation aims to harmonize the clinical benefit assessment of HTA across the EU. If we are unable to maintain favorable pricing and reimbursement status in EU member states that represent significant markets, our anticipated revenue from and growth prospects for our products in the EU could be negatively affected. For example, the </w:t>
      </w:r>
      <w:r>
        <w:rPr>
          <w:rFonts w:ascii="Times New Roman" w:cs="Times New Roman" w:eastAsia="Times New Roman" w:hAnsi="Times New Roman"/>
          <w:sz w:val="18"/>
          <w:szCs w:val="18"/>
          <w:color w:val="212529"/>
        </w:rPr>
        <w:t>European Commission, or</w:t>
      </w:r>
      <w:r>
        <w:rPr>
          <w:rFonts w:ascii="Times New Roman" w:cs="Times New Roman" w:eastAsia="Times New Roman" w:hAnsi="Times New Roman"/>
          <w:sz w:val="18"/>
          <w:szCs w:val="18"/>
          <w:color w:val="auto"/>
        </w:rPr>
        <w:t xml:space="preserve"> EC, granted marketing authorization for Vyxeos in August 2018 and for Epidyolex in September 2019, and, as part of our rolling launches of Vyxeos and Epidyolex in Europe, we are making pricing and reimbursement submissions in European countries. If we experience setbacks or unforeseen difficulties in obtaining favorable pricing and reimbursement decisions, including as a result of regulatory review delays, planned launches in the affected EU member states would be delayed, which could negatively impact anticipated revenue from and growth prospects for Vyxeos and Epidyolex.</w:t>
      </w:r>
    </w:p>
    <w:p>
      <w:pPr>
        <w:spacing w:after="0" w:line="85"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The pricing of pharmaceutical products has come under increasing scrutiny as part of a global trend toward healthcare cost containment and resulting changes in healthcare law and policy, including recently enacted changes to Medicare, may impact our business in ways that we cannot currently predict, which could have a material adverse effect on our business and financial condition.</w:t>
      </w:r>
    </w:p>
    <w:p>
      <w:pPr>
        <w:spacing w:after="0" w:line="69" w:lineRule="exact"/>
        <w:rPr>
          <w:sz w:val="20"/>
          <w:szCs w:val="20"/>
          <w:color w:val="auto"/>
        </w:rPr>
      </w:pPr>
    </w:p>
    <w:p>
      <w:pPr>
        <w:ind w:right="20" w:firstLine="439"/>
        <w:spacing w:after="0" w:line="248" w:lineRule="auto"/>
        <w:rPr>
          <w:sz w:val="20"/>
          <w:szCs w:val="20"/>
          <w:color w:val="auto"/>
        </w:rPr>
      </w:pPr>
      <w:r>
        <w:rPr>
          <w:rFonts w:ascii="Times New Roman" w:cs="Times New Roman" w:eastAsia="Times New Roman" w:hAnsi="Times New Roman"/>
          <w:sz w:val="18"/>
          <w:szCs w:val="18"/>
          <w:color w:val="auto"/>
        </w:rPr>
        <w:t>Political, economic and regulatory influences are subjecting the healthcare industry in the U.S. to fundamental changes, particularly given the current atmosphere of mounting criticism of prescription drug costs in the U.S. We expect there will continue to be legislative and regulatory proposals to change the healthcare system in ways that could impact our ability to sell our products profitably, as governmental oversight and scrutiny of biopharmaceutical companies is increasing. For example, we anticipate that the U.S. Congress, state legislatures, and federal and state regulators may adopt or accelerate adoption of new healthcare policies and reforms intended to curb healthcare costs, such as federal and state controls on reimbursement for drugs (including under Medicare, Medicaid and commercial health plans), new or increased requirements to pay prescription drug rebates and penalties to government health care programs, and additional pharmaceutical cost transparency policies that aim to require drug companies to justify their prices through required disclosures. Further, the Inflation Reduction Act of 2022, or IRA, among other things, requires the U.S. Department of Health and Human Services Secretary to negotiate, with respect to Medicare units and subject to a specified cap, the price of a set number of certain high Medicare spend drugs and biologicals per year starting in 2026, penalizes manufacturers of certain Medicare Parts B and D drugs for price increases above inflation, and makes several changes to the Medicare Part D benefit, including a limit on annual out-of-pocket costs, and a change in manufacturer liability under the program, which could negatively affect our business and financial condition. The Centers for Medicare &amp; Medicaid Services, or CMS, issued final guidance implementing the Drug Price Negotiation Program for the first year of the program in which it finalized certain policies governing the selection of drugs for negotiation for such year. Among other things, CMS finalized definitions of “qualifying single source drug” and “marketed” that, especially if they persist beyond the first year of the program, could further disincentivize innovation. In addition, under the Medicaid Drug Rebate Program, rebates owed by manufacturers are no longer subject to a cap on the rebate amount effective January 1, 2024, which could adversely affect our rebate liability.</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20" w:firstLine="439"/>
        <w:spacing w:after="0" w:line="286" w:lineRule="auto"/>
        <w:rPr>
          <w:sz w:val="20"/>
          <w:szCs w:val="20"/>
          <w:color w:val="auto"/>
        </w:rPr>
      </w:pPr>
      <w:r>
        <w:rPr>
          <w:rFonts w:ascii="Times New Roman" w:cs="Times New Roman" w:eastAsia="Times New Roman" w:hAnsi="Times New Roman"/>
          <w:sz w:val="17"/>
          <w:szCs w:val="17"/>
          <w:color w:val="auto"/>
        </w:rPr>
        <w:t>Legislative and regulatory proposals that have recently been considered include, among other things, proposals to limit the terms of patent litigation settlements with generic sponsors, to define certain conduct around patenting and new product development as unfair competition, to address the scope of</w:t>
      </w:r>
    </w:p>
    <w:p>
      <w:pPr>
        <w:ind w:right="120"/>
        <w:spacing w:after="0" w:line="261" w:lineRule="auto"/>
        <w:rPr>
          <w:sz w:val="20"/>
          <w:szCs w:val="20"/>
          <w:color w:val="auto"/>
        </w:rPr>
      </w:pPr>
      <w:r>
        <w:rPr>
          <w:rFonts w:ascii="Times New Roman" w:cs="Times New Roman" w:eastAsia="Times New Roman" w:hAnsi="Times New Roman"/>
          <w:sz w:val="18"/>
          <w:szCs w:val="18"/>
          <w:color w:val="auto"/>
        </w:rPr>
        <w:t>orphan drug exclusivity and to facilitate the importation of drugs into the U.S. from other countries. Legislative and regulatory proposals to reform the regulation of the pharmaceutical industry and reimbursement for pharmaceutical drugs are continually changing, and all such considerations may adversely affect our business and industry in ways that we cannot accurately predict.</w:t>
      </w:r>
    </w:p>
    <w:p>
      <w:pPr>
        <w:spacing w:after="0" w:line="70" w:lineRule="exact"/>
        <w:rPr>
          <w:sz w:val="20"/>
          <w:szCs w:val="20"/>
          <w:color w:val="auto"/>
        </w:rPr>
      </w:pPr>
    </w:p>
    <w:p>
      <w:pPr>
        <w:ind w:firstLine="439"/>
        <w:spacing w:after="0" w:line="250" w:lineRule="auto"/>
        <w:rPr>
          <w:sz w:val="20"/>
          <w:szCs w:val="20"/>
          <w:color w:val="auto"/>
        </w:rPr>
      </w:pPr>
      <w:r>
        <w:rPr>
          <w:rFonts w:ascii="Times New Roman" w:cs="Times New Roman" w:eastAsia="Times New Roman" w:hAnsi="Times New Roman"/>
          <w:sz w:val="18"/>
          <w:szCs w:val="18"/>
          <w:color w:val="auto"/>
        </w:rPr>
        <w:t>There is also ongoing activity related to health care coverage. The Affordable Care Act substantially changed the way healthcare is financed by both governmental and private insurers. These changes impacted previously existing government healthcare programs and have resulted in the development of new programs, including Medicare payment-for-performance initiatives. Further, federal policy makers have taken and are expected to continue to try to take steps towards expanding health care coverage beyond the Affordable Care Act, which could have ramifications for the pharmaceutical industry. Additional legislative changes, regulatory changes, or guidance could be adopted, which may impact the marketing approvals and reimbursement for our products and product candidates. For example, there has been increasing legislative, regulatory, and enforcement interest in the U.S. with respect to drug pricing practices. There have been several Congressional inquiries and proposed and enacted federal and state legislation and regulatory initiatives designed to, among other things, bring more transparency to product pricing, evaluate the relationship between pricing and manufacturer patient programs, and reform government healthcare program reimbursement methodologies for drug products beyond the changes enacted by the IRA.</w:t>
      </w:r>
    </w:p>
    <w:p>
      <w:pPr>
        <w:spacing w:after="0" w:line="83" w:lineRule="exact"/>
        <w:rPr>
          <w:sz w:val="20"/>
          <w:szCs w:val="20"/>
          <w:color w:val="auto"/>
        </w:rPr>
      </w:pPr>
    </w:p>
    <w:p>
      <w:pPr>
        <w:ind w:right="20" w:firstLine="439"/>
        <w:spacing w:after="0" w:line="268" w:lineRule="auto"/>
        <w:rPr>
          <w:sz w:val="20"/>
          <w:szCs w:val="20"/>
          <w:color w:val="auto"/>
        </w:rPr>
      </w:pPr>
      <w:r>
        <w:rPr>
          <w:rFonts w:ascii="Times New Roman" w:cs="Times New Roman" w:eastAsia="Times New Roman" w:hAnsi="Times New Roman"/>
          <w:sz w:val="17"/>
          <w:szCs w:val="17"/>
          <w:color w:val="auto"/>
        </w:rPr>
        <w:t>If new healthcare policies or reforms intended to curb healthcare costs are adopted or if we experience negative publicity with respect to pricing of our products or the pricing of pharmaceutical drugs generally, the prices that we charge for our products may be affected, our commercial opportunity may be limited and/or our revenues from sales of our products may be negatively impacted. We have periodically increased the price of our products, including Xywav and Xyrem most recently in January 2024, and there is no guarantee that we will make similar price adjustments to our products in the future or that price adjustments we have taken or may take in the future will not negatively affect our sales volumes and revenues. There is no guarantee that such price adjustments will not negatively affect our reputation and our ability to secure and maintain reimbursement coverage for our products, which could limit the prices that we charge for our products, limit the commercial opportunities for our products and/or negatively impact revenues from sales of our products.</w:t>
      </w:r>
    </w:p>
    <w:p>
      <w:pPr>
        <w:spacing w:after="0" w:line="69" w:lineRule="exact"/>
        <w:rPr>
          <w:sz w:val="20"/>
          <w:szCs w:val="20"/>
          <w:color w:val="auto"/>
        </w:rPr>
      </w:pPr>
    </w:p>
    <w:p>
      <w:pPr>
        <w:ind w:firstLine="439"/>
        <w:spacing w:after="0" w:line="250" w:lineRule="auto"/>
        <w:rPr>
          <w:sz w:val="20"/>
          <w:szCs w:val="20"/>
          <w:color w:val="auto"/>
        </w:rPr>
      </w:pPr>
      <w:r>
        <w:rPr>
          <w:rFonts w:ascii="Times New Roman" w:cs="Times New Roman" w:eastAsia="Times New Roman" w:hAnsi="Times New Roman"/>
          <w:sz w:val="18"/>
          <w:szCs w:val="18"/>
          <w:color w:val="auto"/>
        </w:rPr>
        <w:t>Government investigations or U.S. Congressional oversight with respect to drug pricing or our other business practices could cause us to incur significant expense and could distract us from the operation of our business and execution of our strategy. Any such investigation or hearing could also result in reduced market acceptance and demand for our products, could harm our reputation and our ability to market our products in the future, and could have a material adverse effect on our business, financial condition, results of operations and growth prospects. For example, in July 2022, we received a subpoena from the U.S. Attorney’s Office for the District of Massachusetts requesting documents related to Xyrem and U.S. Patent No. 8,772,306 (“</w:t>
      </w:r>
      <w:r>
        <w:rPr>
          <w:rFonts w:ascii="Times New Roman" w:cs="Times New Roman" w:eastAsia="Times New Roman" w:hAnsi="Times New Roman"/>
          <w:sz w:val="18"/>
          <w:szCs w:val="18"/>
          <w:color w:val="242424"/>
        </w:rPr>
        <w:t>Method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Administration of Gamma Hydroxybutyrate with Monocarboxylate Transporters”)</w:t>
      </w:r>
      <w:r>
        <w:rPr>
          <w:rFonts w:ascii="Times New Roman" w:cs="Times New Roman" w:eastAsia="Times New Roman" w:hAnsi="Times New Roman"/>
          <w:sz w:val="18"/>
          <w:szCs w:val="18"/>
          <w:color w:val="000000"/>
        </w:rPr>
        <w:t>, product labeling changes for Xyrem, communications with FDA and the</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USPTO, pricing of Xyrem, and other related documents. For more information, see the risk factor under the heading “</w:t>
      </w:r>
      <w:r>
        <w:rPr>
          <w:rFonts w:ascii="Times New Roman" w:cs="Times New Roman" w:eastAsia="Times New Roman" w:hAnsi="Times New Roman"/>
          <w:sz w:val="18"/>
          <w:szCs w:val="18"/>
          <w:i w:val="1"/>
          <w:iCs w:val="1"/>
          <w:color w:val="000000"/>
        </w:rPr>
        <w:t>We are subject to significant ongoing</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regulatory obligations and oversight, which may subject us to civil or criminal proceedings, investigations, or penalties and may result in significant additional expense and limit our ability to commercialize our products</w:t>
      </w:r>
      <w:r>
        <w:rPr>
          <w:rFonts w:ascii="Times New Roman" w:cs="Times New Roman" w:eastAsia="Times New Roman" w:hAnsi="Times New Roman"/>
          <w:sz w:val="18"/>
          <w:szCs w:val="18"/>
          <w:color w:val="000000"/>
        </w:rPr>
        <w:t>” in this Part I, Item 1A.</w:t>
      </w:r>
    </w:p>
    <w:p>
      <w:pPr>
        <w:spacing w:after="0" w:line="83" w:lineRule="exact"/>
        <w:rPr>
          <w:sz w:val="20"/>
          <w:szCs w:val="20"/>
          <w:color w:val="auto"/>
        </w:rPr>
      </w:pPr>
    </w:p>
    <w:p>
      <w:pPr>
        <w:ind w:firstLine="439"/>
        <w:spacing w:after="0" w:line="249" w:lineRule="auto"/>
        <w:rPr>
          <w:sz w:val="20"/>
          <w:szCs w:val="20"/>
          <w:color w:val="auto"/>
        </w:rPr>
      </w:pPr>
      <w:r>
        <w:rPr>
          <w:rFonts w:ascii="Times New Roman" w:cs="Times New Roman" w:eastAsia="Times New Roman" w:hAnsi="Times New Roman"/>
          <w:sz w:val="18"/>
          <w:szCs w:val="18"/>
          <w:color w:val="auto"/>
        </w:rPr>
        <w:t>We expect that legislators, policymakers and healthcare insurance funds in Europe and other international markets will continue to propose and implement cost-containing measures to keep healthcare costs down. These measures could include limitations on the prices we will be able to charge for our products or the level of reimbursement available for these products from governmental authorities or third party payors as well as clawbacks and revenue caps. For example, in the U.K., the cap on National Health Service, or NHS, spending on branded medicines agreed between the U.K. government and industry for 2019 to 2023 has remained unaltered despite higher than expected growth in NHS use of branded medicines, resulting in significant increases to the industry level revenue clawback rate payable on sales of branded medicines to the NHS. In the EU, a trend in some EU member states is for medicinal products to be reimbursed based on competitor products and not in relation with the value or the cost of the product. On April 26, 2023, the EC adopted a proposal for a new Directive and a new Regulation, which revise and replace the existing EU general pharmaceutical legislation. This proposal includes increased transparency on research and development costs or public contributions to these costs with a view to strengthen the negotiating position of national competent authorities of the EU member states responsible for pricing and reimbursement, as well as reinforced cooperation with these authorities on pricing and reimbursement matters. Further, an increasing number of European and other foreign 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w:t>
      </w:r>
    </w:p>
    <w:p>
      <w:pPr>
        <w:spacing w:after="0" w:line="200" w:lineRule="exact"/>
        <w:rPr>
          <w:sz w:val="20"/>
          <w:szCs w:val="20"/>
          <w:color w:val="auto"/>
        </w:rPr>
      </w:pPr>
    </w:p>
    <w:p>
      <w:pPr>
        <w:spacing w:after="0" w:line="3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5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In addition to access, coverage and reimbursement, the commercial success of our products depends upon their market acceptance by physicians, patients, third party payors and the medical community.</w:t>
      </w:r>
    </w:p>
    <w:p>
      <w:pPr>
        <w:spacing w:after="0" w:line="54" w:lineRule="exact"/>
        <w:rPr>
          <w:sz w:val="20"/>
          <w:szCs w:val="20"/>
          <w:color w:val="auto"/>
        </w:rPr>
      </w:pPr>
    </w:p>
    <w:p>
      <w:pPr>
        <w:ind w:right="500" w:firstLine="439"/>
        <w:spacing w:after="0" w:line="276" w:lineRule="auto"/>
        <w:rPr>
          <w:sz w:val="20"/>
          <w:szCs w:val="20"/>
          <w:color w:val="auto"/>
        </w:rPr>
      </w:pPr>
      <w:r>
        <w:rPr>
          <w:rFonts w:ascii="Times New Roman" w:cs="Times New Roman" w:eastAsia="Times New Roman" w:hAnsi="Times New Roman"/>
          <w:sz w:val="18"/>
          <w:szCs w:val="18"/>
          <w:color w:val="auto"/>
        </w:rPr>
        <w:t>If physicians do not prescribe our products, we cannot generate the revenues we anticipate from product sales. Market acceptance of each of our products by physicians, patients, third party payors and the medical community depends on:</w:t>
      </w:r>
    </w:p>
    <w:p>
      <w:pPr>
        <w:spacing w:after="0" w:line="56" w:lineRule="exact"/>
        <w:rPr>
          <w:sz w:val="20"/>
          <w:szCs w:val="20"/>
          <w:color w:val="auto"/>
        </w:rPr>
      </w:pPr>
    </w:p>
    <w:p>
      <w:pPr>
        <w:ind w:left="640" w:right="460" w:hanging="314"/>
        <w:spacing w:after="0" w:line="276"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a product is approved and any restrictions placed upon the product in connection with its approval, such as a REMS or equivalent obligation imposed in a European or other foreign country, patient registry requirements or labeling restrictions;</w:t>
      </w:r>
    </w:p>
    <w:p>
      <w:pPr>
        <w:spacing w:after="0" w:line="56"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of the disease or condition for which the product is approved and its diagnosis;</w:t>
      </w:r>
    </w:p>
    <w:p>
      <w:pPr>
        <w:spacing w:after="0" w:line="11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the product in regular use;</w:t>
      </w:r>
    </w:p>
    <w:p>
      <w:pPr>
        <w:spacing w:after="0" w:line="11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side effects and other risks in relation to the benefits of our products;</w:t>
      </w:r>
    </w:p>
    <w:p>
      <w:pPr>
        <w:spacing w:after="0" w:line="11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serious adverse events;</w:t>
      </w:r>
    </w:p>
    <w:p>
      <w:pPr>
        <w:spacing w:after="0" w:line="11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physicians and patients of each product as a safe and effective treatment;</w:t>
      </w:r>
    </w:p>
    <w:p>
      <w:pPr>
        <w:spacing w:after="0" w:line="11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sufficient product inventory to meet demand;</w:t>
      </w:r>
    </w:p>
    <w:p>
      <w:pPr>
        <w:spacing w:after="0" w:line="11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decisions relating to treatment practices based on availability of product;</w:t>
      </w:r>
    </w:p>
    <w:p>
      <w:pPr>
        <w:spacing w:after="0" w:line="11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clinical superiority and/or advantages over alternative treatments;</w:t>
      </w:r>
    </w:p>
    <w:p>
      <w:pPr>
        <w:spacing w:after="0" w:line="11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overcoming negative publicity surrounding illicit use of</w:t>
      </w:r>
    </w:p>
    <w:p>
      <w:pPr>
        <w:spacing w:after="0" w:line="112" w:lineRule="exact"/>
        <w:rPr>
          <w:rFonts w:ascii="Times New Roman" w:cs="Times New Roman" w:eastAsia="Times New Roman" w:hAnsi="Times New Roman"/>
          <w:sz w:val="18"/>
          <w:szCs w:val="18"/>
          <w:color w:val="auto"/>
        </w:rPr>
      </w:pPr>
    </w:p>
    <w:p>
      <w:pPr>
        <w:ind w:left="1280" w:hanging="315"/>
        <w:spacing w:after="0"/>
        <w:tabs>
          <w:tab w:leader="none" w:pos="12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GHB or</w:t>
      </w:r>
    </w:p>
    <w:p>
      <w:pPr>
        <w:spacing w:after="0" w:line="112" w:lineRule="exact"/>
        <w:rPr>
          <w:rFonts w:ascii="Times New Roman" w:cs="Times New Roman" w:eastAsia="Times New Roman" w:hAnsi="Times New Roman"/>
          <w:sz w:val="18"/>
          <w:szCs w:val="18"/>
          <w:color w:val="auto"/>
        </w:rPr>
      </w:pPr>
    </w:p>
    <w:p>
      <w:pPr>
        <w:ind w:left="1280" w:hanging="315"/>
        <w:spacing w:after="0"/>
        <w:tabs>
          <w:tab w:leader="none" w:pos="12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cannabidiol, or CBD, and marijuana products</w:t>
      </w:r>
    </w:p>
    <w:p>
      <w:pPr>
        <w:spacing w:after="0" w:line="1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and the view of patients, law enforcement agencies, physicians and regulators of our products as being the same or similar to illicit products;</w:t>
      </w:r>
    </w:p>
    <w:p>
      <w:pPr>
        <w:spacing w:after="0" w:line="112" w:lineRule="exact"/>
        <w:rPr>
          <w:sz w:val="20"/>
          <w:szCs w:val="20"/>
          <w:color w:val="auto"/>
        </w:rPr>
      </w:pPr>
    </w:p>
    <w:p>
      <w:pPr>
        <w:ind w:left="640" w:hanging="314"/>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12" w:lineRule="exact"/>
        <w:rPr>
          <w:rFonts w:ascii="Times New Roman" w:cs="Times New Roman" w:eastAsia="Times New Roman" w:hAnsi="Times New Roman"/>
          <w:sz w:val="18"/>
          <w:szCs w:val="18"/>
          <w:color w:val="auto"/>
        </w:rPr>
      </w:pPr>
    </w:p>
    <w:p>
      <w:pPr>
        <w:ind w:left="640" w:right="440" w:hanging="314"/>
        <w:spacing w:after="0" w:line="276"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Xywav and Xyrem, physician and patient assessment of the burdens associated with obtaining or maintaining the certifications required under the Xywav and Xyrem REMS;</w:t>
      </w:r>
    </w:p>
    <w:p>
      <w:pPr>
        <w:spacing w:after="0" w:line="56"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 including generic products; and</w:t>
      </w:r>
    </w:p>
    <w:p>
      <w:pPr>
        <w:spacing w:after="0" w:line="11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financial or other assistance for patients who are uninsured or underinsured.</w:t>
      </w:r>
    </w:p>
    <w:p>
      <w:pPr>
        <w:spacing w:after="0" w:line="112" w:lineRule="exact"/>
        <w:rPr>
          <w:sz w:val="20"/>
          <w:szCs w:val="20"/>
          <w:color w:val="auto"/>
        </w:rPr>
      </w:pPr>
    </w:p>
    <w:p>
      <w:pPr>
        <w:jc w:val="both"/>
        <w:ind w:right="220" w:firstLine="439"/>
        <w:spacing w:after="0" w:line="261" w:lineRule="auto"/>
        <w:rPr>
          <w:sz w:val="20"/>
          <w:szCs w:val="20"/>
          <w:color w:val="auto"/>
        </w:rPr>
      </w:pPr>
      <w:r>
        <w:rPr>
          <w:rFonts w:ascii="Times New Roman" w:cs="Times New Roman" w:eastAsia="Times New Roman" w:hAnsi="Times New Roman"/>
          <w:sz w:val="18"/>
          <w:szCs w:val="18"/>
          <w:color w:val="auto"/>
        </w:rPr>
        <w:t>Because of our dependence upon market acceptance of our products, any adverse publicity associated with harm to patients or other adverse events resulting from the use or misuse of any of our products or any similar products distributed by other companies, including generic versions of our products, could materially and adversely affect our business, financial condition, results of operations and growth prospects.</w:t>
      </w:r>
    </w:p>
    <w:p>
      <w:pPr>
        <w:spacing w:after="0" w:line="66" w:lineRule="exact"/>
        <w:rPr>
          <w:sz w:val="20"/>
          <w:szCs w:val="20"/>
          <w:color w:val="auto"/>
        </w:rPr>
      </w:pPr>
    </w:p>
    <w:p>
      <w:pPr>
        <w:ind w:right="660"/>
        <w:spacing w:after="0" w:line="311" w:lineRule="auto"/>
        <w:rPr>
          <w:sz w:val="20"/>
          <w:szCs w:val="20"/>
          <w:color w:val="auto"/>
        </w:rPr>
      </w:pPr>
      <w:r>
        <w:rPr>
          <w:rFonts w:ascii="Times New Roman" w:cs="Times New Roman" w:eastAsia="Times New Roman" w:hAnsi="Times New Roman"/>
          <w:sz w:val="17"/>
          <w:szCs w:val="17"/>
          <w:b w:val="1"/>
          <w:bCs w:val="1"/>
          <w:i w:val="1"/>
          <w:iCs w:val="1"/>
          <w:color w:val="auto"/>
        </w:rPr>
        <w:t>Delays or problems in the supply of our products for sale or for use in clinical trials, loss of our single source suppliers or failure to comply with manufacturing regulations could materially and adversely affect our business, financial condition, results of operations and growth prospects.</w:t>
      </w:r>
    </w:p>
    <w:p>
      <w:pPr>
        <w:spacing w:after="0" w:line="30" w:lineRule="exact"/>
        <w:rPr>
          <w:sz w:val="20"/>
          <w:szCs w:val="20"/>
          <w:color w:val="auto"/>
        </w:rPr>
      </w:pPr>
    </w:p>
    <w:p>
      <w:pPr>
        <w:ind w:firstLine="439"/>
        <w:spacing w:after="0" w:line="265" w:lineRule="auto"/>
        <w:rPr>
          <w:sz w:val="20"/>
          <w:szCs w:val="20"/>
          <w:color w:val="auto"/>
        </w:rPr>
      </w:pPr>
      <w:r>
        <w:rPr>
          <w:rFonts w:ascii="Times New Roman" w:cs="Times New Roman" w:eastAsia="Times New Roman" w:hAnsi="Times New Roman"/>
          <w:sz w:val="17"/>
          <w:szCs w:val="17"/>
          <w:color w:val="auto"/>
        </w:rPr>
        <w:t>The manufacture of pharmaceutical products requires significant expertise and capital investment, including the development of process controls required to consistently produce the API and the finished product in sufficient quantities while meeting detailed product specifications on a repeated basis. We and our suppliers may encounter difficulties in production, including difficulties with the supply of manufacturing materials, production costs and yields, process controls, quality control and quality assurance, including testing of stability, impurities and impurity levels and other product specifications by validated test methods, and compliance with strictly enforced U.S., state and non-U.S. regulations. In addition, we and our suppliers are subject to FDA’s current Good Manufacturing Practices, or cGMP, requirements, federal and state controlled substances obligations and equivalent rules and regulations prescribed by non-U.S. regulatory authorities. If we or any of our suppliers encounter manufacturing, quality or compliance difficulties with respect to any of our products, whether due to the ongoing military conflict in Ukraine and related sanctions imposed against Russia (including as a result of disruptions of global shipping, the transport of products, energy supply, cybersecurity incidents and banking systems as well as of our ability to control input costs) or otherwise, we may be unable to obtain or maintain regulatory approval or meet commercial demand for such products, which could adversely affect our business, financial condition, results of operations and growth prospects. In addition, we could be subject to enforcement action by regulatory authorities for our failure to comply with cGMP with respect to the products we manufacture in our facilities as well as for our failure to adequately oversee compliance with cGMP by any of our third party suppliers operating under contract. Moreover, failure to comply with applicable legal and regulatory</w:t>
      </w: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20"/>
        <w:spacing w:after="0" w:line="276" w:lineRule="auto"/>
        <w:rPr>
          <w:sz w:val="20"/>
          <w:szCs w:val="20"/>
          <w:color w:val="auto"/>
        </w:rPr>
      </w:pPr>
      <w:r>
        <w:rPr>
          <w:rFonts w:ascii="Times New Roman" w:cs="Times New Roman" w:eastAsia="Times New Roman" w:hAnsi="Times New Roman"/>
          <w:sz w:val="18"/>
          <w:szCs w:val="18"/>
          <w:color w:val="auto"/>
        </w:rPr>
        <w:t>requirements subjects us and our suppliers to possible regulatory action, including restrictions on supply or shutdown, which may adversely affect our or a supplier’s ability to supply the ingredients or finished products we need.</w:t>
      </w:r>
    </w:p>
    <w:p>
      <w:pPr>
        <w:spacing w:after="0" w:line="56" w:lineRule="exact"/>
        <w:rPr>
          <w:sz w:val="20"/>
          <w:szCs w:val="20"/>
          <w:color w:val="auto"/>
        </w:rPr>
      </w:pPr>
    </w:p>
    <w:p>
      <w:pPr>
        <w:ind w:right="80" w:firstLine="439"/>
        <w:spacing w:after="0" w:line="252" w:lineRule="auto"/>
        <w:rPr>
          <w:sz w:val="20"/>
          <w:szCs w:val="20"/>
          <w:color w:val="auto"/>
        </w:rPr>
      </w:pPr>
      <w:r>
        <w:rPr>
          <w:rFonts w:ascii="Times New Roman" w:cs="Times New Roman" w:eastAsia="Times New Roman" w:hAnsi="Times New Roman"/>
          <w:sz w:val="18"/>
          <w:szCs w:val="18"/>
          <w:color w:val="auto"/>
        </w:rPr>
        <w:t>We have a manufacturing and development facility in Athlone, Ireland where we manufacture Xywav and Xyrem, a manufacturing plant in Villa Guardia, Italy where we produce the defibrotide drug substance and a manufacturing and development facility in the U.K. at Kent Science Park, where we produce Epidiolex/Epidyolex and have capability to develop product candidates. We currently do not have our own commercial manufacturing or packaging capability for our other products, their APIs or product candidates outside of those developed at Kent Science Park. As a result, our ability to develop and supply products in a timely and competitive manner depends primarily on third party suppliers being able to meet our ongoing commercial and clinical trial needs for API, other raw materials, packaging materials and finished products.</w:t>
      </w:r>
    </w:p>
    <w:p>
      <w:pPr>
        <w:spacing w:after="0" w:line="80" w:lineRule="exact"/>
        <w:rPr>
          <w:sz w:val="20"/>
          <w:szCs w:val="20"/>
          <w:color w:val="auto"/>
        </w:rPr>
      </w:pPr>
    </w:p>
    <w:p>
      <w:pPr>
        <w:ind w:firstLine="439"/>
        <w:spacing w:after="0" w:line="251" w:lineRule="auto"/>
        <w:rPr>
          <w:sz w:val="20"/>
          <w:szCs w:val="20"/>
          <w:color w:val="auto"/>
        </w:rPr>
      </w:pPr>
      <w:r>
        <w:rPr>
          <w:rFonts w:ascii="Times New Roman" w:cs="Times New Roman" w:eastAsia="Times New Roman" w:hAnsi="Times New Roman"/>
          <w:sz w:val="18"/>
          <w:szCs w:val="18"/>
          <w:color w:val="auto"/>
        </w:rPr>
        <w:t>In part due to the limited market size for our products and product candidates, we have a single source of supply for most of our marketed products, product candidates and their APIs. Single sourcing puts us at risk of interruption in supply in the event of manufacturing, quality or compliance difficulties. If one of our suppliers fails or refuses to supply us for any reason, it would take a significant amount of time and expense to implement and execute the necessary technology transfer to, and to qualify, a new supplier. FDA and similar international or national regulatory bodies must approve manufacturers of the active and inactive pharmaceutical ingredients and certain packaging materials used in our products. If there are delays in qualifying new suppliers or facilities or a new supplier is unable to meet FDA’s or similar international regulatory body’s requirements for approval, there could be a shortage of the affected products for the marketplace or for use in clinical studies, or both, which could negatively impact our anticipated revenues and could potentially cause us to breach contractual obligations with customers or to violate local laws requiring us to deliver the product to those in need.</w:t>
      </w:r>
    </w:p>
    <w:p>
      <w:pPr>
        <w:spacing w:after="0" w:line="79" w:lineRule="exact"/>
        <w:rPr>
          <w:sz w:val="20"/>
          <w:szCs w:val="20"/>
          <w:color w:val="auto"/>
        </w:rPr>
      </w:pPr>
    </w:p>
    <w:p>
      <w:pPr>
        <w:ind w:firstLine="439"/>
        <w:spacing w:after="0" w:line="248" w:lineRule="auto"/>
        <w:rPr>
          <w:sz w:val="20"/>
          <w:szCs w:val="20"/>
          <w:color w:val="auto"/>
        </w:rPr>
      </w:pPr>
      <w:r>
        <w:rPr>
          <w:rFonts w:ascii="Times New Roman" w:cs="Times New Roman" w:eastAsia="Times New Roman" w:hAnsi="Times New Roman"/>
          <w:sz w:val="18"/>
          <w:szCs w:val="18"/>
          <w:color w:val="auto"/>
        </w:rPr>
        <w:t>We are responsible for the manufacture and supply of Epidiolex/Epidyolex and other cannabinoid product candidates for commercial use and for use in clinical trials. The manufacturing of Epidiolex/Epidyolex and our product candidates necessitates compliance with Good Manufacturing Practice, or GMP, and other regulatory requirements in jurisdictions internationally. Our ability to successfully manufacture Epidiolex/Epidyolex and other cannabinoid product candidates involves cultivation of botanical raw material from specific cannabinoid plants, extraction and purification processes, manufacture of finished products and labeling and packaging, which includes product information, tamper evidence and anti-counterfeit features, under tightly controlled processes and procedures. In addition, we must ensure chemical consistency among our batches, including clinical batches and, if approved, marketing batches. Demonstrating such consistency may require typical manufacturing controls as well as clinical data. We must also ensure that our batches conform to complex release specifications. We have a second site at which we can grow the specific cannabinoid plants that produce the CBD used in Epidiolex/Epidyolex and a second site at which we can crystallize the purified CBD from the liquid plant extract. A number of our product candidates (excluding Epidiolex/Epidyolex) consist of a complex mixture manufactured from plant materials, and because the release specifications may not be identical in all countries, certain batches may fail release testing and not be able to be commercialized. If we are unable to manufacture Epidiolex/Epidyolex or other product candidates in accordance with regulatory specifications, including GMP or if there are disruptions in our manufacturing process due to damage, loss or otherwise, or failure to pass regulatory inspections of our manufacturing facilities, we may not be able to meet current demand or supply sufficient product for use in clinical trials, and this may also harm our ability to commercialize Epidiolex/Epidyolex and our product candidates on a timely or cost-competitive basis, if at all. Our manufacturing program requires significant time and resources and may not be successful, may lead to delays, interruptions to supply or may prove to be more costly than anticipated.</w:t>
      </w:r>
    </w:p>
    <w:p>
      <w:pPr>
        <w:spacing w:after="0" w:line="92" w:lineRule="exact"/>
        <w:rPr>
          <w:sz w:val="20"/>
          <w:szCs w:val="20"/>
          <w:color w:val="auto"/>
        </w:rPr>
      </w:pPr>
    </w:p>
    <w:p>
      <w:pPr>
        <w:ind w:right="80" w:firstLine="439"/>
        <w:spacing w:after="0" w:line="254" w:lineRule="auto"/>
        <w:rPr>
          <w:sz w:val="20"/>
          <w:szCs w:val="20"/>
          <w:color w:val="auto"/>
        </w:rPr>
      </w:pPr>
      <w:r>
        <w:rPr>
          <w:rFonts w:ascii="Times New Roman" w:cs="Times New Roman" w:eastAsia="Times New Roman" w:hAnsi="Times New Roman"/>
          <w:sz w:val="18"/>
          <w:szCs w:val="18"/>
          <w:color w:val="auto"/>
        </w:rPr>
        <w:t>Vyxeos is manufactured by Simtra Biopharma Solutions, which is a sole source supplier from a single site location. Moreover, the proprietary technology that supports the manufacture of Vyxeos is not easily transferable. Consequently, engaging an alternate manufacturer may be difficult, costly and time-consuming. If we fail to obtain a sufficient supply of Vyxeos in accordance with applicable specifications on a timely basis, our sales of Vyxeos, our future maintenance and potential growth of the market for this product, our ability to conduct ongoing and future clinical trials of Vyxeos, and our business, financial condition, results of operations and growth prospects could be materially adversely affected.</w:t>
      </w:r>
    </w:p>
    <w:p>
      <w:pPr>
        <w:spacing w:after="0" w:line="76" w:lineRule="exact"/>
        <w:rPr>
          <w:sz w:val="20"/>
          <w:szCs w:val="20"/>
          <w:color w:val="auto"/>
        </w:rPr>
      </w:pPr>
    </w:p>
    <w:p>
      <w:pPr>
        <w:ind w:right="40" w:firstLine="439"/>
        <w:spacing w:after="0" w:line="252" w:lineRule="auto"/>
        <w:rPr>
          <w:sz w:val="20"/>
          <w:szCs w:val="20"/>
          <w:color w:val="auto"/>
        </w:rPr>
      </w:pPr>
      <w:r>
        <w:rPr>
          <w:rFonts w:ascii="Times New Roman" w:cs="Times New Roman" w:eastAsia="Times New Roman" w:hAnsi="Times New Roman"/>
          <w:sz w:val="18"/>
          <w:szCs w:val="18"/>
          <w:color w:val="auto"/>
        </w:rPr>
        <w:t>Rylaze drug substance is manufactured by AGC Biologics A/S at its facility in Copenhagen, Denmark and the drug product is manufactured and packaged by Patheon at its facility in Greenville, North Carolina. Both sites have ample capacity to support forecast demand and we have secured supply for more than one year's forecast demand. To successfully manufacture Rylaze, the manufacturer must have an adequate master and working cell bank. If we fail to obtain a sufficient supply of Rylaze in accordance with applicable specifications on a timely basis, our sales of Rylaze, our future maintenance and potential growth of the market for this product, our competitive advantage over competing products that have supply constraints, and our business, financial condition, results of operations and growth prospects could be materially adversely affected.</w:t>
      </w:r>
    </w:p>
    <w:p>
      <w:pPr>
        <w:spacing w:after="0" w:line="80" w:lineRule="exact"/>
        <w:rPr>
          <w:sz w:val="20"/>
          <w:szCs w:val="20"/>
          <w:color w:val="auto"/>
        </w:rPr>
      </w:pPr>
    </w:p>
    <w:p>
      <w:pPr>
        <w:ind w:right="100" w:firstLine="439"/>
        <w:spacing w:after="0" w:line="276" w:lineRule="auto"/>
        <w:rPr>
          <w:sz w:val="20"/>
          <w:szCs w:val="20"/>
          <w:color w:val="auto"/>
        </w:rPr>
      </w:pPr>
      <w:r>
        <w:rPr>
          <w:rFonts w:ascii="Times New Roman" w:cs="Times New Roman" w:eastAsia="Times New Roman" w:hAnsi="Times New Roman"/>
          <w:sz w:val="18"/>
          <w:szCs w:val="18"/>
          <w:color w:val="auto"/>
        </w:rPr>
        <w:t>In addition, in order to conduct our ongoing and any future clinical trials of, complete marketing authorization submissions for, and potentially launch our other product candidates, we also need to have sufficient quantities of product manufactured.</w:t>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40" w:firstLine="439"/>
        <w:spacing w:after="0" w:line="251" w:lineRule="auto"/>
        <w:rPr>
          <w:sz w:val="20"/>
          <w:szCs w:val="20"/>
          <w:color w:val="auto"/>
        </w:rPr>
      </w:pPr>
      <w:r>
        <w:rPr>
          <w:rFonts w:ascii="Times New Roman" w:cs="Times New Roman" w:eastAsia="Times New Roman" w:hAnsi="Times New Roman"/>
          <w:sz w:val="18"/>
          <w:szCs w:val="18"/>
          <w:color w:val="auto"/>
        </w:rPr>
        <w:t>Moreover, to obtain approval from FDA or a similar international or national regulatory body of any product candidate, we or our suppliers for that product must obtain approval by the applicable regulatory body to manufacture and supply product, in some cases based on qualification data provided to the applicable body as part of our regulatory submission. Any delay in generating, or failure to generate, data required in connection with submission of the chemistry, manufacturing and controls portions of any regulatory submission could negatively impact our ability to meet our anticipated submission dates, and therefore our anticipated timing for obtaining FDA or similar international or national regulatory body approval, or our ability to obtain regulatory approval at all. In addition, any failure of us or a supplier to obtain approval by the applicable regulatory body to manufacture and supply product or any delay in receiving, or failure to receive, adequate supplies of a product on a timely basis or in accordance with applicable specifications could negatively impact our ability to successfully launch and commercialize products and generate sales of products at the levels we expect.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Growth of Our Product Portfolio and Research and Development</w:t>
      </w:r>
    </w:p>
    <w:p>
      <w:pPr>
        <w:spacing w:after="0" w:line="110"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successfully develop and obtain and maintain regulatory approvals for our late-stage product candidates and, if approved, to successfully launch and commercialize those product candidates.</w:t>
      </w:r>
    </w:p>
    <w:p>
      <w:pPr>
        <w:spacing w:after="0" w:line="54" w:lineRule="exact"/>
        <w:rPr>
          <w:sz w:val="20"/>
          <w:szCs w:val="20"/>
          <w:color w:val="auto"/>
        </w:rPr>
      </w:pPr>
    </w:p>
    <w:p>
      <w:pPr>
        <w:ind w:right="20" w:firstLine="439"/>
        <w:spacing w:after="0" w:line="251" w:lineRule="auto"/>
        <w:rPr>
          <w:sz w:val="20"/>
          <w:szCs w:val="20"/>
          <w:color w:val="auto"/>
        </w:rPr>
      </w:pPr>
      <w:r>
        <w:rPr>
          <w:rFonts w:ascii="Times New Roman" w:cs="Times New Roman" w:eastAsia="Times New Roman" w:hAnsi="Times New Roman"/>
          <w:sz w:val="18"/>
          <w:szCs w:val="18"/>
          <w:color w:val="auto"/>
        </w:rPr>
        <w:t>The testing, manufacturing and marketing of our products require regulatory approvals, including approval from FDA and similar bodies in Europe and other countries. If FDA, the European Medicines Agency, or EMA, the EC or the competent authorities of the EU member states or other European countries determine that our quality, safety or efficacy data do not warrant marketing approval for a product candidate, we could be required to conduct additional clinical trials as a condition to receiving approval, which could be costly and time-consuming and could delay or preclude the approval of our application. Our inability to obtain and maintain regulatory approval for our product candidates in the U.S. and internationally and to successfully commercialize new products that are approved would prevent us from receiving a return on our investments and could have a material adverse effect on our business, financial condition, results of operations and growth prospects.</w:t>
      </w:r>
    </w:p>
    <w:p>
      <w:pPr>
        <w:spacing w:after="0" w:line="82" w:lineRule="exact"/>
        <w:rPr>
          <w:sz w:val="20"/>
          <w:szCs w:val="20"/>
          <w:color w:val="auto"/>
        </w:rPr>
      </w:pPr>
    </w:p>
    <w:p>
      <w:pPr>
        <w:ind w:right="40" w:firstLine="439"/>
        <w:spacing w:after="0" w:line="267" w:lineRule="auto"/>
        <w:rPr>
          <w:sz w:val="20"/>
          <w:szCs w:val="20"/>
          <w:color w:val="auto"/>
        </w:rPr>
      </w:pPr>
      <w:r>
        <w:rPr>
          <w:rFonts w:ascii="Times New Roman" w:cs="Times New Roman" w:eastAsia="Times New Roman" w:hAnsi="Times New Roman"/>
          <w:sz w:val="17"/>
          <w:szCs w:val="17"/>
          <w:color w:val="auto"/>
        </w:rPr>
        <w:t>Even if we receive regulatory approval of a product, regulatory authorities may impose significant labeling restrictions or requirements, including limitations on the dosing of the product, requirements around the naming or strength of a product, restrictions on indicated uses for which we may market the product, the imposition of a boxed warning or other warnings and precautions, and/or the requirement for a REMS or equivalent obligation imposed in a European or other foreign country to ensure that the benefits of the drug outweigh the risks. FDA requires a REMS and a boxed warning for Xywav and Xyrem, and similar restrictions could be imposed on other products in the future. Our receipt of approval for narrower indications than sought, restrictions on marketing through a REMS or equivalent obligation imposed in a European or other foreign country, or significant labeling restrictions or requirements in an approved label such as a boxed warning, could have a negative impact on our ability to recoup our research and development costs and to successfully commercialize that product, any of which could materially and adversely affect our business, financial condition, results of operations and growth prospects.</w:t>
      </w:r>
    </w:p>
    <w:p>
      <w:pPr>
        <w:spacing w:after="0" w:line="71" w:lineRule="exact"/>
        <w:rPr>
          <w:sz w:val="20"/>
          <w:szCs w:val="20"/>
          <w:color w:val="auto"/>
        </w:rPr>
      </w:pPr>
    </w:p>
    <w:p>
      <w:pPr>
        <w:ind w:firstLine="439"/>
        <w:spacing w:after="0" w:line="249" w:lineRule="auto"/>
        <w:rPr>
          <w:sz w:val="20"/>
          <w:szCs w:val="20"/>
          <w:color w:val="auto"/>
        </w:rPr>
      </w:pPr>
      <w:r>
        <w:rPr>
          <w:rFonts w:ascii="Times New Roman" w:cs="Times New Roman" w:eastAsia="Times New Roman" w:hAnsi="Times New Roman"/>
          <w:sz w:val="18"/>
          <w:szCs w:val="18"/>
          <w:color w:val="auto"/>
        </w:rPr>
        <w:t>Regulatory authorities may also impose post-marketing obligations as part of their approval, which may lead to additional costs and burdens associated with commercialization of the product and may pose a risk to maintaining approval of the product. We are subject to certain post-marketing requirements and commitments in connection with the approval of certain of our products, including Epidiolex/Epidyolex, Defitelio, Vyxeos, Rylaze and Zepzelca. These post-marketing requirements and commitments include satisfactorily conducting multiple post-marketing trials and safety studies. Failure to comply with these post-marketing requirements could result in withdrawal of our marketing approvals for the applicable product and/or other civil or criminal penalties. For example, FDA granted accelerated approval to Zepzelca for relapsed SCLC based on data from a Phase 2 trial, which approval is contingent upon verification and description of clinical benefit in a post-marketing clinical trial. While we and our licensor PharmaMar have reached agreement with FDA regarding a confirmatory clinical development program, our inability to confirm its clinical benefit could result in the withdrawal of approval of Zepzelca, which could have a material adverse effect on our business, financial condition, results of operations and growth prospects. In any event, if we are unable to comply with our post-marketing obligations imposed as part of the marketing approvals in the U.S., the EU, or other countries, our approval may be varied, suspended or revoked, product supply may be delayed and our sales of our products could be materially adversely affected.</w:t>
      </w:r>
    </w:p>
    <w:p>
      <w:pPr>
        <w:spacing w:after="0" w:line="87" w:lineRule="exact"/>
        <w:rPr>
          <w:sz w:val="20"/>
          <w:szCs w:val="20"/>
          <w:color w:val="auto"/>
        </w:rPr>
      </w:pPr>
    </w:p>
    <w:p>
      <w:pPr>
        <w:ind w:right="40" w:firstLine="439"/>
        <w:spacing w:after="0" w:line="254" w:lineRule="auto"/>
        <w:rPr>
          <w:sz w:val="20"/>
          <w:szCs w:val="20"/>
          <w:color w:val="auto"/>
        </w:rPr>
      </w:pPr>
      <w:r>
        <w:rPr>
          <w:rFonts w:ascii="Times New Roman" w:cs="Times New Roman" w:eastAsia="Times New Roman" w:hAnsi="Times New Roman"/>
          <w:sz w:val="18"/>
          <w:szCs w:val="18"/>
          <w:color w:val="auto"/>
        </w:rPr>
        <w:t>Any new data relating to Epidiolex/Epidyolex, including from adverse event reports and post-marketing studies in the U.S. and Europe, and from other ongoing clinical trials, may result in changes to the product label and/or imposition of a REMS and may adversely affect sales, or result in withdrawal of Epidiolex/Epidyolex from the market. FDA, EMA and regulatory authorities in other jurisdictions may also consider the new data in reviewing Epidiolex/Epidyolex marketing applications for indications beyond its currently approved uses or impose additional post-approval requirements. If any of these actions were to occur, it could result in significant expense and delay or limit our ability to generate sales of Epidiolex/Epidyolex.</w:t>
      </w:r>
    </w:p>
    <w:p>
      <w:pPr>
        <w:spacing w:after="0" w:line="76" w:lineRule="exact"/>
        <w:rPr>
          <w:sz w:val="20"/>
          <w:szCs w:val="20"/>
          <w:color w:val="auto"/>
        </w:rPr>
      </w:pPr>
    </w:p>
    <w:p>
      <w:pPr>
        <w:ind w:right="20" w:firstLine="439"/>
        <w:spacing w:after="0" w:line="276" w:lineRule="auto"/>
        <w:rPr>
          <w:sz w:val="20"/>
          <w:szCs w:val="20"/>
          <w:color w:val="auto"/>
        </w:rPr>
      </w:pPr>
      <w:r>
        <w:rPr>
          <w:rFonts w:ascii="Times New Roman" w:cs="Times New Roman" w:eastAsia="Times New Roman" w:hAnsi="Times New Roman"/>
          <w:sz w:val="18"/>
          <w:szCs w:val="18"/>
          <w:color w:val="auto"/>
        </w:rPr>
        <w:t>If we are not successful in the clinical development of our product candidates, if we are unable to obtain regulatory approval for our product candidates in a timely manner, or at all, or if sales of an approved product do not reach the levels we</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540"/>
        <w:spacing w:after="0" w:line="276" w:lineRule="auto"/>
        <w:rPr>
          <w:sz w:val="20"/>
          <w:szCs w:val="20"/>
          <w:color w:val="auto"/>
        </w:rPr>
      </w:pPr>
      <w:r>
        <w:rPr>
          <w:rFonts w:ascii="Times New Roman" w:cs="Times New Roman" w:eastAsia="Times New Roman" w:hAnsi="Times New Roman"/>
          <w:sz w:val="18"/>
          <w:szCs w:val="18"/>
          <w:color w:val="auto"/>
        </w:rPr>
        <w:t>expect, our anticipated revenue from our product candidates would be negatively affected, which could have a material adverse effect on our business, financial condition, results of operations and growth prospects.</w:t>
      </w:r>
    </w:p>
    <w:p>
      <w:pPr>
        <w:spacing w:after="0" w:line="52"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identify and acquire or in-license additional products or product candidates to grow our business, and, even if we are able to do so, we may otherwise fail to realize the anticipated benefits of these transactions.</w:t>
      </w:r>
    </w:p>
    <w:p>
      <w:pPr>
        <w:spacing w:after="0" w:line="54" w:lineRule="exact"/>
        <w:rPr>
          <w:sz w:val="20"/>
          <w:szCs w:val="20"/>
          <w:color w:val="auto"/>
        </w:rPr>
      </w:pPr>
    </w:p>
    <w:p>
      <w:pPr>
        <w:ind w:firstLine="439"/>
        <w:spacing w:after="0" w:line="252" w:lineRule="auto"/>
        <w:rPr>
          <w:sz w:val="20"/>
          <w:szCs w:val="20"/>
          <w:color w:val="auto"/>
        </w:rPr>
      </w:pPr>
      <w:r>
        <w:rPr>
          <w:rFonts w:ascii="Times New Roman" w:cs="Times New Roman" w:eastAsia="Times New Roman" w:hAnsi="Times New Roman"/>
          <w:sz w:val="18"/>
          <w:szCs w:val="18"/>
          <w:color w:val="auto"/>
        </w:rPr>
        <w:t xml:space="preserve">In addition to continued investment in our research and development pipeline, we intend to grow our business by acquiring or in-licensing, and developing, including with collaboration partners, additional products and product candidates that we believe are highly differentiated and have significant commercial potential. However, </w:t>
      </w:r>
      <w:r>
        <w:rPr>
          <w:rFonts w:ascii="Times New Roman" w:cs="Times New Roman" w:eastAsia="Times New Roman" w:hAnsi="Times New Roman"/>
          <w:sz w:val="18"/>
          <w:szCs w:val="18"/>
          <w:color w:val="212529"/>
        </w:rPr>
        <w:t>we may be unable to identify or consummate</w:t>
      </w:r>
      <w:r>
        <w:rPr>
          <w:rFonts w:ascii="Times New Roman" w:cs="Times New Roman" w:eastAsia="Times New Roman" w:hAnsi="Times New Roman"/>
          <w:sz w:val="18"/>
          <w:szCs w:val="18"/>
          <w:color w:val="auto"/>
        </w:rPr>
        <w:t xml:space="preserve"> suitable acquisition or in-licensing opportunities, and </w:t>
      </w:r>
      <w:r>
        <w:rPr>
          <w:rFonts w:ascii="Times New Roman" w:cs="Times New Roman" w:eastAsia="Times New Roman" w:hAnsi="Times New Roman"/>
          <w:sz w:val="18"/>
          <w:szCs w:val="18"/>
          <w:color w:val="212529"/>
        </w:rPr>
        <w:t>this inability could impair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our ability to grow our business. </w:t>
      </w:r>
      <w:r>
        <w:rPr>
          <w:rFonts w:ascii="Times New Roman" w:cs="Times New Roman" w:eastAsia="Times New Roman" w:hAnsi="Times New Roman"/>
          <w:sz w:val="18"/>
          <w:szCs w:val="18"/>
          <w:color w:val="000000"/>
        </w:rPr>
        <w:t>Other companies, many of which may have substantially greater financial, sales and marketing resources, compete with us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for these opportunities. Even if appropriate opportunities are available, we may not be able to successfully identify them, or we may not have the financial resources necessary to pursue them.</w:t>
      </w:r>
    </w:p>
    <w:p>
      <w:pPr>
        <w:spacing w:after="0" w:line="80" w:lineRule="exact"/>
        <w:rPr>
          <w:sz w:val="20"/>
          <w:szCs w:val="20"/>
          <w:color w:val="auto"/>
        </w:rPr>
      </w:pPr>
    </w:p>
    <w:p>
      <w:pPr>
        <w:ind w:right="20" w:firstLine="439"/>
        <w:spacing w:after="0" w:line="250" w:lineRule="auto"/>
        <w:rPr>
          <w:sz w:val="20"/>
          <w:szCs w:val="20"/>
          <w:color w:val="auto"/>
        </w:rPr>
      </w:pPr>
      <w:r>
        <w:rPr>
          <w:rFonts w:ascii="Times New Roman" w:cs="Times New Roman" w:eastAsia="Times New Roman" w:hAnsi="Times New Roman"/>
          <w:sz w:val="18"/>
          <w:szCs w:val="18"/>
          <w:color w:val="auto"/>
        </w:rPr>
        <w:t xml:space="preserve">Even if we are able to successfully identify and acquire, in-license or develop additional products or product candidates, we may not be able to successfully manage the risks associated with integrating any products or product candidates into our portfolio or the risks arising from anticipated and unanticipated problems in connection with an acquisition or in-licensing or from financial difficulties of our collaborators. </w:t>
      </w:r>
      <w:r>
        <w:rPr>
          <w:rFonts w:ascii="Times New Roman" w:cs="Times New Roman" w:eastAsia="Times New Roman" w:hAnsi="Times New Roman"/>
          <w:sz w:val="18"/>
          <w:szCs w:val="18"/>
          <w:color w:val="212529"/>
        </w:rPr>
        <w:t>Further, while we seek to mitigate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risks and liabilities of potential acquisitions and in-licensing transactions through, among other things, due diligence, there may be risks and liabilities that such due diligence efforts fail to discover, that are not disclosed to us, or that we inadequately assess. Any failure in identifying and managing these risks, liabilities and uncertainties effectively, could have a material adverse effect on our business, results of operations and financial condition. </w:t>
      </w:r>
      <w:r>
        <w:rPr>
          <w:rFonts w:ascii="Times New Roman" w:cs="Times New Roman" w:eastAsia="Times New Roman" w:hAnsi="Times New Roman"/>
          <w:sz w:val="18"/>
          <w:szCs w:val="18"/>
          <w:color w:val="000000"/>
        </w:rPr>
        <w:t>In addition, product</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and product candidate acquisitions, particularly when the acquisition takes the form of a merger or other business consolidation such as our acquisition of GW Pharmaceuticals plc, or GW, have required, and any similar future transactions also will require, significant efforts and expenditures, including with respect to transition and integration activities. We may encounter unexpected difficulties, or incur substantial costs, in connection with potential acquisitions and similar transactions, which include:</w:t>
      </w:r>
    </w:p>
    <w:p>
      <w:pPr>
        <w:spacing w:after="0" w:line="80" w:lineRule="exact"/>
        <w:rPr>
          <w:sz w:val="20"/>
          <w:szCs w:val="20"/>
          <w:color w:val="auto"/>
        </w:rPr>
      </w:pPr>
    </w:p>
    <w:p>
      <w:pPr>
        <w:ind w:left="640" w:hanging="314"/>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incur substantial debt and/or engage in dilutive issuances of equity securities to pay for acquisitions;</w:t>
      </w:r>
    </w:p>
    <w:p>
      <w:pPr>
        <w:spacing w:after="0" w:line="11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comply with regulatory requirements, including in some cases clearance from the FTC;</w:t>
      </w:r>
    </w:p>
    <w:p>
      <w:pPr>
        <w:spacing w:after="0" w:line="11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need to secure shareholder approval of the transaction;</w:t>
      </w:r>
    </w:p>
    <w:p>
      <w:pPr>
        <w:spacing w:after="0" w:line="11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disruption of our historical core business;</w:t>
      </w:r>
    </w:p>
    <w:p>
      <w:pPr>
        <w:spacing w:after="0" w:line="11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strain on, and need to continue to expand, our existing operational, technical, financial and administrative infrastructure;</w:t>
      </w:r>
    </w:p>
    <w:p>
      <w:pPr>
        <w:spacing w:after="0" w:line="11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the difficulties in integrating acquired products and product candidates into our portfolio;</w:t>
      </w:r>
    </w:p>
    <w:p>
      <w:pPr>
        <w:spacing w:after="0" w:line="11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in assimilating employees and corporate cultures;</w:t>
      </w:r>
    </w:p>
    <w:p>
      <w:pPr>
        <w:spacing w:after="0" w:line="11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retain key managers and other personnel;</w:t>
      </w:r>
    </w:p>
    <w:p>
      <w:pPr>
        <w:spacing w:after="0" w:line="11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write down assets or recognize impairment charges;</w:t>
      </w:r>
    </w:p>
    <w:p>
      <w:pPr>
        <w:spacing w:after="0" w:line="11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to integration of operations and corporate and administrative infrastructures; and</w:t>
      </w:r>
    </w:p>
    <w:p>
      <w:pPr>
        <w:spacing w:after="0" w:line="11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unanticipated liabilities for activities of or related to the acquired business or its operations, products or product candidates.</w:t>
      </w:r>
    </w:p>
    <w:p>
      <w:pPr>
        <w:spacing w:after="0" w:line="112" w:lineRule="exact"/>
        <w:rPr>
          <w:sz w:val="20"/>
          <w:szCs w:val="20"/>
          <w:color w:val="auto"/>
        </w:rPr>
      </w:pPr>
    </w:p>
    <w:p>
      <w:pPr>
        <w:ind w:right="40" w:firstLine="439"/>
        <w:spacing w:after="0" w:line="250" w:lineRule="auto"/>
        <w:rPr>
          <w:sz w:val="20"/>
          <w:szCs w:val="20"/>
          <w:color w:val="auto"/>
        </w:rPr>
      </w:pPr>
      <w:r>
        <w:rPr>
          <w:rFonts w:ascii="Times New Roman" w:cs="Times New Roman" w:eastAsia="Times New Roman" w:hAnsi="Times New Roman"/>
          <w:sz w:val="18"/>
          <w:szCs w:val="18"/>
          <w:color w:val="212529"/>
        </w:rPr>
        <w:t xml:space="preserve">As a result of these or other factors, products or product candidates we acquire, or obtain licenses to, may not produce the revenues, earnings or business synergies that we anticipated, may not result in regulatory approvals, and may not perform as expected. </w:t>
      </w:r>
      <w:r>
        <w:rPr>
          <w:rFonts w:ascii="Times New Roman" w:cs="Times New Roman" w:eastAsia="Times New Roman" w:hAnsi="Times New Roman"/>
          <w:sz w:val="18"/>
          <w:szCs w:val="18"/>
          <w:color w:val="000000"/>
        </w:rPr>
        <w:t>For example, in May 2021, we made a</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substantial investment in Epidiolex and certain other products and technologies acquired in our acquisition of GW. The total consideration paid by us for the entire issued share capital of GW was $7.2 billion. The success of our acquisition of GW will depend, in part, on our ability to realize the anticipated benefits from the acquisition, which benefits may not be realized at the expected levels within the expected timeframe, or at all, or may take longer to realize or cost more than expected, which could materially and adversely affect our business, financial condition, results of operations and growth prospects. In this regard, in the third quarter of 2022, we recorded a $133.6 million asset impairment charge as a result of the decision to discontinue the nabiximols program that we acquired as part of our acquisition of GW. In any event, f</w:t>
      </w:r>
      <w:r>
        <w:rPr>
          <w:rFonts w:ascii="Times New Roman" w:cs="Times New Roman" w:eastAsia="Times New Roman" w:hAnsi="Times New Roman"/>
          <w:sz w:val="18"/>
          <w:szCs w:val="18"/>
          <w:color w:val="212529"/>
        </w:rPr>
        <w:t>ailure to manage effectively our growth through acquisitions or in-licensing transactions could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adversely affect our growth prospects, business, results of operations and financial condition.</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Conducting clinical trials is costly and time-consuming, and the outcomes are uncertain. A failure to prove that our product candidates are safe and effective in clinical trials, or to generate data in clinical trials to support expansion of the therapeutic uses for our existing products, could materially and adversely affect our business, financial condition, results of operations and growth prospects.</w:t>
      </w:r>
    </w:p>
    <w:p>
      <w:pPr>
        <w:spacing w:after="0" w:line="69" w:lineRule="exact"/>
        <w:rPr>
          <w:sz w:val="20"/>
          <w:szCs w:val="20"/>
          <w:color w:val="auto"/>
        </w:rPr>
      </w:pPr>
    </w:p>
    <w:p>
      <w:pPr>
        <w:ind w:firstLine="439"/>
        <w:spacing w:after="0" w:line="249" w:lineRule="auto"/>
        <w:rPr>
          <w:sz w:val="20"/>
          <w:szCs w:val="20"/>
          <w:color w:val="auto"/>
        </w:rPr>
      </w:pPr>
      <w:r>
        <w:rPr>
          <w:rFonts w:ascii="Times New Roman" w:cs="Times New Roman" w:eastAsia="Times New Roman" w:hAnsi="Times New Roman"/>
          <w:sz w:val="18"/>
          <w:szCs w:val="18"/>
          <w:color w:val="auto"/>
        </w:rPr>
        <w:t>As a condition to regulatory approval, each product candidate must undergo extensive and expensive preclinical studies and clinical trials to demonstrate that the product candidate is safe and effective. The results at any stage of the development process may lack the desired safety, efficacy or pharmacokinetic characteristics. If FDA or any equivalent non-U.S. regulatory agency determines that the safety or efficacy data included in any marketing application we submit do not warrant marketing approval for the affected product or product candidate, we may be required to conduct additional preclinical studies or clinical trials, which could be challenging to perform, costly and time-consuming. Even if we believe we have successfully completed testing, FDA or any equivalent non-U.S. regulatory agency may determine our data is not sufficiently compelling to warrant marketing approval for the indication(s) sought, if at all, and may require us to engage in additional clinical trials or provide further analysis which may be costly and time-consuming. Any adverse events or other data generated during the course of clinical trials of our product candidates and/or clinical trials related to additional indications for our commercialized products could result in action by FDA or an equivalent non-U.S. regulatory agency, which may restrict our ability to sell, or adversely affect sales of, currently marketed products, or such events or other data could otherwise have a material adverse effect on a related commercial product, including with respect to its safety profile. Any failure or delay in completing such clinical trials could materially and adversely affect the maintenance and growth of the markets for the related marketed products, which could adversely affect our business, financial condition, results of operations and overall growth prospects.</w:t>
      </w:r>
    </w:p>
    <w:p>
      <w:pPr>
        <w:spacing w:after="0" w:line="84" w:lineRule="exact"/>
        <w:rPr>
          <w:sz w:val="20"/>
          <w:szCs w:val="20"/>
          <w:color w:val="auto"/>
        </w:rPr>
      </w:pPr>
    </w:p>
    <w:p>
      <w:pPr>
        <w:ind w:right="360" w:firstLine="439"/>
        <w:spacing w:after="0" w:line="276" w:lineRule="auto"/>
        <w:rPr>
          <w:sz w:val="20"/>
          <w:szCs w:val="20"/>
          <w:color w:val="auto"/>
        </w:rPr>
      </w:pPr>
      <w:r>
        <w:rPr>
          <w:rFonts w:ascii="Times New Roman" w:cs="Times New Roman" w:eastAsia="Times New Roman" w:hAnsi="Times New Roman"/>
          <w:sz w:val="18"/>
          <w:szCs w:val="18"/>
          <w:color w:val="auto"/>
        </w:rPr>
        <w:t>In addition to issues relating to the results generated in clinical trials, clinical trials have been and can be delayed or halted for a variety of reasons, including:</w:t>
      </w:r>
    </w:p>
    <w:p>
      <w:pPr>
        <w:spacing w:after="0" w:line="56" w:lineRule="exact"/>
        <w:rPr>
          <w:sz w:val="20"/>
          <w:szCs w:val="20"/>
          <w:color w:val="auto"/>
        </w:rPr>
      </w:pPr>
    </w:p>
    <w:p>
      <w:pPr>
        <w:ind w:left="640" w:right="520" w:hanging="314"/>
        <w:spacing w:after="0" w:line="276"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identifying, recruiting or enrolling eligible patients, often based on the number of clinical trials, particularly with enrollment criteria targeting the same patient population, and in rare diseases with small patient populations;</w:t>
      </w:r>
    </w:p>
    <w:p>
      <w:pPr>
        <w:spacing w:after="0" w:line="56" w:lineRule="exact"/>
        <w:rPr>
          <w:rFonts w:ascii="Times New Roman" w:cs="Times New Roman" w:eastAsia="Times New Roman" w:hAnsi="Times New Roman"/>
          <w:sz w:val="18"/>
          <w:szCs w:val="18"/>
          <w:color w:val="auto"/>
        </w:rPr>
      </w:pPr>
    </w:p>
    <w:p>
      <w:pPr>
        <w:ind w:left="640" w:right="180" w:hanging="314"/>
        <w:spacing w:after="0" w:line="276"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identifying a clinical development pathway, including viable indications and appropriate clinical trial protocol design, particularly where there is no applicable regulatory precedent;</w:t>
      </w:r>
    </w:p>
    <w:p>
      <w:pPr>
        <w:spacing w:after="0" w:line="56" w:lineRule="exact"/>
        <w:rPr>
          <w:rFonts w:ascii="Times New Roman" w:cs="Times New Roman" w:eastAsia="Times New Roman" w:hAnsi="Times New Roman"/>
          <w:sz w:val="18"/>
          <w:szCs w:val="18"/>
          <w:color w:val="auto"/>
        </w:rPr>
      </w:pPr>
    </w:p>
    <w:p>
      <w:pPr>
        <w:ind w:left="640" w:right="740" w:hanging="314"/>
        <w:spacing w:after="0" w:line="276"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failures in obtaining regulatory authorization to commence a trial because of safety concerns of regulators relating to our product candidates or similar product candidates of our competitors or failure to follow regulatory guidelines;</w:t>
      </w:r>
    </w:p>
    <w:p>
      <w:pPr>
        <w:spacing w:after="0" w:line="56"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failures in obtaining clinical materials and manufacturing sufficient quantities of the product candidate for use in trials;</w:t>
      </w:r>
    </w:p>
    <w:p>
      <w:pPr>
        <w:spacing w:after="0" w:line="11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failures in reaching agreement on acceptable terms with prospective study sites;</w:t>
      </w:r>
    </w:p>
    <w:p>
      <w:pPr>
        <w:spacing w:after="0" w:line="112" w:lineRule="exact"/>
        <w:rPr>
          <w:rFonts w:ascii="Times New Roman" w:cs="Times New Roman" w:eastAsia="Times New Roman" w:hAnsi="Times New Roman"/>
          <w:sz w:val="18"/>
          <w:szCs w:val="18"/>
          <w:color w:val="auto"/>
        </w:rPr>
      </w:pPr>
    </w:p>
    <w:p>
      <w:pPr>
        <w:ind w:left="640" w:right="120" w:hanging="314"/>
        <w:spacing w:after="0" w:line="276"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failures in obtaining approval of our clinical trial protocol from an institutional review board, or similar bodies in other jurisdictions, such as an ethics committee in Europe, to conduct a clinical trial at a prospective study site;</w:t>
      </w:r>
    </w:p>
    <w:p>
      <w:pPr>
        <w:spacing w:after="0" w:line="56" w:lineRule="exact"/>
        <w:rPr>
          <w:rFonts w:ascii="Times New Roman" w:cs="Times New Roman" w:eastAsia="Times New Roman" w:hAnsi="Times New Roman"/>
          <w:sz w:val="18"/>
          <w:szCs w:val="18"/>
          <w:color w:val="auto"/>
        </w:rPr>
      </w:pPr>
    </w:p>
    <w:p>
      <w:pPr>
        <w:ind w:left="640" w:right="120" w:hanging="314"/>
        <w:spacing w:after="0" w:line="261"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clinical trials and clinical investigators, including contract research organizations or other third parties assisting us with clinical trials, to satisfactorily perform their contractual duties, meet expected deadlines and comply with FDA and other regulatory agencies’ requirements, including good clinical practices;</w:t>
      </w:r>
    </w:p>
    <w:p>
      <w:pPr>
        <w:spacing w:after="0" w:line="70"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w:t>
      </w:r>
    </w:p>
    <w:p>
      <w:pPr>
        <w:spacing w:after="0" w:line="11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monitor patients adequately during or after treatment;</w:t>
      </w:r>
    </w:p>
    <w:p>
      <w:pPr>
        <w:spacing w:after="0" w:line="11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monitoring multiple study sites; or</w:t>
      </w:r>
    </w:p>
    <w:p>
      <w:pPr>
        <w:spacing w:after="0" w:line="11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funds to complete the trials.</w:t>
      </w:r>
    </w:p>
    <w:p>
      <w:pPr>
        <w:spacing w:after="0" w:line="112" w:lineRule="exact"/>
        <w:rPr>
          <w:sz w:val="20"/>
          <w:szCs w:val="20"/>
          <w:color w:val="auto"/>
        </w:rPr>
      </w:pPr>
    </w:p>
    <w:p>
      <w:pPr>
        <w:ind w:right="140" w:firstLine="439"/>
        <w:spacing w:after="0" w:line="261" w:lineRule="auto"/>
        <w:rPr>
          <w:sz w:val="20"/>
          <w:szCs w:val="20"/>
          <w:color w:val="auto"/>
        </w:rPr>
      </w:pPr>
      <w:r>
        <w:rPr>
          <w:rFonts w:ascii="Times New Roman" w:cs="Times New Roman" w:eastAsia="Times New Roman" w:hAnsi="Times New Roman"/>
          <w:sz w:val="18"/>
          <w:szCs w:val="18"/>
          <w:color w:val="auto"/>
        </w:rPr>
        <w:t>In some jurisdictions such as the EU, initiating phase 3 clinical trials and clinical trials in the pediatric population is subject to a requirement to obtain approval or a waiver from the competent authorities of the EU member states and/or the EMA. If we do not obtain such approval our ability to conduct clinical trials and obtain marketing authorizations or approvals may be severely impaired and our business may be adversely impacted.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is difficult and costly to protect our proprietary rights, and we may not be able to ensure their protection.</w:t>
      </w:r>
    </w:p>
    <w:p>
      <w:pPr>
        <w:spacing w:after="0" w:line="116" w:lineRule="exact"/>
        <w:rPr>
          <w:sz w:val="20"/>
          <w:szCs w:val="20"/>
          <w:color w:val="auto"/>
        </w:rPr>
      </w:pPr>
    </w:p>
    <w:p>
      <w:pPr>
        <w:ind w:right="660" w:firstLine="439"/>
        <w:spacing w:after="0" w:line="276" w:lineRule="auto"/>
        <w:rPr>
          <w:sz w:val="20"/>
          <w:szCs w:val="20"/>
          <w:color w:val="auto"/>
        </w:rPr>
      </w:pPr>
      <w:r>
        <w:rPr>
          <w:rFonts w:ascii="Times New Roman" w:cs="Times New Roman" w:eastAsia="Times New Roman" w:hAnsi="Times New Roman"/>
          <w:sz w:val="18"/>
          <w:szCs w:val="18"/>
          <w:color w:val="auto"/>
        </w:rPr>
        <w:t>Our commercial success depends in part on obtaining, maintaining and defending intellectual property protection for our products and product candidates, including protection of their use and methods of manufacturing and distribution. Our ability</w:t>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8"/>
          <w:szCs w:val="18"/>
          <w:color w:val="auto"/>
        </w:rPr>
        <w:t>to protect our products and product candidates from unauthorized making, using, selling, offering to sell or importation by third parties depends on the extent to which we have rights under valid and enforceable patents or have adequately protected trade secrets that cover these activities.</w:t>
      </w:r>
    </w:p>
    <w:p>
      <w:pPr>
        <w:spacing w:after="0" w:line="56" w:lineRule="exact"/>
        <w:rPr>
          <w:sz w:val="20"/>
          <w:szCs w:val="20"/>
          <w:color w:val="auto"/>
        </w:rPr>
      </w:pPr>
    </w:p>
    <w:p>
      <w:pPr>
        <w:ind w:right="180" w:firstLine="439"/>
        <w:spacing w:after="0" w:line="276" w:lineRule="auto"/>
        <w:rPr>
          <w:sz w:val="20"/>
          <w:szCs w:val="20"/>
          <w:color w:val="auto"/>
        </w:rPr>
      </w:pPr>
      <w:r>
        <w:rPr>
          <w:rFonts w:ascii="Times New Roman" w:cs="Times New Roman" w:eastAsia="Times New Roman" w:hAnsi="Times New Roman"/>
          <w:sz w:val="18"/>
          <w:szCs w:val="18"/>
          <w:color w:val="auto"/>
        </w:rPr>
        <w:t>The degree of protection to be afforded by our proprietary rights is difficult to predict because legal means afford only limited protection and may not adequately protect our rights or permit us to gain or keep our competitive advantage. For example:</w:t>
      </w:r>
    </w:p>
    <w:p>
      <w:pPr>
        <w:spacing w:after="0" w:line="56" w:lineRule="exact"/>
        <w:rPr>
          <w:sz w:val="20"/>
          <w:szCs w:val="20"/>
          <w:color w:val="auto"/>
        </w:rPr>
      </w:pPr>
    </w:p>
    <w:p>
      <w:pPr>
        <w:ind w:left="640" w:hanging="314"/>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patent applications, or those of our licensors or partners, may not result in issued patents;</w:t>
      </w:r>
    </w:p>
    <w:p>
      <w:pPr>
        <w:spacing w:after="0" w:line="112" w:lineRule="exact"/>
        <w:rPr>
          <w:rFonts w:ascii="Times New Roman" w:cs="Times New Roman" w:eastAsia="Times New Roman" w:hAnsi="Times New Roman"/>
          <w:sz w:val="18"/>
          <w:szCs w:val="18"/>
          <w:color w:val="auto"/>
        </w:rPr>
      </w:pPr>
    </w:p>
    <w:p>
      <w:pPr>
        <w:ind w:left="640" w:right="320" w:hanging="314"/>
        <w:spacing w:after="0" w:line="306" w:lineRule="auto"/>
        <w:tabs>
          <w:tab w:leader="none" w:pos="63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others may independently develop similar or therapeutically equivalent products without infringing our patents, or those of our licensors, such as products that are not covered by the claims of our patents, or for which fall outside the exclusive rights granted under our license agreements;</w:t>
      </w:r>
    </w:p>
    <w:p>
      <w:pPr>
        <w:spacing w:after="0" w:line="33" w:lineRule="exact"/>
        <w:rPr>
          <w:rFonts w:ascii="Times New Roman" w:cs="Times New Roman" w:eastAsia="Times New Roman" w:hAnsi="Times New Roman"/>
          <w:sz w:val="17"/>
          <w:szCs w:val="17"/>
          <w:color w:val="auto"/>
        </w:rPr>
      </w:pPr>
    </w:p>
    <w:p>
      <w:pPr>
        <w:ind w:left="640" w:right="200" w:hanging="314"/>
        <w:spacing w:after="0" w:line="276"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issued patents, or those of our licensors or partners, may be held invalid or unenforceable as a result of legal challenges by third parties or may be vulnerable to legal challenges as a result of changes in applicable law;</w:t>
      </w:r>
    </w:p>
    <w:p>
      <w:pPr>
        <w:spacing w:after="0" w:line="56" w:lineRule="exact"/>
        <w:rPr>
          <w:rFonts w:ascii="Times New Roman" w:cs="Times New Roman" w:eastAsia="Times New Roman" w:hAnsi="Times New Roman"/>
          <w:sz w:val="18"/>
          <w:szCs w:val="18"/>
          <w:color w:val="auto"/>
        </w:rPr>
      </w:pPr>
    </w:p>
    <w:p>
      <w:pPr>
        <w:ind w:left="640" w:right="140" w:hanging="314"/>
        <w:spacing w:after="0" w:line="276"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patents covering certain aspects of our products or the use thereof could be delisted from FDA's Orange Book, as a result of challenges by third parties before FDA or the courts;</w:t>
      </w:r>
    </w:p>
    <w:p>
      <w:pPr>
        <w:spacing w:after="0" w:line="56" w:lineRule="exact"/>
        <w:rPr>
          <w:rFonts w:ascii="Times New Roman" w:cs="Times New Roman" w:eastAsia="Times New Roman" w:hAnsi="Times New Roman"/>
          <w:sz w:val="18"/>
          <w:szCs w:val="18"/>
          <w:color w:val="auto"/>
        </w:rPr>
      </w:pPr>
    </w:p>
    <w:p>
      <w:pPr>
        <w:ind w:left="640" w:right="740" w:hanging="314"/>
        <w:spacing w:after="0" w:line="276"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manufacture products in countries where we have not applied for patent protection or that have a different scope of patent protection or that do not respect our patents; or</w:t>
      </w:r>
    </w:p>
    <w:p>
      <w:pPr>
        <w:spacing w:after="0" w:line="56"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issued patents that prevent the sale of our products or require licensing and the payment of significant fees or royalties.</w:t>
      </w:r>
    </w:p>
    <w:p>
      <w:pPr>
        <w:spacing w:after="0" w:line="112" w:lineRule="exact"/>
        <w:rPr>
          <w:sz w:val="20"/>
          <w:szCs w:val="20"/>
          <w:color w:val="auto"/>
        </w:rPr>
      </w:pPr>
    </w:p>
    <w:p>
      <w:pPr>
        <w:ind w:right="40" w:firstLine="439"/>
        <w:spacing w:after="0" w:line="254" w:lineRule="auto"/>
        <w:rPr>
          <w:sz w:val="20"/>
          <w:szCs w:val="20"/>
          <w:color w:val="auto"/>
        </w:rPr>
      </w:pPr>
      <w:r>
        <w:rPr>
          <w:rFonts w:ascii="Times New Roman" w:cs="Times New Roman" w:eastAsia="Times New Roman" w:hAnsi="Times New Roman"/>
          <w:sz w:val="18"/>
          <w:szCs w:val="18"/>
          <w:color w:val="auto"/>
        </w:rPr>
        <w:t>Patent enforcement generally must be sought on a country-by-country basis, and issues of patent validity and infringement may be judged differently in different countries. The legal systems of certain countries, particularly certain developing countries, may lack maturity or consistency when it comes to the enforcement of patents and other intellectual property rights, particularly those relating to pharmaceuticals,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w:t>
      </w:r>
    </w:p>
    <w:p>
      <w:pPr>
        <w:spacing w:after="0" w:line="76" w:lineRule="exact"/>
        <w:rPr>
          <w:sz w:val="20"/>
          <w:szCs w:val="20"/>
          <w:color w:val="auto"/>
        </w:rPr>
      </w:pPr>
    </w:p>
    <w:p>
      <w:pPr>
        <w:ind w:right="80" w:firstLine="439"/>
        <w:spacing w:after="0" w:line="256" w:lineRule="auto"/>
        <w:rPr>
          <w:sz w:val="20"/>
          <w:szCs w:val="20"/>
          <w:color w:val="auto"/>
        </w:rPr>
      </w:pPr>
      <w:r>
        <w:rPr>
          <w:rFonts w:ascii="Times New Roman" w:cs="Times New Roman" w:eastAsia="Times New Roman" w:hAnsi="Times New Roman"/>
          <w:sz w:val="18"/>
          <w:szCs w:val="18"/>
          <w:color w:val="auto"/>
        </w:rPr>
        <w:t>Changes in either the patent laws or in interpretations of patent laws in the U.S. and other countries may diminish the value of our intellectual property portfolio. Any patent may be challenged, and potentially invalidated or held unenforceable, including through patent litigation or through administrative procedures that permit challenges to patent validity. Patents can also be circumvented by an ANDA or Section 505(b)(2) application that avoids infringement of our intellectual property.</w:t>
      </w:r>
    </w:p>
    <w:p>
      <w:pPr>
        <w:spacing w:after="0" w:line="75" w:lineRule="exact"/>
        <w:rPr>
          <w:sz w:val="20"/>
          <w:szCs w:val="20"/>
          <w:color w:val="auto"/>
        </w:rPr>
      </w:pPr>
    </w:p>
    <w:p>
      <w:pPr>
        <w:ind w:firstLine="439"/>
        <w:spacing w:after="0" w:line="218" w:lineRule="exact"/>
        <w:rPr>
          <w:sz w:val="20"/>
          <w:szCs w:val="20"/>
          <w:color w:val="auto"/>
        </w:rPr>
      </w:pPr>
      <w:r>
        <w:rPr>
          <w:rFonts w:ascii="Times New Roman" w:cs="Times New Roman" w:eastAsia="Times New Roman" w:hAnsi="Times New Roman"/>
          <w:sz w:val="18"/>
          <w:szCs w:val="18"/>
          <w:color w:val="auto"/>
        </w:rPr>
        <w:t>In June 2021, we received notice from Lupin that it has filed with FDA an ANDA for a generic version of Xywav. The notice from Lupin included a “paragraph IV certification” with respect to ten of our patents listed in FDA’s Orange Book for Xywav on the date of our receipt of the notice. A paragraph IV certification is a certification by a generic applicant that patents covering the branded product are invalid, unenforceable, and/or will not be infringed by the manufacture, use or sale of the generic product. In April 2022, we received notice from Lupin that it had filed a paragraph IV certification regarding a newly-issued patent listed in the Orange Book for Xywav. In February 2023, we received notice from Teva that it had filed an ANDA seeking approval to market a generic version of Xywav, which notice included a paragraph IV certification with respect to certain of our patents listed in FDA’s Orange Book for Xywav. In April 2023, we received notice from Alkem that it had filed an ANDA seeking approval to market a generic version of Xyrem, which notice included a paragraph IV certification with respect to certain of our patents listed in FDA’s Orange Book for Xyrem. For additional information on litigation involving these matters, see Note 14, Commitments and Contingencies-Legal Proceedings of the Notes to Consolidated Financial Statements, included in Part IV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63" w:lineRule="exact"/>
        <w:rPr>
          <w:sz w:val="20"/>
          <w:szCs w:val="20"/>
          <w:color w:val="auto"/>
        </w:rPr>
      </w:pPr>
    </w:p>
    <w:p>
      <w:pPr>
        <w:ind w:right="180" w:firstLine="439"/>
        <w:spacing w:after="0" w:line="250" w:lineRule="auto"/>
        <w:rPr>
          <w:sz w:val="20"/>
          <w:szCs w:val="20"/>
          <w:color w:val="auto"/>
        </w:rPr>
      </w:pPr>
      <w:r>
        <w:rPr>
          <w:rFonts w:ascii="Times New Roman" w:cs="Times New Roman" w:eastAsia="Times New Roman" w:hAnsi="Times New Roman"/>
          <w:sz w:val="18"/>
          <w:szCs w:val="18"/>
          <w:color w:val="auto"/>
        </w:rPr>
        <w:t>We have settled patent litigation with each of the ten companies seeking to introduce generic versions of Xyrem in the U.S. by granting those companies licenses to launch their generic products (and in certain cases, an AG version of Xyrem) in advance of the expiration of the last of our patents. Notwithstanding our Xyrem patents and settlement agreements, additional third parties may also attempt to introduce generic versions of Xyrem, Xywav or other sodium oxybate products for treatment of cataplexy and/or EDS in narcolepsy that design around our patents or assert that our patents are invalid or otherwise unenforceable. Such third parties could launch a generic or 505(b)(2) product referencing Xyrem before the dates provided in our patents or settlement agreements. For example, we have several methods of use patents listed in the Orange Book, that expire in 2033 that cover treatment methods included in the Xyrem label related to a drug-drug interaction, or DDI, with divalproex sodium. Although FDA has stated, in granting a Citizen Petition we submitted in 2016, that it would not approve any sodium oxybate ANDA referencing Xyrem that does not include the portions of the currently approved Xyrem label related to the DDI patents, we cannot predict whether a future ANDA filer, or a company that files a Section 505(b)(2) application for a drug referencing Xyrem, may pursue regulatory strategies to avoid infringing our DDI patents notwithstanding FDA’s response</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to the Citizen Petition, or whether any such strategy would be successful. Likewise, we cannot predict whether we will be able to maintain the validity of these patents or will otherwise obtain a judicial determination that a generic or other sodium oxybate product, its package insert or the generic sodium oxybate REMS or another separate REMS will infringe any of our patents or, if we prevail in proving infringement, whether a court will grant an injunction that prevents a future ANDA filer or other company introducing a different sodium oxybate product from marketing its product, or instead require that party to pay damages in the form of lost profits or a reasonable royalty.</w:t>
      </w:r>
    </w:p>
    <w:p>
      <w:pPr>
        <w:spacing w:after="0" w:line="76" w:lineRule="exact"/>
        <w:rPr>
          <w:sz w:val="20"/>
          <w:szCs w:val="20"/>
          <w:color w:val="auto"/>
        </w:rPr>
      </w:pPr>
    </w:p>
    <w:p>
      <w:pPr>
        <w:ind w:right="40" w:firstLine="439"/>
        <w:spacing w:after="0" w:line="251" w:lineRule="auto"/>
        <w:rPr>
          <w:sz w:val="20"/>
          <w:szCs w:val="20"/>
          <w:color w:val="auto"/>
        </w:rPr>
      </w:pPr>
      <w:r>
        <w:rPr>
          <w:rFonts w:ascii="Times New Roman" w:cs="Times New Roman" w:eastAsia="Times New Roman" w:hAnsi="Times New Roman"/>
          <w:sz w:val="18"/>
          <w:szCs w:val="18"/>
          <w:color w:val="auto"/>
        </w:rPr>
        <w:t>Additionally, in November and December 2022, ten companies sent us notices that they had filed ANDAs seeking approval to market a generic version of Epidiolex, which notices each included a paragraph IV certification with respect to certain of our patents listed in FDA’s Orange Book for Epidiolex on the date of the receipt of the applicable notice. On January 3, 2023, we filed a patent infringement suit against the ten Epidiolex ANDA filers in the United States District Court for the District of New Jersey. In June and July 2023, we received notice from certain of the Epidiolex ANDA Filers that they had each filed a paragraph IV certification regarding a newly-issued patent listed in the Orange Book for Epidiolex. On July 21, 2023, we filed an additional lawsuit against all of the Epidiolex ANDA Filers in the United States District Court for the District of New Jersey alleging that, by filing its ANDA, each Epidiolex ANDA Filer infringed the newly-issued patent related to a method of treatment using Epidiolex.</w:t>
      </w:r>
    </w:p>
    <w:p>
      <w:pPr>
        <w:spacing w:after="0" w:line="82" w:lineRule="exact"/>
        <w:rPr>
          <w:sz w:val="20"/>
          <w:szCs w:val="20"/>
          <w:color w:val="auto"/>
        </w:rPr>
      </w:pPr>
    </w:p>
    <w:p>
      <w:pPr>
        <w:ind w:firstLine="439"/>
        <w:spacing w:after="0" w:line="220" w:lineRule="exact"/>
        <w:rPr>
          <w:sz w:val="20"/>
          <w:szCs w:val="20"/>
          <w:color w:val="auto"/>
        </w:rPr>
      </w:pPr>
      <w:r>
        <w:rPr>
          <w:rFonts w:ascii="Times New Roman" w:cs="Times New Roman" w:eastAsia="Times New Roman" w:hAnsi="Times New Roman"/>
          <w:sz w:val="18"/>
          <w:szCs w:val="18"/>
          <w:color w:val="auto"/>
        </w:rPr>
        <w:t>On May 13, 2021, we filed a patent infringement suit against Avadel and several of its corporate affiliates in the United States District Court for the District of Delaware. The suit alleges that Avadel’s product candidate FT218 will infringe five of our patents related to controlled release formulations of oxybate and the safe and effective distribution of oxybate. The suit seeks an injunction to prevent Avadel from launching a product that would infringe these patents, and an award of monetary damages if Avadel does launch an infringing product. Avadel filed an answer to the complaint and counterclaims asserting that the patents are invalid or not enforceable, and that its product, if approved, will not infringe our patents. For additional information on litigation involving this matter, see “</w:t>
      </w:r>
      <w:r>
        <w:rPr>
          <w:rFonts w:ascii="Times New Roman" w:cs="Times New Roman" w:eastAsia="Times New Roman" w:hAnsi="Times New Roman"/>
          <w:sz w:val="18"/>
          <w:szCs w:val="18"/>
          <w:i w:val="1"/>
          <w:iCs w:val="1"/>
          <w:color w:val="auto"/>
        </w:rPr>
        <w:t>Avadel Patent Litigation</w:t>
      </w:r>
      <w:r>
        <w:rPr>
          <w:rFonts w:ascii="Times New Roman" w:cs="Times New Roman" w:eastAsia="Times New Roman" w:hAnsi="Times New Roman"/>
          <w:sz w:val="18"/>
          <w:szCs w:val="18"/>
          <w:color w:val="auto"/>
        </w:rPr>
        <w:t>” in Note 14, Commitments and Contingencies-Legal Proceedings of the Notes to Consolidated Financial Statements, included in Part IV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64" w:lineRule="exact"/>
        <w:rPr>
          <w:sz w:val="20"/>
          <w:szCs w:val="20"/>
          <w:color w:val="auto"/>
        </w:rPr>
      </w:pPr>
    </w:p>
    <w:p>
      <w:pPr>
        <w:ind w:right="240" w:firstLine="439"/>
        <w:spacing w:after="0" w:line="276" w:lineRule="auto"/>
        <w:rPr>
          <w:sz w:val="20"/>
          <w:szCs w:val="20"/>
          <w:color w:val="auto"/>
        </w:rPr>
      </w:pPr>
      <w:r>
        <w:rPr>
          <w:rFonts w:ascii="Times New Roman" w:cs="Times New Roman" w:eastAsia="Times New Roman" w:hAnsi="Times New Roman"/>
          <w:sz w:val="18"/>
          <w:szCs w:val="18"/>
          <w:color w:val="auto"/>
        </w:rPr>
        <w:t>Since Xyrem’s regulatory exclusivity has expired in the EU, we are aware that generic or hybrid generic applications have been approved by various EU regulatory authorities, and additional generic or hybrid generic applications may be submitted and approved.</w:t>
      </w:r>
    </w:p>
    <w:p>
      <w:pPr>
        <w:spacing w:after="0" w:line="56" w:lineRule="exact"/>
        <w:rPr>
          <w:sz w:val="20"/>
          <w:szCs w:val="20"/>
          <w:color w:val="auto"/>
        </w:rPr>
      </w:pPr>
    </w:p>
    <w:p>
      <w:pPr>
        <w:jc w:val="both"/>
        <w:ind w:right="40" w:firstLine="439"/>
        <w:spacing w:after="0" w:line="267" w:lineRule="auto"/>
        <w:rPr>
          <w:sz w:val="20"/>
          <w:szCs w:val="20"/>
          <w:color w:val="auto"/>
        </w:rPr>
      </w:pPr>
      <w:r>
        <w:rPr>
          <w:rFonts w:ascii="Times New Roman" w:cs="Times New Roman" w:eastAsia="Times New Roman" w:hAnsi="Times New Roman"/>
          <w:sz w:val="17"/>
          <w:szCs w:val="17"/>
          <w:color w:val="auto"/>
        </w:rPr>
        <w:t>We also currently rely in part on trade secret protection for several of our products, including Defitelio, and product candidates. Trade secret protection does not protect information or inventions if another party develops that information or invention independently, and establishing that a competitor developed a product through trade secret misappropriation rather than through legitimate means may be difficult to prove. We seek to protect our trade secrets and other unpatented proprietary information in part through confidentiality and invention agreements with our employees, consultants, advisors and partners.</w:t>
      </w:r>
    </w:p>
    <w:p>
      <w:pPr>
        <w:spacing w:after="0" w:line="1" w:lineRule="exact"/>
        <w:rPr>
          <w:sz w:val="20"/>
          <w:szCs w:val="20"/>
          <w:color w:val="auto"/>
        </w:rPr>
      </w:pPr>
    </w:p>
    <w:p>
      <w:pPr>
        <w:jc w:val="both"/>
        <w:ind w:right="100"/>
        <w:spacing w:after="0" w:line="249" w:lineRule="auto"/>
        <w:rPr>
          <w:sz w:val="20"/>
          <w:szCs w:val="20"/>
          <w:color w:val="auto"/>
        </w:rPr>
      </w:pPr>
      <w:r>
        <w:rPr>
          <w:rFonts w:ascii="Times New Roman" w:cs="Times New Roman" w:eastAsia="Times New Roman" w:hAnsi="Times New Roman"/>
          <w:sz w:val="18"/>
          <w:szCs w:val="18"/>
          <w:color w:val="auto"/>
        </w:rPr>
        <w:t>Nevertheless, our employees, consultants, advisors and partners may unintentionally or willfully disclose our proprietary information to competitors, and we may not have adequate remedies for such disclosures. Moreover, if a dispute arises with our employees, consultants, advisors or partners over the ownership of rights to inventions, including jointly developed intellectual property, we could lose patent protection or the confidentiality of our proprietary information, and possibly also lose the ability to pursue the development of certain new products or product candidates.</w:t>
      </w:r>
    </w:p>
    <w:p>
      <w:pPr>
        <w:spacing w:after="0" w:line="76"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may in the future incur substantial costs as a result of litigation or other proceedings relating to patents, other intellectual property rights and related matters, and we may be unable to protect our rights to, or commercialize, our products.</w:t>
      </w:r>
    </w:p>
    <w:p>
      <w:pPr>
        <w:spacing w:after="0" w:line="54" w:lineRule="exact"/>
        <w:rPr>
          <w:sz w:val="20"/>
          <w:szCs w:val="20"/>
          <w:color w:val="auto"/>
        </w:rPr>
      </w:pPr>
    </w:p>
    <w:p>
      <w:pPr>
        <w:ind w:right="40" w:firstLine="439"/>
        <w:spacing w:after="0" w:line="251" w:lineRule="auto"/>
        <w:rPr>
          <w:sz w:val="20"/>
          <w:szCs w:val="20"/>
          <w:color w:val="auto"/>
        </w:rPr>
      </w:pPr>
      <w:r>
        <w:rPr>
          <w:rFonts w:ascii="Times New Roman" w:cs="Times New Roman" w:eastAsia="Times New Roman" w:hAnsi="Times New Roman"/>
          <w:sz w:val="18"/>
          <w:szCs w:val="18"/>
          <w:color w:val="auto"/>
        </w:rPr>
        <w:t>Our ability, and that of our partners, to successfully commercialize any approved products will depend, in part, on our ability to obtain patents, enforce those patents and operate without infringing the proprietary rights of third parties. If we choose to go to court to stop a third party from infringing our patents, our licensed patents or our partners’ patents, that third party has the right to ask the court or an administrative agency to rule that these patents are invalid and/or should not be enforced. These lawsuits and administrative proceedings are expensive and consume time and other resources, and we may not be successful in these proceedings or in stopping infringement. In addition, the inter partes review process, or IPR, or a post grant review process under the Leahy-Smith America Invents Act permits any person, whether they are accused of infringing the patent at issue or not, to challenge the validity of certain patents through a proceeding before the Patent Trial and Appeal Board, or PTAB, of the USPTO.</w:t>
      </w:r>
    </w:p>
    <w:p>
      <w:pPr>
        <w:spacing w:after="0" w:line="82" w:lineRule="exact"/>
        <w:rPr>
          <w:sz w:val="20"/>
          <w:szCs w:val="20"/>
          <w:color w:val="auto"/>
        </w:rPr>
      </w:pPr>
    </w:p>
    <w:p>
      <w:pPr>
        <w:ind w:right="160" w:firstLine="439"/>
        <w:spacing w:after="0" w:line="254" w:lineRule="auto"/>
        <w:rPr>
          <w:sz w:val="20"/>
          <w:szCs w:val="20"/>
          <w:color w:val="auto"/>
        </w:rPr>
      </w:pPr>
      <w:r>
        <w:rPr>
          <w:rFonts w:ascii="Times New Roman" w:cs="Times New Roman" w:eastAsia="Times New Roman" w:hAnsi="Times New Roman"/>
          <w:sz w:val="18"/>
          <w:szCs w:val="18"/>
          <w:color w:val="auto"/>
        </w:rPr>
        <w:t>There is a risk that a court could decide that our patents or certain claims in our patents are not valid or infringed, and that we do not have the right to stop a third party from using the inventions covered by those claims. In addition, the PTAB may invalidate a patent, as happened with six of our patents covering the Xywav and Xyrem REMS, which were invalidated through the IPR process. In addition, even if we prevail in establishing that another product infringes a valid claim of one of our patents, a court may determine that we can be compensated for the infringement in damages, and refuse to issue an injunction. As a result, we may not be entitled to stop another party from infringing our patents for their full term.</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0" w:firstLine="439"/>
        <w:spacing w:after="0" w:line="214" w:lineRule="exact"/>
        <w:rPr>
          <w:sz w:val="20"/>
          <w:szCs w:val="20"/>
          <w:color w:val="auto"/>
        </w:rPr>
      </w:pPr>
      <w:r>
        <w:rPr>
          <w:rFonts w:ascii="Times New Roman" w:cs="Times New Roman" w:eastAsia="Times New Roman" w:hAnsi="Times New Roman"/>
          <w:sz w:val="18"/>
          <w:szCs w:val="18"/>
          <w:color w:val="auto"/>
        </w:rPr>
        <w:t>Litigation involving patent matters is frequently settled between the parties, rather than continuing to a court ruling. The FTC has publicly stated that, in its view, certain types of agreements between branded and generic pharmaceutical companies related to the settlement of patent litigation or the manufacture, marketing and sale of generic versions of branded drugs violate the antitrust laws and has commenced investigations and brought actions against some companies that have entered into such agreements. In particular, the FTC has expressed its intention to take aggressive action to challenge settlements that include an alleged transfer of value from the brand company to the generic company (so-called “pay for delay” patent litigation settlements). The U.S. Congress and state legislatures have also identified pharmaceutical patent litigation settlements as potential impediments to generic competition and have introduced, and in states like California passed, legislation to regulate them. Third party payors have also challenged such settlements on the grounds that they increase drug prices. Because there is currently no precise legal standard with respect to the lawfulness of such settlements, many pharmaceutical companies, including us, have faced extensive litigation over whether patent litigation settlements they have entered into are reasonable and lawful. From June 2020 to May 2022, several lawsuits were filed on behalf of purported direct and indirect Xyrem purchasers, alleging that the patent litigation settlement agreements we entered with Hikma and other ANDA filers violate state and federal antitrust and consumer protection laws. For additional information on these lawsuits, see Note 14, Commitments and Contingencies-Legal Proceedings of the Notes to Consolidated Financial Statements, included in Part IV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It is possible that additional lawsuits will be filed against us making similar or related allegations. We cannot predict the outcome of these or potential additional lawsuits; however, if the plaintiffs in the class action complaints were to be successful in their claims, they may be entitled to injunctive relief or we may be required to pay significant monetary damages, which could have a material adverse effect on our business, financial condition, results of operations and growth prospects.</w:t>
      </w:r>
    </w:p>
    <w:p>
      <w:pPr>
        <w:spacing w:after="0" w:line="92" w:lineRule="exact"/>
        <w:rPr>
          <w:sz w:val="20"/>
          <w:szCs w:val="20"/>
          <w:color w:val="auto"/>
        </w:rPr>
      </w:pPr>
    </w:p>
    <w:p>
      <w:pPr>
        <w:ind w:right="40" w:firstLine="439"/>
        <w:spacing w:after="0" w:line="252" w:lineRule="auto"/>
        <w:rPr>
          <w:sz w:val="20"/>
          <w:szCs w:val="20"/>
          <w:color w:val="auto"/>
        </w:rPr>
      </w:pPr>
      <w:r>
        <w:rPr>
          <w:rFonts w:ascii="Times New Roman" w:cs="Times New Roman" w:eastAsia="Times New Roman" w:hAnsi="Times New Roman"/>
          <w:sz w:val="18"/>
          <w:szCs w:val="18"/>
          <w:color w:val="auto"/>
        </w:rPr>
        <w:t>Parties to such settlement agreements in the U.S. are required by law to file the agreements with the FTC and the U.S. Department of Justice, or DOJ, for review. Accordingly, we have submitted our patent litigation settlement agreements to the FTC and the DOJ for review. We may receive formal or informal requests from the FTC regarding our ANDA litigation settlements, and there is a risk that the FTC may commence a formal investigation or action against us, which could divert the attention of management and cause us to incur significant costs, regardless of the outcome. Any claim or finding that we or our business partners have failed to comply with applicable laws and regulations could be costly to us and have a material adverse effect on our business, financial condition, results of operations and growth prospects.</w:t>
      </w:r>
    </w:p>
    <w:p>
      <w:pPr>
        <w:spacing w:after="0" w:line="80" w:lineRule="exact"/>
        <w:rPr>
          <w:sz w:val="20"/>
          <w:szCs w:val="20"/>
          <w:color w:val="auto"/>
        </w:rPr>
      </w:pPr>
    </w:p>
    <w:p>
      <w:pPr>
        <w:ind w:firstLine="439"/>
        <w:spacing w:after="0" w:line="251" w:lineRule="auto"/>
        <w:rPr>
          <w:sz w:val="20"/>
          <w:szCs w:val="20"/>
          <w:color w:val="auto"/>
        </w:rPr>
      </w:pPr>
      <w:r>
        <w:rPr>
          <w:rFonts w:ascii="Times New Roman" w:cs="Times New Roman" w:eastAsia="Times New Roman" w:hAnsi="Times New Roman"/>
          <w:sz w:val="18"/>
          <w:szCs w:val="18"/>
          <w:color w:val="auto"/>
        </w:rPr>
        <w:t>A third party may claim that we or our manufacturing or commercialization partners are using inventions covered by the third party’s patent rights, or that we or such partners are infringing, misappropriating or otherwise violating other intellectual property rights, and may go to court to stop us from engaging in our normal operations and activities, including making or selling our products. Such lawsuits are costly and could affect our results of operations and divert the attention of management and development personnel. There is a risk that a court could decide that we or our partners are infringing, misappropriating or otherwise violating third party patent or other intellectual property rights, which could be very costly to us and have a material adverse effect on our business. If we are sued for patent infringement, we would need to demonstrate that our products or methods do not infringe the patent claims of the relevant patent and/or that the patent claims are invalid or unenforceable, which we may not be able to do.</w:t>
      </w:r>
    </w:p>
    <w:p>
      <w:pPr>
        <w:spacing w:after="0" w:line="82" w:lineRule="exact"/>
        <w:rPr>
          <w:sz w:val="20"/>
          <w:szCs w:val="20"/>
          <w:color w:val="auto"/>
        </w:rPr>
      </w:pPr>
    </w:p>
    <w:p>
      <w:pPr>
        <w:ind w:firstLine="439"/>
        <w:spacing w:after="0" w:line="252" w:lineRule="auto"/>
        <w:rPr>
          <w:sz w:val="20"/>
          <w:szCs w:val="20"/>
          <w:color w:val="auto"/>
        </w:rPr>
      </w:pPr>
      <w:r>
        <w:rPr>
          <w:rFonts w:ascii="Times New Roman" w:cs="Times New Roman" w:eastAsia="Times New Roman" w:hAnsi="Times New Roman"/>
          <w:sz w:val="18"/>
          <w:szCs w:val="18"/>
          <w:color w:val="auto"/>
        </w:rPr>
        <w:t>If we were found to infringe upon a patent or other intellectual property right, if we failed to obtain or renew a license under a patent or other intellectual property right from a third party, or if a third party that we were licensing technologies from was found to infringe upon a patent or other intellectual property rights of another third party, we may be required to pay damages, including damages of up to three times the damages found or assessed, if the infringement is found to be willful, suspend the manufacture of certain products or reengineer or rebrand our products, if feasible, or we may be unable to enter certain new product markets. In addition, if we have declined or failed to enter into a valid assignment agreement for any reason, we may not own the invention or our intellectual property, and our products may not be adequately protected.</w:t>
      </w:r>
    </w:p>
    <w:p>
      <w:pPr>
        <w:spacing w:after="0" w:line="80" w:lineRule="exact"/>
        <w:rPr>
          <w:sz w:val="20"/>
          <w:szCs w:val="20"/>
          <w:color w:val="auto"/>
        </w:rPr>
      </w:pPr>
    </w:p>
    <w:p>
      <w:pPr>
        <w:ind w:right="40" w:firstLine="439"/>
        <w:spacing w:after="0" w:line="220" w:lineRule="exact"/>
        <w:rPr>
          <w:sz w:val="20"/>
          <w:szCs w:val="20"/>
          <w:color w:val="auto"/>
        </w:rPr>
      </w:pPr>
      <w:r>
        <w:rPr>
          <w:rFonts w:ascii="Times New Roman" w:cs="Times New Roman" w:eastAsia="Times New Roman" w:hAnsi="Times New Roman"/>
          <w:sz w:val="18"/>
          <w:szCs w:val="18"/>
          <w:color w:val="auto"/>
        </w:rPr>
        <w:t>Litigation, whether filed by us or against us, can be expensive and time consuming to defend and divert management’s attention and resources. Our competitive position could suffer as a result. On June 22, 2023, we filed a complaint in the United States District Court for the District of Columbia seeking a declaration that FDA’s approval on May 1, 2023 of the New Drug Application for Avadel's drug Lumryz was unlawful. We cannot predict the timing or ultimate outcome of this litigation or the impact of this litigation on our business, including any potential adverse consequences to, among other things, our reputation, relationships with governmental or regulatory authorities, including FDA. For additional information, see "</w:t>
      </w:r>
      <w:r>
        <w:rPr>
          <w:rFonts w:ascii="Times New Roman" w:cs="Times New Roman" w:eastAsia="Times New Roman" w:hAnsi="Times New Roman"/>
          <w:sz w:val="18"/>
          <w:szCs w:val="18"/>
          <w:i w:val="1"/>
          <w:iCs w:val="1"/>
          <w:color w:val="auto"/>
        </w:rPr>
        <w:t>FDA Litigation</w:t>
      </w:r>
      <w:r>
        <w:rPr>
          <w:rFonts w:ascii="Times New Roman" w:cs="Times New Roman" w:eastAsia="Times New Roman" w:hAnsi="Times New Roman"/>
          <w:sz w:val="18"/>
          <w:szCs w:val="18"/>
          <w:color w:val="auto"/>
        </w:rPr>
        <w:t>" in Note 14, Commitments and Contingencies-Legal Proceedings of the Notes to Consolidated Financial Statements, included in Part IV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60" w:lineRule="exact"/>
        <w:rPr>
          <w:sz w:val="20"/>
          <w:szCs w:val="20"/>
          <w:color w:val="auto"/>
        </w:rPr>
      </w:pPr>
    </w:p>
    <w:p>
      <w:pPr>
        <w:ind w:right="5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With respect to our products and product candidates targeting rare indications, relevant regulatory exclusivities such as orphan drug exclusivity or pediatric exclusivity may not be granted or, if granted, may be limited.</w:t>
      </w:r>
    </w:p>
    <w:p>
      <w:pPr>
        <w:spacing w:after="0" w:line="54" w:lineRule="exact"/>
        <w:rPr>
          <w:sz w:val="20"/>
          <w:szCs w:val="20"/>
          <w:color w:val="auto"/>
        </w:rPr>
      </w:pPr>
    </w:p>
    <w:p>
      <w:pPr>
        <w:ind w:right="100" w:firstLine="439"/>
        <w:spacing w:after="0" w:line="256" w:lineRule="auto"/>
        <w:rPr>
          <w:sz w:val="20"/>
          <w:szCs w:val="20"/>
          <w:color w:val="auto"/>
        </w:rPr>
      </w:pPr>
      <w:r>
        <w:rPr>
          <w:rFonts w:ascii="Times New Roman" w:cs="Times New Roman" w:eastAsia="Times New Roman" w:hAnsi="Times New Roman"/>
          <w:sz w:val="18"/>
          <w:szCs w:val="18"/>
          <w:color w:val="auto"/>
        </w:rPr>
        <w:t>The first NDA applicant with an orphan drug designation for a particular active moiety to treat a specific disease or condition that receives FDA approval is usually entitled to a seven-year exclusive marketing period in the U.S. for that drug, for that indication. We rely in part on this ODE and other regulatory exclusivities to protect Xywav, Epidiolex, Zepzelca, Vyxeos and, potentially, our other products and product candidates from competitors, and we expect to continue relying in part on these</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regulatory exclusivities in the future. The duration of our regulatory exclusivity period could be impacted by a number of factors, including FDA’s later determination that our request for orphan designation was materially defective, that the manufacturer is unable to supply sufficient quantities of the drug, that the extension of the exclusivity period established by the Improving Regulatory Transparency for New Medical Therapies Act does not apply, or the possibility that we are unable to successfully obtain pediatric exclusivity. There is no assurance that we will successfully obtain orphan drug designation for other products or product candidates or other rare diseases or that a product candidate for which we receive orphan drug designation will be approved, or that we will be awarded orphan drug exclusivity upon approval as, for example, FDA may reconsider whether the eligibility criteria for such exclusivity have been met and/or maintained. Moreover, a drug product with an active moiety that is different from that in our drug candidate or, under limited circumstances, the same drug product, may be approved by FDA for the same indication during the period of marketing exclusivity. According to FDA, the limited circumstances include a showing that the second drug is clinically superior to the drug with marketing exclusivity through a demonstration of superior safety or efficacy or that it makes a major contribution to patient care. For example, even though FDA granted seven-year ODE to Xywav, FDA also approved Lumryz and granted Lumryz seven-year ODE based on FDA’s finding that Lumryz makes a major contribution to patient care and is therefore clinically superior to Xywav and Xyrem. In addition, if a competitor obtains approval and marketing exclusivity for a drug product with an active moiety that is the same as that in a product candidate we are pursuing for the same indication before us, approval of our product candidate would be blocked during the period of marketing exclusivity unless we could demonstrate that our product candidate is clinically superior to the approved product. In addition, if a competitor obtains approval and marketing exclusivity for a drug product with an active moiety that is the same as that in a product candidate we are pursuing for a different orphan indication, this may negatively impact the market opportunity for our product candidate. There have been legal challenges, including from us, to aspects of FDA’s regulations and policies concerning the exclusivity provisions of the Orphan Drug Act, including whether two drugs are the same drug product, and our and future challenges could lead to changes that affect the protections potentially afforded our products in ways that are difficult to predict. In this regard, we have filed a complaint in the United States District Court for the District of Columbia seeking a declaration that FDA’s approval of Lumryz was unlawful and allege that FDA acted outside its authority under the Orphan Drug Act, when, despite the ODE protecting Xywav, FDA approved Lumryz and granted Lumryz seven-year ODE. However, legal challenges like this are inherently uncertain and there can be no guarantee that the United States District Court for the District of Columbia will agree with our interpretation of applicable laws and regulations or will otherwise agree with any or all of the allegations included in our compliant, or that we will otherwise prevail in this litigation. We also cannot predict what other adverse consequences to, among other things, our reputation, our relationship with FDA or other governmental or regulatory authorities or the protections afforded our products could result from our decision to proceed with this litigation or the ultimate outcome thereof. Moreover, in the future, there is the potential for legislative changes or additional legal challenges to FDA’s orphan drug regulations and policies, and it is uncertain how such challenges might affect our business.</w:t>
      </w:r>
    </w:p>
    <w:p>
      <w:pPr>
        <w:spacing w:after="0" w:line="289" w:lineRule="exact"/>
        <w:rPr>
          <w:sz w:val="20"/>
          <w:szCs w:val="20"/>
          <w:color w:val="auto"/>
        </w:rPr>
      </w:pPr>
    </w:p>
    <w:p>
      <w:pPr>
        <w:ind w:right="40" w:firstLine="439"/>
        <w:spacing w:after="0" w:line="249" w:lineRule="auto"/>
        <w:rPr>
          <w:sz w:val="20"/>
          <w:szCs w:val="20"/>
          <w:color w:val="auto"/>
        </w:rPr>
      </w:pPr>
      <w:r>
        <w:rPr>
          <w:rFonts w:ascii="Times New Roman" w:cs="Times New Roman" w:eastAsia="Times New Roman" w:hAnsi="Times New Roman"/>
          <w:sz w:val="18"/>
          <w:szCs w:val="18"/>
          <w:color w:val="auto"/>
        </w:rPr>
        <w:t>In the EU, if a marketing authorization is granted for a medicinal product that is designated an orphan drug, that product is entitled to ten years of marketing exclusivity. We rely in part on this orphan drug exclusivity and other regulatory exclusivities to protect Epidyolex and Vyxeos. During the period of marketing exclusivity, subject to limited exceptions, no similar medicinal product may be granted a marketing authorization for the orphan indication. There is no assurance that we will successfully obtain orphan drug designation for future rare indications or orphan exclusivity upon approval of any of our product candidates that have already obtained designation. Even if we obtain orphan exclusivity for any product candidate, the exclusivity period can be reduced to six years if at the end of the fifth year it is established that the orphan designation criteria are no longer met or if it is demonstrated that the orphan drug is sufficiently profitable that market exclusivity is no longer justified. Further, a similar medicinal product may be granted a marketing authorization for the same indication notwithstanding our marketing exclusivity if we are unable to supply sufficient quantities of our product, or if the second product is safer, more effective or otherwise clinically superior to our orphan drug. In addition, if a competitor obtains marketing authorization and orphan exclusivity for a product that is similar to a product candidate we are pursuing for the same indication, approval of our product candidate would be blocked during the period of orphan marketing exclusivity unless we could demonstrate that our product candidate is safer, more effective or otherwise clinically superior to the approved product.</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Related to Our Business and Industry</w:t>
      </w:r>
    </w:p>
    <w:p>
      <w:pPr>
        <w:spacing w:after="0" w:line="110"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have substantially expanded our international footprint and operations, and we may expand further in the future, which subjects us to a variety of risks and complexities which, if not effectively managed, could negatively affect our business.</w:t>
      </w:r>
    </w:p>
    <w:p>
      <w:pPr>
        <w:spacing w:after="0" w:line="54" w:lineRule="exact"/>
        <w:rPr>
          <w:sz w:val="20"/>
          <w:szCs w:val="20"/>
          <w:color w:val="auto"/>
        </w:rPr>
      </w:pPr>
    </w:p>
    <w:p>
      <w:pPr>
        <w:ind w:right="160" w:firstLine="439"/>
        <w:spacing w:after="0" w:line="261" w:lineRule="auto"/>
        <w:rPr>
          <w:sz w:val="20"/>
          <w:szCs w:val="20"/>
          <w:color w:val="auto"/>
        </w:rPr>
      </w:pPr>
      <w:r>
        <w:rPr>
          <w:rFonts w:ascii="Times New Roman" w:cs="Times New Roman" w:eastAsia="Times New Roman" w:hAnsi="Times New Roman"/>
          <w:sz w:val="18"/>
          <w:szCs w:val="18"/>
          <w:color w:val="auto"/>
        </w:rPr>
        <w:t>We are headquartered in Dublin, Ireland and have offices in multiple locations, including the U.S., the U.K. and key markets across Europe, Canada, Australia and Japan and clinical trial sites in multiple locations around the world. We may further expand our international operations into other countries in the future, either organically or by acquisition. Conducting</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760"/>
        <w:spacing w:after="0" w:line="276" w:lineRule="auto"/>
        <w:rPr>
          <w:sz w:val="20"/>
          <w:szCs w:val="20"/>
          <w:color w:val="auto"/>
        </w:rPr>
      </w:pPr>
      <w:r>
        <w:rPr>
          <w:rFonts w:ascii="Times New Roman" w:cs="Times New Roman" w:eastAsia="Times New Roman" w:hAnsi="Times New Roman"/>
          <w:sz w:val="18"/>
          <w:szCs w:val="18"/>
          <w:color w:val="auto"/>
        </w:rPr>
        <w:t>our business in multiple countries subjects us to a variety of risks and complexities that may materially and adversely affect our business, results of operations, financial condition and growth prospects, including:</w:t>
      </w:r>
    </w:p>
    <w:p>
      <w:pPr>
        <w:spacing w:after="0" w:line="56" w:lineRule="exact"/>
        <w:rPr>
          <w:sz w:val="20"/>
          <w:szCs w:val="20"/>
          <w:color w:val="auto"/>
        </w:rPr>
      </w:pPr>
    </w:p>
    <w:p>
      <w:pPr>
        <w:ind w:left="640" w:hanging="314"/>
        <w:spacing w:after="0"/>
        <w:tabs>
          <w:tab w:leader="none" w:pos="6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diverse regulatory, financial and legal requirements in the countries where we are located or do business, and any changes to those requirements;</w:t>
      </w:r>
    </w:p>
    <w:p>
      <w:pPr>
        <w:spacing w:after="0" w:line="123" w:lineRule="exact"/>
        <w:rPr>
          <w:rFonts w:ascii="Times New Roman" w:cs="Times New Roman" w:eastAsia="Times New Roman" w:hAnsi="Times New Roman"/>
          <w:sz w:val="17"/>
          <w:szCs w:val="17"/>
          <w:color w:val="auto"/>
        </w:rPr>
      </w:pPr>
    </w:p>
    <w:p>
      <w:pPr>
        <w:ind w:left="640" w:hanging="314"/>
        <w:spacing w:after="0" w:line="261"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inherent in efficiently managing employees and commercial partners in diverse geographies, including the need to adapt systems, policies, benefits and compliance programs to differing labor and employment law and other regulations, as well as maintaining positive interactions with our unionized employees;</w:t>
      </w:r>
    </w:p>
    <w:p>
      <w:pPr>
        <w:spacing w:after="0" w:line="70"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and liabilities for, our international operations, including clinical trials, products or product candidates;</w:t>
      </w:r>
    </w:p>
    <w:p>
      <w:pPr>
        <w:spacing w:after="0" w:line="11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exposure to foreign currency exchange risk from non-U.S. operations;</w:t>
      </w:r>
    </w:p>
    <w:p>
      <w:pPr>
        <w:spacing w:after="0" w:line="11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such as the instability caused by Russia’s invasion of Ukraine; and</w:t>
      </w:r>
    </w:p>
    <w:p>
      <w:pPr>
        <w:spacing w:after="0" w:line="11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risks, such as the COVID-19 pandemic and potential related effects on supply chain, travel and employee health and availability.</w:t>
      </w:r>
    </w:p>
    <w:p>
      <w:pPr>
        <w:spacing w:after="0" w:line="112" w:lineRule="exact"/>
        <w:rPr>
          <w:sz w:val="20"/>
          <w:szCs w:val="20"/>
          <w:color w:val="auto"/>
        </w:rPr>
      </w:pPr>
    </w:p>
    <w:p>
      <w:pPr>
        <w:ind w:right="20" w:firstLine="439"/>
        <w:spacing w:after="0" w:line="261" w:lineRule="auto"/>
        <w:rPr>
          <w:sz w:val="20"/>
          <w:szCs w:val="20"/>
          <w:color w:val="auto"/>
        </w:rPr>
      </w:pPr>
      <w:r>
        <w:rPr>
          <w:rFonts w:ascii="Times New Roman" w:cs="Times New Roman" w:eastAsia="Times New Roman" w:hAnsi="Times New Roman"/>
          <w:sz w:val="18"/>
          <w:szCs w:val="18"/>
          <w:color w:val="auto"/>
        </w:rPr>
        <w:t>In addition, there can be no guarantee that we will effectively manage the increasing, global complexity of our business without experiencing operating inefficiencies or control deficiencies. Our failure to do so could have a material adverse effect on our business, financial condition, results of operations and growth prospects.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disruptions of information technology systems or data security breaches could adversely affect our business.</w:t>
      </w:r>
    </w:p>
    <w:p>
      <w:pPr>
        <w:spacing w:after="0" w:line="116" w:lineRule="exact"/>
        <w:rPr>
          <w:sz w:val="20"/>
          <w:szCs w:val="20"/>
          <w:color w:val="auto"/>
        </w:rPr>
      </w:pPr>
    </w:p>
    <w:p>
      <w:pPr>
        <w:ind w:right="80" w:firstLine="439"/>
        <w:spacing w:after="0" w:line="254"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upon which we rely collect, store, process and transmit, or collectively, process large amounts of sensitive, proprietary, and/or confidential information, including intellectual property, business information, personal data, and clinical trial data, or collectively, sensitive data. We outsource some of our operations (including parts of our information technology infrastructure) to a number of third party vendors who may have, or could gain, access to our confidential information. In addition, many of those third parties, in turn, subcontract or outsource some of their responsibilities to third parties.</w:t>
      </w:r>
    </w:p>
    <w:p>
      <w:pPr>
        <w:spacing w:after="0" w:line="76" w:lineRule="exact"/>
        <w:rPr>
          <w:sz w:val="20"/>
          <w:szCs w:val="20"/>
          <w:color w:val="auto"/>
        </w:rPr>
      </w:pPr>
    </w:p>
    <w:p>
      <w:pPr>
        <w:ind w:firstLine="439"/>
        <w:spacing w:after="0" w:line="256" w:lineRule="auto"/>
        <w:rPr>
          <w:sz w:val="20"/>
          <w:szCs w:val="20"/>
          <w:color w:val="auto"/>
        </w:rPr>
      </w:pPr>
      <w:r>
        <w:rPr>
          <w:rFonts w:ascii="Times New Roman" w:cs="Times New Roman" w:eastAsia="Times New Roman" w:hAnsi="Times New Roman"/>
          <w:sz w:val="18"/>
          <w:szCs w:val="18"/>
          <w:color w:val="auto"/>
        </w:rPr>
        <w:t>Our information technology systems, and those of our vendors, are large and complex and store large amounts of sensitive data We and the third parties upon which we rely face a variety of evolving threats that could threaten the availability of our sensitive data and information technology systems and cause security incidents from inadvertent or intentional actions by our employees, third party vendors and/or business partners, or from cyber-attacks and malicious third parties.</w:t>
      </w:r>
    </w:p>
    <w:p>
      <w:pPr>
        <w:spacing w:after="0" w:line="75" w:lineRule="exact"/>
        <w:rPr>
          <w:sz w:val="20"/>
          <w:szCs w:val="20"/>
          <w:color w:val="auto"/>
        </w:rPr>
      </w:pPr>
    </w:p>
    <w:p>
      <w:pPr>
        <w:ind w:firstLine="439"/>
        <w:spacing w:after="0" w:line="256" w:lineRule="auto"/>
        <w:rPr>
          <w:sz w:val="20"/>
          <w:szCs w:val="20"/>
          <w:color w:val="auto"/>
        </w:rPr>
      </w:pPr>
      <w:r>
        <w:rPr>
          <w:rFonts w:ascii="Times New Roman" w:cs="Times New Roman" w:eastAsia="Times New Roman" w:hAnsi="Times New Roman"/>
          <w:sz w:val="18"/>
          <w:szCs w:val="18"/>
          <w:color w:val="auto"/>
        </w:rPr>
        <w:t>Threats of this nature are prevalent, are increasing in frequency, persistence, sophistication and intensity, are being conducted by sophisticated and organized groups and individuals, are increasingly difficult to detect, and come from a variety of sources and with a wide range of motives (including, but not limited to, industrial espionage) and expertise, including organized criminal groups, “hacktivists,” traditional computer “hackers,” threat actors, personnel (such as through theft or misuse), nation states, nation-state-supported actors, and others.</w:t>
      </w:r>
    </w:p>
    <w:p>
      <w:pPr>
        <w:spacing w:after="0" w:line="75" w:lineRule="exact"/>
        <w:rPr>
          <w:sz w:val="20"/>
          <w:szCs w:val="20"/>
          <w:color w:val="auto"/>
        </w:rPr>
      </w:pPr>
    </w:p>
    <w:p>
      <w:pPr>
        <w:ind w:right="120" w:firstLine="439"/>
        <w:spacing w:after="0" w:line="252" w:lineRule="auto"/>
        <w:rPr>
          <w:sz w:val="20"/>
          <w:szCs w:val="20"/>
          <w:color w:val="auto"/>
        </w:rPr>
      </w:pPr>
      <w:r>
        <w:rPr>
          <w:rFonts w:ascii="Times New Roman" w:cs="Times New Roman" w:eastAsia="Times New Roman" w:hAnsi="Times New Roman"/>
          <w:sz w:val="18"/>
          <w:szCs w:val="18"/>
          <w:color w:val="auto"/>
        </w:rPr>
        <w:t>In addition to the extraction of important information, such threats could include the deployment of harmful malware, ransomware, denial-of-service attacks, social engineering, malicious code, credential harvesting, personnel misconduct or error, supply-chain attacks, software bugs, server malfunctions, software or hardware failures, loss of data or other information technology assets, adware, attacks enhanced or facilitated by AI, and other threats that affect service reliability and threaten the confidentiality, integrity and availability of our information technology systems and sensitive data. In addition, supply-chain attacks have increased in frequency and severity, and we cannot guarantee that third parties’ infrastructure in our supply chain or our third-party partners’ supply chains have not been compromised.</w:t>
      </w:r>
    </w:p>
    <w:p>
      <w:pPr>
        <w:spacing w:after="0" w:line="80" w:lineRule="exact"/>
        <w:rPr>
          <w:sz w:val="20"/>
          <w:szCs w:val="20"/>
          <w:color w:val="auto"/>
        </w:rPr>
      </w:pPr>
    </w:p>
    <w:p>
      <w:pPr>
        <w:ind w:firstLine="439"/>
        <w:spacing w:after="0" w:line="249" w:lineRule="auto"/>
        <w:rPr>
          <w:sz w:val="20"/>
          <w:szCs w:val="20"/>
          <w:color w:val="auto"/>
        </w:rPr>
      </w:pPr>
      <w:r>
        <w:rPr>
          <w:rFonts w:ascii="Times New Roman" w:cs="Times New Roman" w:eastAsia="Times New Roman" w:hAnsi="Times New Roman"/>
          <w:sz w:val="18"/>
          <w:szCs w:val="18"/>
          <w:color w:val="auto"/>
        </w:rPr>
        <w:t>If we (or a third party upon whom we rely) experience a security incident or are perceived to have experienced a security incident, or otherwise experience significant disruptions of our, our third party vendors’ and/or business partners’ information technology systems or security breaches, including in our remote work environment, such occurrence could adversely affect our business operations and/or result in the loss, misappropriation, and/or unauthorized access, use or disclosure of, or the prevention of access to, sensitive data, and could result in adverse consequences to us such as government enforcement actions, additional reporting requirements and/or oversight, restrictions on processing sensitive data, litigation, indemnification obligations, negative publicity, reputational harm, monetary fund diversions, diversion of management attention, interruptions in our operations, financial loss, and other similar harms. Any such event that leads to unauthorized access, use or disclosure of personal data, including personal data regarding our patients or employees, could harm our reputation, compel us to comply with federal and/or state breach notification laws and foreign law equivalents, notify relevant stakeholders, subject us to mandatory corrective action, require us to verify the correctness of database contents and otherwise subject us to liability under laws and regulations that protect the privacy and security of personal data. This could disrupt our business, result in increased costs or loss of revenue, and/or result in significant legal and financial exposure. We cannot be sure that our insurance coverage will be adequate or sufficient, that such coverage will continue to be available on commercially reasonable terms or at</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440"/>
        <w:spacing w:after="0" w:line="276" w:lineRule="auto"/>
        <w:rPr>
          <w:sz w:val="20"/>
          <w:szCs w:val="20"/>
          <w:color w:val="auto"/>
        </w:rPr>
      </w:pPr>
      <w:r>
        <w:rPr>
          <w:rFonts w:ascii="Times New Roman" w:cs="Times New Roman" w:eastAsia="Times New Roman" w:hAnsi="Times New Roman"/>
          <w:sz w:val="18"/>
          <w:szCs w:val="18"/>
          <w:color w:val="auto"/>
        </w:rPr>
        <w:t>all, or that such coverage will pay future claims. In addition, security breaches and other inappropriate access can be difficult to detect, and any delay in identifying them may further harm us.</w:t>
      </w:r>
    </w:p>
    <w:p>
      <w:pPr>
        <w:spacing w:after="0" w:line="56" w:lineRule="exact"/>
        <w:rPr>
          <w:sz w:val="20"/>
          <w:szCs w:val="20"/>
          <w:color w:val="auto"/>
        </w:rPr>
      </w:pPr>
    </w:p>
    <w:p>
      <w:pPr>
        <w:ind w:firstLine="439"/>
        <w:spacing w:after="0" w:line="254" w:lineRule="auto"/>
        <w:rPr>
          <w:sz w:val="20"/>
          <w:szCs w:val="20"/>
          <w:color w:val="auto"/>
        </w:rPr>
      </w:pPr>
      <w:r>
        <w:rPr>
          <w:rFonts w:ascii="Times New Roman" w:cs="Times New Roman" w:eastAsia="Times New Roman" w:hAnsi="Times New Roman"/>
          <w:sz w:val="18"/>
          <w:szCs w:val="18"/>
          <w:color w:val="auto"/>
        </w:rPr>
        <w:t>While we have implemented security measures to protect our information technology systems and infrastructure and sensitive data, there can be no assurance that such measures will be effective or prevent service interruptions or security breaches that could adversely affect our business. We may expend significant resources to implement and maintain security measures to try to protect against security incidents. In addition, failure to maintain effective internal accounting controls related to security breaches and cybersecurity in general could impact our ability to produce timely and accurate financial statements and subject us to regulatory scrutiny.</w:t>
      </w:r>
    </w:p>
    <w:p>
      <w:pPr>
        <w:spacing w:after="0" w:line="76" w:lineRule="exact"/>
        <w:rPr>
          <w:sz w:val="20"/>
          <w:szCs w:val="20"/>
          <w:color w:val="auto"/>
        </w:rPr>
      </w:pPr>
    </w:p>
    <w:p>
      <w:pPr>
        <w:ind w:right="40" w:firstLine="439"/>
        <w:spacing w:after="0" w:line="306" w:lineRule="auto"/>
        <w:rPr>
          <w:sz w:val="20"/>
          <w:szCs w:val="20"/>
          <w:color w:val="auto"/>
        </w:rPr>
      </w:pPr>
      <w:r>
        <w:rPr>
          <w:rFonts w:ascii="Times New Roman" w:cs="Times New Roman" w:eastAsia="Times New Roman" w:hAnsi="Times New Roman"/>
          <w:sz w:val="17"/>
          <w:szCs w:val="17"/>
          <w:color w:val="auto"/>
        </w:rPr>
        <w:t>In addition to experiencing a security incident, third parties may gather, collect, or infer sensitive data about us from public sources, data brokers, or other means that reveals competitively sensitive details about our organization and could be used to undermine our competitive advantage or market position.</w:t>
      </w:r>
    </w:p>
    <w:p>
      <w:pPr>
        <w:spacing w:after="0" w:line="30" w:lineRule="exact"/>
        <w:rPr>
          <w:sz w:val="20"/>
          <w:szCs w:val="20"/>
          <w:color w:val="auto"/>
        </w:rPr>
      </w:pPr>
    </w:p>
    <w:p>
      <w:pPr>
        <w:ind w:right="5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significant ongoing regulatory obligations and oversight, which may subject us to civil or criminal proceedings, investigations, or penalties and may result in significant additional expense and limit our ability to commercialize our products.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FDA and Equivalent Non-U.S. Regulatory Authorities</w:t>
      </w:r>
    </w:p>
    <w:p>
      <w:pPr>
        <w:spacing w:after="0" w:line="114" w:lineRule="exact"/>
        <w:rPr>
          <w:sz w:val="20"/>
          <w:szCs w:val="20"/>
          <w:color w:val="auto"/>
        </w:rPr>
      </w:pPr>
    </w:p>
    <w:p>
      <w:pPr>
        <w:ind w:firstLine="439"/>
        <w:spacing w:after="0" w:line="250" w:lineRule="auto"/>
        <w:rPr>
          <w:sz w:val="20"/>
          <w:szCs w:val="20"/>
          <w:color w:val="auto"/>
        </w:rPr>
      </w:pPr>
      <w:r>
        <w:rPr>
          <w:rFonts w:ascii="Times New Roman" w:cs="Times New Roman" w:eastAsia="Times New Roman" w:hAnsi="Times New Roman"/>
          <w:sz w:val="18"/>
          <w:szCs w:val="18"/>
          <w:color w:val="auto"/>
        </w:rPr>
        <w:t>Our activities are subject to extensive regulation encompassing the entire life cycle of our products, from research and development activities to marketing approval (including specific post-marketing obligations), manufacturing, labeling, packaging, adverse event and safety reporting, storage, advertising, promotion, sale, pricing and reimbursement, recordkeeping, distribution, importing and exporting. The failure by us or any of our third party partners, including our corporate development and collaboration partners, clinical trial sites, suppliers, distributors and our central pharmacy for Xywav and Xyrem, to comply with applicable requirements could subject us to administrative or judicial sanctions or other negative consequences, such as delays in approval or refusal to approve a product candidate, restrictions on our products, our suppliers, our other partners or us, the withdrawal, suspension or variation of product approval or manufacturing authorizations, untitled letters, warning letters, fines and other monetary penalties, unanticipated expenditures, product recall, withdrawal or seizure, total or partial suspension of production or distribution, interruption of manufacturing or clinical trials, operating restrictions, injunctions, suspension of licenses, civil penalties and/or criminal prosecution, any of which could result in a significant drop in our revenues from the affected products and harm to our reputation and could have a significant impact on our sales, business and financial condition.</w:t>
      </w:r>
    </w:p>
    <w:p>
      <w:pPr>
        <w:spacing w:after="0" w:line="80" w:lineRule="exact"/>
        <w:rPr>
          <w:sz w:val="20"/>
          <w:szCs w:val="20"/>
          <w:color w:val="auto"/>
        </w:rPr>
      </w:pPr>
    </w:p>
    <w:p>
      <w:pPr>
        <w:ind w:right="60" w:firstLine="439"/>
        <w:spacing w:after="0" w:line="249" w:lineRule="auto"/>
        <w:rPr>
          <w:sz w:val="20"/>
          <w:szCs w:val="20"/>
          <w:color w:val="auto"/>
        </w:rPr>
      </w:pPr>
      <w:r>
        <w:rPr>
          <w:rFonts w:ascii="Times New Roman" w:cs="Times New Roman" w:eastAsia="Times New Roman" w:hAnsi="Times New Roman"/>
          <w:sz w:val="18"/>
          <w:szCs w:val="18"/>
          <w:color w:val="auto"/>
        </w:rPr>
        <w:t>We monitor adverse events resulting from the use of our products, as do the regulatory authorities, and we file periodic reports with the authorities concerning adverse events. The authorities review these events and reports, and if they determine that any events and/or reports indicate a trend or signal, they can require a change in a product label, restrict sales and marketing and/or require conduct or other actions, potentially including variation, withdrawal or suspension of the marketing authorization, any of which could result in reduced market acceptance and demand for our products, could harm our reputation and our ability to market our products in the future, and could have a material adverse effect on our business, financial condition, results of operations and growth prospects. FDA, the competent authorities of the EU member states on behalf of the EMA, and the competent authorities of other European countries, also periodically inspect our records related to safety reporting. The EMA’s Pharmacovigilance Risk Assessment Committee may propose to the Committee for Medicinal Products for Human Use that the marketing authorization holder be required to take specific steps or advise that the existing marketing authorization be varied, suspended or revoked. Failure to adequately and promptly correct the observation(s) can result in further regulatory enforcement action, which could include the variation, suspension or withdrawal of marketing authorization or imposition of financial penalties or other enforcement measures.</w:t>
      </w:r>
    </w:p>
    <w:p>
      <w:pPr>
        <w:spacing w:after="0" w:line="87" w:lineRule="exact"/>
        <w:rPr>
          <w:sz w:val="20"/>
          <w:szCs w:val="20"/>
          <w:color w:val="auto"/>
        </w:rPr>
      </w:pPr>
    </w:p>
    <w:p>
      <w:pPr>
        <w:ind w:firstLine="439"/>
        <w:spacing w:after="0" w:line="252" w:lineRule="auto"/>
        <w:rPr>
          <w:sz w:val="20"/>
          <w:szCs w:val="20"/>
          <w:color w:val="auto"/>
        </w:rPr>
      </w:pPr>
      <w:r>
        <w:rPr>
          <w:rFonts w:ascii="Times New Roman" w:cs="Times New Roman" w:eastAsia="Times New Roman" w:hAnsi="Times New Roman"/>
          <w:sz w:val="18"/>
          <w:szCs w:val="18"/>
          <w:color w:val="auto"/>
        </w:rPr>
        <w:t>Rylaze and Epidyolex are available on a named patient basis or through a compassionate use process in many countries where they are not commercially available. If any such country’s regulatory authorities determine that we are promoting such products without proper authorization, we could be found to be in violation of pharmaceutical advertising laws or the regulations permitting sales under named patient programs. In that case, we may be subject to financial or other penalties. Any failure to maintain revenues from sales of products on a named patient basis and/or to generate revenues from commercial sales of these products exceeding historical sales on a named patient basis could have an adverse effect on our business, financial condition, results of operations and growth prospects.</w:t>
      </w:r>
    </w:p>
    <w:p>
      <w:pPr>
        <w:spacing w:after="0" w:line="80" w:lineRule="exact"/>
        <w:rPr>
          <w:sz w:val="20"/>
          <w:szCs w:val="20"/>
          <w:color w:val="auto"/>
        </w:rPr>
      </w:pPr>
    </w:p>
    <w:p>
      <w:pPr>
        <w:ind w:right="20" w:firstLine="439"/>
        <w:spacing w:after="0" w:line="251" w:lineRule="auto"/>
        <w:rPr>
          <w:sz w:val="20"/>
          <w:szCs w:val="20"/>
          <w:color w:val="auto"/>
        </w:rPr>
      </w:pPr>
      <w:r>
        <w:rPr>
          <w:rFonts w:ascii="Times New Roman" w:cs="Times New Roman" w:eastAsia="Times New Roman" w:hAnsi="Times New Roman"/>
          <w:sz w:val="18"/>
          <w:szCs w:val="18"/>
          <w:color w:val="auto"/>
        </w:rPr>
        <w:t>FDA, the competent authorities of the EU member states and other European countries, and other governmental authorities require advertising and promotional materials to be truthful and not misleading, and products to be marketed only for their approved indications and in accordance with the provisions of the approved label. Regulatory authorities actively investigate allegations of off-label promotion in order to enforce regulations prohibiting these types of activities. A determination that we have promoted an approved product for off-label uses could subject us to significant liability, including civil and administrative financial penalties and other remedies as well as criminal financial penalties, other sanctions and imprisonment. Even if we are not determined to have engaged in off-label promotion, an allegation that we have engaged in such activities could have a significant impact on our sales, business and financial condition. The U.S. government has also</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required companies to enter into complex corporate integrity agreements and/or non-prosecution agreements that impose significant reporting and other burdens on the affected companies. Failure to maintain a comprehensive and effective compliance program, and to integrate the operations of acquired businesses into a combined comprehensive and effective compliance program on a timely basis, could subject us to a range of regulatory actions and/or civil or criminal penalties that could affect our ability to commercialize our products and could harm or prevent sales of the affected products, or could substantially increase the costs and expenses of commercializing and marketing our products.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Regulatory Authorities</w:t>
      </w:r>
    </w:p>
    <w:p>
      <w:pPr>
        <w:spacing w:after="0" w:line="114" w:lineRule="exact"/>
        <w:rPr>
          <w:sz w:val="20"/>
          <w:szCs w:val="20"/>
          <w:color w:val="auto"/>
        </w:rPr>
      </w:pPr>
    </w:p>
    <w:p>
      <w:pPr>
        <w:ind w:right="300" w:firstLine="439"/>
        <w:spacing w:after="0" w:line="261" w:lineRule="auto"/>
        <w:rPr>
          <w:sz w:val="20"/>
          <w:szCs w:val="20"/>
          <w:color w:val="auto"/>
        </w:rPr>
      </w:pPr>
      <w:r>
        <w:rPr>
          <w:rFonts w:ascii="Times New Roman" w:cs="Times New Roman" w:eastAsia="Times New Roman" w:hAnsi="Times New Roman"/>
          <w:sz w:val="18"/>
          <w:szCs w:val="18"/>
          <w:color w:val="auto"/>
        </w:rPr>
        <w:t>We are also subject to regulation by other regional, national, state and local agencies, including the DEA, the DOJ, the FTC, the United States Department of Commerce, the Office of Inspector General of the U.S. Department of Health and Human Services, or OIG, and other regulatory bodies, as well as similar governmental authorities in those non-U.S. countries in which we commercialize our products.</w:t>
      </w:r>
    </w:p>
    <w:p>
      <w:pPr>
        <w:spacing w:after="0" w:line="70" w:lineRule="exact"/>
        <w:rPr>
          <w:sz w:val="20"/>
          <w:szCs w:val="20"/>
          <w:color w:val="auto"/>
        </w:rPr>
      </w:pPr>
    </w:p>
    <w:p>
      <w:pPr>
        <w:ind w:right="20" w:firstLine="439"/>
        <w:spacing w:after="0" w:line="215" w:lineRule="exact"/>
        <w:rPr>
          <w:sz w:val="20"/>
          <w:szCs w:val="20"/>
          <w:color w:val="auto"/>
        </w:rPr>
      </w:pPr>
      <w:r>
        <w:rPr>
          <w:rFonts w:ascii="Times New Roman" w:cs="Times New Roman" w:eastAsia="Times New Roman" w:hAnsi="Times New Roman"/>
          <w:sz w:val="18"/>
          <w:szCs w:val="18"/>
          <w:color w:val="auto"/>
        </w:rPr>
        <w:t>We are subject to numerous fraud and abuse laws and regulations globally and our sales, marketing, patient support and medical activities may be subject to scrutiny under these laws and regulations. These laws are described in “Business—Government Regulation” in Part I, Item 1 of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2023. While we maintain a comprehensive compliance program to try to ensure that our practices and the activities of our third party contractors and employees fall within the scope of available statutory exceptions and regulatory safe harbors whenever possible, and otherwise comply with applicable laws, regulations or guidance, regulators and enforcement agencies may disagree with our assessment or find fault with the conduct of our employees or contractors. In addition, existing regulations are subject to regulatory revision or changes in interpretation by the DOJ or OIG. For example, in November 2020, the OIG issued a Special Fraud Alert to highlight certain inherent fraud and abuse risks associated with speaker fees, honorariums and expenses paid by pharmaceutical and medical device companies to healthcare professionals participating in company-sponsored events. The Special Fraud Alert sent a clear signal that speaker programs will be subject to potentially heightened enforcement scrutiny.</w:t>
      </w:r>
    </w:p>
    <w:p>
      <w:pPr>
        <w:spacing w:after="0" w:line="89" w:lineRule="exact"/>
        <w:rPr>
          <w:sz w:val="20"/>
          <w:szCs w:val="20"/>
          <w:color w:val="auto"/>
        </w:rPr>
      </w:pPr>
    </w:p>
    <w:p>
      <w:pPr>
        <w:ind w:firstLine="439"/>
        <w:spacing w:after="0" w:line="251" w:lineRule="auto"/>
        <w:rPr>
          <w:sz w:val="20"/>
          <w:szCs w:val="20"/>
          <w:color w:val="auto"/>
        </w:rPr>
      </w:pPr>
      <w:r>
        <w:rPr>
          <w:rFonts w:ascii="Times New Roman" w:cs="Times New Roman" w:eastAsia="Times New Roman" w:hAnsi="Times New Roman"/>
          <w:sz w:val="18"/>
          <w:szCs w:val="18"/>
          <w:color w:val="auto"/>
        </w:rPr>
        <w:t xml:space="preserve">Many companies have faced government investigations or lawsuits by whistleblowers who bring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 under the False Claims Act on behalf of themselves and the government for a variety of alleged improper marketing activities, including providing free product to customers expecting that the customers would bill federal programs for the product, providing consulting fees, grants, free travel and other benefits to physicians to induce them to prescribe the company’s products, and inflating prices reported to private price publication services, which are used to set drug reimbursement rates under government healthcare programs. In addition, the government and private whistleblowers have pursued False Claims Act cases against pharmaceutical companies for causing false claims to be submitted as a result of the marketing of their products for unapproved uses or violations of the federal anti-kickback statute. If we become the subject of a government False Claims Act or other investigation or whistleblower suit, we could incur substantial legal costs (including settlement costs) and business disruption responding to such investigation or suit, regardless of the outcome.</w:t>
      </w:r>
    </w:p>
    <w:p>
      <w:pPr>
        <w:spacing w:after="0" w:line="81" w:lineRule="exact"/>
        <w:rPr>
          <w:sz w:val="20"/>
          <w:szCs w:val="20"/>
          <w:color w:val="auto"/>
        </w:rPr>
      </w:pPr>
    </w:p>
    <w:p>
      <w:pPr>
        <w:ind w:firstLine="439"/>
        <w:spacing w:after="0" w:line="250" w:lineRule="auto"/>
        <w:rPr>
          <w:sz w:val="20"/>
          <w:szCs w:val="20"/>
          <w:color w:val="auto"/>
        </w:rPr>
      </w:pPr>
      <w:r>
        <w:rPr>
          <w:rFonts w:ascii="Times New Roman" w:cs="Times New Roman" w:eastAsia="Times New Roman" w:hAnsi="Times New Roman"/>
          <w:sz w:val="18"/>
          <w:szCs w:val="18"/>
          <w:color w:val="auto"/>
        </w:rPr>
        <w:t>On July 11, 2022, we received a subpoena from the U.S. Attorney’s Office for the District of Massachusetts requesting documents related to Xyrem and U.S. Patent No. 8,772,306 (“</w:t>
      </w:r>
      <w:r>
        <w:rPr>
          <w:rFonts w:ascii="Times New Roman" w:cs="Times New Roman" w:eastAsia="Times New Roman" w:hAnsi="Times New Roman"/>
          <w:sz w:val="18"/>
          <w:szCs w:val="18"/>
          <w:color w:val="242424"/>
        </w:rPr>
        <w:t>Method of Administration of Gamma Hydroxybutyrate with Monocarboxylate Transporters”)</w:t>
      </w:r>
      <w:r>
        <w:rPr>
          <w:rFonts w:ascii="Times New Roman" w:cs="Times New Roman" w:eastAsia="Times New Roman" w:hAnsi="Times New Roman"/>
          <w:sz w:val="18"/>
          <w:szCs w:val="18"/>
          <w:color w:val="auto"/>
        </w:rPr>
        <w:t>, product labeling changes for Xyrem, communications with FDA and the USPTO, pricing of Xyrem, and other related documents. We are cooperating with this investigation. We are unable to predict how long this investigation will continue or its outcome, but it is possible that we will incur significant costs in connection with the investigation, regardless of the outcome. We may also become subject to similar investigations by other state or federal governmental agencies. The investigation by the U.S. Attorney’s Office and any additional investigations or litigation related to the subject matter of this investigation may result in damages, fines, penalties or administrative sanctions against us, negative publicity or other negative actions that could harm our reputation, reduce demand for Xyrem and/or reduce coverage of Xyrem, including by federal health care programs and state health care programs. If any or all of these events occur, our business and stock price could be materially and adversely affected.</w:t>
      </w:r>
    </w:p>
    <w:p>
      <w:pPr>
        <w:spacing w:after="0" w:line="8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Public reporting under the Physician Payment Sunshine Act, or Sunshine provisions, and other similar state laws, the requirements of which are</w:t>
      </w:r>
    </w:p>
    <w:p>
      <w:pPr>
        <w:spacing w:after="0" w:line="19" w:lineRule="exact"/>
        <w:rPr>
          <w:sz w:val="20"/>
          <w:szCs w:val="20"/>
          <w:color w:val="auto"/>
        </w:rPr>
      </w:pPr>
    </w:p>
    <w:p>
      <w:pPr>
        <w:ind w:right="100"/>
        <w:spacing w:after="0" w:line="214" w:lineRule="exact"/>
        <w:rPr>
          <w:sz w:val="20"/>
          <w:szCs w:val="20"/>
          <w:color w:val="auto"/>
        </w:rPr>
      </w:pPr>
      <w:r>
        <w:rPr>
          <w:rFonts w:ascii="Times New Roman" w:cs="Times New Roman" w:eastAsia="Times New Roman" w:hAnsi="Times New Roman"/>
          <w:sz w:val="18"/>
          <w:szCs w:val="18"/>
          <w:color w:val="auto"/>
        </w:rPr>
        <w:t>discussed in “Business—Government Regulation” in Part I, Item 1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2023, has resulted in increased scrutiny of the financial relationships between industry, teaching hospitals, physicians and other health care providers. Such scrutiny may negatively impact our ability to engage with physicians and other health care providers on matters of importance to us. In addition, government agencies and private entities may inquire about our marketing practices or pursue other enforcement activities based on the disclosures in those public reports. If the data reflected in our reports are found to be in violation of any of the Sunshine provisions or any other U.S. federal, state or local laws or regulations that may apply, or if we otherwise fail to comply with the Sunshine provisions or similar requirements of state or local regulators, we may be subject to significant civil, and administrative penalties, damages or fines.</w:t>
      </w:r>
    </w:p>
    <w:p>
      <w:pPr>
        <w:spacing w:after="0" w:line="93" w:lineRule="exact"/>
        <w:rPr>
          <w:sz w:val="20"/>
          <w:szCs w:val="20"/>
          <w:color w:val="auto"/>
        </w:rPr>
      </w:pPr>
    </w:p>
    <w:p>
      <w:pPr>
        <w:ind w:right="80" w:firstLine="439"/>
        <w:spacing w:after="0" w:line="276" w:lineRule="auto"/>
        <w:rPr>
          <w:sz w:val="20"/>
          <w:szCs w:val="20"/>
          <w:color w:val="auto"/>
        </w:rPr>
      </w:pPr>
      <w:r>
        <w:rPr>
          <w:rFonts w:ascii="Times New Roman" w:cs="Times New Roman" w:eastAsia="Times New Roman" w:hAnsi="Times New Roman"/>
          <w:sz w:val="18"/>
          <w:szCs w:val="18"/>
          <w:color w:val="auto"/>
        </w:rPr>
        <w:t>We have various programs to help patients access our products, including patient assistance programs, which include co-pay coupons for certain of our products, assistance to help patients determine their insurance coverage for our products, and a</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free product program. Co-pay coupon programs for commercially insured patients, including our program for Xyrem, have received negative publicity related to allegations regarding their use to promote branded pharmaceutical products over other less costly alternatives, and some states have imposed restrictions on manufacturer co-pay programs when therapeutic equivalents are available. In September 2014, the OIG issued a Special Advisory Bulletin warning manufacturers that they may be subject to sanctions under the federal Anti-Kickback Statute and other laws if they do not take appropriate steps to exclude Medicare Part D beneficiaries from using co-pay coupons.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including Xyrem, and therefore could have a material adverse effect on our sales, business and financial condition.</w:t>
      </w:r>
    </w:p>
    <w:p>
      <w:pPr>
        <w:spacing w:after="0" w:line="69" w:lineRule="exact"/>
        <w:rPr>
          <w:sz w:val="20"/>
          <w:szCs w:val="20"/>
          <w:color w:val="auto"/>
        </w:rPr>
      </w:pPr>
    </w:p>
    <w:p>
      <w:pPr>
        <w:ind w:right="40" w:firstLine="439"/>
        <w:spacing w:after="0" w:line="249" w:lineRule="auto"/>
        <w:rPr>
          <w:sz w:val="20"/>
          <w:szCs w:val="20"/>
          <w:color w:val="auto"/>
        </w:rPr>
      </w:pPr>
      <w:r>
        <w:rPr>
          <w:rFonts w:ascii="Times New Roman" w:cs="Times New Roman" w:eastAsia="Times New Roman" w:hAnsi="Times New Roman"/>
          <w:sz w:val="18"/>
          <w:szCs w:val="18"/>
          <w:color w:val="auto"/>
        </w:rPr>
        <w:t xml:space="preserve">We have established programs to consider grant applications submitted by independent charitable organizations, including organizations that provide co-pay support to patients who suffer from the diseases treated by our drugs. The OIG has issued guidance for how pharmaceutical manufacturers can lawfully make donations to charitable organizations who provide co-pay assistance to Medicare patients, provided that such organizations, among other things, are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charities, are entirely independent of and not controlled by the manufacturer, provide aid to applicants on a first-come basis according to consistent financial criteria, and do not link aid to use of a donor’s product. In April 2019, we finalized our civil settlement agreement with the DOJ and OIG and entered into a corporate integrity agreement requiring us to maintain our ongoing corporate compliance program and obligating us to implement or continue, as applicable, a set of defined corporate integrity activities for a period of five years from the effective date of the corporate integrity agreement. Although we have structured our programs to follow available guidance and the requirements of our corporate integrity agreement, if we or our vendors or donation recipients are deemed to fail to comply with relevant laws, regulations or evolving government guidance in the operation of these programs, such facts could be used as the basis for an enforcement action against us by the federal government or other enforcement agencies or private litigants, or we could become liable for payment of certain stipulated penalties or could be excluded from participation in federal health care programs, which would have a material adverse effect on our sales, business and financial condition.</w:t>
      </w:r>
    </w:p>
    <w:p>
      <w:pPr>
        <w:spacing w:after="0" w:line="85" w:lineRule="exact"/>
        <w:rPr>
          <w:sz w:val="20"/>
          <w:szCs w:val="20"/>
          <w:color w:val="auto"/>
        </w:rPr>
      </w:pPr>
    </w:p>
    <w:p>
      <w:pPr>
        <w:ind w:right="20" w:firstLine="439"/>
        <w:spacing w:after="0" w:line="251" w:lineRule="auto"/>
        <w:rPr>
          <w:sz w:val="20"/>
          <w:szCs w:val="20"/>
          <w:color w:val="auto"/>
        </w:rPr>
      </w:pPr>
      <w:r>
        <w:rPr>
          <w:rFonts w:ascii="Times New Roman" w:cs="Times New Roman" w:eastAsia="Times New Roman" w:hAnsi="Times New Roman"/>
          <w:sz w:val="18"/>
          <w:szCs w:val="18"/>
          <w:color w:val="auto"/>
        </w:rPr>
        <w:t>Our business activities outside of the U.S. are subject to the U.S. Foreign Corrupt Practices Act, or FCPA, and similar anti-bribery or anti-corruption laws, regulations or rules of other countries in which we operate, including the U.K. Bribery Act of 2010, or the U.K. Bribery Act. In certain countries, the health care providers who prescribe pharmaceuticals are employed by their government and the purchasers of pharmaceuticals are government entities; therefore, our dealings with these prescribers and purchasers may be subject to regulation under the FCPA, the U.K. Bribery Act and equivalent national laws in other countries. As an example, recently the U.S. Securities and Exchange Commission and the DOJ have increased their FCPA enforcement activities with respect to pharmaceutical companies. Violation of these laws by us or our suppliers and other third party agents for which we may be liable may result in civil or criminal sanctions, which could include monetary fines, criminal penalties, and disgorgement of past profits, which could have a material adverse impact on our business and financial condition.</w:t>
      </w:r>
    </w:p>
    <w:p>
      <w:pPr>
        <w:spacing w:after="0" w:line="79" w:lineRule="exact"/>
        <w:rPr>
          <w:sz w:val="20"/>
          <w:szCs w:val="20"/>
          <w:color w:val="auto"/>
        </w:rPr>
      </w:pPr>
    </w:p>
    <w:p>
      <w:pPr>
        <w:ind w:right="100" w:firstLine="439"/>
        <w:spacing w:after="0" w:line="261" w:lineRule="auto"/>
        <w:rPr>
          <w:sz w:val="20"/>
          <w:szCs w:val="20"/>
          <w:color w:val="auto"/>
        </w:rPr>
      </w:pPr>
      <w:r>
        <w:rPr>
          <w:rFonts w:ascii="Times New Roman" w:cs="Times New Roman" w:eastAsia="Times New Roman" w:hAnsi="Times New Roman"/>
          <w:sz w:val="18"/>
          <w:szCs w:val="18"/>
          <w:color w:val="auto"/>
        </w:rPr>
        <w:t>Outside the U.S., interactions between pharmaceutical companies and physicians are also governed by strict laws, such as national anti-bribery laws of European countries, national sunshine rules, regulations, industry self-regulation codes of conduct and physicians’ codes of professional conduct. Failure to comply with these requirements could result in reputational risk, public reprimands, administrative penalties, fines or imprisonment.</w:t>
      </w:r>
    </w:p>
    <w:p>
      <w:pPr>
        <w:spacing w:after="0" w:line="70" w:lineRule="exact"/>
        <w:rPr>
          <w:sz w:val="20"/>
          <w:szCs w:val="20"/>
          <w:color w:val="auto"/>
        </w:rPr>
      </w:pPr>
    </w:p>
    <w:p>
      <w:pPr>
        <w:ind w:right="160" w:firstLine="439"/>
        <w:spacing w:after="0" w:line="268" w:lineRule="auto"/>
        <w:rPr>
          <w:sz w:val="20"/>
          <w:szCs w:val="20"/>
          <w:color w:val="auto"/>
        </w:rPr>
      </w:pPr>
      <w:r>
        <w:rPr>
          <w:rFonts w:ascii="Times New Roman" w:cs="Times New Roman" w:eastAsia="Times New Roman" w:hAnsi="Times New Roman"/>
          <w:sz w:val="17"/>
          <w:szCs w:val="17"/>
          <w:color w:val="auto"/>
        </w:rPr>
        <w:t>We are also subject to federal, state, national and international laws and regulations governing the privacy and security of health-related and other personal data we collect and maintain, including, but not limited to, Section 5 of the Federal Trade Commission Act, the Health Insurance Portability and Accountability Act of 1996, or HIPAA, the California Privacy Rights Act and the EU’s General Data Protection Regulation, or GDPR. The GDPR, for example, imposes restrictions on the processing (e.g., collection, use and disclosure) of personal data in the EU and also imposes strict restrictions on the transfer of personal data out of the EU to the U.S. The GDPR imposes penalties of up to 4% of annual global revenue. HIPAA imposes privacy and security obligations on covered entity health care providers, health plans, and health care clearinghouses, as well as their “business associates” – certain persons or covered entities that create, receive, maintain, or transmit protected health information in connection with providing a specified service or performing a</w:t>
      </w:r>
    </w:p>
    <w:p>
      <w:pPr>
        <w:spacing w:after="0" w:line="3" w:lineRule="exact"/>
        <w:rPr>
          <w:sz w:val="20"/>
          <w:szCs w:val="20"/>
          <w:color w:val="auto"/>
        </w:rPr>
      </w:pPr>
    </w:p>
    <w:p>
      <w:pPr>
        <w:jc w:val="both"/>
        <w:ind w:right="620"/>
        <w:spacing w:after="0" w:line="261" w:lineRule="auto"/>
        <w:rPr>
          <w:sz w:val="20"/>
          <w:szCs w:val="20"/>
          <w:color w:val="auto"/>
        </w:rPr>
      </w:pPr>
      <w:r>
        <w:rPr>
          <w:rFonts w:ascii="Times New Roman" w:cs="Times New Roman" w:eastAsia="Times New Roman" w:hAnsi="Times New Roman"/>
          <w:sz w:val="18"/>
          <w:szCs w:val="18"/>
          <w:color w:val="auto"/>
        </w:rPr>
        <w:t>function on behalf of a covered entity. Although we are not directly subject to HIPAA, we could potentially be subject to criminal penalties if we, our affiliates, or our agents knowingly receive individually identifiable health information maintained by a HIPAA-covered entity in a manner that is not authorized or permitted by HIPAA.</w:t>
      </w:r>
    </w:p>
    <w:p>
      <w:pPr>
        <w:spacing w:after="0" w:line="70" w:lineRule="exact"/>
        <w:rPr>
          <w:sz w:val="20"/>
          <w:szCs w:val="20"/>
          <w:color w:val="auto"/>
        </w:rPr>
      </w:pPr>
    </w:p>
    <w:p>
      <w:pPr>
        <w:ind w:right="140" w:firstLine="439"/>
        <w:spacing w:after="0" w:line="256" w:lineRule="auto"/>
        <w:rPr>
          <w:sz w:val="20"/>
          <w:szCs w:val="20"/>
          <w:color w:val="auto"/>
        </w:rPr>
      </w:pPr>
      <w:r>
        <w:rPr>
          <w:rFonts w:ascii="Times New Roman" w:cs="Times New Roman" w:eastAsia="Times New Roman" w:hAnsi="Times New Roman"/>
          <w:sz w:val="18"/>
          <w:szCs w:val="18"/>
          <w:color w:val="auto"/>
        </w:rPr>
        <w:t>In July 2023, the EC adopted its adequacy decision for the EU-US Data Privacy Framework, meaning that personal data can now flow freely from the EU to U.S. companies that participate in the Data Privacy Framework. These laws and regulations continue to develop and are subject to interpretation, and may impose limitations on our activities or otherwise adversely affect our business. Compliance with these laws requires a flexible privacy framework and substantial resources, and compliance efforts will likely be an increasing and substantial cost in the future.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40" w:firstLine="439"/>
        <w:spacing w:after="0" w:line="270" w:lineRule="auto"/>
        <w:rPr>
          <w:sz w:val="20"/>
          <w:szCs w:val="20"/>
          <w:color w:val="auto"/>
        </w:rPr>
      </w:pPr>
      <w:r>
        <w:rPr>
          <w:rFonts w:ascii="Times New Roman" w:cs="Times New Roman" w:eastAsia="Times New Roman" w:hAnsi="Times New Roman"/>
          <w:sz w:val="17"/>
          <w:szCs w:val="17"/>
          <w:color w:val="auto"/>
        </w:rPr>
        <w:t>If we or our third party partners fail to comply or are alleged to have failed to comply with these or other applicable data protection and privacy laws and regulations, or if we were to experience a data breach involving personal data, we could be subject to government enforcement actions or private lawsuits. Any associated claims, inquiries, or investigations or other government actions could lead to unfavorable outcomes that have a material impact on our business including through significant penalties or fines, monetary judgments or settlements including criminal and civil liability for us and our officers and directors, increased compliance costs, delays or impediments in the development of new products, negative publicity, increased operating costs, diversion of management time and attention, or other remedies that harm our business, including orders that we modify or cease existing business practices.</w:t>
      </w:r>
    </w:p>
    <w:p>
      <w:pPr>
        <w:spacing w:after="0" w:line="61" w:lineRule="exact"/>
        <w:rPr>
          <w:sz w:val="20"/>
          <w:szCs w:val="20"/>
          <w:color w:val="auto"/>
        </w:rPr>
      </w:pPr>
    </w:p>
    <w:p>
      <w:pPr>
        <w:jc w:val="both"/>
        <w:ind w:right="18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69" w:lineRule="exact"/>
        <w:rPr>
          <w:sz w:val="20"/>
          <w:szCs w:val="20"/>
          <w:color w:val="auto"/>
        </w:rPr>
      </w:pPr>
    </w:p>
    <w:p>
      <w:pPr>
        <w:ind w:right="20" w:firstLine="439"/>
        <w:spacing w:after="0" w:line="214" w:lineRule="exact"/>
        <w:rPr>
          <w:sz w:val="20"/>
          <w:szCs w:val="20"/>
          <w:color w:val="auto"/>
        </w:rPr>
      </w:pPr>
      <w:r>
        <w:rPr>
          <w:rFonts w:ascii="Times New Roman" w:cs="Times New Roman" w:eastAsia="Times New Roman" w:hAnsi="Times New Roman"/>
          <w:sz w:val="18"/>
          <w:szCs w:val="18"/>
          <w:color w:val="auto"/>
        </w:rPr>
        <w:t>We participate in the Medicaid Drug Rebate Program, the 340B program, the U.S. Department of Veterans Affairs, Federal Supply Schedule, or FSS, pricing program, and the Tricare Retail Pharmacy, or Tricare, program, and have obligations to report the average sales price for certain of our drugs to the Medicare program. All of these programs are described in more detail under the heading “Business—Pharmaceutical Pricing, Reimbursement by Government and Private Payors and Patient Access” in Part I, Item 1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Manufacturers are required to report the average sales price for drugs under the Medicare program regardless of whether they are enrolled in the Medicaid Drug Rebate Program. In addition, manufacturers must pay refunds to Medicare for single source drugs or biologicals, or biosimilar biological products, reimbursed under Medicare Part B and packaged in single-dose containers or single-use packages for units of discarded drug reimbursed by Medicare Part B in excess of 10 percent of total allowed charges under Medicare Part B for that drug. Statutory or regulatory changes or guidance from CMS could affect the average sales price calculations for our products and the resulting Medicare payment rate and could negatively impact our results of operations. Further, the IRA established a Medicare Part B inflation rebate scheme, under which, generally speaking, manufacturers will owe rebates if the average sales price of a Part B drug increases faster than the pace of inflation. Failure to timely pay a Part B inflation rebate is subject to a civil monetary penalty.</w:t>
      </w:r>
    </w:p>
    <w:p>
      <w:pPr>
        <w:spacing w:after="0" w:line="97" w:lineRule="exact"/>
        <w:rPr>
          <w:sz w:val="20"/>
          <w:szCs w:val="20"/>
          <w:color w:val="auto"/>
        </w:rPr>
      </w:pPr>
    </w:p>
    <w:p>
      <w:pPr>
        <w:ind w:right="200" w:firstLine="439"/>
        <w:spacing w:after="0" w:line="251" w:lineRule="auto"/>
        <w:rPr>
          <w:sz w:val="20"/>
          <w:szCs w:val="20"/>
          <w:color w:val="auto"/>
        </w:rPr>
      </w:pPr>
      <w:r>
        <w:rPr>
          <w:rFonts w:ascii="Times New Roman" w:cs="Times New Roman" w:eastAsia="Times New Roman" w:hAnsi="Times New Roman"/>
          <w:sz w:val="18"/>
          <w:szCs w:val="18"/>
          <w:color w:val="auto"/>
        </w:rPr>
        <w:t>Pricing and rebate calculations vary across products and programs, are complex, and are often subject to interpretation by us, governmental or regulatory agencies and the courts, which can change and evolve over time. In the case of our Medicaid pricing data, if we become aware that our reporting for a prior quarter was incorrect, or has changed as a result of recalculation of the pricing data, we are generally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 and give rise to an obligation to refund entities participating in the 340B program for overcharges during past quarters impacted by a price recalculation.</w:t>
      </w:r>
    </w:p>
    <w:p>
      <w:pPr>
        <w:spacing w:after="0" w:line="82" w:lineRule="exact"/>
        <w:rPr>
          <w:sz w:val="20"/>
          <w:szCs w:val="20"/>
          <w:color w:val="auto"/>
        </w:rPr>
      </w:pPr>
    </w:p>
    <w:p>
      <w:pPr>
        <w:ind w:right="180" w:firstLine="439"/>
        <w:spacing w:after="0" w:line="252" w:lineRule="auto"/>
        <w:rPr>
          <w:sz w:val="20"/>
          <w:szCs w:val="20"/>
          <w:color w:val="auto"/>
        </w:rPr>
      </w:pPr>
      <w:r>
        <w:rPr>
          <w:rFonts w:ascii="Times New Roman" w:cs="Times New Roman" w:eastAsia="Times New Roman" w:hAnsi="Times New Roman"/>
          <w:sz w:val="18"/>
          <w:szCs w:val="18"/>
          <w:color w:val="auto"/>
        </w:rPr>
        <w:t>Civil monetary penalties can be applied if we are found to have knowingly submitted any false price or product information to the government, if we are found to have made a misrepresentation in the reporting of our average sales price, if we fail to submit the required price data on a timely basis, or if we are found to have charged 340B covered entities more than the statutorily mandated ceiling price. CMS could also decide to terminate our Medicaid drug rebate agreement, in which case federal payments may not be available under Medicaid or Medicare Part B for our covered outpatient drugs. We cannot assure you that our submissions will not be found by CMS to be incomplete or incorrect. Moreover, failure to pay refunds for units of discarded drug under the discarded drug refund program could subject us to civil monetary penalties of 125 percent of the refund amount.</w:t>
      </w:r>
    </w:p>
    <w:p>
      <w:pPr>
        <w:spacing w:after="0" w:line="80" w:lineRule="exact"/>
        <w:rPr>
          <w:sz w:val="20"/>
          <w:szCs w:val="20"/>
          <w:color w:val="auto"/>
        </w:rPr>
      </w:pPr>
    </w:p>
    <w:p>
      <w:pPr>
        <w:ind w:firstLine="439"/>
        <w:spacing w:after="0" w:line="215" w:lineRule="exact"/>
        <w:rPr>
          <w:sz w:val="20"/>
          <w:szCs w:val="20"/>
          <w:color w:val="auto"/>
        </w:rPr>
      </w:pPr>
      <w:r>
        <w:rPr>
          <w:rFonts w:ascii="Times New Roman" w:cs="Times New Roman" w:eastAsia="Times New Roman" w:hAnsi="Times New Roman"/>
          <w:sz w:val="18"/>
          <w:szCs w:val="18"/>
          <w:color w:val="auto"/>
        </w:rPr>
        <w:t>Our failure to comply with our reporting and payment obligations under the Medicaid Drug Rebate Program and other governmental programs could negatively impact our financial results. CMS issued a final regulation that modified prior Medicaid Drug Rebate Program regulations to permit reporting multiple best price figures with regard to value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purchasing arrangements; and to provide definitions for “line extension,” “new formulation,” and related terms, with the practical effect of expanding the scope of drugs considered to be line extensions that are subject to an alternative rebate formula. While the regulatory provisions that purported to affect the applicability of the best price and average manufacturer price exclusions of manufacturer-sponsored patient benefit programs, in the context of PBM “accumulator” programs were invalidated by a court, such programs may continue to negatively affect us in other ways. Regulatory and legislative changes, and judicial rulings relating to the Medicaid Drug Rebate Program and related policies (including coverage expansion), have increased and will continue to increase our costs and the complexity of compliance, have been and will continue to be time-consuming to implement, and could have a material adverse effect on our results of operations, particularly if CMS or another agency challenges the approach we take in our implementation. Rebates are no longer subject to a cap on the rebate amount.</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firstLine="439"/>
        <w:spacing w:after="0" w:line="248" w:lineRule="auto"/>
        <w:rPr>
          <w:sz w:val="20"/>
          <w:szCs w:val="20"/>
          <w:color w:val="auto"/>
        </w:rPr>
      </w:pPr>
      <w:r>
        <w:rPr>
          <w:rFonts w:ascii="Times New Roman" w:cs="Times New Roman" w:eastAsia="Times New Roman" w:hAnsi="Times New Roman"/>
          <w:sz w:val="18"/>
          <w:szCs w:val="18"/>
          <w:color w:val="auto"/>
        </w:rPr>
        <w:t>The Health Resources and Services Administration, or HRSA, issued a final regulation regarding the calculation of the 340B ceiling price and the imposition of civil monetary penalties on manufacturers that knowingly and intentionally overcharge covered entities. Implementation of this regulation could affect our obligations and potential liability under the 340B program in ways we cannot anticipate. We are also required to report the 340B ceiling prices for our covered outpatient drugs to HRSA, which then publishes them to 340B covered entities. If we are found to have knowingly and intentionally charged 340B covered entities more than the statutorily mandated ceiling price, we could be subject to significant civil monetary penalties and/or such failure also could be grounds for HRSA to terminate our agreement to participate in the 340B program, in which case our covered outpatient drugs would no longer be eligible for federal payment under the Medicaid or Medicare Part B program, which would have a material adverse effect on our business, financial condition, results of operations and growth prospects, including our ability to acquire, in-license or develop new products to grow our business. Moreover, HRSA established an administrative dispute resolution, or ADR, process under a final regulation for claims by covered entities that a manufacturer engaged in overcharging, including claims that a manufacturer limited the ability of a covered entity to purchase the manufacturer’s drugs at the 340B ceiling price, and by manufacturers that a covered entity violated the prohibitions against diversion or duplicate discounts. Such claims are to be resolved through an ADR panel of government officials rendering a decision that may be appealed to a federal court. An ADR proceeding could potentially subject us to discovery by covered entities and other onerous procedural requirements and could result in additional liability. This ADR regulation has been challenged in separate litigation instituted by PhRMA and by pharmaceutical manufacturers in multiple federal courts. In November 2022, HRSA issued a notice of proposed rulemaking that proposes changes to the ADR process, which could negatively affect us. In addition, HRSA could decide to terminate a manufacturer’s agreement to participate in the 340B program for a violation of that agreement or other good cause shown, in which case the manufacturer’s covered outpatient drugs may no longer be eligible for federal payment under the Medicaid or Medicare Part B program.</w:t>
      </w:r>
    </w:p>
    <w:p>
      <w:pPr>
        <w:spacing w:after="0" w:line="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Further, legislation may be introduced that, if passed, would, among other things, modify the requirements of the 340B program.</w:t>
      </w:r>
    </w:p>
    <w:p>
      <w:pPr>
        <w:spacing w:after="0" w:line="110" w:lineRule="exact"/>
        <w:rPr>
          <w:sz w:val="20"/>
          <w:szCs w:val="20"/>
          <w:color w:val="auto"/>
        </w:rPr>
      </w:pPr>
    </w:p>
    <w:p>
      <w:pPr>
        <w:ind w:right="20" w:firstLine="439"/>
        <w:spacing w:after="0" w:line="250" w:lineRule="auto"/>
        <w:rPr>
          <w:sz w:val="20"/>
          <w:szCs w:val="20"/>
          <w:color w:val="auto"/>
        </w:rPr>
      </w:pPr>
      <w:r>
        <w:rPr>
          <w:rFonts w:ascii="Times New Roman" w:cs="Times New Roman" w:eastAsia="Times New Roman" w:hAnsi="Times New Roman"/>
          <w:sz w:val="18"/>
          <w:szCs w:val="18"/>
          <w:color w:val="auto"/>
        </w:rPr>
        <w:t>Medicare Part D generally provides coverage to enrolled Medicare patients for self-administered drugs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drugs that are not administered by a physician). Medicare Part D is administered by private prescription drug plans approved by the U.S. government and, subject to detailed program rules and government oversight, each drug plan establishes its own Medicare Part D formulary for prescription drug coverage and pricing, which the drug plan may modify from time to time. The prescription drug plans negotiate pricing with manufacturers and pharmacies and may condition formulary placement on the availability of manufacturer discounts. In addition, manufacturers, including us, are currently required to provide to CMS a 70% discount on brand name prescription drugs utilized by Medicare Part D beneficiaries when those beneficiaries are in the coverage gap phase of the Part D benefit design. Civil monetary penalties could be due if we fail to offer discounts to beneficiaries under the Medicare Part D coverage gap discount program. The IRA sunsets the coverage gap discount program starting in 2025 and replaces it with a new manufacturer discount program. Failure to pay a discount under this new program will be subject to a civil monetary penalty. In addition, the IRA established a Medicare Part D inflation rebate scheme, under which, generally speaking, manufacturers will owe additional rebates if the average manufacturer price of a Part D drug increases faster than the pace of inflation. Failure to comply with obligations under the Part D benefit redesign or to timely pay a Part D inflation rebate is subject to a civil monetary penalty.</w:t>
      </w:r>
    </w:p>
    <w:p>
      <w:pPr>
        <w:spacing w:after="0" w:line="80" w:lineRule="exact"/>
        <w:rPr>
          <w:sz w:val="20"/>
          <w:szCs w:val="20"/>
          <w:color w:val="auto"/>
        </w:rPr>
      </w:pPr>
    </w:p>
    <w:p>
      <w:pPr>
        <w:ind w:right="100" w:firstLine="439"/>
        <w:spacing w:after="0" w:line="254" w:lineRule="auto"/>
        <w:rPr>
          <w:sz w:val="20"/>
          <w:szCs w:val="20"/>
          <w:color w:val="auto"/>
        </w:rPr>
      </w:pPr>
      <w:r>
        <w:rPr>
          <w:rFonts w:ascii="Times New Roman" w:cs="Times New Roman" w:eastAsia="Times New Roman" w:hAnsi="Times New Roman"/>
          <w:sz w:val="18"/>
          <w:szCs w:val="18"/>
          <w:color w:val="auto"/>
        </w:rPr>
        <w:t>The IRA also creates a drug price negotiation program under which the prices for Medicare units of certain high Medicare spend drugs and biologicals without generic or biosimilar competition will be capped by reference to, among other things, a specified non-federal average manufacturer price starting in 2026. Failure to comply with requirements under the drug price negotiation program is subject to an excise tax and/or a civil monetary penalty. This or any other legislative change could impact the market conditions for our products. We further expect continued scrutiny on government price reporting from Congress, agencies, and other bodies.</w:t>
      </w:r>
    </w:p>
    <w:p>
      <w:pPr>
        <w:spacing w:after="0" w:line="76" w:lineRule="exact"/>
        <w:rPr>
          <w:sz w:val="20"/>
          <w:szCs w:val="20"/>
          <w:color w:val="auto"/>
        </w:rPr>
      </w:pPr>
    </w:p>
    <w:p>
      <w:pPr>
        <w:ind w:right="40" w:firstLine="439"/>
        <w:spacing w:after="0" w:line="270" w:lineRule="auto"/>
        <w:rPr>
          <w:sz w:val="20"/>
          <w:szCs w:val="20"/>
          <w:color w:val="auto"/>
        </w:rPr>
      </w:pPr>
      <w:r>
        <w:rPr>
          <w:rFonts w:ascii="Times New Roman" w:cs="Times New Roman" w:eastAsia="Times New Roman" w:hAnsi="Times New Roman"/>
          <w:sz w:val="17"/>
          <w:szCs w:val="17"/>
          <w:color w:val="auto"/>
        </w:rPr>
        <w:t>Pursuant to applicable law, knowing provision of false information in connection with price reporting under the U.S. Department of Veterans Affairs, FSS or Tricare programs can subject a manufacturer to civil monetary penalties. These program obligations also contain extensive disclosure and certification requirements. If we overcharge the government in connection with our arrangements with FSS or Tricare, we are required to refund the difference to the government. Failure to make necessary disclosures and/or to identify contract overcharges can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and product recalls could harm our business.</w:t>
      </w:r>
    </w:p>
    <w:p>
      <w:pPr>
        <w:spacing w:after="0" w:line="116" w:lineRule="exact"/>
        <w:rPr>
          <w:sz w:val="20"/>
          <w:szCs w:val="20"/>
          <w:color w:val="auto"/>
        </w:rPr>
      </w:pPr>
    </w:p>
    <w:p>
      <w:pPr>
        <w:ind w:right="160" w:firstLine="439"/>
        <w:spacing w:after="0" w:line="256" w:lineRule="auto"/>
        <w:rPr>
          <w:sz w:val="20"/>
          <w:szCs w:val="20"/>
          <w:color w:val="auto"/>
        </w:rPr>
      </w:pPr>
      <w:r>
        <w:rPr>
          <w:rFonts w:ascii="Times New Roman" w:cs="Times New Roman" w:eastAsia="Times New Roman" w:hAnsi="Times New Roman"/>
          <w:sz w:val="18"/>
          <w:szCs w:val="18"/>
          <w:color w:val="auto"/>
        </w:rPr>
        <w:t>The development, manufacture, testing, marketing and sale of pharmaceutical products are associated with significant risks of product liability claims or recalls. Side effects or adverse events known or reported to be associated with, or manufacturing defects in, the products sold by us could exacerbate a patient’s condition, or could result in serious injury or impairment or even death. This could result in product liability claims against us and/or recalls of one or more of our products.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8"/>
          <w:szCs w:val="18"/>
          <w:color w:val="auto"/>
        </w:rPr>
        <w:t>In many countries, including in EU member states, national laws provide for strict (no-fault) liability which applies even where damages are caused both by a defect in a product and by the act or omission of a third party.</w:t>
      </w:r>
    </w:p>
    <w:p>
      <w:pPr>
        <w:spacing w:after="0" w:line="56" w:lineRule="exact"/>
        <w:rPr>
          <w:sz w:val="20"/>
          <w:szCs w:val="20"/>
          <w:color w:val="auto"/>
        </w:rPr>
      </w:pPr>
    </w:p>
    <w:p>
      <w:pPr>
        <w:ind w:firstLine="439"/>
        <w:spacing w:after="0" w:line="268" w:lineRule="auto"/>
        <w:rPr>
          <w:sz w:val="20"/>
          <w:szCs w:val="20"/>
          <w:color w:val="auto"/>
        </w:rPr>
      </w:pPr>
      <w:r>
        <w:rPr>
          <w:rFonts w:ascii="Times New Roman" w:cs="Times New Roman" w:eastAsia="Times New Roman" w:hAnsi="Times New Roman"/>
          <w:sz w:val="17"/>
          <w:szCs w:val="17"/>
          <w:color w:val="auto"/>
        </w:rPr>
        <w:t>Product recalls may be issued at our discretion or at the discretion of our suppliers, government agencies and other entities that have regulatory authority for pharmaceutical sales. Any recall of our products could materially adversely affect our business by rendering us unable to sell that product for some time and by adversely affecting our reputation. A recall could also result in product liability claims by individuals and third party payors. In addition, product liability claims could result in an investigation of the safety or efficacy of our products, our manufacturing processes and facilities, or our marketing programs conducted by FDA, the EC or the competent authorities of the EU member states. Such investigations could also potentially lead to a recall of our products or more serious enforcement actions, limitations on the therapeutic indications for which they may be used, or suspension, variation, or withdrawal of approval. Any such regulatory action by FDA, the EC or the competent authorities of the EU member states could lead to product liability lawsuits as well.</w:t>
      </w:r>
    </w:p>
    <w:p>
      <w:pPr>
        <w:spacing w:after="0" w:line="69" w:lineRule="exact"/>
        <w:rPr>
          <w:sz w:val="20"/>
          <w:szCs w:val="20"/>
          <w:color w:val="auto"/>
        </w:rPr>
      </w:pPr>
    </w:p>
    <w:p>
      <w:pPr>
        <w:ind w:right="60" w:firstLine="439"/>
        <w:spacing w:after="0" w:line="254" w:lineRule="auto"/>
        <w:rPr>
          <w:sz w:val="20"/>
          <w:szCs w:val="20"/>
          <w:color w:val="auto"/>
        </w:rPr>
      </w:pPr>
      <w:r>
        <w:rPr>
          <w:rFonts w:ascii="Times New Roman" w:cs="Times New Roman" w:eastAsia="Times New Roman" w:hAnsi="Times New Roman"/>
          <w:sz w:val="18"/>
          <w:szCs w:val="18"/>
          <w:color w:val="auto"/>
        </w:rPr>
        <w:t>Product liability insurance coverage is expensive, can be difficult to obtain and may not be available in the future on acceptable terms, or at all. Our product liability insurance may not cover all of the future liabilities we might incur in connection with the development, manufacture or sale of our products. A successful claim or claims brought against us in excess of available insurance coverage could subject us to significant liabilities and could have a material adverse effect on our business, financial condition, results of operations and growth prospects. Such claims could also harm our reputation and the reputation of our products, adversely affecting our ability to market our products successfully.</w:t>
      </w:r>
    </w:p>
    <w:p>
      <w:pPr>
        <w:spacing w:after="0" w:line="72" w:lineRule="exact"/>
        <w:rPr>
          <w:sz w:val="20"/>
          <w:szCs w:val="20"/>
          <w:color w:val="auto"/>
        </w:rPr>
      </w:pPr>
    </w:p>
    <w:p>
      <w:pPr>
        <w:ind w:right="5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use hazardous materials in our manufacturing facilities, and any claims relating to the improper handling, storage, release or disposal of these materials could be time-consuming and expensive.</w:t>
      </w:r>
    </w:p>
    <w:p>
      <w:pPr>
        <w:spacing w:after="0" w:line="54" w:lineRule="exact"/>
        <w:rPr>
          <w:sz w:val="20"/>
          <w:szCs w:val="20"/>
          <w:color w:val="auto"/>
        </w:rPr>
      </w:pPr>
    </w:p>
    <w:p>
      <w:pPr>
        <w:ind w:right="120" w:firstLine="439"/>
        <w:spacing w:after="0" w:line="251" w:lineRule="auto"/>
        <w:rPr>
          <w:sz w:val="20"/>
          <w:szCs w:val="20"/>
          <w:color w:val="auto"/>
        </w:rPr>
      </w:pPr>
      <w:r>
        <w:rPr>
          <w:rFonts w:ascii="Times New Roman" w:cs="Times New Roman" w:eastAsia="Times New Roman" w:hAnsi="Times New Roman"/>
          <w:sz w:val="18"/>
          <w:szCs w:val="18"/>
          <w:color w:val="auto"/>
        </w:rPr>
        <w:t>Our operations are subject to complex and increasingly stringent environmental, health and safety laws and regulations in the countries where we operate and, in particular, in Ireland, the U.K. and Italy where we have manufacturing facilities. If an accident or contamination involving pollutants or hazardous substances occurs, an injured party could seek to hold us liable for any damages that result and any liability could exceed the limits or fall outside the coverage of our insurance. We may not be able to maintain insurance with sufficient coverage on acceptable terms, or at all. Costs, damages and/or fines may result from the presence, investigation and remediation of such contamination at properties currently or formerly owned, leased or operated by us or at off-site locations, including where we have arranged for the disposal of hazardous substances or waste. In addition, we may be subject to third party claims, including for natural resource damages, personal injury and property damage, in connection with such contamination.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Controlled Substances</w:t>
      </w:r>
    </w:p>
    <w:p>
      <w:pPr>
        <w:spacing w:after="0" w:line="110" w:lineRule="exact"/>
        <w:rPr>
          <w:sz w:val="20"/>
          <w:szCs w:val="20"/>
          <w:color w:val="auto"/>
        </w:rPr>
      </w:pPr>
    </w:p>
    <w:p>
      <w:pPr>
        <w:ind w:right="34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Xyrem and Xywav are controlled substances and certain product candidates we are developing may be subject to U.S. federal and state controlled substance laws and regulations, and our failure to comply with these laws and regulations, or the cost of compliance with these laws and regulations, could materially and adversely affect our business, results of operations, financial condition and growth prospects.</w:t>
      </w:r>
    </w:p>
    <w:p>
      <w:pPr>
        <w:spacing w:after="0" w:line="69" w:lineRule="exact"/>
        <w:rPr>
          <w:sz w:val="20"/>
          <w:szCs w:val="20"/>
          <w:color w:val="auto"/>
        </w:rPr>
      </w:pPr>
    </w:p>
    <w:p>
      <w:pPr>
        <w:ind w:right="80" w:firstLine="439"/>
        <w:spacing w:after="0" w:line="250" w:lineRule="auto"/>
        <w:rPr>
          <w:sz w:val="20"/>
          <w:szCs w:val="20"/>
          <w:color w:val="auto"/>
        </w:rPr>
      </w:pPr>
      <w:r>
        <w:rPr>
          <w:rFonts w:ascii="Times New Roman" w:cs="Times New Roman" w:eastAsia="Times New Roman" w:hAnsi="Times New Roman"/>
          <w:sz w:val="18"/>
          <w:szCs w:val="18"/>
          <w:color w:val="auto"/>
        </w:rPr>
        <w:t>Xyrem and Xywav and certain product candidates we are developing contain controlled substances as defined by state law and the federal CSA. Controlled substances are subject to a number of requirements and restrictions under the CSA and implementing regulations, including certain registration, security, recordkeeping, reporting, import, export and other requirements administered by the DEA. The DEA classifies controlled substances into five schedules: Schedule I, II, III, IV or V substances. Schedule I substances by definition have a high potential for abuse, no currently “accepted medical use” in the U.S., lack accepted safety for use under medical supervision, and may not be prescribed, marketed or sold in the U.S. Pharmaceutical products approved for use in the U.S. which contain a controlled substance are listed as Schedule II, III, IV or V, with Schedule II substances considered to present the highest potential for abuse or dependence and Schedule V substances the lowest relative risk of abuse among such substances. Schedule I and II drugs are subject to the strictest controls under the CSA, including manufacturing and procurement quotas, heightened security requirements and additional criteria for importation. In addition, dispensing of Schedule II drugs is subject to additional requirements. For example, they may not be refilled without a new prescription.</w:t>
      </w:r>
    </w:p>
    <w:p>
      <w:pPr>
        <w:spacing w:after="0" w:line="80" w:lineRule="exact"/>
        <w:rPr>
          <w:sz w:val="20"/>
          <w:szCs w:val="20"/>
          <w:color w:val="auto"/>
        </w:rPr>
      </w:pPr>
    </w:p>
    <w:p>
      <w:pPr>
        <w:ind w:right="260" w:firstLine="439"/>
        <w:spacing w:after="0" w:line="276" w:lineRule="auto"/>
        <w:rPr>
          <w:sz w:val="20"/>
          <w:szCs w:val="20"/>
          <w:color w:val="auto"/>
        </w:rPr>
      </w:pPr>
      <w:r>
        <w:rPr>
          <w:rFonts w:ascii="Times New Roman" w:cs="Times New Roman" w:eastAsia="Times New Roman" w:hAnsi="Times New Roman"/>
          <w:sz w:val="18"/>
          <w:szCs w:val="18"/>
          <w:color w:val="auto"/>
        </w:rPr>
        <w:t>Drug products approved for medical use by FDA that contain cannabis or cannabis extracts may be controlled substances and will be rescheduled to Schedules II-V after approval, or, like Epidiolex, removed completely from the schedules by operation of other laws.</w:t>
      </w:r>
    </w:p>
    <w:p>
      <w:pPr>
        <w:spacing w:after="0" w:line="56" w:lineRule="exact"/>
        <w:rPr>
          <w:sz w:val="20"/>
          <w:szCs w:val="20"/>
          <w:color w:val="auto"/>
        </w:rPr>
      </w:pPr>
    </w:p>
    <w:p>
      <w:pPr>
        <w:ind w:right="240" w:firstLine="439"/>
        <w:spacing w:after="0" w:line="256" w:lineRule="auto"/>
        <w:rPr>
          <w:sz w:val="20"/>
          <w:szCs w:val="20"/>
          <w:color w:val="auto"/>
        </w:rPr>
      </w:pPr>
      <w:r>
        <w:rPr>
          <w:rFonts w:ascii="Times New Roman" w:cs="Times New Roman" w:eastAsia="Times New Roman" w:hAnsi="Times New Roman"/>
          <w:sz w:val="18"/>
          <w:szCs w:val="18"/>
          <w:color w:val="auto"/>
        </w:rPr>
        <w:t>Individual states have also established controlled substance laws and regulations. Though state-controlled substances laws often mirror federal law, they may separately schedule our products or our product candidates as well. We or our partners may also be required to obtain separate state registrations, permits or licenses in order to be able to manufacture, distribute, administer or prescribe controlled substances for clinical trials or commercial sale, and failure to meet applicable regulatory</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requirements could lead to enforcement and sanctions by the states in addition to those from the DEA or otherwise arising under federal law.</w:t>
      </w:r>
    </w:p>
    <w:p>
      <w:pPr>
        <w:spacing w:after="0" w:line="112" w:lineRule="exact"/>
        <w:rPr>
          <w:sz w:val="20"/>
          <w:szCs w:val="20"/>
          <w:color w:val="auto"/>
        </w:rPr>
      </w:pPr>
    </w:p>
    <w:p>
      <w:pPr>
        <w:ind w:right="60" w:firstLine="439"/>
        <w:spacing w:after="0" w:line="250" w:lineRule="auto"/>
        <w:rPr>
          <w:sz w:val="20"/>
          <w:szCs w:val="20"/>
          <w:color w:val="auto"/>
        </w:rPr>
      </w:pPr>
      <w:r>
        <w:rPr>
          <w:rFonts w:ascii="Times New Roman" w:cs="Times New Roman" w:eastAsia="Times New Roman" w:hAnsi="Times New Roman"/>
          <w:sz w:val="18"/>
          <w:szCs w:val="18"/>
          <w:color w:val="auto"/>
        </w:rPr>
        <w:t>U.S. facilities conducting research, manufacturing, distributing, importing or exporting, or dispensing controlled substances must be registered (licensed) to perform these activities and must comply with the security, control, recordkeeping and reporting obligations under the CSA, DEA regulations and corresponding state requirements. DEA and state regulatory bodies conduct periodic inspections of certain registered establishments that handle controlled substances. Obtaining and maintaining the necessary registrations and complying with the regulatory obligations may result in delay of the importation, manufacturing, distribution or clinical research of our commercial products and product candidates. Furthermore, failure to maintain compliance with the CSA and DEA and state regulations by us or any of our contractors, distributors or pharmacies can result in regulatory action that could have a material adverse effect on our business, financial condition and results of operations. DEA and state regulatory bodies may seek civil penalties, refuse to renew necessary registrations, or initiate proceedings to restrict, suspend or revoke those registrations. In certain circumstances, violations could lead to criminal penalties.</w:t>
      </w:r>
    </w:p>
    <w:p>
      <w:pPr>
        <w:spacing w:after="0" w:line="83" w:lineRule="exact"/>
        <w:rPr>
          <w:sz w:val="20"/>
          <w:szCs w:val="20"/>
          <w:color w:val="auto"/>
        </w:rPr>
      </w:pPr>
    </w:p>
    <w:p>
      <w:pPr>
        <w:ind w:right="100" w:firstLine="439"/>
        <w:spacing w:after="0" w:line="254" w:lineRule="auto"/>
        <w:rPr>
          <w:sz w:val="20"/>
          <w:szCs w:val="20"/>
          <w:color w:val="auto"/>
        </w:rPr>
      </w:pPr>
      <w:r>
        <w:rPr>
          <w:rFonts w:ascii="Times New Roman" w:cs="Times New Roman" w:eastAsia="Times New Roman" w:hAnsi="Times New Roman"/>
          <w:sz w:val="18"/>
          <w:szCs w:val="18"/>
          <w:color w:val="auto"/>
        </w:rPr>
        <w:t>Schedule I and II substances are subject to DEA’s annual manufacturing and procurement quota requirements. The annual quota allocated to us or our contract manufacturers for the active ingredients in our products may not be sufficient to complete clinical trials or meet commercial demand. Consequently, any delay or refusal by the DEA in establishing our, or our contract manufacturers’, procurement and/or production quota for controlled substances could delay or stop our clinical trials or product launches, which could have a material adverse effect on our business, results of operations, financial condition and growth prospects.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cannabinoid product candidates are currently controlled substances, the use of which may generate public controversy.</w:t>
      </w:r>
    </w:p>
    <w:p>
      <w:pPr>
        <w:spacing w:after="0" w:line="116" w:lineRule="exact"/>
        <w:rPr>
          <w:sz w:val="20"/>
          <w:szCs w:val="20"/>
          <w:color w:val="auto"/>
        </w:rPr>
      </w:pPr>
    </w:p>
    <w:p>
      <w:pPr>
        <w:ind w:right="160" w:firstLine="439"/>
        <w:spacing w:after="0" w:line="252" w:lineRule="auto"/>
        <w:rPr>
          <w:sz w:val="20"/>
          <w:szCs w:val="20"/>
          <w:color w:val="auto"/>
        </w:rPr>
      </w:pPr>
      <w:r>
        <w:rPr>
          <w:rFonts w:ascii="Times New Roman" w:cs="Times New Roman" w:eastAsia="Times New Roman" w:hAnsi="Times New Roman"/>
          <w:sz w:val="18"/>
          <w:szCs w:val="18"/>
          <w:color w:val="auto"/>
        </w:rPr>
        <w:t>Some of our product candidates derived from botanical marijuana contain controlled substances and their regulatory approval may generate public controversy. Political and social pressures and adverse publicity could lead to challenges in the approval of, and increased expenses for, our product candidates. These pressures could also limit or restrict the introduction and marketing of our product candidates. Adverse publicity from cannabis misuse or adverse side effects from cannabis or other cannabinoid products may adversely affect the commercial success or market penetration achievable by our cannabinoid product candidates. The nature of our business attracts a high level of public and media interest, and in the event of any resultant adverse publicity, our reputation may be harmed.</w:t>
      </w:r>
    </w:p>
    <w:p>
      <w:pPr>
        <w:spacing w:after="0" w:line="76"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ability to research, develop and commercialize Epidiolex/Epidyolex and certain of our product candidates is dependent on our ability to maintain licenses relating to the cultivation, possession and supply of botanical cannabis, a controlled substance.</w:t>
      </w:r>
    </w:p>
    <w:p>
      <w:pPr>
        <w:spacing w:after="0" w:line="54" w:lineRule="exact"/>
        <w:rPr>
          <w:sz w:val="20"/>
          <w:szCs w:val="20"/>
          <w:color w:val="auto"/>
        </w:rPr>
      </w:pPr>
    </w:p>
    <w:p>
      <w:pPr>
        <w:ind w:right="20" w:firstLine="439"/>
        <w:spacing w:after="0" w:line="250" w:lineRule="auto"/>
        <w:rPr>
          <w:sz w:val="20"/>
          <w:szCs w:val="20"/>
          <w:color w:val="auto"/>
        </w:rPr>
      </w:pPr>
      <w:r>
        <w:rPr>
          <w:rFonts w:ascii="Times New Roman" w:cs="Times New Roman" w:eastAsia="Times New Roman" w:hAnsi="Times New Roman"/>
          <w:sz w:val="18"/>
          <w:szCs w:val="18"/>
          <w:color w:val="auto"/>
        </w:rPr>
        <w:t>Our cannabinoid research and manufacturing facilities are located predominantly in the U.K. In the U.K., licenses to cultivate, possess and supply cannabis for medical research are granted by the U.K. government on an annual basis. Although our licenses have been renewed each year since 1998, they may not be in the future, in which case we may not be able to carry on our research and development program in the U.K. In addition, we are required to maintain our existing commercial licenses to cultivate, produce and supply cannabis. However, if the U.K. government were not prepared to renew such licenses, we would be unable to manufacture and distribute our products on a commercial basis in the U.K. or beyond. In order to carry out research in countries other than the U.K., similar licenses to those outlined above are required to be issued by the relevant authority in each country. In addition, we will be required to obtain licenses to export from the U.K. and to import into the recipient country. To date, we have obtained necessary import and export licenses to over 30 countries. Although we have an established track record of successfully obtaining such licenses as required, this may change in the future, which could materially and adversely affect our business, results of operations, financial condition and growth prospects.</w:t>
      </w:r>
    </w:p>
    <w:p>
      <w:pPr>
        <w:spacing w:after="0" w:line="79"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Controlled substance legislation differs between countries and legislation in certain countries may restrict or limit our ability to sell Epidyolex and certain of our product candidates.</w:t>
      </w:r>
    </w:p>
    <w:p>
      <w:pPr>
        <w:spacing w:after="0" w:line="54" w:lineRule="exact"/>
        <w:rPr>
          <w:sz w:val="20"/>
          <w:szCs w:val="20"/>
          <w:color w:val="auto"/>
        </w:rPr>
      </w:pPr>
    </w:p>
    <w:p>
      <w:pPr>
        <w:ind w:right="100" w:firstLine="439"/>
        <w:spacing w:after="0" w:line="252" w:lineRule="auto"/>
        <w:rPr>
          <w:sz w:val="20"/>
          <w:szCs w:val="20"/>
          <w:color w:val="auto"/>
        </w:rPr>
      </w:pPr>
      <w:r>
        <w:rPr>
          <w:rFonts w:ascii="Times New Roman" w:cs="Times New Roman" w:eastAsia="Times New Roman" w:hAnsi="Times New Roman"/>
          <w:sz w:val="18"/>
          <w:szCs w:val="18"/>
          <w:color w:val="auto"/>
        </w:rPr>
        <w:t>Most countries are parties to the Single Convention on Narcotic Drugs 1961, which governs international trade and domestic control of narcotic substances, including cannabis extracts. Countries may interpret and implement their treaty obligations in a way that creates a legal obstacle to our obtaining regulatory approval for Epidyolex and certain of our product candidates in those countries. These countries may not be willing or able to amend or otherwise modify their laws and regulations to permit Epidyolex or certain of our product candidates to be marketed, or achieving such amendments to the laws and regulations may take a prolonged period of time. In the case of countries with similar obstacles, we would be unable to market Epidyolex and certain of our product candidates in countries in the near future or perhaps at all if the laws and regulations in those countries do not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Results</w:t>
      </w:r>
    </w:p>
    <w:p>
      <w:pPr>
        <w:spacing w:after="0" w:line="110"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have incurred substantial debt, which could impair our flexibility and access to capital and adversely affect our financial position, and our business would be adversely affected if we are unable to service our debt obligations.</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December 31, 2023, we had total indebtedness of approximately $5.8 billion. Our substantial indebtedness may:</w:t>
      </w:r>
    </w:p>
    <w:p>
      <w:pPr>
        <w:spacing w:after="0" w:line="112" w:lineRule="exact"/>
        <w:rPr>
          <w:sz w:val="20"/>
          <w:szCs w:val="20"/>
          <w:color w:val="auto"/>
        </w:rPr>
      </w:pPr>
    </w:p>
    <w:p>
      <w:pPr>
        <w:ind w:left="640" w:right="120" w:hanging="314"/>
        <w:spacing w:after="0" w:line="276"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use our cash flow or borrow additional funds for working capital, capital expenditures, acquisitions, investments or other general business purposes;</w:t>
      </w:r>
    </w:p>
    <w:p>
      <w:pPr>
        <w:spacing w:after="0" w:line="56"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use a substantial portion of our cash flow from operations to make debt service payments;</w:t>
      </w:r>
    </w:p>
    <w:p>
      <w:pPr>
        <w:spacing w:after="0" w:line="112" w:lineRule="exact"/>
        <w:rPr>
          <w:rFonts w:ascii="Times New Roman" w:cs="Times New Roman" w:eastAsia="Times New Roman" w:hAnsi="Times New Roman"/>
          <w:sz w:val="18"/>
          <w:szCs w:val="18"/>
          <w:color w:val="auto"/>
        </w:rPr>
      </w:pPr>
    </w:p>
    <w:p>
      <w:pPr>
        <w:ind w:left="640" w:right="200" w:hanging="314"/>
        <w:spacing w:after="0" w:line="276"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to plan for, or react to, changes in our business and industry, or our ability to take specified actions to take advantage of certain business opportunities that may be presented to us;</w:t>
      </w:r>
    </w:p>
    <w:p>
      <w:pPr>
        <w:spacing w:after="0" w:line="56" w:lineRule="exact"/>
        <w:rPr>
          <w:rFonts w:ascii="Times New Roman" w:cs="Times New Roman" w:eastAsia="Times New Roman" w:hAnsi="Times New Roman"/>
          <w:sz w:val="18"/>
          <w:szCs w:val="18"/>
          <w:color w:val="auto"/>
        </w:rPr>
      </w:pPr>
    </w:p>
    <w:p>
      <w:pPr>
        <w:ind w:left="640" w:right="360" w:hanging="314"/>
        <w:spacing w:after="0" w:line="276"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us to the risk of increased interest rates as certain of our borrowings, including a portion of borrowings under the credit agreement, are at variable rates of interest;</w:t>
      </w:r>
    </w:p>
    <w:p>
      <w:pPr>
        <w:spacing w:after="0" w:line="56" w:lineRule="exact"/>
        <w:rPr>
          <w:rFonts w:ascii="Times New Roman" w:cs="Times New Roman" w:eastAsia="Times New Roman" w:hAnsi="Times New Roman"/>
          <w:sz w:val="18"/>
          <w:szCs w:val="18"/>
          <w:color w:val="auto"/>
        </w:rPr>
      </w:pPr>
    </w:p>
    <w:p>
      <w:pPr>
        <w:ind w:left="640" w:right="300" w:hanging="314"/>
        <w:spacing w:after="0" w:line="276"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dilution to our existing shareholders in the event exchanges of our 2.00% exchangeable senior notes due 2026 are settled in our ordinary shares;</w:t>
      </w:r>
    </w:p>
    <w:p>
      <w:pPr>
        <w:spacing w:after="0" w:line="56"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to our less leveraged competitors; and</w:t>
      </w:r>
    </w:p>
    <w:p>
      <w:pPr>
        <w:spacing w:after="0" w:line="11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the impact of adverse economic and industry conditions.</w:t>
      </w:r>
    </w:p>
    <w:p>
      <w:pPr>
        <w:spacing w:after="0" w:line="112" w:lineRule="exact"/>
        <w:rPr>
          <w:sz w:val="20"/>
          <w:szCs w:val="20"/>
          <w:color w:val="auto"/>
        </w:rPr>
      </w:pPr>
    </w:p>
    <w:p>
      <w:pPr>
        <w:ind w:firstLine="439"/>
        <w:spacing w:after="0" w:line="252" w:lineRule="auto"/>
        <w:rPr>
          <w:sz w:val="20"/>
          <w:szCs w:val="20"/>
          <w:color w:val="auto"/>
        </w:rPr>
      </w:pPr>
      <w:r>
        <w:rPr>
          <w:rFonts w:ascii="Times New Roman" w:cs="Times New Roman" w:eastAsia="Times New Roman" w:hAnsi="Times New Roman"/>
          <w:sz w:val="18"/>
          <w:szCs w:val="18"/>
          <w:color w:val="auto"/>
        </w:rPr>
        <w:t>If our cash flows and capital resources are insufficient to fund our debt service obligations, we may be forced to reduce or delay investments and capital expenditures, seek additional capital or restructure or refinance our debt. These alternative measures may not be successful and may not permit us to meet our debt service obligations. In the absence of such cash flows and resources, we could face substantial liquidity problems and might be required to dispose of material assets or operations to meet our debt service and other obligations. In addition, if we are unable to repay amounts under our secured credit agreement or senior secured notes, the credit agreement lenders and note holders could proceed against the collateral granted to them to secure that debt, which would seriously harm our business.</w:t>
      </w:r>
    </w:p>
    <w:p>
      <w:pPr>
        <w:spacing w:after="0" w:line="76"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Covenants in our credit agreement and indenture governing our senior secured notes restrict our business and operations in many ways and if we do not effectively manage our covenants, our financial conditions and results of operations could be adversely affected.</w:t>
      </w:r>
    </w:p>
    <w:p>
      <w:pPr>
        <w:spacing w:after="0" w:line="54" w:lineRule="exact"/>
        <w:rPr>
          <w:sz w:val="20"/>
          <w:szCs w:val="20"/>
          <w:color w:val="auto"/>
        </w:rPr>
      </w:pPr>
    </w:p>
    <w:p>
      <w:pPr>
        <w:ind w:right="120" w:firstLine="439"/>
        <w:spacing w:after="0" w:line="276" w:lineRule="auto"/>
        <w:rPr>
          <w:sz w:val="20"/>
          <w:szCs w:val="20"/>
          <w:color w:val="auto"/>
        </w:rPr>
      </w:pPr>
      <w:r>
        <w:rPr>
          <w:rFonts w:ascii="Times New Roman" w:cs="Times New Roman" w:eastAsia="Times New Roman" w:hAnsi="Times New Roman"/>
          <w:sz w:val="18"/>
          <w:szCs w:val="18"/>
          <w:color w:val="auto"/>
        </w:rPr>
        <w:t>The credit agreement and the indenture governing our senior secured notes contain various covenants that, among other things, limit our ability and/or our restricted subsidiaries’ ability to:</w:t>
      </w:r>
    </w:p>
    <w:p>
      <w:pPr>
        <w:spacing w:after="0" w:line="56" w:lineRule="exact"/>
        <w:rPr>
          <w:sz w:val="20"/>
          <w:szCs w:val="20"/>
          <w:color w:val="auto"/>
        </w:rPr>
      </w:pPr>
    </w:p>
    <w:p>
      <w:pPr>
        <w:ind w:left="640" w:hanging="314"/>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assume liens or additional debt or provide guarantees in respect of obligations of other persons;</w:t>
      </w:r>
    </w:p>
    <w:p>
      <w:pPr>
        <w:spacing w:after="0" w:line="11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distributions or redeem or repurchase capital stock;</w:t>
      </w:r>
    </w:p>
    <w:p>
      <w:pPr>
        <w:spacing w:after="0" w:line="11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debt;</w:t>
      </w:r>
    </w:p>
    <w:p>
      <w:pPr>
        <w:spacing w:after="0" w:line="11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investments, acquisitions (including certain acquisitions of exclusive licenses) and capital expenditures;</w:t>
      </w:r>
    </w:p>
    <w:p>
      <w:pPr>
        <w:spacing w:after="0" w:line="11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that restrict distributions from our subsidiaries;</w:t>
      </w:r>
    </w:p>
    <w:p>
      <w:pPr>
        <w:spacing w:after="0" w:line="11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11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sale and lease-back transactions;</w:t>
      </w:r>
    </w:p>
    <w:p>
      <w:pPr>
        <w:spacing w:after="0" w:line="11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exclusively license certain assets, including material intellectual property, and capital stock of our subsidiaries; and</w:t>
      </w:r>
    </w:p>
    <w:p>
      <w:pPr>
        <w:spacing w:after="0" w:line="11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or merge with or into, or sell substantially all of our assets to, another person.</w:t>
      </w:r>
    </w:p>
    <w:p>
      <w:pPr>
        <w:spacing w:after="0" w:line="112" w:lineRule="exact"/>
        <w:rPr>
          <w:sz w:val="20"/>
          <w:szCs w:val="20"/>
          <w:color w:val="auto"/>
        </w:rPr>
      </w:pPr>
    </w:p>
    <w:p>
      <w:pPr>
        <w:ind w:right="140" w:firstLine="439"/>
        <w:spacing w:after="0" w:line="256" w:lineRule="auto"/>
        <w:rPr>
          <w:sz w:val="20"/>
          <w:szCs w:val="20"/>
          <w:color w:val="auto"/>
        </w:rPr>
      </w:pPr>
      <w:r>
        <w:rPr>
          <w:rFonts w:ascii="Times New Roman" w:cs="Times New Roman" w:eastAsia="Times New Roman" w:hAnsi="Times New Roman"/>
          <w:sz w:val="18"/>
          <w:szCs w:val="18"/>
          <w:color w:val="auto"/>
        </w:rPr>
        <w:t>If we undergo a change of control triggering event, we would be required to make an offer to purchase all of the senior secured notes at a purchase price in cash equal to 101% of their principal amount, plus accrued and unpaid interest, subject to certain exceptions. If we engage in certain asset sales, we will be required under certain circumstances to make an offer to purchase the senior secured notes at 100% of the principal amount, plus accrued and unpaid interest.</w:t>
      </w:r>
    </w:p>
    <w:p>
      <w:pPr>
        <w:spacing w:after="0" w:line="75" w:lineRule="exact"/>
        <w:rPr>
          <w:sz w:val="20"/>
          <w:szCs w:val="20"/>
          <w:color w:val="auto"/>
        </w:rPr>
      </w:pPr>
    </w:p>
    <w:p>
      <w:pPr>
        <w:jc w:val="both"/>
        <w:ind w:right="260" w:firstLine="439"/>
        <w:spacing w:after="0" w:line="261" w:lineRule="auto"/>
        <w:rPr>
          <w:sz w:val="20"/>
          <w:szCs w:val="20"/>
          <w:color w:val="auto"/>
        </w:rPr>
      </w:pPr>
      <w:r>
        <w:rPr>
          <w:rFonts w:ascii="Times New Roman" w:cs="Times New Roman" w:eastAsia="Times New Roman" w:hAnsi="Times New Roman"/>
          <w:sz w:val="18"/>
          <w:szCs w:val="18"/>
          <w:color w:val="auto"/>
        </w:rPr>
        <w:t>The credit agreement also includes certain financial covenants that require us to maintain a maximum secured leverage ratio and a minimum interest coverage ratio as long as we have drawn funds under the revolving credit facility (or letters of credit in excess of $50 million have been issued and remain undrawn).</w:t>
      </w:r>
    </w:p>
    <w:p>
      <w:pPr>
        <w:spacing w:after="0" w:line="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a result of these restrictions, we may be:</w:t>
      </w:r>
    </w:p>
    <w:p>
      <w:pPr>
        <w:spacing w:after="0" w:line="112" w:lineRule="exact"/>
        <w:rPr>
          <w:sz w:val="20"/>
          <w:szCs w:val="20"/>
          <w:color w:val="auto"/>
        </w:rPr>
      </w:pPr>
    </w:p>
    <w:p>
      <w:pPr>
        <w:ind w:left="640" w:hanging="314"/>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in how we conduct our business;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40" w:hanging="314"/>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unable to raise additional debt or equity financing to operate during general economic or business downturns; or</w:t>
      </w:r>
    </w:p>
    <w:p>
      <w:pPr>
        <w:spacing w:after="0" w:line="11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unable to compete effectively, take advantage of new business opportunities or grow in accordance with our plans.</w:t>
      </w:r>
    </w:p>
    <w:p>
      <w:pPr>
        <w:spacing w:after="0" w:line="112" w:lineRule="exact"/>
        <w:rPr>
          <w:sz w:val="20"/>
          <w:szCs w:val="20"/>
          <w:color w:val="auto"/>
        </w:rPr>
      </w:pPr>
    </w:p>
    <w:p>
      <w:pPr>
        <w:ind w:right="40" w:firstLine="439"/>
        <w:spacing w:after="0" w:line="250" w:lineRule="auto"/>
        <w:rPr>
          <w:sz w:val="20"/>
          <w:szCs w:val="20"/>
          <w:color w:val="auto"/>
        </w:rPr>
      </w:pPr>
      <w:r>
        <w:rPr>
          <w:rFonts w:ascii="Times New Roman" w:cs="Times New Roman" w:eastAsia="Times New Roman" w:hAnsi="Times New Roman"/>
          <w:sz w:val="18"/>
          <w:szCs w:val="18"/>
          <w:color w:val="auto"/>
        </w:rPr>
        <w:t>Our failure to comply with any of the covenants could result in a default under the credit agreement and the indenture governing our senior secured notes, which, if not cured or waived, could result in us having to repay our borrowings before their due dates. Such default may allow the lenders or the note holders to accelerate the related debt and may result in the acceleration of any other debt to which a cross-acceleration or cross-default provision applies. If we are forced to refinance these borrowings on less favorable terms or if we were to experience difficulty in refinancing the debt prior to maturity, our results of operations or financial condition could be materially affected. In addition, an event of default under the credit agreement may permit the lenders to refuse to permit additional borrowings under the revolving credit facility or to terminate all commitments to extend further credit under the revolving credit facility. Furthermore, if we are unable to repay the amounts due and payable under the credit agreement or senior secured notes, the lenders and note holders may be able to proceed against the collateral granted to them to secure that indebtedness. In the event our lenders or note holders accelerate the repayment of such borrowings, we cannot assure you that we will have sufficient assets to repay such indebtedness.</w:t>
      </w:r>
    </w:p>
    <w:p>
      <w:pPr>
        <w:spacing w:after="0" w:line="83" w:lineRule="exact"/>
        <w:rPr>
          <w:sz w:val="20"/>
          <w:szCs w:val="20"/>
          <w:color w:val="auto"/>
        </w:rPr>
      </w:pPr>
    </w:p>
    <w:p>
      <w:pPr>
        <w:ind w:right="40" w:firstLine="439"/>
        <w:spacing w:after="0" w:line="261" w:lineRule="auto"/>
        <w:rPr>
          <w:sz w:val="20"/>
          <w:szCs w:val="20"/>
          <w:color w:val="auto"/>
        </w:rPr>
      </w:pPr>
      <w:r>
        <w:rPr>
          <w:rFonts w:ascii="Times New Roman" w:cs="Times New Roman" w:eastAsia="Times New Roman" w:hAnsi="Times New Roman"/>
          <w:sz w:val="18"/>
          <w:szCs w:val="18"/>
          <w:color w:val="auto"/>
        </w:rPr>
        <w:t>A default under the indentures governing our exchangeable senior notes could also lead to a default under other debt agreements or obligations, including the credit agreement and indenture governing the senior secured notes. Likewise, a default under the credit agreement or senior secured notes could lead to a default under other debt agreements or obligations, including the indentures governing our exchangeable senior notes.</w:t>
      </w:r>
    </w:p>
    <w:p>
      <w:pPr>
        <w:spacing w:after="0" w:line="66"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To continue to grow our business, we will need to commit substantial resources, which could result in future losses or otherwise limit our opportunities or affect our ability to operate and grow our business.</w:t>
      </w:r>
    </w:p>
    <w:p>
      <w:pPr>
        <w:spacing w:after="0" w:line="54" w:lineRule="exact"/>
        <w:rPr>
          <w:sz w:val="20"/>
          <w:szCs w:val="20"/>
          <w:color w:val="auto"/>
        </w:rPr>
      </w:pPr>
    </w:p>
    <w:p>
      <w:pPr>
        <w:ind w:firstLine="439"/>
        <w:spacing w:after="0" w:line="264" w:lineRule="auto"/>
        <w:rPr>
          <w:sz w:val="20"/>
          <w:szCs w:val="20"/>
          <w:color w:val="auto"/>
        </w:rPr>
      </w:pPr>
      <w:r>
        <w:rPr>
          <w:rFonts w:ascii="Times New Roman" w:cs="Times New Roman" w:eastAsia="Times New Roman" w:hAnsi="Times New Roman"/>
          <w:sz w:val="17"/>
          <w:szCs w:val="17"/>
          <w:color w:val="auto"/>
        </w:rPr>
        <w:t>The scope of our business and operations has grown substantially, including through a series of business combinations and acquisitions. To continue to grow our business over the longer term, we plan to commit substantial resources to product acquisition and in-licensing, product development, clinical trials of product candidates and expansion of our commercial, development, manufacturing and other operations. Acquisition opportunities that we pursue could materially affect our liquidity and capital resources and may require us to incur additional indebtedness, seek equity capital or both. Our ability to raise additional capital may be adversely impacted by worsening global economic conditions and the recent disruptions to, and volatility in, the credit and financial markets in the U.S. and worldwide resulting from the effects of inflationary pressures, potential future bank failures or otherwise. In addition, under Irish law we must have authority from our shareholders to issue any ordinary shares, including ordinary shares that are part of our authorized but unissued share capital, and we currently have such authorization. Moreover, as a matter of Irish law, when an Irish public limited company issues ordinary shares to new shareholders for cash, the company must first offer those shares on the same or more favorable terms to existing shareholders on a pro-rata basis, unless this statutory pre-emption obligation is dis-applied, or opted-out of, by approval of its shareholders. At our annual general meeting of shareholders in August 2023, our shareholders voted to approve our proposal to dis-apply the statutory pre-emption obligation on terms that are substantially more limited than our general pre-emption opt-out authority that had been in effect prior to August 4, 2021. This current pre-emption opt-out authority is due to expire in February 2025. If we are unable to obtain further pre-emption authorities from our shareholders in the future, or otherwise continue to be limited by the terms of new pre-emption authorities approved by our shareholders in the future, our ability to use our unissued share capital to fund in-licensing, acquisition or other business opportunities, or to otherwise raise capital, could be adversely affected. In any event, an inability to borrow or raise additional capital in a timely manner and on attractive terms could prevent us from expanding our business or taking advantage of acquisition opportunities and could otherwise have a material adverse effect on our business and growth prospects. In addition, if we use a substantial amount of our funds to acquire or in-license products or product candidates, we may not have sufficient additional funds to conduct all of our operations in the manner we would otherwise choose.</w:t>
      </w:r>
    </w:p>
    <w:p>
      <w:pPr>
        <w:spacing w:after="0" w:line="66"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have significant intangible assets and goodwill. Consequently, the future impairment of our intangible assets and goodwill may significantly impact our profitability.</w:t>
      </w:r>
    </w:p>
    <w:p>
      <w:pPr>
        <w:spacing w:after="0" w:line="54" w:lineRule="exact"/>
        <w:rPr>
          <w:sz w:val="20"/>
          <w:szCs w:val="20"/>
          <w:color w:val="auto"/>
        </w:rPr>
      </w:pPr>
    </w:p>
    <w:p>
      <w:pPr>
        <w:ind w:right="140" w:firstLine="439"/>
        <w:spacing w:after="0" w:line="254" w:lineRule="auto"/>
        <w:rPr>
          <w:sz w:val="20"/>
          <w:szCs w:val="20"/>
          <w:color w:val="auto"/>
        </w:rPr>
      </w:pPr>
      <w:r>
        <w:rPr>
          <w:rFonts w:ascii="Times New Roman" w:cs="Times New Roman" w:eastAsia="Times New Roman" w:hAnsi="Times New Roman"/>
          <w:sz w:val="18"/>
          <w:szCs w:val="18"/>
          <w:color w:val="auto"/>
        </w:rPr>
        <w:t>Our intangible assets and goodwill are significant and are subject to an impairment analysis whenever events or changes in circumstances indicate the carrying amount of the asset may not be recoverable. Additionally, goodwill and indefinite-lived assets are subject to an impairment test at least annually. Events giving rise to impairment are an inherent risk in the pharmaceutical industry and cannot be predicted. For example, in the third quarter of 2022, we recorded a $133.6 million asset impairment charge as a result of the decision to discontinue our nabiximols program. Our results of operations and financial position in future periods could be negatively impacted should future impairments of intangible assets or goodwill occur.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results have been and may continue to be adversely affected by foreign currency exchange rate fluctuations.</w:t>
      </w:r>
    </w:p>
    <w:p>
      <w:pPr>
        <w:spacing w:after="0" w:line="116" w:lineRule="exact"/>
        <w:rPr>
          <w:sz w:val="20"/>
          <w:szCs w:val="20"/>
          <w:color w:val="auto"/>
        </w:rPr>
      </w:pPr>
    </w:p>
    <w:p>
      <w:pPr>
        <w:ind w:right="600" w:firstLine="439"/>
        <w:spacing w:after="0" w:line="261" w:lineRule="auto"/>
        <w:rPr>
          <w:sz w:val="20"/>
          <w:szCs w:val="20"/>
          <w:color w:val="auto"/>
        </w:rPr>
      </w:pPr>
      <w:r>
        <w:rPr>
          <w:rFonts w:ascii="Times New Roman" w:cs="Times New Roman" w:eastAsia="Times New Roman" w:hAnsi="Times New Roman"/>
          <w:sz w:val="18"/>
          <w:szCs w:val="18"/>
          <w:color w:val="auto"/>
        </w:rPr>
        <w:t>Because our financial results are reported in U.S. dollars, we are exposed to foreign currency exchange risk as the functional currency financial statements of non-U.S. subsidiaries are translated to U.S. dollars for reporting purposes. To the extent that revenue and expense transactions are not denominated in the functional currency, we are also subject to the risk of</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transaction losses. For example, because our product sales outside of the U.S. are primarily denominated in the euro, our sales of those products have been and may continue to be adversely affected by fluctuations in foreign currency exchange rates. Given the volatility of exchange rates, as well as our expanding operations, there is no guarantee that we will be able to effectively manage currency transaction and/or translation risks, which could adversely affect our operating results. Although we utilize foreign exchange forward contracts to manage currency risk primarily related to certain intercompany balances denominated in non-functional currencies, our efforts to manage currency risk may not be successful.</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rates could adversely affect our business and financial condition, results of operations and growth prospects.</w:t>
      </w:r>
    </w:p>
    <w:p>
      <w:pPr>
        <w:spacing w:after="0" w:line="116" w:lineRule="exact"/>
        <w:rPr>
          <w:sz w:val="20"/>
          <w:szCs w:val="20"/>
          <w:color w:val="auto"/>
        </w:rPr>
      </w:pPr>
    </w:p>
    <w:p>
      <w:pPr>
        <w:ind w:right="180" w:firstLine="439"/>
        <w:spacing w:after="0" w:line="252" w:lineRule="auto"/>
        <w:rPr>
          <w:sz w:val="20"/>
          <w:szCs w:val="20"/>
          <w:color w:val="auto"/>
        </w:rPr>
      </w:pPr>
      <w:r>
        <w:rPr>
          <w:rFonts w:ascii="Times New Roman" w:cs="Times New Roman" w:eastAsia="Times New Roman" w:hAnsi="Times New Roman"/>
          <w:sz w:val="18"/>
          <w:szCs w:val="18"/>
          <w:color w:val="auto"/>
        </w:rPr>
        <w:t>We are incorporated in Ireland and maintain subsidiaries in North America, the U.K. and a number of other foreign jurisdictions. As a result, our effective tax rate is derived from a combination of applicable tax rates in the various jurisdictions where we operate. Our effective tax rate may fluctuate depending on a number of factors, including, but not limited to, the distribution of our profits or losses between the jurisdictions where we operate and changes to or differences in interpretation of tax laws. For example, our income tax expense for the year ended December 31, 2021 included an expense of $259.9 million arising on the remeasurement of our U.K. net deferred tax liability, which arose primarily in relation to the GW Acquisition, due to a change in the statutory tax rate in the U.K. following enactment of the U.K. Finance Act 2021.</w:t>
      </w:r>
    </w:p>
    <w:p>
      <w:pPr>
        <w:spacing w:after="0" w:line="80" w:lineRule="exact"/>
        <w:rPr>
          <w:sz w:val="20"/>
          <w:szCs w:val="20"/>
          <w:color w:val="auto"/>
        </w:rPr>
      </w:pPr>
    </w:p>
    <w:p>
      <w:pPr>
        <w:ind w:right="100" w:firstLine="439"/>
        <w:spacing w:after="0" w:line="252" w:lineRule="auto"/>
        <w:rPr>
          <w:sz w:val="20"/>
          <w:szCs w:val="20"/>
          <w:color w:val="auto"/>
        </w:rPr>
      </w:pPr>
      <w:r>
        <w:rPr>
          <w:rFonts w:ascii="Times New Roman" w:cs="Times New Roman" w:eastAsia="Times New Roman" w:hAnsi="Times New Roman"/>
          <w:sz w:val="18"/>
          <w:szCs w:val="18"/>
          <w:color w:val="auto"/>
        </w:rPr>
        <w:t>We are subject to reviews and audits by the U.S. Internal Revenue Service, or IRS, and other taxing authorities from time to time, and the IRS or other taxing authority may challenge our structure, transfer pricing arrangements and tax positions through an audit or lawsuit. Responding to or defending against challenges from taxing authorities could be expensive and consume time and other resources. If we are unsuccessful, we may be required to pay additional taxes for prior periods, interest, fines or penalties, and may be obligated to pay increased taxes in the future, any of which could require us to reduce our operating expenses, decrease efforts in support of our products or seek to raise additional funds. Any of these actions could have a material adverse effect on our business, financial condition, results of operations and growth prospects.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to tax laws relating to multinational corporations could adversely affect us.</w:t>
      </w:r>
    </w:p>
    <w:p>
      <w:pPr>
        <w:spacing w:after="0" w:line="116" w:lineRule="exact"/>
        <w:rPr>
          <w:sz w:val="20"/>
          <w:szCs w:val="20"/>
          <w:color w:val="auto"/>
        </w:rPr>
      </w:pPr>
    </w:p>
    <w:p>
      <w:pPr>
        <w:ind w:right="100" w:firstLine="439"/>
        <w:spacing w:after="0" w:line="256" w:lineRule="auto"/>
        <w:rPr>
          <w:sz w:val="20"/>
          <w:szCs w:val="20"/>
          <w:color w:val="auto"/>
        </w:rPr>
      </w:pPr>
      <w:r>
        <w:rPr>
          <w:rFonts w:ascii="Times New Roman" w:cs="Times New Roman" w:eastAsia="Times New Roman" w:hAnsi="Times New Roman"/>
          <w:sz w:val="18"/>
          <w:szCs w:val="18"/>
          <w:color w:val="auto"/>
        </w:rPr>
        <w:t>The U.S. Congress, the EU, the Organization for Economic Co-operation and Development, or OECD, and other government agencies in jurisdictions where we and our affiliates do business have had an extended focus on issues related to the taxation of multinational corporations. As a result of the focus on the taxation of multinational corporations, the tax laws in Ireland, the U.S. and other countries in which we and our affiliates do business could change on a prospective or retroactive basis, and any such changes could adversely affect us.</w:t>
      </w:r>
    </w:p>
    <w:p>
      <w:pPr>
        <w:spacing w:after="0" w:line="75" w:lineRule="exact"/>
        <w:rPr>
          <w:sz w:val="20"/>
          <w:szCs w:val="20"/>
          <w:color w:val="auto"/>
        </w:rPr>
      </w:pPr>
    </w:p>
    <w:p>
      <w:pPr>
        <w:ind w:firstLine="439"/>
        <w:spacing w:after="0" w:line="252" w:lineRule="auto"/>
        <w:rPr>
          <w:sz w:val="20"/>
          <w:szCs w:val="20"/>
          <w:color w:val="auto"/>
        </w:rPr>
      </w:pPr>
      <w:r>
        <w:rPr>
          <w:rFonts w:ascii="Times New Roman" w:cs="Times New Roman" w:eastAsia="Times New Roman" w:hAnsi="Times New Roman"/>
          <w:sz w:val="18"/>
          <w:szCs w:val="18"/>
          <w:color w:val="auto"/>
        </w:rPr>
        <w:t>One example is the OECD’s initiative in the area of “base erosion and profit shifting.” In October 2021, the OECD released a framework proposal reflecting the agreement of over 140 jurisdictions, including Ireland, to implement a two-pillar plan on global tax reform, including a global minimum tax rate of 15% for large multinational corporations on a jurisdiction-by-jurisdiction basis, or Pillar Two. In December 2022, the EU agreed to implement this global minimum tax rate for EU member states by the start of 2024. In accordance with the EU directive, Ireland adopted legislation implementing Pillar Two on December 18, 2023, with effect from the start of 2024. Other jurisdictions in which we do business have also introduced or adopted legislation implementing Pillar Two. We are currently evaluating the effect of the new law on our financial results.</w:t>
      </w:r>
    </w:p>
    <w:p>
      <w:pPr>
        <w:spacing w:after="0" w:line="80" w:lineRule="exact"/>
        <w:rPr>
          <w:sz w:val="20"/>
          <w:szCs w:val="20"/>
          <w:color w:val="auto"/>
        </w:rPr>
      </w:pPr>
    </w:p>
    <w:p>
      <w:pPr>
        <w:ind w:right="20" w:firstLine="439"/>
        <w:spacing w:after="0" w:line="251" w:lineRule="auto"/>
        <w:rPr>
          <w:sz w:val="20"/>
          <w:szCs w:val="20"/>
          <w:color w:val="auto"/>
        </w:rPr>
      </w:pPr>
      <w:r>
        <w:rPr>
          <w:rFonts w:ascii="Times New Roman" w:cs="Times New Roman" w:eastAsia="Times New Roman" w:hAnsi="Times New Roman"/>
          <w:sz w:val="18"/>
          <w:szCs w:val="18"/>
          <w:color w:val="auto"/>
        </w:rPr>
        <w:t>Further, the IRA among other things, introduced new tax provisions, including a 15 percent corporate alternative minimum tax for certain large corporations, and a one percent excise tax on certain share repurchases by publicly traded corporations, including certain repurchases by specified domestic affiliates of publicly traded foreign corporations. These provisions became effective in 2023. The IRS has issued limited guidance on the corporate alternative minimum tax, the excise tax and the other provisions in the IRA, and this guidance has yet to be finalized. We are currently evaluating the effect of the law on our financial results. The U.S. and other jurisdictions in which we operate continue to consider other changes in tax laws and regulations that apply to multinationals, including proposed guidance with respect to research and development expenditures and other guidance under the 2017 Tax Cuts and Jobs Act. These changes, if implemented, could adversely impact our tax provision, cash tax liability and effective tax rate.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IRS may not agree with the conclusion that we should be treated as a foreign corporation for U.S. federal tax purposes.</w:t>
      </w:r>
    </w:p>
    <w:p>
      <w:pPr>
        <w:spacing w:after="0" w:line="116" w:lineRule="exact"/>
        <w:rPr>
          <w:sz w:val="20"/>
          <w:szCs w:val="20"/>
          <w:color w:val="auto"/>
        </w:rPr>
      </w:pPr>
    </w:p>
    <w:p>
      <w:pPr>
        <w:ind w:firstLine="439"/>
        <w:spacing w:after="0" w:line="251" w:lineRule="auto"/>
        <w:rPr>
          <w:sz w:val="20"/>
          <w:szCs w:val="20"/>
          <w:color w:val="auto"/>
        </w:rPr>
      </w:pPr>
      <w:r>
        <w:rPr>
          <w:rFonts w:ascii="Times New Roman" w:cs="Times New Roman" w:eastAsia="Times New Roman" w:hAnsi="Times New Roman"/>
          <w:sz w:val="18"/>
          <w:szCs w:val="18"/>
          <w:color w:val="auto"/>
        </w:rPr>
        <w:t>Although we are incorporated in Ireland, the IRS may assert that we should be treated as a U.S. corporation (and, therefore, a U.S. tax resident) for U.S. federal tax purposes pursuant to Section 7874 of the U.S. Internal Revenue Code, or the Code. For U.S. federal tax purposes, a corporation generally is considered a tax resident in the jurisdiction of its organization or incorporation. Because we are an Irish incorporated entity, we would be classified as a foreign corporation (and, therefore, a non-U.S. tax resident) under these rules. Section 7874 of the Code provides an exception under which a foreign incorporated entity may, in certain circumstances, be treated as a U.S. corporation for U.S. federal tax purposes. Because we indirectly acquired all of Jazz Pharmaceuticals, Inc.’s assets through the acquisition of the shares of Jazz Pharmaceuticals, Inc. common stock when the businesses of Jazz Pharmaceuticals, Inc. and Azur Pharma Public Limited Company were combined in a merger transaction in January 2012, or the Azur Merger, the IRS could assert that we should be treated as a U.S. corporation for U.S.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federal tax purposes under Section 7874. The IRS continues to scrutinize transactions that are potentially subject to Section 7874, and has issued several sets of final and temporary regulations under Section 7874 since 2012. We do not expect these regulations to affect the U.S. tax consequences of the Azur Merger. Nevertheless, new statutory and/or regulatory provisions under Section 7874 of the Code or otherwise could be enacted that could adversely affect our status as a foreign corporation for U.S. federal tax purposes, and any such provisions could have prospective or retroactive application to us, our shareholders, Jazz Pharmaceuticals, Inc. and/or the Azur Merger.</w:t>
      </w:r>
    </w:p>
    <w:p>
      <w:pPr>
        <w:spacing w:after="0" w:line="72"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and carryforward tax losses to offset potential taxable income is limited under applicable law and could be subject to further limitations if we do not generate taxable income in a timely manner or if certain “ownership change” provisions of applicable law result in further limitations.</w:t>
      </w:r>
    </w:p>
    <w:p>
      <w:pPr>
        <w:spacing w:after="0" w:line="69" w:lineRule="exact"/>
        <w:rPr>
          <w:sz w:val="20"/>
          <w:szCs w:val="20"/>
          <w:color w:val="auto"/>
        </w:rPr>
      </w:pPr>
    </w:p>
    <w:p>
      <w:pPr>
        <w:ind w:firstLine="439"/>
        <w:spacing w:after="0" w:line="250" w:lineRule="auto"/>
        <w:rPr>
          <w:sz w:val="20"/>
          <w:szCs w:val="20"/>
          <w:color w:val="auto"/>
        </w:rPr>
      </w:pPr>
      <w:r>
        <w:rPr>
          <w:rFonts w:ascii="Times New Roman" w:cs="Times New Roman" w:eastAsia="Times New Roman" w:hAnsi="Times New Roman"/>
          <w:sz w:val="18"/>
          <w:szCs w:val="18"/>
          <w:color w:val="auto"/>
        </w:rPr>
        <w:t>Our ability to use net operating losses, or NOLs, to offset potential future taxable income and related income taxes that would otherwise be due also depends on our ability to generate future income that is taxable in the U.S. before the NOLs expire. We cannot predict with certainty when, or whether, our U.S. affiliates will generate sufficient taxable income to use all of the NOLs. In addition, the use of NOLs to offset potential future taxable income and related income taxes that would otherwise be due is subject to limitations under the “ownership change” provisions of Sections 382 and 383 of the Code and similar state provisions. Additionally, U.K. carryforward tax losses may become subject to limitations in the event of certain changes in the ownership interest of significant shareholders where there is also a major change in the nature of conduct of a trade or business within a specified period of time. These limitations may cause us to lose or forfeit additional NOLs or carryforward tax losses before we can use these attributes. Subsequent ownership changes and changes to the U.S. federal or state or U.K. tax rules with respect to the use of NOLs and carryforward tax losses may further affect our ability to use these losses in future years.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Ordinary Shares</w:t>
      </w:r>
    </w:p>
    <w:p>
      <w:pPr>
        <w:spacing w:after="0" w:line="110" w:lineRule="exact"/>
        <w:rPr>
          <w:sz w:val="20"/>
          <w:szCs w:val="20"/>
          <w:color w:val="auto"/>
        </w:rPr>
      </w:pPr>
    </w:p>
    <w:p>
      <w:pPr>
        <w:ind w:right="3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ordinary shares has been volatile and is likely to continue to be volatile in the future, and the value of your investment could decline significantly.</w:t>
      </w:r>
    </w:p>
    <w:p>
      <w:pPr>
        <w:spacing w:after="0" w:line="54" w:lineRule="exact"/>
        <w:rPr>
          <w:sz w:val="20"/>
          <w:szCs w:val="20"/>
          <w:color w:val="auto"/>
        </w:rPr>
      </w:pPr>
    </w:p>
    <w:p>
      <w:pPr>
        <w:ind w:right="20" w:firstLine="439"/>
        <w:spacing w:after="0" w:line="252" w:lineRule="auto"/>
        <w:rPr>
          <w:sz w:val="20"/>
          <w:szCs w:val="20"/>
          <w:color w:val="auto"/>
        </w:rPr>
      </w:pPr>
      <w:r>
        <w:rPr>
          <w:rFonts w:ascii="Times New Roman" w:cs="Times New Roman" w:eastAsia="Times New Roman" w:hAnsi="Times New Roman"/>
          <w:sz w:val="18"/>
          <w:szCs w:val="18"/>
          <w:color w:val="auto"/>
        </w:rPr>
        <w:t>The stock market in general, including the market for life sciences companies, has experienced extreme price and trading volume fluctuations that have often been unrelated or disproportionate to the operating performance of those companies, which has resulted in decreased market prices, notwithstanding the lack of a fundamental change in the underlying business models of those companies. Worsening economic conditions and other adverse effects or developments may negatively affect the market price of our ordinary shares, regardless of our actual operating performance. The market price for our ordinary shares is likely to continue to be volatile and subject to significant price and volume fluctuations in response to market, industry and other factors, including the risk factors described in this “Risk Factors” section.</w:t>
      </w:r>
    </w:p>
    <w:p>
      <w:pPr>
        <w:spacing w:after="0" w:line="80" w:lineRule="exact"/>
        <w:rPr>
          <w:sz w:val="20"/>
          <w:szCs w:val="20"/>
          <w:color w:val="auto"/>
        </w:rPr>
      </w:pPr>
    </w:p>
    <w:p>
      <w:pPr>
        <w:jc w:val="both"/>
        <w:ind w:right="100" w:firstLine="439"/>
        <w:spacing w:after="0" w:line="256" w:lineRule="auto"/>
        <w:rPr>
          <w:sz w:val="20"/>
          <w:szCs w:val="20"/>
          <w:color w:val="auto"/>
        </w:rPr>
      </w:pPr>
      <w:r>
        <w:rPr>
          <w:rFonts w:ascii="Times New Roman" w:cs="Times New Roman" w:eastAsia="Times New Roman" w:hAnsi="Times New Roman"/>
          <w:sz w:val="18"/>
          <w:szCs w:val="18"/>
          <w:color w:val="auto"/>
        </w:rPr>
        <w:t>Our share price may be dependent upon the valuations and recommendations of the analysts who cover our business. If our results do not meet these analysts’ forecasts, the expectations of our investors or the financial guidance we provide to investors in any period, the market price of our ordinary shares could decline. Our ability to meet analysts’ forecasts, investors’ expectations and our financial guidance is substantially dependent on our ability to maintain or increase sales of our marketed products.</w:t>
      </w:r>
    </w:p>
    <w:p>
      <w:pPr>
        <w:spacing w:after="0" w:line="75" w:lineRule="exact"/>
        <w:rPr>
          <w:sz w:val="20"/>
          <w:szCs w:val="20"/>
          <w:color w:val="auto"/>
        </w:rPr>
      </w:pPr>
    </w:p>
    <w:p>
      <w:pPr>
        <w:ind w:right="40" w:firstLine="439"/>
        <w:spacing w:after="0" w:line="254" w:lineRule="auto"/>
        <w:rPr>
          <w:sz w:val="20"/>
          <w:szCs w:val="20"/>
          <w:color w:val="auto"/>
        </w:rPr>
      </w:pPr>
      <w:r>
        <w:rPr>
          <w:rFonts w:ascii="Times New Roman" w:cs="Times New Roman" w:eastAsia="Times New Roman" w:hAnsi="Times New Roman"/>
          <w:sz w:val="18"/>
          <w:szCs w:val="18"/>
          <w:color w:val="auto"/>
        </w:rPr>
        <w:t>In addition, the market price of our ordinary shares may decline if the effects of our acquisition of GW and other strategic transactions on our financial or operating results are not consistent with the expectations of financial analysts or investors. The market price of our ordinary shares could also be affected by possible sales of our ordinary shares by holders of our exchangeable senior notes who may view our exchangeable senior notes as a more attractive means of equity participation in our company and by hedging or arbitrage trading activity involving our ordinary shares by the holders of our exchangeable senior notes.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Irish law, which differs from the laws in effect in the U.S. and may afford less protection to holders of our securities.</w:t>
      </w:r>
    </w:p>
    <w:p>
      <w:pPr>
        <w:spacing w:after="0" w:line="116" w:lineRule="exact"/>
        <w:rPr>
          <w:sz w:val="20"/>
          <w:szCs w:val="20"/>
          <w:color w:val="auto"/>
        </w:rPr>
      </w:pPr>
    </w:p>
    <w:p>
      <w:pPr>
        <w:ind w:right="80" w:firstLine="439"/>
        <w:spacing w:after="0" w:line="270" w:lineRule="auto"/>
        <w:rPr>
          <w:sz w:val="20"/>
          <w:szCs w:val="20"/>
          <w:color w:val="auto"/>
        </w:rPr>
      </w:pPr>
      <w:r>
        <w:rPr>
          <w:rFonts w:ascii="Times New Roman" w:cs="Times New Roman" w:eastAsia="Times New Roman" w:hAnsi="Times New Roman"/>
          <w:sz w:val="17"/>
          <w:szCs w:val="17"/>
          <w:color w:val="auto"/>
        </w:rPr>
        <w:t>It may not be possible to enforce court judgments obtained in the U.S. against us in Ireland based on the civil liability provisions of the U.S. federal or state securities laws. In addition, there is some uncertainty as to whether the courts of Ireland would recognize or enforce judgments of U.S. courts obtained against us or our directors or officers based on the civil liability provisions of the U.S. federal or state securities laws or hear actions against us or those persons based on those laws. We have been advised that the U.S. currently does not have a treaty with Ireland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automatically be enforceable in Ireland.</w:t>
      </w:r>
    </w:p>
    <w:p>
      <w:pPr>
        <w:spacing w:after="0" w:line="65" w:lineRule="exact"/>
        <w:rPr>
          <w:sz w:val="20"/>
          <w:szCs w:val="20"/>
          <w:color w:val="auto"/>
        </w:rPr>
      </w:pPr>
    </w:p>
    <w:p>
      <w:pPr>
        <w:ind w:firstLine="439"/>
        <w:spacing w:after="0" w:line="261" w:lineRule="auto"/>
        <w:rPr>
          <w:sz w:val="20"/>
          <w:szCs w:val="20"/>
          <w:color w:val="auto"/>
        </w:rPr>
      </w:pPr>
      <w:r>
        <w:rPr>
          <w:rFonts w:ascii="Times New Roman" w:cs="Times New Roman" w:eastAsia="Times New Roman" w:hAnsi="Times New Roman"/>
          <w:sz w:val="18"/>
          <w:szCs w:val="18"/>
          <w:color w:val="auto"/>
        </w:rPr>
        <w:t>As an Irish company, we are governed by the Irish Companies Act 2014, which differs in some material respects from laws generally applicable to U.S. corporations and shareholders, including, among others, differences relating to interested director and officer transactions, mergers, amalgamations and acquisitions, takeovers and shareholder lawsuits. The duties of</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directors and officers of an Irish company are generally owed to the company only. Shareholders of Irish companies generally do not have a personal right of action against directors or officers of the company and may exercise such rights of action on behalf of the company only in limited circumstances. Accordingly, holders of our securities may have more difficulty protecting their interests than would holders of securities of a corporation incorporated in a U.S. jurisdiction.</w:t>
      </w:r>
    </w:p>
    <w:p>
      <w:pPr>
        <w:spacing w:after="0" w:line="71"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articles of association, Irish law, our credit agreement and the indentures governing our senior secured notes and exchangeable senior notes contain provisions that could delay or prevent a takeover of us by a third party.</w:t>
      </w:r>
    </w:p>
    <w:p>
      <w:pPr>
        <w:spacing w:after="0" w:line="54" w:lineRule="exact"/>
        <w:rPr>
          <w:sz w:val="20"/>
          <w:szCs w:val="20"/>
          <w:color w:val="auto"/>
        </w:rPr>
      </w:pPr>
    </w:p>
    <w:p>
      <w:pPr>
        <w:ind w:right="40" w:firstLine="439"/>
        <w:spacing w:after="0" w:line="250" w:lineRule="auto"/>
        <w:rPr>
          <w:sz w:val="20"/>
          <w:szCs w:val="20"/>
          <w:color w:val="auto"/>
        </w:rPr>
      </w:pPr>
      <w:r>
        <w:rPr>
          <w:rFonts w:ascii="Times New Roman" w:cs="Times New Roman" w:eastAsia="Times New Roman" w:hAnsi="Times New Roman"/>
          <w:sz w:val="18"/>
          <w:szCs w:val="18"/>
          <w:color w:val="auto"/>
        </w:rPr>
        <w:t>Our articles of association could delay, defer or prevent a third party from acquiring us, despite the possible benefit to our shareholders, or otherwise adversely affect the price of our ordinary shares. In addition to our articles of association, several mandatory provisions of Irish law could prevent or delay an acquisition of us. We are also subject to various provisions of Irish law relating to mandatory bids, voluntary bids, requirements to make a cash offer and minimum price requirements, as well as substantial acquisition rules and rules requiring the disclosure of interests in our shares in certain circumstances. Furthermore, our credit agreement limits our ability to enter into certain fundamental changes, and the indentures governing our senior secured notes and exchangeable senior notes require us to offer to repurchase such notes for cash if we undergo certain fundamental changes. Additionally, in certain circumstances, the indentures governing our exchangeable senior notes require us to increase the exchange rate for a holder of our exchangeable senior notes in connection with a fundamental change. A takeover of us may trigger a default under the credit agreement or the requirement that we offer to purchase our senior secured notes or exchangeable senior notes and/or increase the exchange rate applicable to our exchangeable senior notes, which could make it more costly for a potential acquirer to engage in a business combination transaction with us.</w:t>
      </w:r>
    </w:p>
    <w:p>
      <w:pPr>
        <w:spacing w:after="0" w:line="80" w:lineRule="exact"/>
        <w:rPr>
          <w:sz w:val="20"/>
          <w:szCs w:val="20"/>
          <w:color w:val="auto"/>
        </w:rPr>
      </w:pPr>
    </w:p>
    <w:p>
      <w:pPr>
        <w:ind w:right="60" w:firstLine="439"/>
        <w:spacing w:after="0" w:line="256" w:lineRule="auto"/>
        <w:rPr>
          <w:sz w:val="20"/>
          <w:szCs w:val="20"/>
          <w:color w:val="auto"/>
        </w:rPr>
      </w:pPr>
      <w:r>
        <w:rPr>
          <w:rFonts w:ascii="Times New Roman" w:cs="Times New Roman" w:eastAsia="Times New Roman" w:hAnsi="Times New Roman"/>
          <w:sz w:val="18"/>
          <w:szCs w:val="18"/>
          <w:color w:val="auto"/>
        </w:rPr>
        <w:t>These provisions, whether alone or together, may discourage potential takeover attempts, discourage bids for our ordinary shares at a premium over the market price or adversely affect the market price of, and the voting and other rights of the holders of, our ordinary shares. These provisions, whether alone or together, could also discourage proxy contests and make it more difficult for our shareholders to elect directors other than the candidates nominated by our board.</w:t>
      </w:r>
    </w:p>
    <w:p>
      <w:pPr>
        <w:spacing w:after="0" w:line="71" w:lineRule="exact"/>
        <w:rPr>
          <w:sz w:val="20"/>
          <w:szCs w:val="20"/>
          <w:color w:val="auto"/>
        </w:rPr>
      </w:pPr>
    </w:p>
    <w:p>
      <w:pPr>
        <w:ind w:right="300"/>
        <w:spacing w:after="0" w:line="311" w:lineRule="auto"/>
        <w:rPr>
          <w:sz w:val="20"/>
          <w:szCs w:val="20"/>
          <w:color w:val="auto"/>
        </w:rPr>
      </w:pPr>
      <w:r>
        <w:rPr>
          <w:rFonts w:ascii="Times New Roman" w:cs="Times New Roman" w:eastAsia="Times New Roman" w:hAnsi="Times New Roman"/>
          <w:sz w:val="17"/>
          <w:szCs w:val="17"/>
          <w:b w:val="1"/>
          <w:bCs w:val="1"/>
          <w:i w:val="1"/>
          <w:iCs w:val="1"/>
          <w:color w:val="auto"/>
        </w:rPr>
        <w:t>Future sales and issuances of our ordinary shares, securities convertible into our ordinary shares or rights to purchase ordinary shares or convertible securities could result in additional dilution of the percentage ownership of our shareholders and could cause our share price to decline.</w:t>
      </w:r>
    </w:p>
    <w:p>
      <w:pPr>
        <w:spacing w:after="0" w:line="30" w:lineRule="exact"/>
        <w:rPr>
          <w:sz w:val="20"/>
          <w:szCs w:val="20"/>
          <w:color w:val="auto"/>
        </w:rPr>
      </w:pPr>
    </w:p>
    <w:p>
      <w:pPr>
        <w:ind w:right="120" w:firstLine="439"/>
        <w:spacing w:after="0" w:line="272" w:lineRule="auto"/>
        <w:rPr>
          <w:sz w:val="20"/>
          <w:szCs w:val="20"/>
          <w:color w:val="auto"/>
        </w:rPr>
      </w:pPr>
      <w:r>
        <w:rPr>
          <w:rFonts w:ascii="Times New Roman" w:cs="Times New Roman" w:eastAsia="Times New Roman" w:hAnsi="Times New Roman"/>
          <w:sz w:val="17"/>
          <w:szCs w:val="17"/>
          <w:color w:val="212529"/>
        </w:rPr>
        <w:t xml:space="preserve">We expect to continue to opportunistically seek access to additional capital to license or acquire additional products, product candidates or companies to expand our operations or for general corporate purposes. </w:t>
      </w:r>
      <w:r>
        <w:rPr>
          <w:rFonts w:ascii="Times New Roman" w:cs="Times New Roman" w:eastAsia="Times New Roman" w:hAnsi="Times New Roman"/>
          <w:sz w:val="17"/>
          <w:szCs w:val="17"/>
          <w:color w:val="000000"/>
        </w:rPr>
        <w:t>To the extent we raise additional capital by issuing equity securities or securities convertible into</w:t>
      </w:r>
      <w:r>
        <w:rPr>
          <w:rFonts w:ascii="Times New Roman" w:cs="Times New Roman" w:eastAsia="Times New Roman" w:hAnsi="Times New Roman"/>
          <w:sz w:val="17"/>
          <w:szCs w:val="17"/>
          <w:color w:val="212529"/>
        </w:rPr>
        <w:t xml:space="preserve"> </w:t>
      </w:r>
      <w:r>
        <w:rPr>
          <w:rFonts w:ascii="Times New Roman" w:cs="Times New Roman" w:eastAsia="Times New Roman" w:hAnsi="Times New Roman"/>
          <w:sz w:val="17"/>
          <w:szCs w:val="17"/>
          <w:color w:val="000000"/>
        </w:rPr>
        <w:t>or exchangeable for ordinary shares, our shareholders may experience substantial dilution. We may sell ordinary shares, and we may sell convertible or exchangeable securities or other equity securities in one or more transactions at prices and in a manner we determine from time to time. If we sell such ordinary shares, convertible or exchangeable securities or other equity securities in subsequent transactions, existing shareholders may be materially diluted.</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declared or paid dividends on our capital stock and we do not anticipate paying dividends in the foreseeable future.</w:t>
      </w:r>
    </w:p>
    <w:p>
      <w:pPr>
        <w:spacing w:after="0" w:line="116" w:lineRule="exact"/>
        <w:rPr>
          <w:sz w:val="20"/>
          <w:szCs w:val="20"/>
          <w:color w:val="auto"/>
        </w:rPr>
      </w:pPr>
    </w:p>
    <w:p>
      <w:pPr>
        <w:ind w:right="120" w:firstLine="439"/>
        <w:spacing w:after="0" w:line="252" w:lineRule="auto"/>
        <w:rPr>
          <w:sz w:val="20"/>
          <w:szCs w:val="20"/>
          <w:color w:val="auto"/>
        </w:rPr>
      </w:pPr>
      <w:r>
        <w:rPr>
          <w:rFonts w:ascii="Times New Roman" w:cs="Times New Roman" w:eastAsia="Times New Roman" w:hAnsi="Times New Roman"/>
          <w:sz w:val="18"/>
          <w:szCs w:val="18"/>
          <w:color w:val="auto"/>
        </w:rPr>
        <w:t>We do not currently plan to pay cash dividends in the foreseeable future. Any future determination as to the payment of dividends will, subject to Irish legal requirements, be at the sole discretion of our board of directors and will depend on our financial condition, results of operations, capital requirements, compliance with the terms of the credit agreement and the indenture governing our senior secured notes, and other factors our board of directors deems relevant. Accordingly, holders of our ordinary shares must rely on increases in the trading price of their shares for returns on their investment in the foreseeable future. In addition, in the event that we pay a dividend on our ordinary shares, in certain circumstances, as an Irish tax resident company, some shareholders may be subject to withholding tax, which could adversely affect the price of our ordinary shares.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0"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retain and motivate key personnel or to retain the members of our executive management team, our operations and our future growth may be adversely affected.</w:t>
      </w:r>
    </w:p>
    <w:p>
      <w:pPr>
        <w:spacing w:after="0" w:line="54" w:lineRule="exact"/>
        <w:rPr>
          <w:sz w:val="20"/>
          <w:szCs w:val="20"/>
          <w:color w:val="auto"/>
        </w:rPr>
      </w:pPr>
    </w:p>
    <w:p>
      <w:pPr>
        <w:ind w:firstLine="439"/>
        <w:spacing w:after="0" w:line="250" w:lineRule="auto"/>
        <w:rPr>
          <w:sz w:val="20"/>
          <w:szCs w:val="20"/>
          <w:color w:val="auto"/>
        </w:rPr>
      </w:pPr>
      <w:r>
        <w:rPr>
          <w:rFonts w:ascii="Times New Roman" w:cs="Times New Roman" w:eastAsia="Times New Roman" w:hAnsi="Times New Roman"/>
          <w:sz w:val="18"/>
          <w:szCs w:val="18"/>
          <w:color w:val="auto"/>
        </w:rPr>
        <w:t>Our success and our ability to grow depend in part on our continued ability to attract, retain and motivate highly qualified personnel, including our executive management team. In addition, changes we make to our current and future work environments may not meet the needs or expectations of our employees or may be perceived as less favorable compared to other companies’ policies, which could negatively impact our ability to hire and retain qualified personnel, whether in a remote or in-office environment. The loss of services and institutional knowledge of one or more additional members of our executive management team or other key personnel could delay or prevent the successful completion of some of our vital activities and may negatively impact our operations and future growth. We do not carry “key person” insurance. In addition, changes in our organization as a result of executive management transition may have a disruptive impact on our ability to implement our strategy. Until we integrate new personnel, and unless they are able to succeed in their positions, we may be unable to successfully manage and grow our business. In any event, if we are unable to attract, retain and motivate quality individuals, or</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660"/>
        <w:spacing w:after="0" w:line="276" w:lineRule="auto"/>
        <w:rPr>
          <w:sz w:val="20"/>
          <w:szCs w:val="20"/>
          <w:color w:val="auto"/>
        </w:rPr>
      </w:pPr>
      <w:r>
        <w:rPr>
          <w:rFonts w:ascii="Times New Roman" w:cs="Times New Roman" w:eastAsia="Times New Roman" w:hAnsi="Times New Roman"/>
          <w:sz w:val="18"/>
          <w:szCs w:val="18"/>
          <w:color w:val="auto"/>
        </w:rPr>
        <w:t>if there are delays, or if we do not successfully manage personnel and executive management transitions, our business, financial condition, results of operations and growth prospects could be adversely affected.</w:t>
      </w:r>
    </w:p>
    <w:p>
      <w:pPr>
        <w:spacing w:after="0" w:line="52" w:lineRule="exact"/>
        <w:rPr>
          <w:sz w:val="20"/>
          <w:szCs w:val="20"/>
          <w:color w:val="auto"/>
        </w:rPr>
      </w:pPr>
    </w:p>
    <w:p>
      <w:pPr>
        <w:ind w:right="4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could be negatively affected if we become subject to shareholder activism or hostile bids, which could cause us to incur significant expense, hinder execution of our business strategy and impact our stock price.</w:t>
      </w:r>
    </w:p>
    <w:p>
      <w:pPr>
        <w:spacing w:after="0" w:line="54" w:lineRule="exact"/>
        <w:rPr>
          <w:sz w:val="20"/>
          <w:szCs w:val="20"/>
          <w:color w:val="auto"/>
        </w:rPr>
      </w:pPr>
    </w:p>
    <w:p>
      <w:pPr>
        <w:ind w:firstLine="439"/>
        <w:spacing w:after="0" w:line="252" w:lineRule="auto"/>
        <w:rPr>
          <w:sz w:val="20"/>
          <w:szCs w:val="20"/>
          <w:color w:val="auto"/>
        </w:rPr>
      </w:pPr>
      <w:r>
        <w:rPr>
          <w:rFonts w:ascii="Times New Roman" w:cs="Times New Roman" w:eastAsia="Times New Roman" w:hAnsi="Times New Roman"/>
          <w:sz w:val="18"/>
          <w:szCs w:val="18"/>
          <w:color w:val="auto"/>
        </w:rPr>
        <w:t>Shareholder activism, which takes many forms and arises in a variety of situations, has been increasingly prevalent. Stock price declines may also increase our vulnerability to unsolicited approaches. If we become the subject of certain forms of shareholder activism, such as proxy contests or hostile bids, the attention of our management and our board of directors may be diverted from execution of our strategy. Such shareholder activism could give rise to perceived uncertainties as to our future strategy, adversely affect our relationships with business partners and make it more difficult to attract and retain qualified personnel. Also, we may incur substantial costs, including significant legal fees and other expenses, related to activist shareholder matters. Our stock price could be subject to significant fluctuation or otherwise be adversely affected by the events, risks and uncertainties of any shareholder activism.</w:t>
      </w:r>
    </w:p>
    <w:p>
      <w:pPr>
        <w:spacing w:after="0" w:line="200" w:lineRule="exact"/>
        <w:rPr>
          <w:sz w:val="20"/>
          <w:szCs w:val="20"/>
          <w:color w:val="auto"/>
        </w:rPr>
      </w:pPr>
    </w:p>
    <w:p>
      <w:pPr>
        <w:spacing w:after="0" w:line="27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14" w:lineRule="exact"/>
        <w:rPr>
          <w:sz w:val="20"/>
          <w:szCs w:val="20"/>
          <w:color w:val="auto"/>
        </w:rPr>
      </w:pPr>
    </w:p>
    <w:p>
      <w:pPr>
        <w:ind w:right="380" w:firstLine="439"/>
        <w:spacing w:after="0" w:line="276" w:lineRule="auto"/>
        <w:rPr>
          <w:sz w:val="20"/>
          <w:szCs w:val="20"/>
          <w:color w:val="auto"/>
        </w:rPr>
      </w:pPr>
      <w:r>
        <w:rPr>
          <w:rFonts w:ascii="Times New Roman" w:cs="Times New Roman" w:eastAsia="Times New Roman" w:hAnsi="Times New Roman"/>
          <w:sz w:val="18"/>
          <w:szCs w:val="18"/>
          <w:color w:val="auto"/>
        </w:rPr>
        <w:t>There are no material unresolved written comments that were received from the SEC staff 180 days or more before the end of our 2023 fiscal year relating to our periodic or current reports under the Securities Exchange Act of 1934, as amended.</w:t>
      </w:r>
    </w:p>
    <w:p>
      <w:pPr>
        <w:spacing w:after="0" w:line="200" w:lineRule="exact"/>
        <w:rPr>
          <w:sz w:val="20"/>
          <w:szCs w:val="20"/>
          <w:color w:val="auto"/>
        </w:rPr>
      </w:pPr>
    </w:p>
    <w:p>
      <w:pPr>
        <w:spacing w:after="0" w:line="25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11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implemented and maintain an information security program designed to identify, assess, and manage material risks from cybersecurity threats to our critical computer networks, third party hosted services, communications systems, hardware and software, and our critical data including intellectual property, clinical trial participant and patient-related data, and confidential information that is proprietary, strategic or competitive in nature, or collectively, Information Systems and Data.</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cybersecurity threat risk management processes include the following, among others:</w:t>
      </w:r>
    </w:p>
    <w:p>
      <w:pPr>
        <w:spacing w:after="0" w:line="112" w:lineRule="exact"/>
        <w:rPr>
          <w:sz w:val="20"/>
          <w:szCs w:val="20"/>
          <w:color w:val="auto"/>
        </w:rPr>
      </w:pPr>
    </w:p>
    <w:p>
      <w:pPr>
        <w:ind w:left="640" w:right="100" w:hanging="314"/>
        <w:spacing w:after="0" w:line="256"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information security department identifies and assesses risks from cybersecurity threats by monitoring and evaluating our threat environment and risk profile using various methods including, for example, manual methods and automated tools, conducting scans of the threat environment, conducting threat assessments, performing vulnerability assessments, use of external intelligence feeds, and through third-party-conducted red/blue team testing and tabletop incident response exercises.</w:t>
      </w:r>
    </w:p>
    <w:p>
      <w:pPr>
        <w:spacing w:after="0" w:line="75" w:lineRule="exact"/>
        <w:rPr>
          <w:rFonts w:ascii="Times New Roman" w:cs="Times New Roman" w:eastAsia="Times New Roman" w:hAnsi="Times New Roman"/>
          <w:sz w:val="18"/>
          <w:szCs w:val="18"/>
          <w:color w:val="auto"/>
        </w:rPr>
      </w:pPr>
    </w:p>
    <w:p>
      <w:pPr>
        <w:ind w:left="640" w:right="80" w:hanging="314"/>
        <w:spacing w:after="0" w:line="252"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Depending on the environment, we implement and maintain various technical, physical and organizational measures, processes, standards and policies designed to manage and mitigate material risks from cybersecurity threats to our Information Systems and Data, including, for example: information security policies and standards governing access control, network and device security, encryption standards, incident response plans, disaster recovery plans, risk management, vulnerability detection and management and security awareness training requirements as well as security tools such as firewalls, malware protection tools, secure authentication tools, centralized logging and monitoring tools, threat intelligence tools, and data protection tools.</w:t>
      </w:r>
    </w:p>
    <w:p>
      <w:pPr>
        <w:spacing w:after="0" w:line="80" w:lineRule="exact"/>
        <w:rPr>
          <w:rFonts w:ascii="Times New Roman" w:cs="Times New Roman" w:eastAsia="Times New Roman" w:hAnsi="Times New Roman"/>
          <w:sz w:val="18"/>
          <w:szCs w:val="18"/>
          <w:color w:val="auto"/>
        </w:rPr>
      </w:pPr>
    </w:p>
    <w:p>
      <w:pPr>
        <w:ind w:left="640" w:right="60" w:hanging="314"/>
        <w:spacing w:after="0" w:line="252"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overall risk assessment and management processes address cybersecurity threats that may have a material impact on our business. Our information security department maintains a risk register of individual risks from cybersecurity threats. Our Chief Information Security Officer, or CISO, and Chief Information Officer, or CIO, periodically review the area of cybersecurity risk management within our overall enterprise risk management program and work with our executive director of internal audit and enterprise risk management to incorporate the aggregate risks from the cybersecurity threat risk register into the overall enterprise risk management program risk register. In addition, our CISO and CIO report significant increases to our threat profile to the Information Security Governance Committee (described below).</w:t>
      </w:r>
    </w:p>
    <w:p>
      <w:pPr>
        <w:spacing w:after="0" w:line="80" w:lineRule="exact"/>
        <w:rPr>
          <w:rFonts w:ascii="Times New Roman" w:cs="Times New Roman" w:eastAsia="Times New Roman" w:hAnsi="Times New Roman"/>
          <w:sz w:val="18"/>
          <w:szCs w:val="18"/>
          <w:color w:val="auto"/>
        </w:rPr>
      </w:pPr>
    </w:p>
    <w:p>
      <w:pPr>
        <w:ind w:left="640" w:right="80" w:hanging="314"/>
        <w:spacing w:after="0" w:line="276" w:lineRule="auto"/>
        <w:tabs>
          <w:tab w:leader="none" w:pos="63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use third parties, including professional services, incident response and managed security firms (including some that we have on a pre-paid retainer basis), to assist us from time to time to identify, assess, and manage cybersecurity risks, perform threat assessments relating to our Information Systems and Data by reviewing our business and industry vertical threat profiles and applying those to the overall threat landscape, perform penetration tests, conduct cybersecurity readiness exercises, assess program maturity, and to assist in the event of a cyber security incident.</w:t>
      </w:r>
    </w:p>
    <w:p>
      <w:pPr>
        <w:spacing w:after="0" w:line="59" w:lineRule="exact"/>
        <w:rPr>
          <w:rFonts w:ascii="Times New Roman" w:cs="Times New Roman" w:eastAsia="Times New Roman" w:hAnsi="Times New Roman"/>
          <w:sz w:val="17"/>
          <w:szCs w:val="17"/>
          <w:color w:val="auto"/>
        </w:rPr>
      </w:pPr>
    </w:p>
    <w:p>
      <w:pPr>
        <w:ind w:left="640" w:right="780" w:hanging="314"/>
        <w:spacing w:after="0" w:line="276"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third-party vendor management processes designed to help us identify, assess and manage risks from cybersecurity threats to our Information Systems and Data that may arise out of our use of third-party vendors across</w:t>
      </w: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40" w:right="280"/>
        <w:spacing w:after="0" w:line="283" w:lineRule="auto"/>
        <w:rPr>
          <w:sz w:val="20"/>
          <w:szCs w:val="20"/>
          <w:color w:val="auto"/>
        </w:rPr>
      </w:pPr>
      <w:r>
        <w:rPr>
          <w:rFonts w:ascii="Times New Roman" w:cs="Times New Roman" w:eastAsia="Times New Roman" w:hAnsi="Times New Roman"/>
          <w:sz w:val="17"/>
          <w:szCs w:val="17"/>
          <w:color w:val="auto"/>
        </w:rPr>
        <w:t>our business, including, among others, application providers, hosting companies, contract research organizations, contract manufacturing organizations, distributors, and supply chain resources. Depending on the nature of the services and the service provider, our vendor management processes may include assessment of the cybersecurity practices of such vendors and contractually imposing obligations on the provider.</w:t>
      </w:r>
    </w:p>
    <w:p>
      <w:pPr>
        <w:spacing w:after="0" w:line="52"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For a description of the risks from cybersecurity threats that may materially affect us and how those risks may affect us see “</w:t>
      </w:r>
      <w:r>
        <w:rPr>
          <w:rFonts w:ascii="Times New Roman" w:cs="Times New Roman" w:eastAsia="Times New Roman" w:hAnsi="Times New Roman"/>
          <w:sz w:val="18"/>
          <w:szCs w:val="18"/>
          <w:i w:val="1"/>
          <w:iCs w:val="1"/>
          <w:color w:val="auto"/>
        </w:rPr>
        <w:t>Significant disruptions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information technology systems or data security breaches could adversely affect our business” </w:t>
      </w:r>
      <w:r>
        <w:rPr>
          <w:rFonts w:ascii="Times New Roman" w:cs="Times New Roman" w:eastAsia="Times New Roman" w:hAnsi="Times New Roman"/>
          <w:sz w:val="18"/>
          <w:szCs w:val="18"/>
          <w:color w:val="auto"/>
        </w:rPr>
        <w:t>under Part I, Item 1A. Risk Factors in this Annual Report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10-K.</w:t>
      </w:r>
    </w:p>
    <w:p>
      <w:pPr>
        <w:spacing w:after="0" w:line="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116" w:lineRule="exact"/>
        <w:rPr>
          <w:sz w:val="20"/>
          <w:szCs w:val="20"/>
          <w:color w:val="auto"/>
        </w:rPr>
      </w:pPr>
    </w:p>
    <w:p>
      <w:pPr>
        <w:ind w:left="640" w:right="160" w:hanging="314"/>
        <w:spacing w:after="0" w:line="306" w:lineRule="auto"/>
        <w:tabs>
          <w:tab w:leader="none" w:pos="63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board of directors addresses our cybersecurity risk management as part of its general oversight function. The audit committee of the board of directors, or Audit Committee, helps oversee our cybersecurity risk management processes, including oversight of risks from cybersecurity threats.</w:t>
      </w:r>
    </w:p>
    <w:p>
      <w:pPr>
        <w:spacing w:after="0" w:line="33" w:lineRule="exact"/>
        <w:rPr>
          <w:rFonts w:ascii="Times New Roman" w:cs="Times New Roman" w:eastAsia="Times New Roman" w:hAnsi="Times New Roman"/>
          <w:sz w:val="17"/>
          <w:szCs w:val="17"/>
          <w:color w:val="auto"/>
        </w:rPr>
      </w:pPr>
    </w:p>
    <w:p>
      <w:pPr>
        <w:jc w:val="both"/>
        <w:ind w:left="640" w:right="80" w:hanging="314"/>
        <w:spacing w:after="0" w:line="276" w:lineRule="auto"/>
        <w:tabs>
          <w:tab w:leader="none" w:pos="63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Governance Security Committee and the Audit Committee receive various reports from CISO and CIO. The CISO (or its designee) reports to the Audit Committee on cybersecurity risk on at least a quarterly basis. Written reports and presentation materials regarding cybersecurity risk provided to the Audit Committee are made available to the board of directors and they can discuss the materials and cybersecurity risk with the Audit Committee members. The Internal Audit team oversees internal controls implemented by us under our information security program.</w:t>
      </w:r>
    </w:p>
    <w:p>
      <w:pPr>
        <w:spacing w:after="0" w:line="59" w:lineRule="exact"/>
        <w:rPr>
          <w:rFonts w:ascii="Times New Roman" w:cs="Times New Roman" w:eastAsia="Times New Roman" w:hAnsi="Times New Roman"/>
          <w:sz w:val="17"/>
          <w:szCs w:val="17"/>
          <w:color w:val="auto"/>
        </w:rPr>
      </w:pPr>
    </w:p>
    <w:p>
      <w:pPr>
        <w:ind w:left="640" w:hanging="314"/>
        <w:spacing w:after="0" w:line="251"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information security program is implemented and maintained by certain of our management, including the CISO, CIO and other members of our Information Security Governance Committee (Chief Legal Officer, Chief Financial Officer, and Chief Privacy Officer). Our CISO has been at the company for over 7 years, and has served in various cybersecurity roles for over 20 years across multiple companies and industry verticals including banking, consulting, ecommerce, and pharmaceuticals. He is a Certified Information Systems Security Professional and has experience responding to major information security incidents at previous companies prior to joining the company. Our CIO has been at the company and had oversight of our cybersecurity for over 7 years. In addition, our CIO has served in various information technology roles in the U.S. and overseas for over 25 years across multiple companies and industry verticals including consulting, healthcare, and pharmaceuticals.</w:t>
      </w:r>
    </w:p>
    <w:p>
      <w:pPr>
        <w:spacing w:after="0" w:line="82" w:lineRule="exact"/>
        <w:rPr>
          <w:rFonts w:ascii="Times New Roman" w:cs="Times New Roman" w:eastAsia="Times New Roman" w:hAnsi="Times New Roman"/>
          <w:sz w:val="18"/>
          <w:szCs w:val="18"/>
          <w:color w:val="auto"/>
        </w:rPr>
      </w:pPr>
    </w:p>
    <w:p>
      <w:pPr>
        <w:ind w:left="640" w:right="20" w:hanging="314"/>
        <w:spacing w:after="0" w:line="251"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Security Governance Committee helps assess and manage our cybersecurity risks and monitor the effectiveness of our information security program and risk management. Management, including those serving on our Information Security Governance Committee, is responsible for hiring appropriate cybersecurity personnel, helping to integrate cybersecurity considerations into our overall risk management strategy, providing appropriate resources for cybersecurity risk management, and communicating key priorities to relevant personnel. Our cybersecurity incident response plan includes processes designed to escalate certain cybersecurity incidents that caused a significant impact to us to members of the Information Security Governance Committee, and certain members of executive management depending on the circumstances. In addition, our incident response plan includes reporting to the Audit Committee for certain cybersecurity incidents, including those that have potentially had a material impact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114" w:lineRule="exact"/>
        <w:rPr>
          <w:sz w:val="20"/>
          <w:szCs w:val="20"/>
          <w:color w:val="auto"/>
        </w:rPr>
      </w:pPr>
    </w:p>
    <w:p>
      <w:pPr>
        <w:ind w:right="20" w:firstLine="439"/>
        <w:spacing w:after="0" w:line="256" w:lineRule="auto"/>
        <w:rPr>
          <w:sz w:val="20"/>
          <w:szCs w:val="20"/>
          <w:color w:val="auto"/>
        </w:rPr>
      </w:pPr>
      <w:r>
        <w:rPr>
          <w:rFonts w:ascii="Times New Roman" w:cs="Times New Roman" w:eastAsia="Times New Roman" w:hAnsi="Times New Roman"/>
          <w:sz w:val="18"/>
          <w:szCs w:val="18"/>
          <w:color w:val="auto"/>
        </w:rPr>
        <w:t>Our corporate headquarters are located in Dublin, Ireland, and our U.S. operations are located in Palo Alto, California, Carlsbad, California and Philadelphia, Pennsylvania. In addition to our owned manufacturing and development facilities and our leased administrative, manufacturing and development facilities, we also have dedicated growing facilities operated by contract partners. The following table contains information about our significant properties as of December 31, 2023:</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Type</w:t>
            </w:r>
          </w:p>
        </w:tc>
        <w:tc>
          <w:tcPr>
            <w:tcW w:w="3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2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Approximate Square Feet</w:t>
            </w:r>
          </w:p>
        </w:tc>
        <w:tc>
          <w:tcPr>
            <w:tcW w:w="21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Lease / Contract</w:t>
            </w:r>
          </w:p>
        </w:tc>
        <w:tc>
          <w:tcPr>
            <w:tcW w:w="0" w:type="dxa"/>
            <w:vAlign w:val="bottom"/>
          </w:tcPr>
          <w:p>
            <w:pPr>
              <w:spacing w:after="0"/>
              <w:rPr>
                <w:sz w:val="1"/>
                <w:szCs w:val="1"/>
                <w:color w:val="auto"/>
              </w:rPr>
            </w:pPr>
          </w:p>
        </w:tc>
      </w:tr>
      <w:tr>
        <w:trPr>
          <w:trHeight w:val="192"/>
        </w:trPr>
        <w:tc>
          <w:tcPr>
            <w:tcW w:w="3740" w:type="dxa"/>
            <w:vAlign w:val="bottom"/>
            <w:gridSpan w:val="2"/>
            <w:vMerge w:val="continue"/>
          </w:tcPr>
          <w:p>
            <w:pPr>
              <w:spacing w:after="0"/>
              <w:rPr>
                <w:sz w:val="16"/>
                <w:szCs w:val="16"/>
                <w:color w:val="auto"/>
              </w:rPr>
            </w:pPr>
          </w:p>
        </w:tc>
        <w:tc>
          <w:tcPr>
            <w:tcW w:w="3140" w:type="dxa"/>
            <w:vAlign w:val="bottom"/>
            <w:gridSpan w:val="2"/>
            <w:vMerge w:val="continue"/>
          </w:tcPr>
          <w:p>
            <w:pPr>
              <w:spacing w:after="0"/>
              <w:rPr>
                <w:sz w:val="16"/>
                <w:szCs w:val="16"/>
                <w:color w:val="auto"/>
              </w:rPr>
            </w:pPr>
          </w:p>
        </w:tc>
        <w:tc>
          <w:tcPr>
            <w:tcW w:w="2240" w:type="dxa"/>
            <w:vAlign w:val="bottom"/>
            <w:gridSpan w:val="2"/>
            <w:vMerge w:val="continue"/>
          </w:tcPr>
          <w:p>
            <w:pPr>
              <w:spacing w:after="0"/>
              <w:rPr>
                <w:sz w:val="16"/>
                <w:szCs w:val="16"/>
                <w:color w:val="auto"/>
              </w:rPr>
            </w:pPr>
          </w:p>
        </w:tc>
        <w:tc>
          <w:tcPr>
            <w:tcW w:w="21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225"/>
        </w:trPr>
        <w:tc>
          <w:tcPr>
            <w:tcW w:w="3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office</w:t>
            </w:r>
          </w:p>
        </w:tc>
        <w:tc>
          <w:tcPr>
            <w:tcW w:w="100" w:type="dxa"/>
            <w:vAlign w:val="bottom"/>
            <w:tcBorders>
              <w:top w:val="single" w:sz="8" w:color="CCEEFF"/>
            </w:tcBorders>
            <w:shd w:val="clear" w:color="auto" w:fill="CCEEFF"/>
          </w:tcPr>
          <w:p>
            <w:pPr>
              <w:spacing w:after="0"/>
              <w:rPr>
                <w:sz w:val="19"/>
                <w:szCs w:val="19"/>
                <w:color w:val="auto"/>
              </w:rPr>
            </w:pPr>
          </w:p>
        </w:tc>
        <w:tc>
          <w:tcPr>
            <w:tcW w:w="3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Dublin, Ireland</w:t>
            </w:r>
          </w:p>
        </w:tc>
        <w:tc>
          <w:tcPr>
            <w:tcW w:w="10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0" w:type="dxa"/>
            <w:vAlign w:val="bottom"/>
          </w:tcPr>
          <w:p>
            <w:pPr>
              <w:spacing w:after="0"/>
              <w:rPr>
                <w:sz w:val="1"/>
                <w:szCs w:val="1"/>
                <w:color w:val="auto"/>
              </w:rPr>
            </w:pPr>
          </w:p>
        </w:tc>
      </w:tr>
      <w:tr>
        <w:trPr>
          <w:trHeight w:val="226"/>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Administrative office</w:t>
            </w: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Palo Alto, United States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99,000</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26"/>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office</w:t>
            </w:r>
          </w:p>
        </w:tc>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Philadelphia, United States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26"/>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Administrative office</w:t>
            </w: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Carlsbad, United States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43,000</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0" w:type="dxa"/>
            <w:vAlign w:val="bottom"/>
          </w:tcPr>
          <w:p>
            <w:pPr>
              <w:spacing w:after="0"/>
              <w:rPr>
                <w:sz w:val="1"/>
                <w:szCs w:val="1"/>
                <w:color w:val="auto"/>
              </w:rPr>
            </w:pPr>
          </w:p>
        </w:tc>
      </w:tr>
      <w:tr>
        <w:trPr>
          <w:trHeight w:val="253"/>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office</w:t>
            </w:r>
          </w:p>
        </w:tc>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Oxford, United Kingdom</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10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0" w:type="dxa"/>
            <w:vAlign w:val="bottom"/>
          </w:tcPr>
          <w:p>
            <w:pPr>
              <w:spacing w:after="0"/>
              <w:rPr>
                <w:sz w:val="1"/>
                <w:szCs w:val="1"/>
                <w:color w:val="auto"/>
              </w:rPr>
            </w:pPr>
          </w:p>
        </w:tc>
      </w:tr>
      <w:tr>
        <w:trPr>
          <w:trHeight w:val="226"/>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Administrative office</w:t>
            </w: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Cambridge, United Kingdom</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2030-2031</w:t>
            </w:r>
          </w:p>
        </w:tc>
        <w:tc>
          <w:tcPr>
            <w:tcW w:w="0" w:type="dxa"/>
            <w:vAlign w:val="bottom"/>
          </w:tcPr>
          <w:p>
            <w:pPr>
              <w:spacing w:after="0"/>
              <w:rPr>
                <w:sz w:val="1"/>
                <w:szCs w:val="1"/>
                <w:color w:val="auto"/>
              </w:rPr>
            </w:pPr>
          </w:p>
        </w:tc>
      </w:tr>
      <w:tr>
        <w:trPr>
          <w:trHeight w:val="253"/>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office</w:t>
            </w:r>
          </w:p>
        </w:tc>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Vancouver, Canada</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47"/>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Administrative office and laboratory</w:t>
            </w: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Villa Guardia (Como), Italy</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34,000</w:t>
            </w:r>
          </w:p>
        </w:tc>
        <w:tc>
          <w:tcPr>
            <w:tcW w:w="1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33"/>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 and development</w:t>
            </w:r>
          </w:p>
        </w:tc>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Athlone, Ireland</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58,000</w:t>
            </w:r>
          </w:p>
        </w:tc>
        <w:tc>
          <w:tcPr>
            <w:tcW w:w="100" w:type="dxa"/>
            <w:vAlign w:val="bottom"/>
            <w:shd w:val="clear" w:color="auto" w:fill="CCEEFF"/>
          </w:tcPr>
          <w:p>
            <w:pPr>
              <w:spacing w:after="0"/>
              <w:rPr>
                <w:sz w:val="20"/>
                <w:szCs w:val="20"/>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Owned</w:t>
            </w:r>
          </w:p>
        </w:tc>
        <w:tc>
          <w:tcPr>
            <w:tcW w:w="0" w:type="dxa"/>
            <w:vAlign w:val="bottom"/>
          </w:tcPr>
          <w:p>
            <w:pPr>
              <w:spacing w:after="0"/>
              <w:rPr>
                <w:sz w:val="1"/>
                <w:szCs w:val="1"/>
                <w:color w:val="auto"/>
              </w:rPr>
            </w:pPr>
          </w:p>
        </w:tc>
      </w:tr>
      <w:tr>
        <w:trPr>
          <w:trHeight w:val="226"/>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Manufacturing and development</w:t>
            </w: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Southern United Kingdom</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139,000</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2024-2033</w:t>
            </w:r>
          </w:p>
        </w:tc>
        <w:tc>
          <w:tcPr>
            <w:tcW w:w="0" w:type="dxa"/>
            <w:vAlign w:val="bottom"/>
          </w:tcPr>
          <w:p>
            <w:pPr>
              <w:spacing w:after="0"/>
              <w:rPr>
                <w:sz w:val="1"/>
                <w:szCs w:val="1"/>
                <w:color w:val="auto"/>
              </w:rPr>
            </w:pPr>
          </w:p>
        </w:tc>
      </w:tr>
      <w:tr>
        <w:trPr>
          <w:trHeight w:val="253"/>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 and development</w:t>
            </w:r>
          </w:p>
        </w:tc>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Villa Guardia (Como), Italy</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Owned</w:t>
            </w:r>
          </w:p>
        </w:tc>
        <w:tc>
          <w:tcPr>
            <w:tcW w:w="0" w:type="dxa"/>
            <w:vAlign w:val="bottom"/>
          </w:tcPr>
          <w:p>
            <w:pPr>
              <w:spacing w:after="0"/>
              <w:rPr>
                <w:sz w:val="1"/>
                <w:szCs w:val="1"/>
                <w:color w:val="auto"/>
              </w:rPr>
            </w:pPr>
          </w:p>
        </w:tc>
      </w:tr>
      <w:tr>
        <w:trPr>
          <w:trHeight w:val="226"/>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Growing facility</w:t>
            </w: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Eastern United Kingdom</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1,960,000</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26"/>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Growing facility</w:t>
            </w:r>
          </w:p>
        </w:tc>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Northern United Kingdom</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915,000</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6"/>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Growing facility</w:t>
            </w: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Southern United Kingdom</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0" w:type="dxa"/>
            <w:vAlign w:val="bottom"/>
          </w:tcPr>
          <w:p>
            <w:pPr>
              <w:spacing w:after="0"/>
              <w:rPr>
                <w:sz w:val="1"/>
                <w:szCs w:val="1"/>
                <w:color w:val="auto"/>
              </w:rPr>
            </w:pPr>
          </w:p>
        </w:tc>
      </w:tr>
      <w:tr>
        <w:trPr>
          <w:trHeight w:val="226"/>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Growing facility under construction</w:t>
            </w:r>
          </w:p>
        </w:tc>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Southern United Kingdom</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370,000</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addition, we have offices in Japan, Australia, France and elsewhere in Europe.</w:t>
      </w:r>
    </w:p>
    <w:p>
      <w:pPr>
        <w:spacing w:after="0" w:line="112" w:lineRule="exact"/>
        <w:rPr>
          <w:sz w:val="20"/>
          <w:szCs w:val="20"/>
          <w:color w:val="auto"/>
        </w:rPr>
      </w:pPr>
    </w:p>
    <w:p>
      <w:pPr>
        <w:ind w:right="80" w:firstLine="439"/>
        <w:spacing w:after="0" w:line="276" w:lineRule="auto"/>
        <w:rPr>
          <w:sz w:val="20"/>
          <w:szCs w:val="20"/>
          <w:color w:val="auto"/>
        </w:rPr>
      </w:pPr>
      <w:r>
        <w:rPr>
          <w:rFonts w:ascii="Times New Roman" w:cs="Times New Roman" w:eastAsia="Times New Roman" w:hAnsi="Times New Roman"/>
          <w:sz w:val="18"/>
          <w:szCs w:val="18"/>
          <w:color w:val="auto"/>
        </w:rPr>
        <w:t>We believe that our existing properties are in good condition and suitable for the conduct of our business. As we continue to expand our operations, we may need to lease additional or alternative facilities.</w:t>
      </w:r>
    </w:p>
    <w:p>
      <w:pPr>
        <w:spacing w:after="0" w:line="10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14" w:lineRule="exact"/>
        <w:rPr>
          <w:sz w:val="20"/>
          <w:szCs w:val="20"/>
          <w:color w:val="auto"/>
        </w:rPr>
      </w:pPr>
    </w:p>
    <w:p>
      <w:pPr>
        <w:ind w:right="900" w:firstLine="399"/>
        <w:spacing w:after="0" w:line="236" w:lineRule="exact"/>
        <w:rPr>
          <w:sz w:val="20"/>
          <w:szCs w:val="20"/>
          <w:color w:val="auto"/>
        </w:rPr>
      </w:pPr>
      <w:r>
        <w:rPr>
          <w:rFonts w:ascii="Times New Roman" w:cs="Times New Roman" w:eastAsia="Times New Roman" w:hAnsi="Times New Roman"/>
          <w:sz w:val="18"/>
          <w:szCs w:val="18"/>
          <w:color w:val="auto"/>
        </w:rPr>
        <w:t>The information required to be set forth under this Item 3 is incorporated by reference to Note 14, Commitments and Contingencies—Legal Proceedings of the Notes to Consolidated Financial Statements, included in Part IV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1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66" w:lineRule="exact"/>
        <w:rPr>
          <w:sz w:val="20"/>
          <w:szCs w:val="20"/>
          <w:color w:val="auto"/>
        </w:rPr>
      </w:pPr>
    </w:p>
    <w:p>
      <w:pPr>
        <w:ind w:right="1640"/>
        <w:spacing w:after="0" w:line="371"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right="3820" w:firstLine="439"/>
        <w:spacing w:after="0" w:line="370" w:lineRule="auto"/>
        <w:rPr>
          <w:sz w:val="20"/>
          <w:szCs w:val="20"/>
          <w:color w:val="auto"/>
        </w:rPr>
      </w:pPr>
      <w:r>
        <w:rPr>
          <w:rFonts w:ascii="Times New Roman" w:cs="Times New Roman" w:eastAsia="Times New Roman" w:hAnsi="Times New Roman"/>
          <w:sz w:val="18"/>
          <w:szCs w:val="18"/>
          <w:color w:val="auto"/>
        </w:rPr>
        <w:t xml:space="preserve">Our ordinary shares trade on The Nasdaq Global Select Market under the trading symbol “JAZZ.” </w:t>
      </w:r>
      <w:r>
        <w:rPr>
          <w:rFonts w:ascii="Times New Roman" w:cs="Times New Roman" w:eastAsia="Times New Roman" w:hAnsi="Times New Roman"/>
          <w:sz w:val="18"/>
          <w:szCs w:val="18"/>
          <w:b w:val="1"/>
          <w:bCs w:val="1"/>
          <w:color w:val="auto"/>
        </w:rPr>
        <w:t>Holders of Ordinary Shares</w:t>
      </w:r>
    </w:p>
    <w:p>
      <w:pPr>
        <w:spacing w:after="0" w:line="1" w:lineRule="exact"/>
        <w:rPr>
          <w:sz w:val="20"/>
          <w:szCs w:val="20"/>
          <w:color w:val="auto"/>
        </w:rPr>
      </w:pPr>
    </w:p>
    <w:p>
      <w:pPr>
        <w:ind w:right="340" w:firstLine="439"/>
        <w:spacing w:after="0" w:line="306" w:lineRule="auto"/>
        <w:rPr>
          <w:sz w:val="20"/>
          <w:szCs w:val="20"/>
          <w:color w:val="auto"/>
        </w:rPr>
      </w:pPr>
      <w:r>
        <w:rPr>
          <w:rFonts w:ascii="Times New Roman" w:cs="Times New Roman" w:eastAsia="Times New Roman" w:hAnsi="Times New Roman"/>
          <w:sz w:val="17"/>
          <w:szCs w:val="17"/>
          <w:color w:val="auto"/>
        </w:rPr>
        <w:t>As of February 21, 2024, there were 889 holders of record of our ordinary shares. Because almost all of our ordinary shares are held by brokers, nominees and other institutions on behalf of shareholders, we are unable to estimate the total number of shareholders represented by these record holders.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14" w:lineRule="exact"/>
        <w:rPr>
          <w:sz w:val="20"/>
          <w:szCs w:val="20"/>
          <w:color w:val="auto"/>
        </w:rPr>
      </w:pPr>
    </w:p>
    <w:p>
      <w:pPr>
        <w:ind w:right="40" w:firstLine="439"/>
        <w:spacing w:after="0" w:line="250" w:lineRule="auto"/>
        <w:rPr>
          <w:sz w:val="20"/>
          <w:szCs w:val="20"/>
          <w:color w:val="auto"/>
        </w:rPr>
      </w:pPr>
      <w:r>
        <w:rPr>
          <w:rFonts w:ascii="Times New Roman" w:cs="Times New Roman" w:eastAsia="Times New Roman" w:hAnsi="Times New Roman"/>
          <w:sz w:val="18"/>
          <w:szCs w:val="18"/>
          <w:color w:val="auto"/>
        </w:rPr>
        <w:t>Under Irish law, dividends may only be paid, and share repurchases and redemptions must generally be funded only out of, “distributable reserves.” In addition, the terms of our credit agreement restrict our ability to make certain restricted payments, including dividends and other distributions by us in respect of our ordinary shares, subject to, among other exceptions, (1) a general exception for dividends and restricted payments up to $30 million in the aggregate and (2) an exception that allows for restricted payments, subject to a cap equal to the sum of (i) $100 million plus (ii) so long as our secured leverage ratio (as defined in our credit agreement) does not exceed 3:1 after giving pro forma effect to the restricted payment, a formula-based amount tied to our consolidated net income; provided that such cap applies only if our total leverage ratio (as defined in our credit agreement) exceeds 2:1 after giving pro forma effect to the restricted payment. Any future determination as to the payment of dividends will, subject to Irish legal requirements, be at the sole discretion of our board of directors and will depend on our consolidated financial condition, results of operations, capital requirements, compliance with the terms of our credit agreement or other future borrowing arrangements, and other factors our board of directors deems relevant.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Irish Law Matters</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we are an Irish incorporated company, the following matters of Irish law are relevant to the holders of our ordinary shares.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Irish Restrictions on Import and Export of Capital</w:t>
      </w:r>
    </w:p>
    <w:p>
      <w:pPr>
        <w:spacing w:after="0" w:line="114" w:lineRule="exact"/>
        <w:rPr>
          <w:sz w:val="20"/>
          <w:szCs w:val="20"/>
          <w:color w:val="auto"/>
        </w:rPr>
      </w:pPr>
    </w:p>
    <w:p>
      <w:pPr>
        <w:ind w:firstLine="439"/>
        <w:spacing w:after="0" w:line="249" w:lineRule="auto"/>
        <w:rPr>
          <w:sz w:val="20"/>
          <w:szCs w:val="20"/>
          <w:color w:val="auto"/>
        </w:rPr>
      </w:pPr>
      <w:r>
        <w:rPr>
          <w:rFonts w:ascii="Times New Roman" w:cs="Times New Roman" w:eastAsia="Times New Roman" w:hAnsi="Times New Roman"/>
          <w:sz w:val="18"/>
          <w:szCs w:val="18"/>
          <w:color w:val="auto"/>
        </w:rPr>
        <w:t>Except as indicated below, there are no restrictions on non-residents of Ireland dealing in Irish domestic securities, which includes ordinary shares of Irish companies. Dividends and redemption proceeds also continue to be freely transferable to non-resident holders of such securities. The Financial Transfers Act, 1992 gives power to the Minister for Finance of Ireland to restrict financial transfers between Ireland and other countries and persons. Financial transfers are broadly defined and include all transfers that would be movements of capital or payments within the meaning of the treaties governing the member states of the European Union. The acquisition or disposal of interests in shares issued by an Irish incorporated company and associated payments falls within this definition. In addition, dividends or payments on redemption or purchase of shares and payments on a liquidation of an Irish incorporated company would fall within this definition. At present the Financial Transfers Act, 1992 prohibits financial transfers involving Belarus, Al-Qaida, the Taliban of Afghanistan, Democratic Republic of Congo, Democratic People’s Republic of Korea (North Korea), Iran, Iraq, Côte d’Ivoire, Lebanon, Liberia, Zimbabwe, Sudan, Somalia, Republic of Guinea, Republic of Guinea-Bissau, Afghanistan, Libya, Syria, Tunisia, certain known terrorists and terrorist groups, countries that harbor certain terrorist groups, Ukraine and persons responsible for human rights violations and the undermining of independence in Ukraine and the misappropriation of Ukrainian State funds without the prior permission of the Central Bank of Ireland.</w:t>
      </w:r>
    </w:p>
    <w:p>
      <w:pPr>
        <w:spacing w:after="0" w:line="87" w:lineRule="exact"/>
        <w:rPr>
          <w:sz w:val="20"/>
          <w:szCs w:val="20"/>
          <w:color w:val="auto"/>
        </w:rPr>
      </w:pPr>
    </w:p>
    <w:p>
      <w:pPr>
        <w:jc w:val="both"/>
        <w:ind w:right="180" w:firstLine="439"/>
        <w:spacing w:after="0" w:line="261" w:lineRule="auto"/>
        <w:rPr>
          <w:sz w:val="20"/>
          <w:szCs w:val="20"/>
          <w:color w:val="auto"/>
        </w:rPr>
      </w:pPr>
      <w:r>
        <w:rPr>
          <w:rFonts w:ascii="Times New Roman" w:cs="Times New Roman" w:eastAsia="Times New Roman" w:hAnsi="Times New Roman"/>
          <w:sz w:val="18"/>
          <w:szCs w:val="18"/>
          <w:color w:val="auto"/>
        </w:rPr>
        <w:t>Any transfer of, or payment in respect of, a share or interest in a share involving the government of any country that is currently the subject of United Nations sanctions, any person or body controlled by any of the foregoing, or by any person acting on behalf of the foregoing, may be subject to restrictions pursuant to such sanctions as implemented into Irish law.</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Irish Taxes Applicable to U.S. Holders</w:t>
      </w:r>
    </w:p>
    <w:p>
      <w:pPr>
        <w:spacing w:after="0" w:line="112" w:lineRule="exact"/>
        <w:rPr>
          <w:sz w:val="20"/>
          <w:szCs w:val="20"/>
          <w:color w:val="auto"/>
        </w:rPr>
      </w:pPr>
    </w:p>
    <w:p>
      <w:pPr>
        <w:ind w:right="700" w:firstLine="439"/>
        <w:spacing w:after="0" w:line="276" w:lineRule="auto"/>
        <w:rPr>
          <w:sz w:val="20"/>
          <w:szCs w:val="20"/>
          <w:color w:val="auto"/>
        </w:rPr>
      </w:pPr>
      <w:r>
        <w:rPr>
          <w:rFonts w:ascii="Times New Roman" w:cs="Times New Roman" w:eastAsia="Times New Roman" w:hAnsi="Times New Roman"/>
          <w:sz w:val="18"/>
          <w:szCs w:val="18"/>
          <w:color w:val="auto"/>
        </w:rPr>
        <w:t>Irish Tax on Dividends. While we have no current plans to pay dividends, dividends on our ordinary shares would generally be subject to Irish Dividend Withholding Tax at the standard rate (currently 25%), unless an exemption applies.</w:t>
      </w:r>
    </w:p>
    <w:p>
      <w:pPr>
        <w:spacing w:after="0" w:line="56" w:lineRule="exact"/>
        <w:rPr>
          <w:sz w:val="20"/>
          <w:szCs w:val="20"/>
          <w:color w:val="auto"/>
        </w:rPr>
      </w:pPr>
    </w:p>
    <w:p>
      <w:pPr>
        <w:jc w:val="both"/>
        <w:ind w:right="340" w:firstLine="439"/>
        <w:spacing w:after="0" w:line="261" w:lineRule="auto"/>
        <w:rPr>
          <w:sz w:val="20"/>
          <w:szCs w:val="20"/>
          <w:color w:val="auto"/>
        </w:rPr>
      </w:pPr>
      <w:r>
        <w:rPr>
          <w:rFonts w:ascii="Times New Roman" w:cs="Times New Roman" w:eastAsia="Times New Roman" w:hAnsi="Times New Roman"/>
          <w:sz w:val="18"/>
          <w:szCs w:val="18"/>
          <w:color w:val="auto"/>
        </w:rPr>
        <w:t>Irish Tax on Capital Gains. A shareholder who (i) is neither resident nor ordinarily resident in Ireland for Irish tax purposes and (ii) does not use or hold, and did not acquire, our ordinary shares in connection with a trade or business carried on by such shareholder in Ireland through a branch or agency generally should not be subject to Irish tax on capital gains on a disposal of our ordinary shares.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40" w:firstLine="439"/>
        <w:spacing w:after="0" w:line="276" w:lineRule="auto"/>
        <w:rPr>
          <w:sz w:val="20"/>
          <w:szCs w:val="20"/>
          <w:color w:val="auto"/>
        </w:rPr>
      </w:pPr>
      <w:r>
        <w:rPr>
          <w:rFonts w:ascii="Times New Roman" w:cs="Times New Roman" w:eastAsia="Times New Roman" w:hAnsi="Times New Roman"/>
          <w:sz w:val="18"/>
          <w:szCs w:val="18"/>
          <w:color w:val="auto"/>
        </w:rPr>
        <w:t>A shareholder who is an individual and who is temporarily not resident in Ireland may, under Irish anti-avoidance legislation, still be liable for Irish tax on capital gains on any chargeable gain realized upon the disposal of our ordinary shares during the period in which such individual is a non-resident.</w:t>
      </w:r>
    </w:p>
    <w:p>
      <w:pPr>
        <w:spacing w:after="0" w:line="54" w:lineRule="exact"/>
        <w:rPr>
          <w:sz w:val="20"/>
          <w:szCs w:val="20"/>
          <w:color w:val="auto"/>
        </w:rPr>
      </w:pPr>
    </w:p>
    <w:p>
      <w:pPr>
        <w:ind w:right="100" w:firstLine="439"/>
        <w:spacing w:after="0" w:line="257" w:lineRule="auto"/>
        <w:rPr>
          <w:sz w:val="20"/>
          <w:szCs w:val="20"/>
          <w:color w:val="auto"/>
        </w:rPr>
      </w:pPr>
      <w:r>
        <w:rPr>
          <w:rFonts w:ascii="Times New Roman" w:cs="Times New Roman" w:eastAsia="Times New Roman" w:hAnsi="Times New Roman"/>
          <w:sz w:val="18"/>
          <w:szCs w:val="18"/>
          <w:i w:val="1"/>
          <w:iCs w:val="1"/>
          <w:color w:val="auto"/>
        </w:rPr>
        <w:t>Capital Acquisitions Tax</w:t>
      </w:r>
      <w:r>
        <w:rPr>
          <w:rFonts w:ascii="Times New Roman" w:cs="Times New Roman" w:eastAsia="Times New Roman" w:hAnsi="Times New Roman"/>
          <w:sz w:val="18"/>
          <w:szCs w:val="18"/>
          <w:color w:val="auto"/>
        </w:rPr>
        <w:t>. Irish capital acquisitions tax, or CAT, is comprised principally of gift tax and inheritance tax. CAT could apply to a gift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inheritance of our ordinary shares irrespective of the place of residence, ordinary residence or domicile of the parties. This is because our ordinary shares are regarded as property situated in Ireland as our share register must be held in Ireland. The person who receives the gift or inheritance has primary liability for CAT.</w:t>
      </w:r>
    </w:p>
    <w:p>
      <w:pPr>
        <w:spacing w:after="0" w:line="74" w:lineRule="exact"/>
        <w:rPr>
          <w:sz w:val="20"/>
          <w:szCs w:val="20"/>
          <w:color w:val="auto"/>
        </w:rPr>
      </w:pPr>
    </w:p>
    <w:p>
      <w:pPr>
        <w:jc w:val="both"/>
        <w:ind w:right="40" w:firstLine="439"/>
        <w:spacing w:after="0" w:line="276" w:lineRule="auto"/>
        <w:rPr>
          <w:sz w:val="20"/>
          <w:szCs w:val="20"/>
          <w:color w:val="auto"/>
        </w:rPr>
      </w:pPr>
      <w:r>
        <w:rPr>
          <w:rFonts w:ascii="Times New Roman" w:cs="Times New Roman" w:eastAsia="Times New Roman" w:hAnsi="Times New Roman"/>
          <w:sz w:val="17"/>
          <w:szCs w:val="17"/>
          <w:color w:val="auto"/>
        </w:rPr>
        <w:t>CAT is levied at a rate of 33% above certain tax-free thresholds. The appropriate tax-free threshold is dependent upon (i) the relationship between the donor and the donee and (ii) the aggregation of the values of previous gifts and inheritances received by the donee from persons within the same category of relationship for CAT purposes. Gifts and inheritances passing between spouses are exempt from CAT. Our shareholders should consult their own tax advisers as to any tax consequences of holding our ordinary shares, including whether CAT is creditable or deductible in computing any domestic tax liabilities.</w:t>
      </w:r>
    </w:p>
    <w:p>
      <w:pPr>
        <w:spacing w:after="0" w:line="57" w:lineRule="exact"/>
        <w:rPr>
          <w:sz w:val="20"/>
          <w:szCs w:val="20"/>
          <w:color w:val="auto"/>
        </w:rPr>
      </w:pPr>
    </w:p>
    <w:p>
      <w:pPr>
        <w:ind w:right="20" w:firstLine="43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Stamp Duty. </w:t>
      </w:r>
      <w:r>
        <w:rPr>
          <w:rFonts w:ascii="Times New Roman" w:cs="Times New Roman" w:eastAsia="Times New Roman" w:hAnsi="Times New Roman"/>
          <w:sz w:val="18"/>
          <w:szCs w:val="18"/>
          <w:color w:val="auto"/>
        </w:rPr>
        <w:t>Irish stamp duty (if any) may become payable in respect of ordinary share transfers. However, a transfer of our ordinary shares from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seller who holds shares through Depository Trust Company, or DTC, to a buyer who holds the acquired shares through DTC will not be subject to Irish stamp duty. A transfer of our ordinary shares (i) by a seller who holds ordinary shares outside of DTC to any buyer or (ii) by a seller who holds the ordinary shares through DTC to a buyer who holds the acquired ordinary shares outside of DTC, may be subject to Irish stamp duty (currently at the rate of 1% of the price paid or the market value of the ordinary shares acquired, if greater). The person accountable for payment of stamp duty is the buyer or, in the case of a transfer by way of a gift or for less than market value, all parties to the transfer.</w:t>
      </w:r>
    </w:p>
    <w:p>
      <w:pPr>
        <w:spacing w:after="0" w:line="77" w:lineRule="exact"/>
        <w:rPr>
          <w:sz w:val="20"/>
          <w:szCs w:val="20"/>
          <w:color w:val="auto"/>
        </w:rPr>
      </w:pPr>
    </w:p>
    <w:p>
      <w:pPr>
        <w:ind w:firstLine="439"/>
        <w:spacing w:after="0" w:line="250" w:lineRule="auto"/>
        <w:rPr>
          <w:sz w:val="20"/>
          <w:szCs w:val="20"/>
          <w:color w:val="auto"/>
        </w:rPr>
      </w:pPr>
      <w:r>
        <w:rPr>
          <w:rFonts w:ascii="Times New Roman" w:cs="Times New Roman" w:eastAsia="Times New Roman" w:hAnsi="Times New Roman"/>
          <w:sz w:val="18"/>
          <w:szCs w:val="18"/>
          <w:color w:val="auto"/>
        </w:rPr>
        <w:t>A shareholder who holds ordinary shares outside of DTC may transfer those ordinary shares into DTC without giving rise to Irish stamp duty provided that the shareholder would be the beneficial owner of the related book-entry interest in those ordinary shares recorded in the systems of DTC (and in exactly the same proportions) as a result of the transfer and at the time of the transfer into DTC there is no sale of those book-entry interests to a third party being contemplated by the shareholder. Similarly, a shareholder who holds ordinary shares through DTC may transfer those ordinary shares out of DTC without giving rise to Irish stamp duty provided that the shareholder would be the beneficial owner of the ordinary shares (and in exactly the same proportions) as a result of the transfer, and at the time of the transfer out of DTC there is no sale of those ordinary shares to a third party being contemplated by the shareholder. In order for the share registrar to be satisfied as to the application of this Irish stamp duty treatment where relevant, the shareholder must confirm to us that the shareholder would be the beneficial owner of the related book-entry interest in those ordinary shares recorded in the systems of DTC (and in exactly the same proportions) (or vice-versa) as a result of the transfer and there is no agreement being contemplated for the sale of the related book-entry interest or the ordinary shares or an interest in the ordinary shares, as the case may be, by the shareholder to a third party.</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Measurement Comparison (1)</w:t>
      </w:r>
    </w:p>
    <w:p>
      <w:pPr>
        <w:spacing w:after="0" w:line="114" w:lineRule="exact"/>
        <w:rPr>
          <w:sz w:val="20"/>
          <w:szCs w:val="20"/>
          <w:color w:val="auto"/>
        </w:rPr>
      </w:pPr>
    </w:p>
    <w:p>
      <w:pPr>
        <w:ind w:right="60" w:firstLine="439"/>
        <w:spacing w:after="0" w:line="256" w:lineRule="auto"/>
        <w:rPr>
          <w:sz w:val="20"/>
          <w:szCs w:val="20"/>
          <w:color w:val="auto"/>
        </w:rPr>
      </w:pPr>
      <w:r>
        <w:rPr>
          <w:rFonts w:ascii="Times New Roman" w:cs="Times New Roman" w:eastAsia="Times New Roman" w:hAnsi="Times New Roman"/>
          <w:sz w:val="18"/>
          <w:szCs w:val="18"/>
          <w:color w:val="auto"/>
        </w:rPr>
        <w:t>The following graphs show the total shareholder return on the last day of each year of an investment of $100 in cash as if made on December 31, 2018 and on the last day of each quarter of an investment of $100 in cash as if made on December 31, 2022, respectively, in (i) our ordinary shares; (ii) the Nasdaq Composite Index; and (iii) the Nasdaq Biotechnology Index through December 31, 2023. The shareholder return shown in the graphs below are not necessarily indicative of future performance, and we do not make or endorse any predictions as to future shareholder returns.</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COMPARISON OF FIVE YEAR CUMULATIVE TOTAL RETURN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967740</wp:posOffset>
            </wp:positionH>
            <wp:positionV relativeFrom="paragraph">
              <wp:posOffset>84455</wp:posOffset>
            </wp:positionV>
            <wp:extent cx="5207000" cy="27470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207000" cy="2747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COMPARISON OF ONE YEAR CUMULATIVE TOTAL RETURN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967740</wp:posOffset>
            </wp:positionH>
            <wp:positionV relativeFrom="paragraph">
              <wp:posOffset>84455</wp:posOffset>
            </wp:positionV>
            <wp:extent cx="5207000" cy="27470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207000" cy="2747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59" w:lineRule="exact"/>
        <w:rPr>
          <w:sz w:val="20"/>
          <w:szCs w:val="20"/>
          <w:color w:val="auto"/>
        </w:rPr>
      </w:pPr>
    </w:p>
    <w:p>
      <w:pPr>
        <w:ind w:left="560" w:hanging="314"/>
        <w:spacing w:after="0" w:line="261" w:lineRule="auto"/>
        <w:tabs>
          <w:tab w:leader="none" w:pos="55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is not “soliciting material,” is not deemed “filed” with the SEC and is not to be incorporated by reference into any of our filings under the Securities Act of 1933, as amended, or the Securities Exchange Act of 1934, as amended, or Exchange Act, whether made before or after the date hereof and irrespective of any general incorporation language in any such filing.</w:t>
      </w:r>
    </w:p>
    <w:p>
      <w:pPr>
        <w:spacing w:after="0" w:line="16" w:lineRule="exact"/>
        <w:rPr>
          <w:rFonts w:ascii="Times New Roman" w:cs="Times New Roman" w:eastAsia="Times New Roman" w:hAnsi="Times New Roman"/>
          <w:sz w:val="18"/>
          <w:szCs w:val="18"/>
          <w:color w:val="auto"/>
        </w:rPr>
      </w:pPr>
    </w:p>
    <w:p>
      <w:pPr>
        <w:ind w:left="560" w:hanging="314"/>
        <w:spacing w:after="0"/>
        <w:tabs>
          <w:tab w:leader="none" w:pos="5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used in the graph was obtained from Research Data Group, Inc.</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purchases of our ordinary shares made by or on behalf of us or any of our “affiliated purchasers” as defined in Rule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10b-18(a)(3) under the Securities Exchange Act of 1934, as amended, during each fiscal month during the three-month period ended December 31, 2023:</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Maximum Number (or</w:t>
            </w:r>
          </w:p>
        </w:tc>
      </w:tr>
      <w:tr>
        <w:trPr>
          <w:trHeight w:val="135"/>
        </w:trPr>
        <w:tc>
          <w:tcPr>
            <w:tcW w:w="32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00" w:type="dxa"/>
            <w:vAlign w:val="bottom"/>
          </w:tcPr>
          <w:p>
            <w:pPr>
              <w:jc w:val="center"/>
              <w:ind w:right="40"/>
              <w:spacing w:after="0" w:line="135" w:lineRule="exact"/>
              <w:rPr>
                <w:sz w:val="20"/>
                <w:szCs w:val="20"/>
                <w:color w:val="auto"/>
              </w:rPr>
            </w:pPr>
            <w:r>
              <w:rPr>
                <w:rFonts w:ascii="Times New Roman" w:cs="Times New Roman" w:eastAsia="Times New Roman" w:hAnsi="Times New Roman"/>
                <w:sz w:val="14"/>
                <w:szCs w:val="14"/>
                <w:b w:val="1"/>
                <w:bCs w:val="1"/>
                <w:color w:val="auto"/>
              </w:rPr>
              <w:t>Approximate Dollar Value) of</w:t>
            </w:r>
          </w:p>
        </w:tc>
      </w:tr>
      <w:tr>
        <w:trPr>
          <w:trHeight w:val="158"/>
        </w:trPr>
        <w:tc>
          <w:tcPr>
            <w:tcW w:w="3260" w:type="dxa"/>
            <w:vAlign w:val="bottom"/>
          </w:tcPr>
          <w:p>
            <w:pPr>
              <w:spacing w:after="0"/>
              <w:rPr>
                <w:sz w:val="13"/>
                <w:szCs w:val="13"/>
                <w:color w:val="auto"/>
              </w:rPr>
            </w:pPr>
          </w:p>
        </w:tc>
        <w:tc>
          <w:tcPr>
            <w:tcW w:w="1840" w:type="dxa"/>
            <w:vAlign w:val="bottom"/>
          </w:tcPr>
          <w:p>
            <w:pPr>
              <w:jc w:val="right"/>
              <w:ind w:right="117"/>
              <w:spacing w:after="0" w:line="158" w:lineRule="exact"/>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jc w:val="right"/>
              <w:ind w:right="37"/>
              <w:spacing w:after="0" w:line="158" w:lineRule="exact"/>
              <w:rPr>
                <w:sz w:val="20"/>
                <w:szCs w:val="20"/>
                <w:color w:val="auto"/>
              </w:rPr>
            </w:pPr>
            <w:r>
              <w:rPr>
                <w:rFonts w:ascii="Times New Roman" w:cs="Times New Roman" w:eastAsia="Times New Roman" w:hAnsi="Times New Roman"/>
                <w:sz w:val="14"/>
                <w:szCs w:val="14"/>
                <w:b w:val="1"/>
                <w:bCs w:val="1"/>
                <w:color w:val="auto"/>
                <w:w w:val="99"/>
              </w:rPr>
              <w:t>Average Price Paid per</w:t>
            </w:r>
          </w:p>
        </w:tc>
        <w:tc>
          <w:tcPr>
            <w:tcW w:w="80" w:type="dxa"/>
            <w:vAlign w:val="bottom"/>
          </w:tcPr>
          <w:p>
            <w:pPr>
              <w:spacing w:after="0"/>
              <w:rPr>
                <w:sz w:val="13"/>
                <w:szCs w:val="13"/>
                <w:color w:val="auto"/>
              </w:rPr>
            </w:pPr>
          </w:p>
        </w:tc>
        <w:tc>
          <w:tcPr>
            <w:tcW w:w="196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100" w:type="dxa"/>
            <w:vAlign w:val="bottom"/>
          </w:tcPr>
          <w:p>
            <w:pPr>
              <w:spacing w:after="0"/>
              <w:rPr>
                <w:sz w:val="13"/>
                <w:szCs w:val="13"/>
                <w:color w:val="auto"/>
              </w:rPr>
            </w:pPr>
          </w:p>
        </w:tc>
        <w:tc>
          <w:tcPr>
            <w:tcW w:w="222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Shares that May Yet Be Purchased</w:t>
            </w:r>
          </w:p>
        </w:tc>
      </w:tr>
      <w:tr>
        <w:trPr>
          <w:trHeight w:val="193"/>
        </w:trPr>
        <w:tc>
          <w:tcPr>
            <w:tcW w:w="3260" w:type="dxa"/>
            <w:vAlign w:val="bottom"/>
          </w:tcPr>
          <w:p>
            <w:pPr>
              <w:spacing w:after="0"/>
              <w:rPr>
                <w:sz w:val="16"/>
                <w:szCs w:val="16"/>
                <w:color w:val="auto"/>
              </w:rPr>
            </w:pPr>
          </w:p>
        </w:tc>
        <w:tc>
          <w:tcPr>
            <w:tcW w:w="184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Purchased (1)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Share (2)</w:t>
            </w:r>
          </w:p>
        </w:tc>
        <w:tc>
          <w:tcPr>
            <w:tcW w:w="204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Under the Plans or Programs (4)</w:t>
            </w:r>
          </w:p>
        </w:tc>
      </w:tr>
      <w:tr>
        <w:trPr>
          <w:trHeight w:val="226"/>
        </w:trPr>
        <w:tc>
          <w:tcPr>
            <w:tcW w:w="32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October 1 - October 31, 2023</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DFF"/>
            </w:tcBorders>
            <w:shd w:val="clear" w:color="auto" w:fill="CCED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DFF"/>
            </w:tcBorders>
            <w:shd w:val="clear" w:color="auto" w:fill="CCED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DFF"/>
            </w:tcBorders>
            <w:shd w:val="clear" w:color="auto" w:fill="CCED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261,226,226</w:t>
            </w:r>
          </w:p>
        </w:tc>
      </w:tr>
      <w:tr>
        <w:trPr>
          <w:trHeight w:val="226"/>
        </w:trPr>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November 1 - November 30, 2023</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811,384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122.99</w:t>
            </w:r>
          </w:p>
        </w:tc>
        <w:tc>
          <w:tcPr>
            <w:tcW w:w="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811,384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161,447,383</w:t>
            </w:r>
          </w:p>
        </w:tc>
      </w:tr>
      <w:tr>
        <w:trPr>
          <w:trHeight w:val="226"/>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December 1 - December 31, 2023</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D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161,447,383</w:t>
            </w:r>
          </w:p>
        </w:tc>
      </w:tr>
      <w:tr>
        <w:trPr>
          <w:trHeight w:val="220"/>
        </w:trPr>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811,384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122.99</w:t>
            </w:r>
          </w:p>
        </w:tc>
        <w:tc>
          <w:tcPr>
            <w:tcW w:w="80" w:type="dxa"/>
            <w:vAlign w:val="bottom"/>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811,384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20"/>
        </w:trPr>
        <w:tc>
          <w:tcPr>
            <w:tcW w:w="32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bl>
    <w:p>
      <w:pPr>
        <w:spacing w:after="0" w:line="274" w:lineRule="exact"/>
        <w:rPr>
          <w:sz w:val="20"/>
          <w:szCs w:val="20"/>
          <w:color w:val="auto"/>
        </w:rPr>
      </w:pPr>
    </w:p>
    <w:p>
      <w:pPr>
        <w:ind w:left="640" w:right="60" w:hanging="314"/>
        <w:spacing w:after="0" w:line="261" w:lineRule="auto"/>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does not include ordinary shares that we withheld in order to satisfy tax withholding requirements in connection with the vesting and release of restricted stock units. All the ordinary shares reported in this column were purchased pursuant to our publicly announced share repurchase program.</w:t>
      </w:r>
    </w:p>
    <w:p>
      <w:pPr>
        <w:spacing w:after="0" w:line="70"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price paid per ordinary share includes brokerage commissions.</w:t>
      </w:r>
    </w:p>
    <w:p>
      <w:pPr>
        <w:spacing w:after="0" w:line="11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reported in the table above were purchased pursuant to our publicly announced share repurchase program. On</w:t>
      </w:r>
    </w:p>
    <w:p>
      <w:pPr>
        <w:spacing w:after="0" w:line="25" w:lineRule="exact"/>
        <w:rPr>
          <w:rFonts w:ascii="Times New Roman" w:cs="Times New Roman" w:eastAsia="Times New Roman" w:hAnsi="Times New Roman"/>
          <w:sz w:val="18"/>
          <w:szCs w:val="18"/>
          <w:color w:val="auto"/>
        </w:rPr>
      </w:pPr>
    </w:p>
    <w:p>
      <w:pPr>
        <w:ind w:left="640"/>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November 8, 2016, we announced that our board of directors had authorized the use of up to $300 million to repurchase our ordinary shares. In November 2018, December 2018, and October 2019, our board of directors increased the existing share repurchase program authorization by $320.0 million, $400.0 million, and $500.0 million respectively thereby increasing the total amount authorized for repurchase of ordinary shares having an aggregate purchase price of up to $1.5 billion, exclusive of any brokerage commissions. Under this program, which has no expiration date, we may repurchase ordinary shares from time to time on the open market. Such repurchases may be pursuant to Rule 10b-18 or Rule 10b5-1 agreements as determined by our management and in accordance with the requirements of the Securities and Exchange Commission. The timing and amount of repurchases will depend on a variety of factors, including the price of our ordinary shares, alternative investment opportunities, restrictions under our credit agreement, corporate and regulatory requirements and market conditions. The share repurchase program may be modified, suspended or discontinued at any time without prior notice.</w:t>
      </w:r>
    </w:p>
    <w:p>
      <w:pPr>
        <w:spacing w:after="0" w:line="87" w:lineRule="exact"/>
        <w:rPr>
          <w:rFonts w:ascii="Times New Roman" w:cs="Times New Roman" w:eastAsia="Times New Roman" w:hAnsi="Times New Roman"/>
          <w:sz w:val="18"/>
          <w:szCs w:val="18"/>
          <w:color w:val="auto"/>
        </w:rPr>
      </w:pPr>
    </w:p>
    <w:p>
      <w:pPr>
        <w:ind w:left="640" w:right="20" w:hanging="314"/>
        <w:spacing w:after="0" w:line="276" w:lineRule="auto"/>
        <w:tabs>
          <w:tab w:leader="none" w:pos="6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dollar amount shown represents, as of the end of each period, the approximate dollar value of ordinary shares that may yet be purchased under our publicly announced share repurchase program, exclusive of any brokerage commissions. The timing and amount of repurchases will depend on a variety of factors, including the price of our ordinary shares, alternative investment opportunities, restrictions under our credit agreement, corporate and regulatory requirements and market conditions, and may be modified, suspended or otherwise discontinued at any time without prior notice.</w:t>
      </w:r>
    </w:p>
    <w:p>
      <w:pPr>
        <w:spacing w:after="0" w:line="11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7" w:lineRule="exact"/>
        <w:rPr>
          <w:sz w:val="20"/>
          <w:szCs w:val="20"/>
          <w:color w:val="auto"/>
        </w:rPr>
      </w:pPr>
    </w:p>
    <w:p>
      <w:pPr>
        <w:ind w:firstLine="639"/>
        <w:spacing w:after="0" w:line="213" w:lineRule="exact"/>
        <w:rPr>
          <w:sz w:val="20"/>
          <w:szCs w:val="20"/>
          <w:color w:val="auto"/>
        </w:rPr>
      </w:pPr>
      <w:r>
        <w:rPr>
          <w:rFonts w:ascii="Times New Roman" w:cs="Times New Roman" w:eastAsia="Times New Roman" w:hAnsi="Times New Roman"/>
          <w:sz w:val="17"/>
          <w:szCs w:val="17"/>
          <w:i w:val="1"/>
          <w:iCs w:val="1"/>
          <w:color w:val="auto"/>
        </w:rPr>
        <w:t>The purpose of the Management Discussion and Analysis is to present information that management believes is relevant to promote an understanding of our results of operations and cash flows for the fiscal year ended December 31, 2023 and our financial condition as of December 31, 2023 and should be read in conjunction with the consolidated financial statements and notes to consolidated financial statements included elsewhere in this Annual Report on Form 10</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i w:val="1"/>
          <w:iCs w:val="1"/>
          <w:color w:val="auto"/>
        </w:rPr>
        <w:t>K. This discussion contains forward-looking statements that involve risks and uncertainties. When reviewing the discussion below, you should keep in mind the substantial risks and uncertainties that impact or could impact our business. In particular, we encourage you to review the risks and uncertainties described in “Risk Factors” in Part I, Item 1A in this Annual Report on Form 10</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i w:val="1"/>
          <w:iCs w:val="1"/>
          <w:color w:val="auto"/>
        </w:rPr>
        <w:t>K. These risks and uncertainties could cause actual results to differ materially from those projected in forward-looking statements contained in this report or implied by past results and trends. Forward-looking statements are statements that attempt to forecast or anticipate future developments in our business, financial condition or results of operations. See the “Cautionary Note Regarding Forward-Looking Statements” that appears at the beginning of this Annual Report. These statements, like all statements in this report, speak only as of the date of this Annual Report on Form 10-K (unless another date is indicated), and we undertake no obligation to update or revise these statements in light of future developments. Forward-looking statements are statements that attempt to forecast or anticipate future developments in our business, financial condition or results of operations. See the “Cautionary Note Regarding Forward-Looking Statements” that appears at the beginning of this Annual Report. These statements, like all statements in this report, speak only as of the date of this Annual Report on Form 10-K (unless another date is indicated), and we undertake no obligation to update or revise these statements in light of future developments.</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4" w:lineRule="exact"/>
        <w:rPr>
          <w:sz w:val="20"/>
          <w:szCs w:val="20"/>
          <w:color w:val="auto"/>
        </w:rPr>
      </w:pPr>
    </w:p>
    <w:p>
      <w:pPr>
        <w:ind w:right="140" w:firstLine="439"/>
        <w:spacing w:after="0" w:line="254" w:lineRule="auto"/>
        <w:rPr>
          <w:sz w:val="20"/>
          <w:szCs w:val="20"/>
          <w:color w:val="auto"/>
        </w:rPr>
      </w:pPr>
      <w:r>
        <w:rPr>
          <w:rFonts w:ascii="Times New Roman" w:cs="Times New Roman" w:eastAsia="Times New Roman" w:hAnsi="Times New Roman"/>
          <w:sz w:val="18"/>
          <w:szCs w:val="18"/>
          <w:color w:val="auto"/>
        </w:rPr>
        <w:t>Jazz Pharmaceuticals plc is a global biopharmaceutical company whose purpose is to innovate to transform the lives of patients and their families. We are dedicated to developing life-changing medicines for people with serious diseases - often with limited or no therapeutic options. We have a diverse portfolio of marketed medicines, including leading therapies for sleep disorders and epilepsy, and a growing portfolio of cancer treatments. Our patient-focused and science-driven approach powers pioneering research and development advancements across our robust pipeline of innovative therapeutics in oncology and neuroscience.</w:t>
      </w:r>
    </w:p>
    <w:p>
      <w:pPr>
        <w:spacing w:after="0" w:line="76" w:lineRule="exact"/>
        <w:rPr>
          <w:sz w:val="20"/>
          <w:szCs w:val="20"/>
          <w:color w:val="auto"/>
        </w:rPr>
      </w:pPr>
    </w:p>
    <w:p>
      <w:pPr>
        <w:ind w:firstLine="439"/>
        <w:spacing w:after="0" w:line="252" w:lineRule="auto"/>
        <w:rPr>
          <w:sz w:val="20"/>
          <w:szCs w:val="20"/>
          <w:color w:val="auto"/>
        </w:rPr>
      </w:pPr>
      <w:r>
        <w:rPr>
          <w:rFonts w:ascii="Times New Roman" w:cs="Times New Roman" w:eastAsia="Times New Roman" w:hAnsi="Times New Roman"/>
          <w:sz w:val="18"/>
          <w:szCs w:val="18"/>
          <w:color w:val="auto"/>
        </w:rPr>
        <w:t>Our strategy for growth is rooted in executing commercial launches and ongoing commercialization initiatives, advancing robust research and development, or R&amp;D, programs and delivering impactful clinical results, effectively deploying capital to strengthen the prospects of achieving our short- and long-term goals through strategic corporate development, and delivering strong financial performance. We focus on patient populations with high unmet needs. We identify and develop differentiated therapies for these patients that we expect will be long-lived assets and that we can support with an efficient commercialization model. In addition, we leverage our efficient, scalable operating model and integrated capabilities across our global infrastructure to effectively reach patients around the world.</w:t>
      </w:r>
    </w:p>
    <w:p>
      <w:pPr>
        <w:spacing w:after="0" w:line="80" w:lineRule="exact"/>
        <w:rPr>
          <w:sz w:val="20"/>
          <w:szCs w:val="20"/>
          <w:color w:val="auto"/>
        </w:rPr>
      </w:pPr>
    </w:p>
    <w:p>
      <w:pPr>
        <w:ind w:right="20" w:firstLine="439"/>
        <w:spacing w:after="0" w:line="261" w:lineRule="auto"/>
        <w:rPr>
          <w:sz w:val="20"/>
          <w:szCs w:val="20"/>
          <w:color w:val="auto"/>
        </w:rPr>
      </w:pPr>
      <w:r>
        <w:rPr>
          <w:rFonts w:ascii="Times New Roman" w:cs="Times New Roman" w:eastAsia="Times New Roman" w:hAnsi="Times New Roman"/>
          <w:sz w:val="18"/>
          <w:szCs w:val="18"/>
          <w:color w:val="auto"/>
        </w:rPr>
        <w:t>In January 2022, we announced our Vision 2025, which aims to deliver sustainable growth and enhanced value, driving our continued transformation to an innovative, high-growth global pharmaceutical leader. The three core components of our Vision 2025 focus on commercial execution, pipeline productivity and operational excellence.</w:t>
      </w:r>
    </w:p>
    <w:p>
      <w:pPr>
        <w:spacing w:after="0" w:line="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strategy to deliver sustainable growth and enhanced value is focused on:</w:t>
      </w:r>
    </w:p>
    <w:p>
      <w:pPr>
        <w:spacing w:after="0" w:line="112" w:lineRule="exact"/>
        <w:rPr>
          <w:sz w:val="20"/>
          <w:szCs w:val="20"/>
          <w:color w:val="auto"/>
        </w:rPr>
      </w:pPr>
    </w:p>
    <w:p>
      <w:pPr>
        <w:ind w:left="720" w:right="340" w:hanging="314"/>
        <w:spacing w:after="0" w:line="276" w:lineRule="auto"/>
        <w:tabs>
          <w:tab w:leader="none" w:pos="7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commercial execution to drive diversified revenue growth and address unmet medical needs of our patients across our product portfolio, which focuses on neuroscience and oncology medicines;</w:t>
      </w:r>
    </w:p>
    <w:p>
      <w:pPr>
        <w:spacing w:after="0" w:line="56" w:lineRule="exact"/>
        <w:rPr>
          <w:rFonts w:ascii="Times New Roman" w:cs="Times New Roman" w:eastAsia="Times New Roman" w:hAnsi="Times New Roman"/>
          <w:sz w:val="18"/>
          <w:szCs w:val="18"/>
          <w:color w:val="auto"/>
        </w:rPr>
      </w:pPr>
    </w:p>
    <w:p>
      <w:pPr>
        <w:ind w:left="720" w:hanging="314"/>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advancing our pipeline to achieve a valuable portfolio of durable, highly differentiated products;</w:t>
      </w:r>
    </w:p>
    <w:p>
      <w:pPr>
        <w:spacing w:after="0" w:line="112" w:lineRule="exact"/>
        <w:rPr>
          <w:rFonts w:ascii="Times New Roman" w:cs="Times New Roman" w:eastAsia="Times New Roman" w:hAnsi="Times New Roman"/>
          <w:sz w:val="18"/>
          <w:szCs w:val="18"/>
          <w:color w:val="auto"/>
        </w:rPr>
      </w:pPr>
    </w:p>
    <w:p>
      <w:pPr>
        <w:ind w:left="720" w:right="160" w:hanging="314"/>
        <w:spacing w:after="0" w:line="276" w:lineRule="auto"/>
        <w:tabs>
          <w:tab w:leader="none" w:pos="7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build a flexible, efficient and productive development engine for targeted therapeutic areas to identify and progress early-, mid- and late-stage assets;</w:t>
      </w:r>
    </w:p>
    <w:p>
      <w:pPr>
        <w:spacing w:after="0" w:line="56" w:lineRule="exact"/>
        <w:rPr>
          <w:rFonts w:ascii="Times New Roman" w:cs="Times New Roman" w:eastAsia="Times New Roman" w:hAnsi="Times New Roman"/>
          <w:sz w:val="18"/>
          <w:szCs w:val="18"/>
          <w:color w:val="auto"/>
        </w:rPr>
      </w:pPr>
    </w:p>
    <w:p>
      <w:pPr>
        <w:ind w:left="720" w:hanging="314"/>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acquiring novel product candidates and approved therapies to complement our existing pipeline and commercial portfolio;</w:t>
      </w:r>
    </w:p>
    <w:p>
      <w:pPr>
        <w:spacing w:after="0" w:line="112" w:lineRule="exact"/>
        <w:rPr>
          <w:rFonts w:ascii="Times New Roman" w:cs="Times New Roman" w:eastAsia="Times New Roman" w:hAnsi="Times New Roman"/>
          <w:sz w:val="18"/>
          <w:szCs w:val="18"/>
          <w:color w:val="auto"/>
        </w:rPr>
      </w:pPr>
    </w:p>
    <w:p>
      <w:pPr>
        <w:ind w:left="720" w:hanging="314"/>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an efficient, scalable operating model and differentiated capabilities to enable growth; and</w:t>
      </w:r>
    </w:p>
    <w:p>
      <w:pPr>
        <w:spacing w:after="0" w:line="112" w:lineRule="exact"/>
        <w:rPr>
          <w:rFonts w:ascii="Times New Roman" w:cs="Times New Roman" w:eastAsia="Times New Roman" w:hAnsi="Times New Roman"/>
          <w:sz w:val="18"/>
          <w:szCs w:val="18"/>
          <w:color w:val="auto"/>
        </w:rPr>
      </w:pPr>
    </w:p>
    <w:p>
      <w:pPr>
        <w:ind w:left="720" w:hanging="314"/>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Unlocking further value through indication expansion and entry into global markets.</w:t>
      </w:r>
    </w:p>
    <w:p>
      <w:pPr>
        <w:spacing w:after="0" w:line="112" w:lineRule="exact"/>
        <w:rPr>
          <w:sz w:val="20"/>
          <w:szCs w:val="20"/>
          <w:color w:val="auto"/>
        </w:rPr>
      </w:pPr>
    </w:p>
    <w:p>
      <w:pPr>
        <w:ind w:firstLine="439"/>
        <w:spacing w:after="0" w:line="261" w:lineRule="auto"/>
        <w:rPr>
          <w:sz w:val="20"/>
          <w:szCs w:val="20"/>
          <w:color w:val="auto"/>
        </w:rPr>
      </w:pPr>
      <w:r>
        <w:rPr>
          <w:rFonts w:ascii="Times New Roman" w:cs="Times New Roman" w:eastAsia="Times New Roman" w:hAnsi="Times New Roman"/>
          <w:sz w:val="18"/>
          <w:szCs w:val="18"/>
          <w:color w:val="auto"/>
        </w:rPr>
        <w:t>In 2023, consistent with our strategy, we continued to focus on research and development activities within our neuroscience and oncology therapeutic areas. For a summary of our ongoing research and development activities, see “Business—Research and Development” in Part I, Item 1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marketed products, listed below, are approved in countries around the world to improve patient care.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Indications</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Initial Approval Date</w:t>
            </w:r>
          </w:p>
        </w:tc>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Markets</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20" w:type="dxa"/>
            <w:vAlign w:val="bottom"/>
            <w:tcBorders>
              <w:top w:val="single" w:sz="8" w:color="auto"/>
              <w:bottom w:val="single" w:sz="8" w:color="B6B6B6"/>
            </w:tcBorders>
          </w:tcPr>
          <w:p>
            <w:pPr>
              <w:spacing w:after="0" w:line="20" w:lineRule="exact"/>
              <w:rPr>
                <w:sz w:val="1"/>
                <w:szCs w:val="1"/>
                <w:color w:val="auto"/>
              </w:rPr>
            </w:pPr>
          </w:p>
        </w:tc>
        <w:tc>
          <w:tcPr>
            <w:tcW w:w="2000" w:type="dxa"/>
            <w:vAlign w:val="bottom"/>
            <w:tcBorders>
              <w:bottom w:val="single" w:sz="8" w:color="B6B6B6"/>
            </w:tcBorders>
          </w:tcPr>
          <w:p>
            <w:pPr>
              <w:spacing w:after="0" w:line="20" w:lineRule="exact"/>
              <w:rPr>
                <w:sz w:val="1"/>
                <w:szCs w:val="1"/>
                <w:color w:val="auto"/>
              </w:rPr>
            </w:pPr>
          </w:p>
        </w:tc>
        <w:tc>
          <w:tcPr>
            <w:tcW w:w="860" w:type="dxa"/>
            <w:vAlign w:val="bottom"/>
            <w:tcBorders>
              <w:top w:val="single" w:sz="8" w:color="auto"/>
              <w:bottom w:val="single" w:sz="8" w:color="B6B6B6"/>
            </w:tcBorders>
          </w:tcPr>
          <w:p>
            <w:pPr>
              <w:spacing w:after="0" w:line="20" w:lineRule="exact"/>
              <w:rPr>
                <w:sz w:val="1"/>
                <w:szCs w:val="1"/>
                <w:color w:val="auto"/>
              </w:rPr>
            </w:pPr>
          </w:p>
        </w:tc>
        <w:tc>
          <w:tcPr>
            <w:tcW w:w="1960" w:type="dxa"/>
            <w:vAlign w:val="bottom"/>
            <w:tcBorders>
              <w:bottom w:val="single" w:sz="8" w:color="B6B6B6"/>
            </w:tcBorders>
          </w:tcPr>
          <w:p>
            <w:pPr>
              <w:spacing w:after="0" w:line="20" w:lineRule="exact"/>
              <w:rPr>
                <w:sz w:val="1"/>
                <w:szCs w:val="1"/>
                <w:color w:val="auto"/>
              </w:rPr>
            </w:pPr>
          </w:p>
        </w:tc>
        <w:tc>
          <w:tcPr>
            <w:tcW w:w="1620" w:type="dxa"/>
            <w:vAlign w:val="bottom"/>
            <w:tcBorders>
              <w:top w:val="single" w:sz="8" w:color="auto"/>
              <w:bottom w:val="single" w:sz="8" w:color="B6B6B6"/>
            </w:tcBorders>
          </w:tcPr>
          <w:p>
            <w:pPr>
              <w:spacing w:after="0" w:line="20" w:lineRule="exact"/>
              <w:rPr>
                <w:sz w:val="1"/>
                <w:szCs w:val="1"/>
                <w:color w:val="auto"/>
              </w:rPr>
            </w:pPr>
          </w:p>
        </w:tc>
        <w:tc>
          <w:tcPr>
            <w:tcW w:w="1180" w:type="dxa"/>
            <w:vAlign w:val="bottom"/>
            <w:tcBorders>
              <w:bottom w:val="single" w:sz="8" w:color="B6B6B6"/>
            </w:tcBorders>
          </w:tcPr>
          <w:p>
            <w:pPr>
              <w:spacing w:after="0" w:line="20" w:lineRule="exact"/>
              <w:rPr>
                <w:sz w:val="1"/>
                <w:szCs w:val="1"/>
                <w:color w:val="auto"/>
              </w:rPr>
            </w:pPr>
          </w:p>
        </w:tc>
        <w:tc>
          <w:tcPr>
            <w:tcW w:w="640" w:type="dxa"/>
            <w:vAlign w:val="bottom"/>
            <w:tcBorders>
              <w:top w:val="single" w:sz="8" w:color="auto"/>
              <w:bottom w:val="single" w:sz="8" w:color="B6B6B6"/>
            </w:tcBorders>
          </w:tcPr>
          <w:p>
            <w:pPr>
              <w:spacing w:after="0" w:line="20" w:lineRule="exact"/>
              <w:rPr>
                <w:sz w:val="1"/>
                <w:szCs w:val="1"/>
                <w:color w:val="auto"/>
              </w:rPr>
            </w:pPr>
          </w:p>
        </w:tc>
        <w:tc>
          <w:tcPr>
            <w:tcW w:w="1900" w:type="dxa"/>
            <w:vAlign w:val="bottom"/>
            <w:tcBorders>
              <w:bottom w:val="single" w:sz="8" w:color="B6B6B6"/>
            </w:tcBorders>
          </w:tcPr>
          <w:p>
            <w:pPr>
              <w:spacing w:after="0" w:line="20" w:lineRule="exact"/>
              <w:rPr>
                <w:sz w:val="1"/>
                <w:szCs w:val="1"/>
                <w:color w:val="auto"/>
              </w:rPr>
            </w:pPr>
          </w:p>
        </w:tc>
        <w:tc>
          <w:tcPr>
            <w:tcW w:w="10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60" w:type="dxa"/>
            <w:vAlign w:val="bottom"/>
            <w:tcBorders>
              <w:right w:val="single" w:sz="8" w:color="B6B6B6"/>
            </w:tcBorders>
          </w:tcPr>
          <w:p>
            <w:pPr>
              <w:spacing w:after="0"/>
              <w:rPr>
                <w:sz w:val="19"/>
                <w:szCs w:val="19"/>
                <w:color w:val="auto"/>
              </w:rPr>
            </w:pPr>
          </w:p>
        </w:tc>
        <w:tc>
          <w:tcPr>
            <w:tcW w:w="2620" w:type="dxa"/>
            <w:vAlign w:val="bottom"/>
            <w:tcBorders>
              <w:bottom w:val="single" w:sz="8" w:color="B6B6B6"/>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NEUROSCIENCE</w:t>
            </w:r>
          </w:p>
        </w:tc>
        <w:tc>
          <w:tcPr>
            <w:tcW w:w="860" w:type="dxa"/>
            <w:vAlign w:val="bottom"/>
            <w:tcBorders>
              <w:bottom w:val="single" w:sz="8" w:color="B6B6B6"/>
            </w:tcBorders>
            <w:shd w:val="clear" w:color="auto" w:fill="CCEEFF"/>
          </w:tcPr>
          <w:p>
            <w:pPr>
              <w:spacing w:after="0"/>
              <w:rPr>
                <w:sz w:val="19"/>
                <w:szCs w:val="19"/>
                <w:color w:val="auto"/>
              </w:rPr>
            </w:pPr>
          </w:p>
        </w:tc>
        <w:tc>
          <w:tcPr>
            <w:tcW w:w="1960" w:type="dxa"/>
            <w:vAlign w:val="bottom"/>
            <w:tcBorders>
              <w:bottom w:val="single" w:sz="8" w:color="B6B6B6"/>
              <w:right w:val="single" w:sz="8" w:color="CCEEFF"/>
            </w:tcBorders>
            <w:shd w:val="clear" w:color="auto" w:fill="CCEEFF"/>
          </w:tcPr>
          <w:p>
            <w:pPr>
              <w:spacing w:after="0"/>
              <w:rPr>
                <w:sz w:val="19"/>
                <w:szCs w:val="19"/>
                <w:color w:val="auto"/>
              </w:rPr>
            </w:pPr>
          </w:p>
        </w:tc>
        <w:tc>
          <w:tcPr>
            <w:tcW w:w="1620" w:type="dxa"/>
            <w:vAlign w:val="bottom"/>
            <w:tcBorders>
              <w:bottom w:val="single" w:sz="8" w:color="B6B6B6"/>
            </w:tcBorders>
            <w:shd w:val="clear" w:color="auto" w:fill="CCEEFF"/>
          </w:tcPr>
          <w:p>
            <w:pPr>
              <w:spacing w:after="0"/>
              <w:rPr>
                <w:sz w:val="19"/>
                <w:szCs w:val="19"/>
                <w:color w:val="auto"/>
              </w:rPr>
            </w:pPr>
          </w:p>
        </w:tc>
        <w:tc>
          <w:tcPr>
            <w:tcW w:w="1180" w:type="dxa"/>
            <w:vAlign w:val="bottom"/>
            <w:tcBorders>
              <w:bottom w:val="single" w:sz="8" w:color="B6B6B6"/>
              <w:right w:val="single" w:sz="8" w:color="CCEEFF"/>
            </w:tcBorders>
            <w:shd w:val="clear" w:color="auto" w:fill="CCEEFF"/>
          </w:tcPr>
          <w:p>
            <w:pPr>
              <w:spacing w:after="0"/>
              <w:rPr>
                <w:sz w:val="19"/>
                <w:szCs w:val="19"/>
                <w:color w:val="auto"/>
              </w:rPr>
            </w:pPr>
          </w:p>
        </w:tc>
        <w:tc>
          <w:tcPr>
            <w:tcW w:w="640" w:type="dxa"/>
            <w:vAlign w:val="bottom"/>
            <w:tcBorders>
              <w:bottom w:val="single" w:sz="8" w:color="B6B6B6"/>
            </w:tcBorders>
            <w:shd w:val="clear" w:color="auto" w:fill="CCEEFF"/>
          </w:tcPr>
          <w:p>
            <w:pPr>
              <w:spacing w:after="0"/>
              <w:rPr>
                <w:sz w:val="19"/>
                <w:szCs w:val="19"/>
                <w:color w:val="auto"/>
              </w:rPr>
            </w:pPr>
          </w:p>
        </w:tc>
        <w:tc>
          <w:tcPr>
            <w:tcW w:w="1900" w:type="dxa"/>
            <w:vAlign w:val="bottom"/>
            <w:tcBorders>
              <w:bottom w:val="single" w:sz="8" w:color="B6B6B6"/>
            </w:tcBorders>
            <w:shd w:val="clear" w:color="auto" w:fill="CCEEFF"/>
          </w:tcPr>
          <w:p>
            <w:pPr>
              <w:spacing w:after="0"/>
              <w:rPr>
                <w:sz w:val="19"/>
                <w:szCs w:val="19"/>
                <w:color w:val="auto"/>
              </w:rPr>
            </w:pPr>
          </w:p>
        </w:tc>
        <w:tc>
          <w:tcPr>
            <w:tcW w:w="100" w:type="dxa"/>
            <w:vAlign w:val="bottom"/>
            <w:tcBorders>
              <w:bottom w:val="single" w:sz="8" w:color="B6B6B6"/>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460" w:type="dxa"/>
            <w:vAlign w:val="bottom"/>
            <w:tcBorders>
              <w:right w:val="single" w:sz="8" w:color="B6B6B6"/>
            </w:tcBorders>
          </w:tcPr>
          <w:p>
            <w:pPr>
              <w:spacing w:after="0"/>
              <w:rPr>
                <w:sz w:val="14"/>
                <w:szCs w:val="14"/>
                <w:color w:val="auto"/>
              </w:rPr>
            </w:pPr>
          </w:p>
        </w:tc>
        <w:tc>
          <w:tcPr>
            <w:tcW w:w="620" w:type="dxa"/>
            <w:vAlign w:val="bottom"/>
          </w:tcPr>
          <w:p>
            <w:pPr>
              <w:spacing w:after="0"/>
              <w:rPr>
                <w:sz w:val="14"/>
                <w:szCs w:val="14"/>
                <w:color w:val="auto"/>
              </w:rPr>
            </w:pPr>
          </w:p>
        </w:tc>
        <w:tc>
          <w:tcPr>
            <w:tcW w:w="2000" w:type="dxa"/>
            <w:vAlign w:val="bottom"/>
            <w:tcBorders>
              <w:right w:val="single" w:sz="8" w:color="B6B6B6"/>
            </w:tcBorders>
          </w:tcPr>
          <w:p>
            <w:pPr>
              <w:spacing w:after="0"/>
              <w:rPr>
                <w:sz w:val="14"/>
                <w:szCs w:val="14"/>
                <w:color w:val="auto"/>
              </w:rPr>
            </w:pPr>
          </w:p>
        </w:tc>
        <w:tc>
          <w:tcPr>
            <w:tcW w:w="2820" w:type="dxa"/>
            <w:vAlign w:val="bottom"/>
            <w:tcBorders>
              <w:right w:val="single" w:sz="8" w:color="B6B6B6"/>
            </w:tcBorders>
            <w:gridSpan w:val="2"/>
          </w:tcPr>
          <w:p>
            <w:pPr>
              <w:ind w:left="20"/>
              <w:spacing w:after="0" w:line="166" w:lineRule="exact"/>
              <w:rPr>
                <w:sz w:val="20"/>
                <w:szCs w:val="20"/>
                <w:color w:val="auto"/>
              </w:rPr>
            </w:pPr>
            <w:r>
              <w:rPr>
                <w:rFonts w:ascii="Times New Roman" w:cs="Times New Roman" w:eastAsia="Times New Roman" w:hAnsi="Times New Roman"/>
                <w:sz w:val="18"/>
                <w:szCs w:val="18"/>
                <w:color w:val="auto"/>
              </w:rPr>
              <w:t>Treatment of cataplexy or excessive</w:t>
            </w:r>
          </w:p>
        </w:tc>
        <w:tc>
          <w:tcPr>
            <w:tcW w:w="2800" w:type="dxa"/>
            <w:vAlign w:val="bottom"/>
            <w:tcBorders>
              <w:right w:val="single" w:sz="8" w:color="B6B6B6"/>
            </w:tcBorders>
            <w:gridSpan w:val="2"/>
          </w:tcPr>
          <w:p>
            <w:pPr>
              <w:spacing w:after="0" w:line="166" w:lineRule="exact"/>
              <w:rPr>
                <w:sz w:val="20"/>
                <w:szCs w:val="20"/>
                <w:color w:val="auto"/>
              </w:rPr>
            </w:pPr>
            <w:r>
              <w:rPr>
                <w:rFonts w:ascii="Times New Roman" w:cs="Times New Roman" w:eastAsia="Times New Roman" w:hAnsi="Times New Roman"/>
                <w:sz w:val="18"/>
                <w:szCs w:val="18"/>
                <w:color w:val="auto"/>
              </w:rPr>
              <w:t>July 2020</w:t>
            </w:r>
          </w:p>
        </w:tc>
        <w:tc>
          <w:tcPr>
            <w:tcW w:w="2640" w:type="dxa"/>
            <w:vAlign w:val="bottom"/>
            <w:gridSpan w:val="3"/>
          </w:tcPr>
          <w:p>
            <w:pPr>
              <w:ind w:left="20"/>
              <w:spacing w:after="0" w:line="166" w:lineRule="exact"/>
              <w:rPr>
                <w:sz w:val="20"/>
                <w:szCs w:val="20"/>
                <w:color w:val="auto"/>
              </w:rPr>
            </w:pPr>
            <w:r>
              <w:rPr>
                <w:rFonts w:ascii="Times New Roman" w:cs="Times New Roman" w:eastAsia="Times New Roman" w:hAnsi="Times New Roman"/>
                <w:sz w:val="18"/>
                <w:szCs w:val="18"/>
                <w:color w:val="auto"/>
              </w:rPr>
              <w:t>U.S.</w:t>
            </w:r>
          </w:p>
        </w:tc>
        <w:tc>
          <w:tcPr>
            <w:tcW w:w="0" w:type="dxa"/>
            <w:vAlign w:val="bottom"/>
          </w:tcPr>
          <w:p>
            <w:pPr>
              <w:spacing w:after="0"/>
              <w:rPr>
                <w:sz w:val="1"/>
                <w:szCs w:val="1"/>
                <w:color w:val="auto"/>
              </w:rPr>
            </w:pPr>
          </w:p>
        </w:tc>
      </w:tr>
      <w:tr>
        <w:trPr>
          <w:trHeight w:val="181"/>
        </w:trPr>
        <w:tc>
          <w:tcPr>
            <w:tcW w:w="460" w:type="dxa"/>
            <w:vAlign w:val="bottom"/>
            <w:tcBorders>
              <w:right w:val="single" w:sz="8" w:color="B6B6B6"/>
            </w:tcBorders>
          </w:tcPr>
          <w:p>
            <w:pPr>
              <w:spacing w:after="0"/>
              <w:rPr>
                <w:sz w:val="15"/>
                <w:szCs w:val="15"/>
                <w:color w:val="auto"/>
              </w:rPr>
            </w:pPr>
          </w:p>
        </w:tc>
        <w:tc>
          <w:tcPr>
            <w:tcW w:w="620" w:type="dxa"/>
            <w:vAlign w:val="bottom"/>
          </w:tcPr>
          <w:p>
            <w:pPr>
              <w:spacing w:after="0"/>
              <w:rPr>
                <w:sz w:val="15"/>
                <w:szCs w:val="15"/>
                <w:color w:val="auto"/>
              </w:rPr>
            </w:pPr>
          </w:p>
        </w:tc>
        <w:tc>
          <w:tcPr>
            <w:tcW w:w="200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daytime sleepiness, or EDS, in</w:t>
            </w:r>
          </w:p>
        </w:tc>
        <w:tc>
          <w:tcPr>
            <w:tcW w:w="1620" w:type="dxa"/>
            <w:vAlign w:val="bottom"/>
          </w:tcPr>
          <w:p>
            <w:pPr>
              <w:spacing w:after="0"/>
              <w:rPr>
                <w:sz w:val="15"/>
                <w:szCs w:val="15"/>
                <w:color w:val="auto"/>
              </w:rPr>
            </w:pPr>
          </w:p>
        </w:tc>
        <w:tc>
          <w:tcPr>
            <w:tcW w:w="1180" w:type="dxa"/>
            <w:vAlign w:val="bottom"/>
            <w:tcBorders>
              <w:right w:val="single" w:sz="8" w:color="B6B6B6"/>
            </w:tcBorders>
          </w:tcPr>
          <w:p>
            <w:pPr>
              <w:spacing w:after="0"/>
              <w:rPr>
                <w:sz w:val="15"/>
                <w:szCs w:val="15"/>
                <w:color w:val="auto"/>
              </w:rPr>
            </w:pPr>
          </w:p>
        </w:tc>
        <w:tc>
          <w:tcPr>
            <w:tcW w:w="6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60" w:type="dxa"/>
            <w:vAlign w:val="bottom"/>
            <w:tcBorders>
              <w:right w:val="single" w:sz="8" w:color="B6B6B6"/>
            </w:tcBorders>
          </w:tcPr>
          <w:p>
            <w:pPr>
              <w:spacing w:after="0"/>
              <w:rPr>
                <w:sz w:val="15"/>
                <w:szCs w:val="15"/>
                <w:color w:val="auto"/>
              </w:rPr>
            </w:pPr>
          </w:p>
        </w:tc>
        <w:tc>
          <w:tcPr>
            <w:tcW w:w="620" w:type="dxa"/>
            <w:vAlign w:val="bottom"/>
          </w:tcPr>
          <w:p>
            <w:pPr>
              <w:spacing w:after="0"/>
              <w:rPr>
                <w:sz w:val="15"/>
                <w:szCs w:val="15"/>
                <w:color w:val="auto"/>
              </w:rPr>
            </w:pPr>
          </w:p>
        </w:tc>
        <w:tc>
          <w:tcPr>
            <w:tcW w:w="200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gridSpan w:val="2"/>
          </w:tcPr>
          <w:p>
            <w:pPr>
              <w:ind w:left="20"/>
              <w:spacing w:after="0" w:line="178" w:lineRule="exact"/>
              <w:rPr>
                <w:sz w:val="20"/>
                <w:szCs w:val="20"/>
                <w:color w:val="auto"/>
              </w:rPr>
            </w:pPr>
            <w:r>
              <w:rPr>
                <w:rFonts w:ascii="Times New Roman" w:cs="Times New Roman" w:eastAsia="Times New Roman" w:hAnsi="Times New Roman"/>
                <w:sz w:val="18"/>
                <w:szCs w:val="18"/>
                <w:color w:val="auto"/>
              </w:rPr>
              <w:t>patients seven years of age and older</w:t>
            </w:r>
          </w:p>
        </w:tc>
        <w:tc>
          <w:tcPr>
            <w:tcW w:w="1620" w:type="dxa"/>
            <w:vAlign w:val="bottom"/>
          </w:tcPr>
          <w:p>
            <w:pPr>
              <w:spacing w:after="0"/>
              <w:rPr>
                <w:sz w:val="15"/>
                <w:szCs w:val="15"/>
                <w:color w:val="auto"/>
              </w:rPr>
            </w:pPr>
          </w:p>
        </w:tc>
        <w:tc>
          <w:tcPr>
            <w:tcW w:w="1180" w:type="dxa"/>
            <w:vAlign w:val="bottom"/>
            <w:tcBorders>
              <w:right w:val="single" w:sz="8" w:color="B6B6B6"/>
            </w:tcBorders>
          </w:tcPr>
          <w:p>
            <w:pPr>
              <w:spacing w:after="0"/>
              <w:rPr>
                <w:sz w:val="15"/>
                <w:szCs w:val="15"/>
                <w:color w:val="auto"/>
              </w:rPr>
            </w:pPr>
          </w:p>
        </w:tc>
        <w:tc>
          <w:tcPr>
            <w:tcW w:w="6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60" w:type="dxa"/>
            <w:vAlign w:val="bottom"/>
            <w:tcBorders>
              <w:right w:val="single" w:sz="8" w:color="B6B6B6"/>
            </w:tcBorders>
          </w:tcPr>
          <w:p>
            <w:pPr>
              <w:spacing w:after="0"/>
              <w:rPr>
                <w:sz w:val="20"/>
                <w:szCs w:val="20"/>
                <w:color w:val="auto"/>
              </w:rPr>
            </w:pPr>
          </w:p>
        </w:tc>
        <w:tc>
          <w:tcPr>
            <w:tcW w:w="2620" w:type="dxa"/>
            <w:vAlign w:val="bottom"/>
            <w:tcBorders>
              <w:right w:val="single" w:sz="8" w:color="B6B6B6"/>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Xywav® (calcium, magnesium,</w:t>
            </w:r>
          </w:p>
        </w:tc>
        <w:tc>
          <w:tcPr>
            <w:tcW w:w="2820" w:type="dxa"/>
            <w:vAlign w:val="bottom"/>
            <w:tcBorders>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with narcolepsy.</w:t>
            </w:r>
          </w:p>
        </w:tc>
        <w:tc>
          <w:tcPr>
            <w:tcW w:w="1620" w:type="dxa"/>
            <w:vAlign w:val="bottom"/>
          </w:tcPr>
          <w:p>
            <w:pPr>
              <w:spacing w:after="0"/>
              <w:rPr>
                <w:sz w:val="20"/>
                <w:szCs w:val="20"/>
                <w:color w:val="auto"/>
              </w:rPr>
            </w:pPr>
          </w:p>
        </w:tc>
        <w:tc>
          <w:tcPr>
            <w:tcW w:w="1180" w:type="dxa"/>
            <w:vAlign w:val="bottom"/>
            <w:tcBorders>
              <w:right w:val="single" w:sz="8" w:color="B6B6B6"/>
            </w:tcBorders>
          </w:tcPr>
          <w:p>
            <w:pPr>
              <w:spacing w:after="0"/>
              <w:rPr>
                <w:sz w:val="20"/>
                <w:szCs w:val="20"/>
                <w:color w:val="auto"/>
              </w:rPr>
            </w:pPr>
          </w:p>
        </w:tc>
        <w:tc>
          <w:tcPr>
            <w:tcW w:w="6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460" w:type="dxa"/>
            <w:vAlign w:val="bottom"/>
            <w:tcBorders>
              <w:right w:val="single" w:sz="8" w:color="B6B6B6"/>
            </w:tcBorders>
          </w:tcPr>
          <w:p>
            <w:pPr>
              <w:spacing w:after="0"/>
              <w:rPr>
                <w:sz w:val="9"/>
                <w:szCs w:val="9"/>
                <w:color w:val="auto"/>
              </w:rPr>
            </w:pPr>
          </w:p>
        </w:tc>
        <w:tc>
          <w:tcPr>
            <w:tcW w:w="2620" w:type="dxa"/>
            <w:vAlign w:val="bottom"/>
            <w:tcBorders>
              <w:right w:val="single" w:sz="8" w:color="B6B6B6"/>
            </w:tcBorders>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1960" w:type="dxa"/>
            <w:vAlign w:val="bottom"/>
            <w:tcBorders>
              <w:right w:val="single" w:sz="8" w:color="B6B6B6"/>
            </w:tcBorders>
          </w:tcPr>
          <w:p>
            <w:pPr>
              <w:spacing w:after="0"/>
              <w:rPr>
                <w:sz w:val="9"/>
                <w:szCs w:val="9"/>
                <w:color w:val="auto"/>
              </w:rPr>
            </w:pPr>
          </w:p>
        </w:tc>
        <w:tc>
          <w:tcPr>
            <w:tcW w:w="1620" w:type="dxa"/>
            <w:vAlign w:val="bottom"/>
          </w:tcPr>
          <w:p>
            <w:pPr>
              <w:spacing w:after="0"/>
              <w:rPr>
                <w:sz w:val="9"/>
                <w:szCs w:val="9"/>
                <w:color w:val="auto"/>
              </w:rPr>
            </w:pPr>
          </w:p>
        </w:tc>
        <w:tc>
          <w:tcPr>
            <w:tcW w:w="1180" w:type="dxa"/>
            <w:vAlign w:val="bottom"/>
            <w:tcBorders>
              <w:right w:val="single" w:sz="8" w:color="B6B6B6"/>
            </w:tcBorders>
          </w:tcPr>
          <w:p>
            <w:pPr>
              <w:spacing w:after="0"/>
              <w:rPr>
                <w:sz w:val="9"/>
                <w:szCs w:val="9"/>
                <w:color w:val="auto"/>
              </w:rPr>
            </w:pPr>
          </w:p>
        </w:tc>
        <w:tc>
          <w:tcPr>
            <w:tcW w:w="6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60" w:type="dxa"/>
            <w:vAlign w:val="bottom"/>
            <w:tcBorders>
              <w:right w:val="single" w:sz="8" w:color="B6B6B6"/>
            </w:tcBorders>
          </w:tcPr>
          <w:p>
            <w:pPr>
              <w:spacing w:after="0"/>
              <w:rPr>
                <w:sz w:val="9"/>
                <w:szCs w:val="9"/>
                <w:color w:val="auto"/>
              </w:rPr>
            </w:pPr>
          </w:p>
        </w:tc>
        <w:tc>
          <w:tcPr>
            <w:tcW w:w="2620" w:type="dxa"/>
            <w:vAlign w:val="bottom"/>
            <w:tcBorders>
              <w:right w:val="single" w:sz="8" w:color="B6B6B6"/>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potassium, and sodium oxybates)</w:t>
            </w:r>
          </w:p>
        </w:tc>
        <w:tc>
          <w:tcPr>
            <w:tcW w:w="860" w:type="dxa"/>
            <w:vAlign w:val="bottom"/>
            <w:tcBorders>
              <w:bottom w:val="single" w:sz="8" w:color="B6B6B6"/>
            </w:tcBorders>
          </w:tcPr>
          <w:p>
            <w:pPr>
              <w:spacing w:after="0"/>
              <w:rPr>
                <w:sz w:val="9"/>
                <w:szCs w:val="9"/>
                <w:color w:val="auto"/>
              </w:rPr>
            </w:pPr>
          </w:p>
        </w:tc>
        <w:tc>
          <w:tcPr>
            <w:tcW w:w="1960" w:type="dxa"/>
            <w:vAlign w:val="bottom"/>
            <w:tcBorders>
              <w:bottom w:val="single" w:sz="8" w:color="B6B6B6"/>
              <w:right w:val="single" w:sz="8" w:color="B6B6B6"/>
            </w:tcBorders>
          </w:tcPr>
          <w:p>
            <w:pPr>
              <w:spacing w:after="0"/>
              <w:rPr>
                <w:sz w:val="9"/>
                <w:szCs w:val="9"/>
                <w:color w:val="auto"/>
              </w:rPr>
            </w:pPr>
          </w:p>
        </w:tc>
        <w:tc>
          <w:tcPr>
            <w:tcW w:w="1620" w:type="dxa"/>
            <w:vAlign w:val="bottom"/>
            <w:tcBorders>
              <w:bottom w:val="single" w:sz="8" w:color="B6B6B6"/>
            </w:tcBorders>
          </w:tcPr>
          <w:p>
            <w:pPr>
              <w:spacing w:after="0"/>
              <w:rPr>
                <w:sz w:val="9"/>
                <w:szCs w:val="9"/>
                <w:color w:val="auto"/>
              </w:rPr>
            </w:pPr>
          </w:p>
        </w:tc>
        <w:tc>
          <w:tcPr>
            <w:tcW w:w="1180" w:type="dxa"/>
            <w:vAlign w:val="bottom"/>
            <w:tcBorders>
              <w:bottom w:val="single" w:sz="8" w:color="B6B6B6"/>
              <w:right w:val="single" w:sz="8" w:color="B6B6B6"/>
            </w:tcBorders>
          </w:tcPr>
          <w:p>
            <w:pPr>
              <w:spacing w:after="0"/>
              <w:rPr>
                <w:sz w:val="9"/>
                <w:szCs w:val="9"/>
                <w:color w:val="auto"/>
              </w:rPr>
            </w:pPr>
          </w:p>
        </w:tc>
        <w:tc>
          <w:tcPr>
            <w:tcW w:w="640" w:type="dxa"/>
            <w:vAlign w:val="bottom"/>
            <w:tcBorders>
              <w:bottom w:val="single" w:sz="8" w:color="B6B6B6"/>
            </w:tcBorders>
          </w:tcPr>
          <w:p>
            <w:pPr>
              <w:spacing w:after="0"/>
              <w:rPr>
                <w:sz w:val="9"/>
                <w:szCs w:val="9"/>
                <w:color w:val="auto"/>
              </w:rPr>
            </w:pPr>
          </w:p>
        </w:tc>
        <w:tc>
          <w:tcPr>
            <w:tcW w:w="1900" w:type="dxa"/>
            <w:vAlign w:val="bottom"/>
            <w:tcBorders>
              <w:bottom w:val="single" w:sz="8" w:color="B6B6B6"/>
            </w:tcBorders>
          </w:tcPr>
          <w:p>
            <w:pPr>
              <w:spacing w:after="0"/>
              <w:rPr>
                <w:sz w:val="9"/>
                <w:szCs w:val="9"/>
                <w:color w:val="auto"/>
              </w:rPr>
            </w:pPr>
          </w:p>
        </w:tc>
        <w:tc>
          <w:tcPr>
            <w:tcW w:w="100" w:type="dxa"/>
            <w:vAlign w:val="bottom"/>
            <w:tcBorders>
              <w:bottom w:val="single" w:sz="8" w:color="B6B6B6"/>
            </w:tcBorders>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60" w:type="dxa"/>
            <w:vAlign w:val="bottom"/>
            <w:tcBorders>
              <w:right w:val="single" w:sz="8" w:color="B6B6B6"/>
            </w:tcBorders>
          </w:tcPr>
          <w:p>
            <w:pPr>
              <w:spacing w:after="0"/>
              <w:rPr>
                <w:sz w:val="9"/>
                <w:szCs w:val="9"/>
                <w:color w:val="auto"/>
              </w:rPr>
            </w:pPr>
          </w:p>
        </w:tc>
        <w:tc>
          <w:tcPr>
            <w:tcW w:w="2620" w:type="dxa"/>
            <w:vAlign w:val="bottom"/>
            <w:tcBorders>
              <w:right w:val="single" w:sz="8" w:color="B6B6B6"/>
            </w:tcBorders>
            <w:gridSpan w:val="2"/>
            <w:vMerge w:val="continue"/>
          </w:tcPr>
          <w:p>
            <w:pPr>
              <w:spacing w:after="0"/>
              <w:rPr>
                <w:sz w:val="9"/>
                <w:szCs w:val="9"/>
                <w:color w:val="auto"/>
              </w:rPr>
            </w:pPr>
          </w:p>
        </w:tc>
        <w:tc>
          <w:tcPr>
            <w:tcW w:w="2820" w:type="dxa"/>
            <w:vAlign w:val="bottom"/>
            <w:tcBorders>
              <w:right w:val="single" w:sz="8" w:color="B6B6B6"/>
            </w:tcBorders>
            <w:gridSpan w:val="2"/>
            <w:vMerge w:val="restart"/>
          </w:tcPr>
          <w:p>
            <w:pPr>
              <w:ind w:left="20"/>
              <w:spacing w:after="0" w:line="166" w:lineRule="exact"/>
              <w:rPr>
                <w:sz w:val="20"/>
                <w:szCs w:val="20"/>
                <w:color w:val="auto"/>
              </w:rPr>
            </w:pPr>
            <w:r>
              <w:rPr>
                <w:rFonts w:ascii="Times New Roman" w:cs="Times New Roman" w:eastAsia="Times New Roman" w:hAnsi="Times New Roman"/>
                <w:sz w:val="18"/>
                <w:szCs w:val="18"/>
                <w:color w:val="auto"/>
              </w:rPr>
              <w:t>Treatment of idiopathic hypersomnia,</w:t>
            </w:r>
          </w:p>
        </w:tc>
        <w:tc>
          <w:tcPr>
            <w:tcW w:w="2800" w:type="dxa"/>
            <w:vAlign w:val="bottom"/>
            <w:tcBorders>
              <w:right w:val="single" w:sz="8" w:color="B6B6B6"/>
            </w:tcBorders>
            <w:gridSpan w:val="2"/>
            <w:vMerge w:val="restart"/>
          </w:tcPr>
          <w:p>
            <w:pPr>
              <w:spacing w:after="0" w:line="166" w:lineRule="exact"/>
              <w:rPr>
                <w:sz w:val="20"/>
                <w:szCs w:val="20"/>
                <w:color w:val="auto"/>
              </w:rPr>
            </w:pPr>
            <w:r>
              <w:rPr>
                <w:rFonts w:ascii="Times New Roman" w:cs="Times New Roman" w:eastAsia="Times New Roman" w:hAnsi="Times New Roman"/>
                <w:sz w:val="18"/>
                <w:szCs w:val="18"/>
                <w:color w:val="auto"/>
              </w:rPr>
              <w:t>August 2021</w:t>
            </w:r>
          </w:p>
        </w:tc>
        <w:tc>
          <w:tcPr>
            <w:tcW w:w="2640" w:type="dxa"/>
            <w:vAlign w:val="bottom"/>
            <w:gridSpan w:val="3"/>
            <w:vMerge w:val="restart"/>
          </w:tcPr>
          <w:p>
            <w:pPr>
              <w:ind w:left="20"/>
              <w:spacing w:after="0" w:line="166" w:lineRule="exact"/>
              <w:rPr>
                <w:sz w:val="20"/>
                <w:szCs w:val="20"/>
                <w:color w:val="auto"/>
              </w:rPr>
            </w:pPr>
            <w:r>
              <w:rPr>
                <w:rFonts w:ascii="Times New Roman" w:cs="Times New Roman" w:eastAsia="Times New Roman" w:hAnsi="Times New Roman"/>
                <w:sz w:val="18"/>
                <w:szCs w:val="18"/>
                <w:color w:val="auto"/>
              </w:rPr>
              <w:t>U.S.</w:t>
            </w:r>
          </w:p>
        </w:tc>
        <w:tc>
          <w:tcPr>
            <w:tcW w:w="0" w:type="dxa"/>
            <w:vAlign w:val="bottom"/>
          </w:tcPr>
          <w:p>
            <w:pPr>
              <w:spacing w:after="0"/>
              <w:rPr>
                <w:sz w:val="1"/>
                <w:szCs w:val="1"/>
                <w:color w:val="auto"/>
              </w:rPr>
            </w:pPr>
          </w:p>
        </w:tc>
      </w:tr>
      <w:tr>
        <w:trPr>
          <w:trHeight w:val="61"/>
        </w:trPr>
        <w:tc>
          <w:tcPr>
            <w:tcW w:w="460" w:type="dxa"/>
            <w:vAlign w:val="bottom"/>
            <w:tcBorders>
              <w:right w:val="single" w:sz="8" w:color="B6B6B6"/>
            </w:tcBorders>
          </w:tcPr>
          <w:p>
            <w:pPr>
              <w:spacing w:after="0"/>
              <w:rPr>
                <w:sz w:val="5"/>
                <w:szCs w:val="5"/>
                <w:color w:val="auto"/>
              </w:rPr>
            </w:pPr>
          </w:p>
        </w:tc>
        <w:tc>
          <w:tcPr>
            <w:tcW w:w="620" w:type="dxa"/>
            <w:vAlign w:val="bottom"/>
          </w:tcPr>
          <w:p>
            <w:pPr>
              <w:spacing w:after="0"/>
              <w:rPr>
                <w:sz w:val="5"/>
                <w:szCs w:val="5"/>
                <w:color w:val="auto"/>
              </w:rPr>
            </w:pPr>
          </w:p>
        </w:tc>
        <w:tc>
          <w:tcPr>
            <w:tcW w:w="2000" w:type="dxa"/>
            <w:vAlign w:val="bottom"/>
            <w:tcBorders>
              <w:right w:val="single" w:sz="8" w:color="B6B6B6"/>
            </w:tcBorders>
          </w:tcPr>
          <w:p>
            <w:pPr>
              <w:spacing w:after="0"/>
              <w:rPr>
                <w:sz w:val="5"/>
                <w:szCs w:val="5"/>
                <w:color w:val="auto"/>
              </w:rPr>
            </w:pPr>
          </w:p>
        </w:tc>
        <w:tc>
          <w:tcPr>
            <w:tcW w:w="2820" w:type="dxa"/>
            <w:vAlign w:val="bottom"/>
            <w:tcBorders>
              <w:right w:val="single" w:sz="8" w:color="B6B6B6"/>
            </w:tcBorders>
            <w:gridSpan w:val="2"/>
            <w:vMerge w:val="continue"/>
          </w:tcPr>
          <w:p>
            <w:pPr>
              <w:spacing w:after="0"/>
              <w:rPr>
                <w:sz w:val="5"/>
                <w:szCs w:val="5"/>
                <w:color w:val="auto"/>
              </w:rPr>
            </w:pPr>
          </w:p>
        </w:tc>
        <w:tc>
          <w:tcPr>
            <w:tcW w:w="2800" w:type="dxa"/>
            <w:vAlign w:val="bottom"/>
            <w:tcBorders>
              <w:right w:val="single" w:sz="8" w:color="B6B6B6"/>
            </w:tcBorders>
            <w:gridSpan w:val="2"/>
            <w:vMerge w:val="continue"/>
          </w:tcPr>
          <w:p>
            <w:pPr>
              <w:spacing w:after="0"/>
              <w:rPr>
                <w:sz w:val="5"/>
                <w:szCs w:val="5"/>
                <w:color w:val="auto"/>
              </w:rPr>
            </w:pPr>
          </w:p>
        </w:tc>
        <w:tc>
          <w:tcPr>
            <w:tcW w:w="26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460" w:type="dxa"/>
            <w:vAlign w:val="bottom"/>
            <w:tcBorders>
              <w:right w:val="single" w:sz="8" w:color="B6B6B6"/>
            </w:tcBorders>
          </w:tcPr>
          <w:p>
            <w:pPr>
              <w:spacing w:after="0"/>
              <w:rPr>
                <w:sz w:val="20"/>
                <w:szCs w:val="20"/>
                <w:color w:val="auto"/>
              </w:rPr>
            </w:pPr>
          </w:p>
        </w:tc>
        <w:tc>
          <w:tcPr>
            <w:tcW w:w="620" w:type="dxa"/>
            <w:vAlign w:val="bottom"/>
          </w:tcPr>
          <w:p>
            <w:pPr>
              <w:spacing w:after="0"/>
              <w:rPr>
                <w:sz w:val="20"/>
                <w:szCs w:val="20"/>
                <w:color w:val="auto"/>
              </w:rPr>
            </w:pPr>
          </w:p>
        </w:tc>
        <w:tc>
          <w:tcPr>
            <w:tcW w:w="2000" w:type="dxa"/>
            <w:vAlign w:val="bottom"/>
            <w:tcBorders>
              <w:right w:val="single" w:sz="8" w:color="B6B6B6"/>
            </w:tcBorders>
          </w:tcPr>
          <w:p>
            <w:pPr>
              <w:spacing w:after="0"/>
              <w:rPr>
                <w:sz w:val="20"/>
                <w:szCs w:val="20"/>
                <w:color w:val="auto"/>
              </w:rPr>
            </w:pPr>
          </w:p>
        </w:tc>
        <w:tc>
          <w:tcPr>
            <w:tcW w:w="2820" w:type="dxa"/>
            <w:vAlign w:val="bottom"/>
            <w:tcBorders>
              <w:bottom w:val="single" w:sz="8" w:color="B6B6B6"/>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or IH, in adults.</w:t>
            </w:r>
          </w:p>
        </w:tc>
        <w:tc>
          <w:tcPr>
            <w:tcW w:w="1620" w:type="dxa"/>
            <w:vAlign w:val="bottom"/>
            <w:tcBorders>
              <w:bottom w:val="single" w:sz="8" w:color="B6B6B6"/>
            </w:tcBorders>
          </w:tcPr>
          <w:p>
            <w:pPr>
              <w:spacing w:after="0"/>
              <w:rPr>
                <w:sz w:val="20"/>
                <w:szCs w:val="20"/>
                <w:color w:val="auto"/>
              </w:rPr>
            </w:pPr>
          </w:p>
        </w:tc>
        <w:tc>
          <w:tcPr>
            <w:tcW w:w="1180" w:type="dxa"/>
            <w:vAlign w:val="bottom"/>
            <w:tcBorders>
              <w:bottom w:val="single" w:sz="8" w:color="B6B6B6"/>
              <w:right w:val="single" w:sz="8" w:color="B6B6B6"/>
            </w:tcBorders>
          </w:tcPr>
          <w:p>
            <w:pPr>
              <w:spacing w:after="0"/>
              <w:rPr>
                <w:sz w:val="20"/>
                <w:szCs w:val="20"/>
                <w:color w:val="auto"/>
              </w:rPr>
            </w:pPr>
          </w:p>
        </w:tc>
        <w:tc>
          <w:tcPr>
            <w:tcW w:w="640" w:type="dxa"/>
            <w:vAlign w:val="bottom"/>
            <w:tcBorders>
              <w:bottom w:val="single" w:sz="8" w:color="B6B6B6"/>
            </w:tcBorders>
          </w:tcPr>
          <w:p>
            <w:pPr>
              <w:spacing w:after="0"/>
              <w:rPr>
                <w:sz w:val="20"/>
                <w:szCs w:val="20"/>
                <w:color w:val="auto"/>
              </w:rPr>
            </w:pPr>
          </w:p>
        </w:tc>
        <w:tc>
          <w:tcPr>
            <w:tcW w:w="1900" w:type="dxa"/>
            <w:vAlign w:val="bottom"/>
            <w:tcBorders>
              <w:bottom w:val="single" w:sz="8" w:color="B6B6B6"/>
            </w:tcBorders>
          </w:tcPr>
          <w:p>
            <w:pPr>
              <w:spacing w:after="0"/>
              <w:rPr>
                <w:sz w:val="20"/>
                <w:szCs w:val="20"/>
                <w:color w:val="auto"/>
              </w:rPr>
            </w:pPr>
          </w:p>
        </w:tc>
        <w:tc>
          <w:tcPr>
            <w:tcW w:w="100" w:type="dxa"/>
            <w:vAlign w:val="bottom"/>
            <w:tcBorders>
              <w:bottom w:val="single" w:sz="8" w:color="B6B6B6"/>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460" w:type="dxa"/>
            <w:vAlign w:val="bottom"/>
            <w:tcBorders>
              <w:right w:val="single" w:sz="8" w:color="B6B6B6"/>
            </w:tcBorders>
          </w:tcPr>
          <w:p>
            <w:pPr>
              <w:spacing w:after="0"/>
              <w:rPr>
                <w:sz w:val="14"/>
                <w:szCs w:val="14"/>
                <w:color w:val="auto"/>
              </w:rPr>
            </w:pPr>
          </w:p>
        </w:tc>
        <w:tc>
          <w:tcPr>
            <w:tcW w:w="620" w:type="dxa"/>
            <w:vAlign w:val="bottom"/>
          </w:tcPr>
          <w:p>
            <w:pPr>
              <w:spacing w:after="0"/>
              <w:rPr>
                <w:sz w:val="14"/>
                <w:szCs w:val="14"/>
                <w:color w:val="auto"/>
              </w:rPr>
            </w:pPr>
          </w:p>
        </w:tc>
        <w:tc>
          <w:tcPr>
            <w:tcW w:w="2000" w:type="dxa"/>
            <w:vAlign w:val="bottom"/>
            <w:tcBorders>
              <w:right w:val="single" w:sz="8" w:color="B6B6B6"/>
            </w:tcBorders>
          </w:tcPr>
          <w:p>
            <w:pPr>
              <w:spacing w:after="0"/>
              <w:rPr>
                <w:sz w:val="14"/>
                <w:szCs w:val="14"/>
                <w:color w:val="auto"/>
              </w:rPr>
            </w:pPr>
          </w:p>
        </w:tc>
        <w:tc>
          <w:tcPr>
            <w:tcW w:w="2820" w:type="dxa"/>
            <w:vAlign w:val="bottom"/>
            <w:tcBorders>
              <w:right w:val="single" w:sz="8" w:color="B6B6B6"/>
            </w:tcBorders>
            <w:gridSpan w:val="2"/>
          </w:tcPr>
          <w:p>
            <w:pPr>
              <w:ind w:left="20"/>
              <w:spacing w:after="0" w:line="170" w:lineRule="exact"/>
              <w:rPr>
                <w:sz w:val="20"/>
                <w:szCs w:val="20"/>
                <w:color w:val="auto"/>
              </w:rPr>
            </w:pPr>
            <w:r>
              <w:rPr>
                <w:rFonts w:ascii="Times New Roman" w:cs="Times New Roman" w:eastAsia="Times New Roman" w:hAnsi="Times New Roman"/>
                <w:sz w:val="18"/>
                <w:szCs w:val="18"/>
                <w:color w:val="auto"/>
              </w:rPr>
              <w:t>Treatment of cataplexy in patients</w:t>
            </w:r>
          </w:p>
        </w:tc>
        <w:tc>
          <w:tcPr>
            <w:tcW w:w="2800" w:type="dxa"/>
            <w:vAlign w:val="bottom"/>
            <w:tcBorders>
              <w:right w:val="single" w:sz="8" w:color="B6B6B6"/>
            </w:tcBorders>
            <w:gridSpan w:val="2"/>
          </w:tcPr>
          <w:p>
            <w:pPr>
              <w:spacing w:after="0" w:line="170" w:lineRule="exact"/>
              <w:rPr>
                <w:sz w:val="20"/>
                <w:szCs w:val="20"/>
                <w:color w:val="auto"/>
              </w:rPr>
            </w:pPr>
            <w:r>
              <w:rPr>
                <w:rFonts w:ascii="Times New Roman" w:cs="Times New Roman" w:eastAsia="Times New Roman" w:hAnsi="Times New Roman"/>
                <w:sz w:val="18"/>
                <w:szCs w:val="18"/>
                <w:color w:val="auto"/>
              </w:rPr>
              <w:t>May 2023</w:t>
            </w:r>
          </w:p>
        </w:tc>
        <w:tc>
          <w:tcPr>
            <w:tcW w:w="2640" w:type="dxa"/>
            <w:vAlign w:val="bottom"/>
            <w:gridSpan w:val="3"/>
          </w:tcPr>
          <w:p>
            <w:pPr>
              <w:ind w:left="20"/>
              <w:spacing w:after="0" w:line="170" w:lineRule="exact"/>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36"/>
        </w:trPr>
        <w:tc>
          <w:tcPr>
            <w:tcW w:w="460" w:type="dxa"/>
            <w:vAlign w:val="bottom"/>
            <w:tcBorders>
              <w:right w:val="single" w:sz="8" w:color="B6B6B6"/>
            </w:tcBorders>
          </w:tcPr>
          <w:p>
            <w:pPr>
              <w:spacing w:after="0"/>
              <w:rPr>
                <w:sz w:val="20"/>
                <w:szCs w:val="20"/>
                <w:color w:val="auto"/>
              </w:rPr>
            </w:pPr>
          </w:p>
        </w:tc>
        <w:tc>
          <w:tcPr>
            <w:tcW w:w="620" w:type="dxa"/>
            <w:vAlign w:val="bottom"/>
            <w:tcBorders>
              <w:bottom w:val="single" w:sz="8" w:color="B6B6B6"/>
            </w:tcBorders>
          </w:tcPr>
          <w:p>
            <w:pPr>
              <w:spacing w:after="0"/>
              <w:rPr>
                <w:sz w:val="20"/>
                <w:szCs w:val="20"/>
                <w:color w:val="auto"/>
              </w:rPr>
            </w:pPr>
          </w:p>
        </w:tc>
        <w:tc>
          <w:tcPr>
            <w:tcW w:w="2000" w:type="dxa"/>
            <w:vAlign w:val="bottom"/>
            <w:tcBorders>
              <w:bottom w:val="single" w:sz="8" w:color="B6B6B6"/>
              <w:right w:val="single" w:sz="8" w:color="B6B6B6"/>
            </w:tcBorders>
          </w:tcPr>
          <w:p>
            <w:pPr>
              <w:spacing w:after="0"/>
              <w:rPr>
                <w:sz w:val="20"/>
                <w:szCs w:val="20"/>
                <w:color w:val="auto"/>
              </w:rPr>
            </w:pPr>
          </w:p>
        </w:tc>
        <w:tc>
          <w:tcPr>
            <w:tcW w:w="2820" w:type="dxa"/>
            <w:vAlign w:val="bottom"/>
            <w:tcBorders>
              <w:bottom w:val="single" w:sz="8" w:color="B6B6B6"/>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with narcolepsy.</w:t>
            </w:r>
          </w:p>
        </w:tc>
        <w:tc>
          <w:tcPr>
            <w:tcW w:w="1620" w:type="dxa"/>
            <w:vAlign w:val="bottom"/>
            <w:tcBorders>
              <w:bottom w:val="single" w:sz="8" w:color="B6B6B6"/>
            </w:tcBorders>
          </w:tcPr>
          <w:p>
            <w:pPr>
              <w:spacing w:after="0"/>
              <w:rPr>
                <w:sz w:val="20"/>
                <w:szCs w:val="20"/>
                <w:color w:val="auto"/>
              </w:rPr>
            </w:pPr>
          </w:p>
        </w:tc>
        <w:tc>
          <w:tcPr>
            <w:tcW w:w="1180" w:type="dxa"/>
            <w:vAlign w:val="bottom"/>
            <w:tcBorders>
              <w:bottom w:val="single" w:sz="8" w:color="B6B6B6"/>
              <w:right w:val="single" w:sz="8" w:color="B6B6B6"/>
            </w:tcBorders>
          </w:tcPr>
          <w:p>
            <w:pPr>
              <w:spacing w:after="0"/>
              <w:rPr>
                <w:sz w:val="20"/>
                <w:szCs w:val="20"/>
                <w:color w:val="auto"/>
              </w:rPr>
            </w:pPr>
          </w:p>
        </w:tc>
        <w:tc>
          <w:tcPr>
            <w:tcW w:w="640" w:type="dxa"/>
            <w:vAlign w:val="bottom"/>
            <w:tcBorders>
              <w:bottom w:val="single" w:sz="8" w:color="B6B6B6"/>
            </w:tcBorders>
          </w:tcPr>
          <w:p>
            <w:pPr>
              <w:spacing w:after="0"/>
              <w:rPr>
                <w:sz w:val="20"/>
                <w:szCs w:val="20"/>
                <w:color w:val="auto"/>
              </w:rPr>
            </w:pPr>
          </w:p>
        </w:tc>
        <w:tc>
          <w:tcPr>
            <w:tcW w:w="1900" w:type="dxa"/>
            <w:vAlign w:val="bottom"/>
            <w:tcBorders>
              <w:bottom w:val="single" w:sz="8" w:color="B6B6B6"/>
            </w:tcBorders>
          </w:tcPr>
          <w:p>
            <w:pPr>
              <w:spacing w:after="0"/>
              <w:rPr>
                <w:sz w:val="20"/>
                <w:szCs w:val="20"/>
                <w:color w:val="auto"/>
              </w:rPr>
            </w:pPr>
          </w:p>
        </w:tc>
        <w:tc>
          <w:tcPr>
            <w:tcW w:w="100" w:type="dxa"/>
            <w:vAlign w:val="bottom"/>
            <w:tcBorders>
              <w:bottom w:val="single" w:sz="8" w:color="B6B6B6"/>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460" w:type="dxa"/>
            <w:vAlign w:val="bottom"/>
            <w:tcBorders>
              <w:right w:val="single" w:sz="8" w:color="B6B6B6"/>
            </w:tcBorders>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0" w:type="dxa"/>
            <w:vAlign w:val="bottom"/>
            <w:tcBorders>
              <w:right w:val="single" w:sz="8" w:color="B6B6B6"/>
            </w:tcBorders>
            <w:shd w:val="clear" w:color="auto" w:fill="CCEEFF"/>
          </w:tcPr>
          <w:p>
            <w:pPr>
              <w:spacing w:after="0"/>
              <w:rPr>
                <w:sz w:val="14"/>
                <w:szCs w:val="14"/>
                <w:color w:val="auto"/>
              </w:rPr>
            </w:pPr>
          </w:p>
        </w:tc>
        <w:tc>
          <w:tcPr>
            <w:tcW w:w="2820" w:type="dxa"/>
            <w:vAlign w:val="bottom"/>
            <w:tcBorders>
              <w:right w:val="single" w:sz="8" w:color="B6B6B6"/>
            </w:tcBorders>
            <w:gridSpan w:val="2"/>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Treatment of cataplexy or EDS in</w:t>
            </w:r>
          </w:p>
        </w:tc>
        <w:tc>
          <w:tcPr>
            <w:tcW w:w="2800" w:type="dxa"/>
            <w:vAlign w:val="bottom"/>
            <w:tcBorders>
              <w:right w:val="single" w:sz="8" w:color="B6B6B6"/>
            </w:tcBorders>
            <w:gridSpan w:val="2"/>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July 2002</w:t>
            </w:r>
          </w:p>
        </w:tc>
        <w:tc>
          <w:tcPr>
            <w:tcW w:w="2640" w:type="dxa"/>
            <w:vAlign w:val="bottom"/>
            <w:gridSpan w:val="3"/>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U.S.</w:t>
            </w:r>
          </w:p>
        </w:tc>
        <w:tc>
          <w:tcPr>
            <w:tcW w:w="0" w:type="dxa"/>
            <w:vAlign w:val="bottom"/>
          </w:tcPr>
          <w:p>
            <w:pPr>
              <w:spacing w:after="0"/>
              <w:rPr>
                <w:sz w:val="1"/>
                <w:szCs w:val="1"/>
                <w:color w:val="auto"/>
              </w:rPr>
            </w:pPr>
          </w:p>
        </w:tc>
      </w:tr>
      <w:tr>
        <w:trPr>
          <w:trHeight w:val="181"/>
        </w:trPr>
        <w:tc>
          <w:tcPr>
            <w:tcW w:w="460" w:type="dxa"/>
            <w:vAlign w:val="bottom"/>
            <w:tcBorders>
              <w:right w:val="single" w:sz="8" w:color="B6B6B6"/>
            </w:tcBorders>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0" w:type="dxa"/>
            <w:vAlign w:val="bottom"/>
            <w:tcBorders>
              <w:right w:val="single" w:sz="8" w:color="B6B6B6"/>
            </w:tcBorders>
            <w:shd w:val="clear" w:color="auto" w:fill="CCEEFF"/>
          </w:tcPr>
          <w:p>
            <w:pPr>
              <w:spacing w:after="0"/>
              <w:rPr>
                <w:sz w:val="15"/>
                <w:szCs w:val="15"/>
                <w:color w:val="auto"/>
              </w:rPr>
            </w:pPr>
          </w:p>
        </w:tc>
        <w:tc>
          <w:tcPr>
            <w:tcW w:w="2820" w:type="dxa"/>
            <w:vAlign w:val="bottom"/>
            <w:tcBorders>
              <w:right w:val="single" w:sz="8" w:color="B6B6B6"/>
            </w:tcBorders>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patients seven years of age and older</w:t>
            </w:r>
          </w:p>
        </w:tc>
        <w:tc>
          <w:tcPr>
            <w:tcW w:w="1620" w:type="dxa"/>
            <w:vAlign w:val="bottom"/>
            <w:shd w:val="clear" w:color="auto" w:fill="CCEEFF"/>
          </w:tcPr>
          <w:p>
            <w:pPr>
              <w:spacing w:after="0"/>
              <w:rPr>
                <w:sz w:val="15"/>
                <w:szCs w:val="15"/>
                <w:color w:val="auto"/>
              </w:rPr>
            </w:pPr>
          </w:p>
        </w:tc>
        <w:tc>
          <w:tcPr>
            <w:tcW w:w="1180" w:type="dxa"/>
            <w:vAlign w:val="bottom"/>
            <w:tcBorders>
              <w:right w:val="single" w:sz="8" w:color="B6B6B6"/>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60" w:type="dxa"/>
            <w:vAlign w:val="bottom"/>
            <w:tcBorders>
              <w:right w:val="single" w:sz="8" w:color="B6B6B6"/>
            </w:tcBorders>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right w:val="single" w:sz="8" w:color="B6B6B6"/>
            </w:tcBorders>
            <w:shd w:val="clear" w:color="auto" w:fill="CCEEFF"/>
          </w:tcPr>
          <w:p>
            <w:pPr>
              <w:spacing w:after="0"/>
              <w:rPr>
                <w:sz w:val="20"/>
                <w:szCs w:val="20"/>
                <w:color w:val="auto"/>
              </w:rPr>
            </w:pPr>
          </w:p>
        </w:tc>
        <w:tc>
          <w:tcPr>
            <w:tcW w:w="2820" w:type="dxa"/>
            <w:vAlign w:val="bottom"/>
            <w:tcBorders>
              <w:bottom w:val="single" w:sz="8" w:color="B6B6B6"/>
              <w:right w:val="single" w:sz="8" w:color="B6B6B6"/>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 narcolepsy.</w:t>
            </w:r>
          </w:p>
        </w:tc>
        <w:tc>
          <w:tcPr>
            <w:tcW w:w="1620" w:type="dxa"/>
            <w:vAlign w:val="bottom"/>
            <w:tcBorders>
              <w:bottom w:val="single" w:sz="8" w:color="B6B6B6"/>
            </w:tcBorders>
            <w:shd w:val="clear" w:color="auto" w:fill="CCEEFF"/>
          </w:tcPr>
          <w:p>
            <w:pPr>
              <w:spacing w:after="0"/>
              <w:rPr>
                <w:sz w:val="20"/>
                <w:szCs w:val="20"/>
                <w:color w:val="auto"/>
              </w:rPr>
            </w:pPr>
          </w:p>
        </w:tc>
        <w:tc>
          <w:tcPr>
            <w:tcW w:w="1180" w:type="dxa"/>
            <w:vAlign w:val="bottom"/>
            <w:tcBorders>
              <w:bottom w:val="single" w:sz="8" w:color="B6B6B6"/>
              <w:right w:val="single" w:sz="8" w:color="B6B6B6"/>
            </w:tcBorders>
            <w:shd w:val="clear" w:color="auto" w:fill="CCEEFF"/>
          </w:tcPr>
          <w:p>
            <w:pPr>
              <w:spacing w:after="0"/>
              <w:rPr>
                <w:sz w:val="20"/>
                <w:szCs w:val="20"/>
                <w:color w:val="auto"/>
              </w:rPr>
            </w:pPr>
          </w:p>
        </w:tc>
        <w:tc>
          <w:tcPr>
            <w:tcW w:w="640" w:type="dxa"/>
            <w:vAlign w:val="bottom"/>
            <w:tcBorders>
              <w:bottom w:val="single" w:sz="8" w:color="B6B6B6"/>
            </w:tcBorders>
            <w:shd w:val="clear" w:color="auto" w:fill="CCEEFF"/>
          </w:tcPr>
          <w:p>
            <w:pPr>
              <w:spacing w:after="0"/>
              <w:rPr>
                <w:sz w:val="20"/>
                <w:szCs w:val="20"/>
                <w:color w:val="auto"/>
              </w:rPr>
            </w:pPr>
          </w:p>
        </w:tc>
        <w:tc>
          <w:tcPr>
            <w:tcW w:w="1900" w:type="dxa"/>
            <w:vAlign w:val="bottom"/>
            <w:tcBorders>
              <w:bottom w:val="single" w:sz="8" w:color="B6B6B6"/>
            </w:tcBorders>
            <w:shd w:val="clear" w:color="auto" w:fill="CCEEFF"/>
          </w:tcPr>
          <w:p>
            <w:pPr>
              <w:spacing w:after="0"/>
              <w:rPr>
                <w:sz w:val="20"/>
                <w:szCs w:val="20"/>
                <w:color w:val="auto"/>
              </w:rPr>
            </w:pPr>
          </w:p>
        </w:tc>
        <w:tc>
          <w:tcPr>
            <w:tcW w:w="100" w:type="dxa"/>
            <w:vAlign w:val="bottom"/>
            <w:tcBorders>
              <w:bottom w:val="single" w:sz="8" w:color="B6B6B6"/>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460" w:type="dxa"/>
            <w:vAlign w:val="bottom"/>
            <w:tcBorders>
              <w:right w:val="single" w:sz="8" w:color="B6B6B6"/>
            </w:tcBorders>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0" w:type="dxa"/>
            <w:vAlign w:val="bottom"/>
            <w:tcBorders>
              <w:right w:val="single" w:sz="8" w:color="B6B6B6"/>
            </w:tcBorders>
            <w:shd w:val="clear" w:color="auto" w:fill="CCEEFF"/>
          </w:tcPr>
          <w:p>
            <w:pPr>
              <w:spacing w:after="0"/>
              <w:rPr>
                <w:sz w:val="14"/>
                <w:szCs w:val="14"/>
                <w:color w:val="auto"/>
              </w:rPr>
            </w:pPr>
          </w:p>
        </w:tc>
        <w:tc>
          <w:tcPr>
            <w:tcW w:w="2820" w:type="dxa"/>
            <w:vAlign w:val="bottom"/>
            <w:tcBorders>
              <w:right w:val="single" w:sz="8" w:color="B6B6B6"/>
            </w:tcBorders>
            <w:gridSpan w:val="2"/>
            <w:shd w:val="clear" w:color="auto" w:fill="CCEEFF"/>
          </w:tcPr>
          <w:p>
            <w:pPr>
              <w:ind w:left="20"/>
              <w:spacing w:after="0" w:line="166" w:lineRule="exact"/>
              <w:rPr>
                <w:sz w:val="20"/>
                <w:szCs w:val="20"/>
                <w:color w:val="auto"/>
              </w:rPr>
            </w:pPr>
            <w:r>
              <w:rPr>
                <w:rFonts w:ascii="Times New Roman" w:cs="Times New Roman" w:eastAsia="Times New Roman" w:hAnsi="Times New Roman"/>
                <w:sz w:val="18"/>
                <w:szCs w:val="18"/>
                <w:color w:val="auto"/>
              </w:rPr>
              <w:t>Treatment of cataplexy in patients</w:t>
            </w:r>
          </w:p>
        </w:tc>
        <w:tc>
          <w:tcPr>
            <w:tcW w:w="2800" w:type="dxa"/>
            <w:vAlign w:val="bottom"/>
            <w:tcBorders>
              <w:right w:val="single" w:sz="8" w:color="B6B6B6"/>
            </w:tcBorders>
            <w:gridSpan w:val="2"/>
            <w:shd w:val="clear" w:color="auto" w:fill="CCEEFF"/>
          </w:tcPr>
          <w:p>
            <w:pPr>
              <w:spacing w:after="0" w:line="166" w:lineRule="exact"/>
              <w:rPr>
                <w:sz w:val="20"/>
                <w:szCs w:val="20"/>
                <w:color w:val="auto"/>
              </w:rPr>
            </w:pPr>
            <w:r>
              <w:rPr>
                <w:rFonts w:ascii="Times New Roman" w:cs="Times New Roman" w:eastAsia="Times New Roman" w:hAnsi="Times New Roman"/>
                <w:sz w:val="18"/>
                <w:szCs w:val="18"/>
                <w:color w:val="auto"/>
              </w:rPr>
              <w:t>August 2005</w:t>
            </w:r>
          </w:p>
        </w:tc>
        <w:tc>
          <w:tcPr>
            <w:tcW w:w="2640" w:type="dxa"/>
            <w:vAlign w:val="bottom"/>
            <w:gridSpan w:val="3"/>
            <w:shd w:val="clear" w:color="auto" w:fill="CCEEFF"/>
          </w:tcPr>
          <w:p>
            <w:pPr>
              <w:ind w:left="20"/>
              <w:spacing w:after="0" w:line="166" w:lineRule="exact"/>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40"/>
        </w:trPr>
        <w:tc>
          <w:tcPr>
            <w:tcW w:w="460" w:type="dxa"/>
            <w:vAlign w:val="bottom"/>
            <w:tcBorders>
              <w:right w:val="single" w:sz="8" w:color="B6B6B6"/>
            </w:tcBorders>
          </w:tcPr>
          <w:p>
            <w:pPr>
              <w:spacing w:after="0"/>
              <w:rPr>
                <w:sz w:val="20"/>
                <w:szCs w:val="20"/>
                <w:color w:val="auto"/>
              </w:rPr>
            </w:pPr>
          </w:p>
        </w:tc>
        <w:tc>
          <w:tcPr>
            <w:tcW w:w="2620" w:type="dxa"/>
            <w:vAlign w:val="bottom"/>
            <w:tcBorders>
              <w:bottom w:val="single" w:sz="8" w:color="CCEEFF"/>
              <w:right w:val="single" w:sz="8" w:color="B6B6B6"/>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Xyrem® (sodium oxybate)</w:t>
            </w:r>
          </w:p>
        </w:tc>
        <w:tc>
          <w:tcPr>
            <w:tcW w:w="2820" w:type="dxa"/>
            <w:vAlign w:val="bottom"/>
            <w:tcBorders>
              <w:bottom w:val="single" w:sz="8" w:color="B6B6B6"/>
              <w:right w:val="single" w:sz="8" w:color="B6B6B6"/>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 narcolepsy.</w:t>
            </w:r>
          </w:p>
        </w:tc>
        <w:tc>
          <w:tcPr>
            <w:tcW w:w="1620" w:type="dxa"/>
            <w:vAlign w:val="bottom"/>
            <w:tcBorders>
              <w:bottom w:val="single" w:sz="8" w:color="B6B6B6"/>
            </w:tcBorders>
            <w:shd w:val="clear" w:color="auto" w:fill="CCEEFF"/>
          </w:tcPr>
          <w:p>
            <w:pPr>
              <w:spacing w:after="0"/>
              <w:rPr>
                <w:sz w:val="20"/>
                <w:szCs w:val="20"/>
                <w:color w:val="auto"/>
              </w:rPr>
            </w:pPr>
          </w:p>
        </w:tc>
        <w:tc>
          <w:tcPr>
            <w:tcW w:w="1180" w:type="dxa"/>
            <w:vAlign w:val="bottom"/>
            <w:tcBorders>
              <w:bottom w:val="single" w:sz="8" w:color="B6B6B6"/>
              <w:right w:val="single" w:sz="8" w:color="B6B6B6"/>
            </w:tcBorders>
            <w:shd w:val="clear" w:color="auto" w:fill="CCEEFF"/>
          </w:tcPr>
          <w:p>
            <w:pPr>
              <w:spacing w:after="0"/>
              <w:rPr>
                <w:sz w:val="20"/>
                <w:szCs w:val="20"/>
                <w:color w:val="auto"/>
              </w:rPr>
            </w:pPr>
          </w:p>
        </w:tc>
        <w:tc>
          <w:tcPr>
            <w:tcW w:w="640" w:type="dxa"/>
            <w:vAlign w:val="bottom"/>
            <w:tcBorders>
              <w:bottom w:val="single" w:sz="8" w:color="B6B6B6"/>
            </w:tcBorders>
            <w:shd w:val="clear" w:color="auto" w:fill="CCEEFF"/>
          </w:tcPr>
          <w:p>
            <w:pPr>
              <w:spacing w:after="0"/>
              <w:rPr>
                <w:sz w:val="20"/>
                <w:szCs w:val="20"/>
                <w:color w:val="auto"/>
              </w:rPr>
            </w:pPr>
          </w:p>
        </w:tc>
        <w:tc>
          <w:tcPr>
            <w:tcW w:w="1900" w:type="dxa"/>
            <w:vAlign w:val="bottom"/>
            <w:tcBorders>
              <w:bottom w:val="single" w:sz="8" w:color="B6B6B6"/>
            </w:tcBorders>
            <w:shd w:val="clear" w:color="auto" w:fill="CCEEFF"/>
          </w:tcPr>
          <w:p>
            <w:pPr>
              <w:spacing w:after="0"/>
              <w:rPr>
                <w:sz w:val="20"/>
                <w:szCs w:val="20"/>
                <w:color w:val="auto"/>
              </w:rPr>
            </w:pPr>
          </w:p>
        </w:tc>
        <w:tc>
          <w:tcPr>
            <w:tcW w:w="100" w:type="dxa"/>
            <w:vAlign w:val="bottom"/>
            <w:tcBorders>
              <w:bottom w:val="single" w:sz="8" w:color="B6B6B6"/>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460" w:type="dxa"/>
            <w:vAlign w:val="bottom"/>
            <w:tcBorders>
              <w:right w:val="single" w:sz="8" w:color="B6B6B6"/>
            </w:tcBorders>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0" w:type="dxa"/>
            <w:vAlign w:val="bottom"/>
            <w:tcBorders>
              <w:right w:val="single" w:sz="8" w:color="B6B6B6"/>
            </w:tcBorders>
            <w:shd w:val="clear" w:color="auto" w:fill="CCEEFF"/>
          </w:tcPr>
          <w:p>
            <w:pPr>
              <w:spacing w:after="0"/>
              <w:rPr>
                <w:sz w:val="14"/>
                <w:szCs w:val="14"/>
                <w:color w:val="auto"/>
              </w:rPr>
            </w:pPr>
          </w:p>
        </w:tc>
        <w:tc>
          <w:tcPr>
            <w:tcW w:w="2820" w:type="dxa"/>
            <w:vAlign w:val="bottom"/>
            <w:tcBorders>
              <w:right w:val="single" w:sz="8" w:color="B6B6B6"/>
            </w:tcBorders>
            <w:gridSpan w:val="2"/>
            <w:shd w:val="clear" w:color="auto" w:fill="CCEEFF"/>
          </w:tcPr>
          <w:p>
            <w:pPr>
              <w:ind w:left="20"/>
              <w:spacing w:after="0" w:line="166" w:lineRule="exact"/>
              <w:rPr>
                <w:sz w:val="20"/>
                <w:szCs w:val="20"/>
                <w:color w:val="auto"/>
              </w:rPr>
            </w:pPr>
            <w:r>
              <w:rPr>
                <w:rFonts w:ascii="Times New Roman" w:cs="Times New Roman" w:eastAsia="Times New Roman" w:hAnsi="Times New Roman"/>
                <w:sz w:val="18"/>
                <w:szCs w:val="18"/>
                <w:color w:val="auto"/>
              </w:rPr>
              <w:t>Treatment of narcolepsy with</w:t>
            </w:r>
          </w:p>
        </w:tc>
        <w:tc>
          <w:tcPr>
            <w:tcW w:w="2800" w:type="dxa"/>
            <w:vAlign w:val="bottom"/>
            <w:tcBorders>
              <w:right w:val="single" w:sz="8" w:color="B6B6B6"/>
            </w:tcBorders>
            <w:gridSpan w:val="2"/>
            <w:shd w:val="clear" w:color="auto" w:fill="CCEEFF"/>
          </w:tcPr>
          <w:p>
            <w:pPr>
              <w:spacing w:after="0" w:line="166" w:lineRule="exact"/>
              <w:rPr>
                <w:sz w:val="20"/>
                <w:szCs w:val="20"/>
                <w:color w:val="auto"/>
              </w:rPr>
            </w:pPr>
            <w:r>
              <w:rPr>
                <w:rFonts w:ascii="Times New Roman" w:cs="Times New Roman" w:eastAsia="Times New Roman" w:hAnsi="Times New Roman"/>
                <w:sz w:val="18"/>
                <w:szCs w:val="18"/>
                <w:color w:val="auto"/>
              </w:rPr>
              <w:t>October 2005</w:t>
            </w:r>
          </w:p>
        </w:tc>
        <w:tc>
          <w:tcPr>
            <w:tcW w:w="2640" w:type="dxa"/>
            <w:vAlign w:val="bottom"/>
            <w:gridSpan w:val="3"/>
            <w:shd w:val="clear" w:color="auto" w:fill="CCEEFF"/>
          </w:tcPr>
          <w:p>
            <w:pPr>
              <w:ind w:left="20"/>
              <w:spacing w:after="0" w:line="166" w:lineRule="exact"/>
              <w:rPr>
                <w:sz w:val="20"/>
                <w:szCs w:val="20"/>
                <w:color w:val="auto"/>
              </w:rPr>
            </w:pPr>
            <w:r>
              <w:rPr>
                <w:rFonts w:ascii="Times New Roman" w:cs="Times New Roman" w:eastAsia="Times New Roman" w:hAnsi="Times New Roman"/>
                <w:sz w:val="18"/>
                <w:szCs w:val="18"/>
                <w:color w:val="auto"/>
                <w:w w:val="97"/>
              </w:rPr>
              <w:t>European Union, or EU, Great Britai</w:t>
            </w:r>
          </w:p>
        </w:tc>
        <w:tc>
          <w:tcPr>
            <w:tcW w:w="0" w:type="dxa"/>
            <w:vAlign w:val="bottom"/>
          </w:tcPr>
          <w:p>
            <w:pPr>
              <w:spacing w:after="0"/>
              <w:rPr>
                <w:sz w:val="1"/>
                <w:szCs w:val="1"/>
                <w:color w:val="auto"/>
              </w:rPr>
            </w:pPr>
          </w:p>
        </w:tc>
      </w:tr>
      <w:tr>
        <w:trPr>
          <w:trHeight w:val="181"/>
        </w:trPr>
        <w:tc>
          <w:tcPr>
            <w:tcW w:w="460" w:type="dxa"/>
            <w:vAlign w:val="bottom"/>
            <w:tcBorders>
              <w:right w:val="single" w:sz="8" w:color="B6B6B6"/>
            </w:tcBorders>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0" w:type="dxa"/>
            <w:vAlign w:val="bottom"/>
            <w:tcBorders>
              <w:right w:val="single" w:sz="8" w:color="B6B6B6"/>
            </w:tcBorders>
            <w:shd w:val="clear" w:color="auto" w:fill="CCEEFF"/>
          </w:tcPr>
          <w:p>
            <w:pPr>
              <w:spacing w:after="0"/>
              <w:rPr>
                <w:sz w:val="15"/>
                <w:szCs w:val="15"/>
                <w:color w:val="auto"/>
              </w:rPr>
            </w:pPr>
          </w:p>
        </w:tc>
        <w:tc>
          <w:tcPr>
            <w:tcW w:w="2820" w:type="dxa"/>
            <w:vAlign w:val="bottom"/>
            <w:tcBorders>
              <w:right w:val="single" w:sz="8" w:color="B6B6B6"/>
            </w:tcBorders>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cataplexy in adult patients,</w:t>
            </w:r>
          </w:p>
        </w:tc>
        <w:tc>
          <w:tcPr>
            <w:tcW w:w="1620" w:type="dxa"/>
            <w:vAlign w:val="bottom"/>
            <w:shd w:val="clear" w:color="auto" w:fill="CCEEFF"/>
          </w:tcPr>
          <w:p>
            <w:pPr>
              <w:spacing w:after="0"/>
              <w:rPr>
                <w:sz w:val="15"/>
                <w:szCs w:val="15"/>
                <w:color w:val="auto"/>
              </w:rPr>
            </w:pPr>
          </w:p>
        </w:tc>
        <w:tc>
          <w:tcPr>
            <w:tcW w:w="1180" w:type="dxa"/>
            <w:vAlign w:val="bottom"/>
            <w:tcBorders>
              <w:right w:val="single" w:sz="8" w:color="B6B6B6"/>
            </w:tcBorders>
            <w:shd w:val="clear" w:color="auto" w:fill="CCEEFF"/>
          </w:tcPr>
          <w:p>
            <w:pPr>
              <w:spacing w:after="0"/>
              <w:rPr>
                <w:sz w:val="15"/>
                <w:szCs w:val="15"/>
                <w:color w:val="auto"/>
              </w:rPr>
            </w:pPr>
          </w:p>
        </w:tc>
        <w:tc>
          <w:tcPr>
            <w:tcW w:w="2640" w:type="dxa"/>
            <w:vAlign w:val="bottom"/>
            <w:gridSpan w:val="3"/>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other markets (through licensing</w:t>
            </w:r>
          </w:p>
        </w:tc>
        <w:tc>
          <w:tcPr>
            <w:tcW w:w="0" w:type="dxa"/>
            <w:vAlign w:val="bottom"/>
          </w:tcPr>
          <w:p>
            <w:pPr>
              <w:spacing w:after="0"/>
              <w:rPr>
                <w:sz w:val="1"/>
                <w:szCs w:val="1"/>
                <w:color w:val="auto"/>
              </w:rPr>
            </w:pPr>
          </w:p>
        </w:tc>
      </w:tr>
      <w:tr>
        <w:trPr>
          <w:trHeight w:val="178"/>
        </w:trPr>
        <w:tc>
          <w:tcPr>
            <w:tcW w:w="460" w:type="dxa"/>
            <w:vAlign w:val="bottom"/>
            <w:tcBorders>
              <w:right w:val="single" w:sz="8" w:color="B6B6B6"/>
            </w:tcBorders>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0" w:type="dxa"/>
            <w:vAlign w:val="bottom"/>
            <w:tcBorders>
              <w:right w:val="single" w:sz="8" w:color="B6B6B6"/>
            </w:tcBorders>
            <w:shd w:val="clear" w:color="auto" w:fill="CCEEFF"/>
          </w:tcPr>
          <w:p>
            <w:pPr>
              <w:spacing w:after="0"/>
              <w:rPr>
                <w:sz w:val="15"/>
                <w:szCs w:val="15"/>
                <w:color w:val="auto"/>
              </w:rPr>
            </w:pPr>
          </w:p>
        </w:tc>
        <w:tc>
          <w:tcPr>
            <w:tcW w:w="2820" w:type="dxa"/>
            <w:vAlign w:val="bottom"/>
            <w:tcBorders>
              <w:right w:val="single" w:sz="8" w:color="B6B6B6"/>
            </w:tcBorders>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w w:val="98"/>
              </w:rPr>
              <w:t>adolescents and children from age of 7</w:t>
            </w:r>
          </w:p>
        </w:tc>
        <w:tc>
          <w:tcPr>
            <w:tcW w:w="1620" w:type="dxa"/>
            <w:vAlign w:val="bottom"/>
            <w:shd w:val="clear" w:color="auto" w:fill="CCEEFF"/>
          </w:tcPr>
          <w:p>
            <w:pPr>
              <w:spacing w:after="0"/>
              <w:rPr>
                <w:sz w:val="15"/>
                <w:szCs w:val="15"/>
                <w:color w:val="auto"/>
              </w:rPr>
            </w:pPr>
          </w:p>
        </w:tc>
        <w:tc>
          <w:tcPr>
            <w:tcW w:w="1180" w:type="dxa"/>
            <w:vAlign w:val="bottom"/>
            <w:tcBorders>
              <w:right w:val="single" w:sz="8" w:color="B6B6B6"/>
            </w:tcBorders>
            <w:shd w:val="clear" w:color="auto" w:fill="CCEEFF"/>
          </w:tcPr>
          <w:p>
            <w:pPr>
              <w:spacing w:after="0"/>
              <w:rPr>
                <w:sz w:val="15"/>
                <w:szCs w:val="15"/>
                <w:color w:val="auto"/>
              </w:rPr>
            </w:pPr>
          </w:p>
        </w:tc>
        <w:tc>
          <w:tcPr>
            <w:tcW w:w="2640" w:type="dxa"/>
            <w:vAlign w:val="bottom"/>
            <w:gridSpan w:val="3"/>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agreement)</w:t>
            </w:r>
          </w:p>
        </w:tc>
        <w:tc>
          <w:tcPr>
            <w:tcW w:w="0" w:type="dxa"/>
            <w:vAlign w:val="bottom"/>
          </w:tcPr>
          <w:p>
            <w:pPr>
              <w:spacing w:after="0"/>
              <w:rPr>
                <w:sz w:val="1"/>
                <w:szCs w:val="1"/>
                <w:color w:val="auto"/>
              </w:rPr>
            </w:pPr>
          </w:p>
        </w:tc>
      </w:tr>
      <w:tr>
        <w:trPr>
          <w:trHeight w:val="232"/>
        </w:trPr>
        <w:tc>
          <w:tcPr>
            <w:tcW w:w="460" w:type="dxa"/>
            <w:vAlign w:val="bottom"/>
            <w:tcBorders>
              <w:right w:val="single" w:sz="8" w:color="B6B6B6"/>
            </w:tcBorders>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00" w:type="dxa"/>
            <w:vAlign w:val="bottom"/>
            <w:tcBorders>
              <w:right w:val="single" w:sz="8" w:color="B6B6B6"/>
            </w:tcBorders>
            <w:shd w:val="clear" w:color="auto" w:fill="CCEEFF"/>
          </w:tcPr>
          <w:p>
            <w:pPr>
              <w:spacing w:after="0"/>
              <w:rPr>
                <w:sz w:val="20"/>
                <w:szCs w:val="20"/>
                <w:color w:val="auto"/>
              </w:rPr>
            </w:pPr>
          </w:p>
        </w:tc>
        <w:tc>
          <w:tcPr>
            <w:tcW w:w="2820" w:type="dxa"/>
            <w:vAlign w:val="bottom"/>
            <w:tcBorders>
              <w:right w:val="single" w:sz="8" w:color="B6B6B6"/>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1620" w:type="dxa"/>
            <w:vAlign w:val="bottom"/>
            <w:shd w:val="clear" w:color="auto" w:fill="CCEEFF"/>
          </w:tcPr>
          <w:p>
            <w:pPr>
              <w:spacing w:after="0"/>
              <w:rPr>
                <w:sz w:val="20"/>
                <w:szCs w:val="20"/>
                <w:color w:val="auto"/>
              </w:rPr>
            </w:pPr>
          </w:p>
        </w:tc>
        <w:tc>
          <w:tcPr>
            <w:tcW w:w="1180" w:type="dxa"/>
            <w:vAlign w:val="bottom"/>
            <w:tcBorders>
              <w:right w:val="single" w:sz="8" w:color="B6B6B6"/>
            </w:tcBorders>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460" w:type="dxa"/>
            <w:vAlign w:val="bottom"/>
            <w:tcBorders>
              <w:right w:val="single" w:sz="8" w:color="B6B6B6"/>
            </w:tcBorders>
          </w:tcPr>
          <w:p>
            <w:pPr>
              <w:spacing w:after="0"/>
              <w:rPr>
                <w:sz w:val="5"/>
                <w:szCs w:val="5"/>
                <w:color w:val="auto"/>
              </w:rPr>
            </w:pPr>
          </w:p>
        </w:tc>
        <w:tc>
          <w:tcPr>
            <w:tcW w:w="620" w:type="dxa"/>
            <w:vAlign w:val="bottom"/>
            <w:tcBorders>
              <w:bottom w:val="single" w:sz="8" w:color="B6B6B6"/>
            </w:tcBorders>
            <w:shd w:val="clear" w:color="auto" w:fill="CCEEFF"/>
          </w:tcPr>
          <w:p>
            <w:pPr>
              <w:spacing w:after="0"/>
              <w:rPr>
                <w:sz w:val="5"/>
                <w:szCs w:val="5"/>
                <w:color w:val="auto"/>
              </w:rPr>
            </w:pPr>
          </w:p>
        </w:tc>
        <w:tc>
          <w:tcPr>
            <w:tcW w:w="2000" w:type="dxa"/>
            <w:vAlign w:val="bottom"/>
            <w:tcBorders>
              <w:bottom w:val="single" w:sz="8" w:color="B6B6B6"/>
              <w:right w:val="single" w:sz="8" w:color="B6B6B6"/>
            </w:tcBorders>
            <w:shd w:val="clear" w:color="auto" w:fill="CCEEFF"/>
          </w:tcPr>
          <w:p>
            <w:pPr>
              <w:spacing w:after="0"/>
              <w:rPr>
                <w:sz w:val="5"/>
                <w:szCs w:val="5"/>
                <w:color w:val="auto"/>
              </w:rPr>
            </w:pPr>
          </w:p>
        </w:tc>
        <w:tc>
          <w:tcPr>
            <w:tcW w:w="860" w:type="dxa"/>
            <w:vAlign w:val="bottom"/>
            <w:tcBorders>
              <w:bottom w:val="single" w:sz="8" w:color="B6B6B6"/>
            </w:tcBorders>
            <w:shd w:val="clear" w:color="auto" w:fill="CCEEFF"/>
          </w:tcPr>
          <w:p>
            <w:pPr>
              <w:spacing w:after="0"/>
              <w:rPr>
                <w:sz w:val="5"/>
                <w:szCs w:val="5"/>
                <w:color w:val="auto"/>
              </w:rPr>
            </w:pPr>
          </w:p>
        </w:tc>
        <w:tc>
          <w:tcPr>
            <w:tcW w:w="1960" w:type="dxa"/>
            <w:vAlign w:val="bottom"/>
            <w:tcBorders>
              <w:bottom w:val="single" w:sz="8" w:color="B6B6B6"/>
              <w:right w:val="single" w:sz="8" w:color="B6B6B6"/>
            </w:tcBorders>
            <w:shd w:val="clear" w:color="auto" w:fill="CCEEFF"/>
          </w:tcPr>
          <w:p>
            <w:pPr>
              <w:spacing w:after="0"/>
              <w:rPr>
                <w:sz w:val="5"/>
                <w:szCs w:val="5"/>
                <w:color w:val="auto"/>
              </w:rPr>
            </w:pPr>
          </w:p>
        </w:tc>
        <w:tc>
          <w:tcPr>
            <w:tcW w:w="1620" w:type="dxa"/>
            <w:vAlign w:val="bottom"/>
            <w:tcBorders>
              <w:bottom w:val="single" w:sz="8" w:color="B6B6B6"/>
            </w:tcBorders>
            <w:shd w:val="clear" w:color="auto" w:fill="CCEEFF"/>
          </w:tcPr>
          <w:p>
            <w:pPr>
              <w:spacing w:after="0"/>
              <w:rPr>
                <w:sz w:val="5"/>
                <w:szCs w:val="5"/>
                <w:color w:val="auto"/>
              </w:rPr>
            </w:pPr>
          </w:p>
        </w:tc>
        <w:tc>
          <w:tcPr>
            <w:tcW w:w="1180" w:type="dxa"/>
            <w:vAlign w:val="bottom"/>
            <w:tcBorders>
              <w:bottom w:val="single" w:sz="8" w:color="B6B6B6"/>
              <w:right w:val="single" w:sz="8" w:color="B6B6B6"/>
            </w:tcBorders>
            <w:shd w:val="clear" w:color="auto" w:fill="CCEEFF"/>
          </w:tcPr>
          <w:p>
            <w:pPr>
              <w:spacing w:after="0"/>
              <w:rPr>
                <w:sz w:val="5"/>
                <w:szCs w:val="5"/>
                <w:color w:val="auto"/>
              </w:rPr>
            </w:pPr>
          </w:p>
        </w:tc>
        <w:tc>
          <w:tcPr>
            <w:tcW w:w="640" w:type="dxa"/>
            <w:vAlign w:val="bottom"/>
            <w:tcBorders>
              <w:bottom w:val="single" w:sz="8" w:color="B6B6B6"/>
            </w:tcBorders>
            <w:shd w:val="clear" w:color="auto" w:fill="CCEEFF"/>
          </w:tcPr>
          <w:p>
            <w:pPr>
              <w:spacing w:after="0"/>
              <w:rPr>
                <w:sz w:val="5"/>
                <w:szCs w:val="5"/>
                <w:color w:val="auto"/>
              </w:rPr>
            </w:pPr>
          </w:p>
        </w:tc>
        <w:tc>
          <w:tcPr>
            <w:tcW w:w="2000" w:type="dxa"/>
            <w:vAlign w:val="bottom"/>
            <w:tcBorders>
              <w:bottom w:val="single" w:sz="8" w:color="B6B6B6"/>
            </w:tcBorders>
            <w:gridSpan w:val="2"/>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460" w:type="dxa"/>
            <w:vAlign w:val="bottom"/>
            <w:tcBorders>
              <w:right w:val="single" w:sz="8" w:color="B6B6B6"/>
            </w:tcBorders>
          </w:tcPr>
          <w:p>
            <w:pPr>
              <w:spacing w:after="0"/>
              <w:rPr>
                <w:sz w:val="14"/>
                <w:szCs w:val="14"/>
                <w:color w:val="auto"/>
              </w:rPr>
            </w:pPr>
          </w:p>
        </w:tc>
        <w:tc>
          <w:tcPr>
            <w:tcW w:w="620" w:type="dxa"/>
            <w:vAlign w:val="bottom"/>
          </w:tcPr>
          <w:p>
            <w:pPr>
              <w:spacing w:after="0"/>
              <w:rPr>
                <w:sz w:val="14"/>
                <w:szCs w:val="14"/>
                <w:color w:val="auto"/>
              </w:rPr>
            </w:pPr>
          </w:p>
        </w:tc>
        <w:tc>
          <w:tcPr>
            <w:tcW w:w="2000" w:type="dxa"/>
            <w:vAlign w:val="bottom"/>
            <w:tcBorders>
              <w:right w:val="single" w:sz="8" w:color="B6B6B6"/>
            </w:tcBorders>
          </w:tcPr>
          <w:p>
            <w:pPr>
              <w:spacing w:after="0"/>
              <w:rPr>
                <w:sz w:val="14"/>
                <w:szCs w:val="14"/>
                <w:color w:val="auto"/>
              </w:rPr>
            </w:pPr>
          </w:p>
        </w:tc>
        <w:tc>
          <w:tcPr>
            <w:tcW w:w="2820" w:type="dxa"/>
            <w:vAlign w:val="bottom"/>
            <w:tcBorders>
              <w:right w:val="single" w:sz="8" w:color="B6B6B6"/>
            </w:tcBorders>
            <w:gridSpan w:val="2"/>
          </w:tcPr>
          <w:p>
            <w:pPr>
              <w:ind w:left="20"/>
              <w:spacing w:after="0" w:line="166" w:lineRule="exact"/>
              <w:rPr>
                <w:sz w:val="20"/>
                <w:szCs w:val="20"/>
                <w:color w:val="auto"/>
              </w:rPr>
            </w:pPr>
            <w:r>
              <w:rPr>
                <w:rFonts w:ascii="Times New Roman" w:cs="Times New Roman" w:eastAsia="Times New Roman" w:hAnsi="Times New Roman"/>
                <w:sz w:val="18"/>
                <w:szCs w:val="18"/>
                <w:color w:val="auto"/>
              </w:rPr>
              <w:t>Treatment of seizures associated with</w:t>
            </w:r>
          </w:p>
        </w:tc>
        <w:tc>
          <w:tcPr>
            <w:tcW w:w="2800" w:type="dxa"/>
            <w:vAlign w:val="bottom"/>
            <w:tcBorders>
              <w:right w:val="single" w:sz="8" w:color="B6B6B6"/>
            </w:tcBorders>
            <w:gridSpan w:val="2"/>
          </w:tcPr>
          <w:p>
            <w:pPr>
              <w:spacing w:after="0" w:line="166" w:lineRule="exact"/>
              <w:rPr>
                <w:sz w:val="20"/>
                <w:szCs w:val="20"/>
                <w:color w:val="auto"/>
              </w:rPr>
            </w:pPr>
            <w:r>
              <w:rPr>
                <w:rFonts w:ascii="Times New Roman" w:cs="Times New Roman" w:eastAsia="Times New Roman" w:hAnsi="Times New Roman"/>
                <w:sz w:val="18"/>
                <w:szCs w:val="18"/>
                <w:color w:val="auto"/>
              </w:rPr>
              <w:t>June 2018</w:t>
            </w:r>
          </w:p>
        </w:tc>
        <w:tc>
          <w:tcPr>
            <w:tcW w:w="2640" w:type="dxa"/>
            <w:vAlign w:val="bottom"/>
            <w:gridSpan w:val="3"/>
          </w:tcPr>
          <w:p>
            <w:pPr>
              <w:ind w:left="20"/>
              <w:spacing w:after="0" w:line="166" w:lineRule="exact"/>
              <w:rPr>
                <w:sz w:val="20"/>
                <w:szCs w:val="20"/>
                <w:color w:val="auto"/>
              </w:rPr>
            </w:pPr>
            <w:r>
              <w:rPr>
                <w:rFonts w:ascii="Times New Roman" w:cs="Times New Roman" w:eastAsia="Times New Roman" w:hAnsi="Times New Roman"/>
                <w:sz w:val="18"/>
                <w:szCs w:val="18"/>
                <w:color w:val="auto"/>
              </w:rPr>
              <w:t>U.S.</w:t>
            </w:r>
          </w:p>
        </w:tc>
        <w:tc>
          <w:tcPr>
            <w:tcW w:w="0" w:type="dxa"/>
            <w:vAlign w:val="bottom"/>
          </w:tcPr>
          <w:p>
            <w:pPr>
              <w:spacing w:after="0"/>
              <w:rPr>
                <w:sz w:val="1"/>
                <w:szCs w:val="1"/>
                <w:color w:val="auto"/>
              </w:rPr>
            </w:pPr>
          </w:p>
        </w:tc>
      </w:tr>
      <w:tr>
        <w:trPr>
          <w:trHeight w:val="181"/>
        </w:trPr>
        <w:tc>
          <w:tcPr>
            <w:tcW w:w="460" w:type="dxa"/>
            <w:vAlign w:val="bottom"/>
            <w:tcBorders>
              <w:right w:val="single" w:sz="8" w:color="B6B6B6"/>
            </w:tcBorders>
          </w:tcPr>
          <w:p>
            <w:pPr>
              <w:spacing w:after="0"/>
              <w:rPr>
                <w:sz w:val="15"/>
                <w:szCs w:val="15"/>
                <w:color w:val="auto"/>
              </w:rPr>
            </w:pPr>
          </w:p>
        </w:tc>
        <w:tc>
          <w:tcPr>
            <w:tcW w:w="620" w:type="dxa"/>
            <w:vAlign w:val="bottom"/>
          </w:tcPr>
          <w:p>
            <w:pPr>
              <w:spacing w:after="0"/>
              <w:rPr>
                <w:sz w:val="15"/>
                <w:szCs w:val="15"/>
                <w:color w:val="auto"/>
              </w:rPr>
            </w:pPr>
          </w:p>
        </w:tc>
        <w:tc>
          <w:tcPr>
            <w:tcW w:w="200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Lennox-Gastaut syndrome, or LGS,</w:t>
            </w:r>
          </w:p>
        </w:tc>
        <w:tc>
          <w:tcPr>
            <w:tcW w:w="1620" w:type="dxa"/>
            <w:vAlign w:val="bottom"/>
          </w:tcPr>
          <w:p>
            <w:pPr>
              <w:spacing w:after="0"/>
              <w:rPr>
                <w:sz w:val="15"/>
                <w:szCs w:val="15"/>
                <w:color w:val="auto"/>
              </w:rPr>
            </w:pPr>
          </w:p>
        </w:tc>
        <w:tc>
          <w:tcPr>
            <w:tcW w:w="1180" w:type="dxa"/>
            <w:vAlign w:val="bottom"/>
            <w:tcBorders>
              <w:right w:val="single" w:sz="8" w:color="B6B6B6"/>
            </w:tcBorders>
          </w:tcPr>
          <w:p>
            <w:pPr>
              <w:spacing w:after="0"/>
              <w:rPr>
                <w:sz w:val="15"/>
                <w:szCs w:val="15"/>
                <w:color w:val="auto"/>
              </w:rPr>
            </w:pPr>
          </w:p>
        </w:tc>
        <w:tc>
          <w:tcPr>
            <w:tcW w:w="6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60" w:type="dxa"/>
            <w:vAlign w:val="bottom"/>
            <w:tcBorders>
              <w:right w:val="single" w:sz="8" w:color="B6B6B6"/>
            </w:tcBorders>
          </w:tcPr>
          <w:p>
            <w:pPr>
              <w:spacing w:after="0"/>
              <w:rPr>
                <w:sz w:val="15"/>
                <w:szCs w:val="15"/>
                <w:color w:val="auto"/>
              </w:rPr>
            </w:pPr>
          </w:p>
        </w:tc>
        <w:tc>
          <w:tcPr>
            <w:tcW w:w="2620" w:type="dxa"/>
            <w:vAlign w:val="bottom"/>
            <w:tcBorders>
              <w:right w:val="single" w:sz="8" w:color="B6B6B6"/>
            </w:tcBorders>
            <w:gridSpan w:val="2"/>
          </w:tcPr>
          <w:p>
            <w:pPr>
              <w:ind w:left="20"/>
              <w:spacing w:after="0" w:line="178" w:lineRule="exact"/>
              <w:rPr>
                <w:sz w:val="20"/>
                <w:szCs w:val="20"/>
                <w:color w:val="auto"/>
              </w:rPr>
            </w:pPr>
            <w:r>
              <w:rPr>
                <w:rFonts w:ascii="Times New Roman" w:cs="Times New Roman" w:eastAsia="Times New Roman" w:hAnsi="Times New Roman"/>
                <w:sz w:val="18"/>
                <w:szCs w:val="18"/>
                <w:color w:val="auto"/>
              </w:rPr>
              <w:t>Epidiolex® (cannabidiol)</w:t>
            </w:r>
          </w:p>
        </w:tc>
        <w:tc>
          <w:tcPr>
            <w:tcW w:w="2820" w:type="dxa"/>
            <w:vAlign w:val="bottom"/>
            <w:tcBorders>
              <w:right w:val="single" w:sz="8" w:color="B6B6B6"/>
            </w:tcBorders>
            <w:gridSpan w:val="2"/>
          </w:tcPr>
          <w:p>
            <w:pPr>
              <w:ind w:left="20"/>
              <w:spacing w:after="0" w:line="178" w:lineRule="exact"/>
              <w:rPr>
                <w:sz w:val="20"/>
                <w:szCs w:val="20"/>
                <w:color w:val="auto"/>
              </w:rPr>
            </w:pPr>
            <w:r>
              <w:rPr>
                <w:rFonts w:ascii="Times New Roman" w:cs="Times New Roman" w:eastAsia="Times New Roman" w:hAnsi="Times New Roman"/>
                <w:sz w:val="18"/>
                <w:szCs w:val="18"/>
                <w:color w:val="auto"/>
              </w:rPr>
              <w:t>Dravet syndrome, or DS, or tuberous</w:t>
            </w:r>
          </w:p>
        </w:tc>
        <w:tc>
          <w:tcPr>
            <w:tcW w:w="1620" w:type="dxa"/>
            <w:vAlign w:val="bottom"/>
          </w:tcPr>
          <w:p>
            <w:pPr>
              <w:spacing w:after="0"/>
              <w:rPr>
                <w:sz w:val="15"/>
                <w:szCs w:val="15"/>
                <w:color w:val="auto"/>
              </w:rPr>
            </w:pPr>
          </w:p>
        </w:tc>
        <w:tc>
          <w:tcPr>
            <w:tcW w:w="1180" w:type="dxa"/>
            <w:vAlign w:val="bottom"/>
            <w:tcBorders>
              <w:right w:val="single" w:sz="8" w:color="B6B6B6"/>
            </w:tcBorders>
          </w:tcPr>
          <w:p>
            <w:pPr>
              <w:spacing w:after="0"/>
              <w:rPr>
                <w:sz w:val="15"/>
                <w:szCs w:val="15"/>
                <w:color w:val="auto"/>
              </w:rPr>
            </w:pPr>
          </w:p>
        </w:tc>
        <w:tc>
          <w:tcPr>
            <w:tcW w:w="6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60" w:type="dxa"/>
            <w:vAlign w:val="bottom"/>
            <w:tcBorders>
              <w:right w:val="single" w:sz="8" w:color="B6B6B6"/>
            </w:tcBorders>
          </w:tcPr>
          <w:p>
            <w:pPr>
              <w:spacing w:after="0"/>
              <w:rPr>
                <w:sz w:val="15"/>
                <w:szCs w:val="15"/>
                <w:color w:val="auto"/>
              </w:rPr>
            </w:pPr>
          </w:p>
        </w:tc>
        <w:tc>
          <w:tcPr>
            <w:tcW w:w="620" w:type="dxa"/>
            <w:vAlign w:val="bottom"/>
          </w:tcPr>
          <w:p>
            <w:pPr>
              <w:spacing w:after="0"/>
              <w:rPr>
                <w:sz w:val="15"/>
                <w:szCs w:val="15"/>
                <w:color w:val="auto"/>
              </w:rPr>
            </w:pPr>
          </w:p>
        </w:tc>
        <w:tc>
          <w:tcPr>
            <w:tcW w:w="200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gridSpan w:val="2"/>
          </w:tcPr>
          <w:p>
            <w:pPr>
              <w:ind w:left="20"/>
              <w:spacing w:after="0" w:line="173" w:lineRule="exact"/>
              <w:rPr>
                <w:sz w:val="20"/>
                <w:szCs w:val="20"/>
                <w:color w:val="auto"/>
              </w:rPr>
            </w:pPr>
            <w:r>
              <w:rPr>
                <w:rFonts w:ascii="Times New Roman" w:cs="Times New Roman" w:eastAsia="Times New Roman" w:hAnsi="Times New Roman"/>
                <w:sz w:val="18"/>
                <w:szCs w:val="18"/>
                <w:color w:val="auto"/>
              </w:rPr>
              <w:t>sclerosis complex, or TSC, in patients</w:t>
            </w:r>
          </w:p>
        </w:tc>
        <w:tc>
          <w:tcPr>
            <w:tcW w:w="1620" w:type="dxa"/>
            <w:vAlign w:val="bottom"/>
          </w:tcPr>
          <w:p>
            <w:pPr>
              <w:spacing w:after="0"/>
              <w:rPr>
                <w:sz w:val="15"/>
                <w:szCs w:val="15"/>
                <w:color w:val="auto"/>
              </w:rPr>
            </w:pPr>
          </w:p>
        </w:tc>
        <w:tc>
          <w:tcPr>
            <w:tcW w:w="1180" w:type="dxa"/>
            <w:vAlign w:val="bottom"/>
            <w:tcBorders>
              <w:right w:val="single" w:sz="8" w:color="B6B6B6"/>
            </w:tcBorders>
          </w:tcPr>
          <w:p>
            <w:pPr>
              <w:spacing w:after="0"/>
              <w:rPr>
                <w:sz w:val="15"/>
                <w:szCs w:val="15"/>
                <w:color w:val="auto"/>
              </w:rPr>
            </w:pPr>
          </w:p>
        </w:tc>
        <w:tc>
          <w:tcPr>
            <w:tcW w:w="6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60" w:type="dxa"/>
            <w:vAlign w:val="bottom"/>
            <w:tcBorders>
              <w:right w:val="single" w:sz="8" w:color="B6B6B6"/>
            </w:tcBorders>
          </w:tcPr>
          <w:p>
            <w:pPr>
              <w:spacing w:after="0"/>
              <w:rPr>
                <w:sz w:val="20"/>
                <w:szCs w:val="20"/>
                <w:color w:val="auto"/>
              </w:rPr>
            </w:pPr>
          </w:p>
        </w:tc>
        <w:tc>
          <w:tcPr>
            <w:tcW w:w="620" w:type="dxa"/>
            <w:vAlign w:val="bottom"/>
            <w:tcBorders>
              <w:bottom w:val="single" w:sz="8" w:color="B6B6B6"/>
            </w:tcBorders>
          </w:tcPr>
          <w:p>
            <w:pPr>
              <w:spacing w:after="0"/>
              <w:rPr>
                <w:sz w:val="20"/>
                <w:szCs w:val="20"/>
                <w:color w:val="auto"/>
              </w:rPr>
            </w:pPr>
          </w:p>
        </w:tc>
        <w:tc>
          <w:tcPr>
            <w:tcW w:w="2000" w:type="dxa"/>
            <w:vAlign w:val="bottom"/>
            <w:tcBorders>
              <w:bottom w:val="single" w:sz="8" w:color="B6B6B6"/>
              <w:right w:val="single" w:sz="8" w:color="B6B6B6"/>
            </w:tcBorders>
          </w:tcPr>
          <w:p>
            <w:pPr>
              <w:spacing w:after="0"/>
              <w:rPr>
                <w:sz w:val="20"/>
                <w:szCs w:val="20"/>
                <w:color w:val="auto"/>
              </w:rPr>
            </w:pPr>
          </w:p>
        </w:tc>
        <w:tc>
          <w:tcPr>
            <w:tcW w:w="2820" w:type="dxa"/>
            <w:vAlign w:val="bottom"/>
            <w:tcBorders>
              <w:bottom w:val="single" w:sz="8" w:color="B6B6B6"/>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1 year of age and older.</w:t>
            </w:r>
          </w:p>
        </w:tc>
        <w:tc>
          <w:tcPr>
            <w:tcW w:w="1620" w:type="dxa"/>
            <w:vAlign w:val="bottom"/>
            <w:tcBorders>
              <w:bottom w:val="single" w:sz="8" w:color="B6B6B6"/>
            </w:tcBorders>
          </w:tcPr>
          <w:p>
            <w:pPr>
              <w:spacing w:after="0"/>
              <w:rPr>
                <w:sz w:val="20"/>
                <w:szCs w:val="20"/>
                <w:color w:val="auto"/>
              </w:rPr>
            </w:pPr>
          </w:p>
        </w:tc>
        <w:tc>
          <w:tcPr>
            <w:tcW w:w="1180" w:type="dxa"/>
            <w:vAlign w:val="bottom"/>
            <w:tcBorders>
              <w:bottom w:val="single" w:sz="8" w:color="B6B6B6"/>
              <w:right w:val="single" w:sz="8" w:color="B6B6B6"/>
            </w:tcBorders>
          </w:tcPr>
          <w:p>
            <w:pPr>
              <w:spacing w:after="0"/>
              <w:rPr>
                <w:sz w:val="20"/>
                <w:szCs w:val="20"/>
                <w:color w:val="auto"/>
              </w:rPr>
            </w:pPr>
          </w:p>
        </w:tc>
        <w:tc>
          <w:tcPr>
            <w:tcW w:w="640" w:type="dxa"/>
            <w:vAlign w:val="bottom"/>
            <w:tcBorders>
              <w:bottom w:val="single" w:sz="8" w:color="B6B6B6"/>
            </w:tcBorders>
          </w:tcPr>
          <w:p>
            <w:pPr>
              <w:spacing w:after="0"/>
              <w:rPr>
                <w:sz w:val="20"/>
                <w:szCs w:val="20"/>
                <w:color w:val="auto"/>
              </w:rPr>
            </w:pPr>
          </w:p>
        </w:tc>
        <w:tc>
          <w:tcPr>
            <w:tcW w:w="1900" w:type="dxa"/>
            <w:vAlign w:val="bottom"/>
            <w:tcBorders>
              <w:bottom w:val="single" w:sz="8" w:color="B6B6B6"/>
            </w:tcBorders>
          </w:tcPr>
          <w:p>
            <w:pPr>
              <w:spacing w:after="0"/>
              <w:rPr>
                <w:sz w:val="20"/>
                <w:szCs w:val="20"/>
                <w:color w:val="auto"/>
              </w:rPr>
            </w:pPr>
          </w:p>
        </w:tc>
        <w:tc>
          <w:tcPr>
            <w:tcW w:w="100" w:type="dxa"/>
            <w:vAlign w:val="bottom"/>
            <w:tcBorders>
              <w:bottom w:val="single" w:sz="8" w:color="B6B6B6"/>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460" w:type="dxa"/>
            <w:vAlign w:val="bottom"/>
            <w:tcBorders>
              <w:right w:val="single" w:sz="8" w:color="B6B6B6"/>
            </w:tcBorders>
          </w:tcPr>
          <w:p>
            <w:pPr>
              <w:spacing w:after="0"/>
              <w:rPr>
                <w:sz w:val="14"/>
                <w:szCs w:val="14"/>
                <w:color w:val="auto"/>
              </w:rPr>
            </w:pPr>
          </w:p>
        </w:tc>
        <w:tc>
          <w:tcPr>
            <w:tcW w:w="620" w:type="dxa"/>
            <w:vAlign w:val="bottom"/>
          </w:tcPr>
          <w:p>
            <w:pPr>
              <w:spacing w:after="0"/>
              <w:rPr>
                <w:sz w:val="14"/>
                <w:szCs w:val="14"/>
                <w:color w:val="auto"/>
              </w:rPr>
            </w:pPr>
          </w:p>
        </w:tc>
        <w:tc>
          <w:tcPr>
            <w:tcW w:w="2000" w:type="dxa"/>
            <w:vAlign w:val="bottom"/>
            <w:tcBorders>
              <w:right w:val="single" w:sz="8" w:color="B6B6B6"/>
            </w:tcBorders>
          </w:tcPr>
          <w:p>
            <w:pPr>
              <w:spacing w:after="0"/>
              <w:rPr>
                <w:sz w:val="14"/>
                <w:szCs w:val="14"/>
                <w:color w:val="auto"/>
              </w:rPr>
            </w:pPr>
          </w:p>
        </w:tc>
        <w:tc>
          <w:tcPr>
            <w:tcW w:w="2820" w:type="dxa"/>
            <w:vAlign w:val="bottom"/>
            <w:tcBorders>
              <w:right w:val="single" w:sz="8" w:color="B6B6B6"/>
            </w:tcBorders>
            <w:gridSpan w:val="2"/>
          </w:tcPr>
          <w:p>
            <w:pPr>
              <w:ind w:left="20"/>
              <w:spacing w:after="0" w:line="170" w:lineRule="exact"/>
              <w:rPr>
                <w:sz w:val="20"/>
                <w:szCs w:val="20"/>
                <w:color w:val="auto"/>
              </w:rPr>
            </w:pPr>
            <w:r>
              <w:rPr>
                <w:rFonts w:ascii="Times New Roman" w:cs="Times New Roman" w:eastAsia="Times New Roman" w:hAnsi="Times New Roman"/>
                <w:sz w:val="18"/>
                <w:szCs w:val="18"/>
                <w:color w:val="auto"/>
              </w:rPr>
              <w:t>For adjunctive therapy of seizures</w:t>
            </w:r>
          </w:p>
        </w:tc>
        <w:tc>
          <w:tcPr>
            <w:tcW w:w="2800" w:type="dxa"/>
            <w:vAlign w:val="bottom"/>
            <w:tcBorders>
              <w:right w:val="single" w:sz="8" w:color="B6B6B6"/>
            </w:tcBorders>
            <w:gridSpan w:val="2"/>
          </w:tcPr>
          <w:p>
            <w:pPr>
              <w:spacing w:after="0" w:line="170" w:lineRule="exact"/>
              <w:rPr>
                <w:sz w:val="20"/>
                <w:szCs w:val="20"/>
                <w:color w:val="auto"/>
              </w:rPr>
            </w:pPr>
            <w:r>
              <w:rPr>
                <w:rFonts w:ascii="Times New Roman" w:cs="Times New Roman" w:eastAsia="Times New Roman" w:hAnsi="Times New Roman"/>
                <w:sz w:val="18"/>
                <w:szCs w:val="18"/>
                <w:color w:val="auto"/>
              </w:rPr>
              <w:t>September 2019</w:t>
            </w:r>
          </w:p>
        </w:tc>
        <w:tc>
          <w:tcPr>
            <w:tcW w:w="2640" w:type="dxa"/>
            <w:vAlign w:val="bottom"/>
            <w:gridSpan w:val="3"/>
          </w:tcPr>
          <w:p>
            <w:pPr>
              <w:ind w:left="20"/>
              <w:spacing w:after="0" w:line="170" w:lineRule="exact"/>
              <w:rPr>
                <w:sz w:val="20"/>
                <w:szCs w:val="20"/>
                <w:color w:val="auto"/>
              </w:rPr>
            </w:pPr>
            <w:r>
              <w:rPr>
                <w:rFonts w:ascii="Times New Roman" w:cs="Times New Roman" w:eastAsia="Times New Roman" w:hAnsi="Times New Roman"/>
                <w:sz w:val="18"/>
                <w:szCs w:val="18"/>
                <w:color w:val="auto"/>
              </w:rPr>
              <w:t>EU, Great Britain, EEA**, Israel,</w:t>
            </w:r>
          </w:p>
        </w:tc>
        <w:tc>
          <w:tcPr>
            <w:tcW w:w="0" w:type="dxa"/>
            <w:vAlign w:val="bottom"/>
          </w:tcPr>
          <w:p>
            <w:pPr>
              <w:spacing w:after="0"/>
              <w:rPr>
                <w:sz w:val="1"/>
                <w:szCs w:val="1"/>
                <w:color w:val="auto"/>
              </w:rPr>
            </w:pPr>
          </w:p>
        </w:tc>
      </w:tr>
      <w:tr>
        <w:trPr>
          <w:trHeight w:val="181"/>
        </w:trPr>
        <w:tc>
          <w:tcPr>
            <w:tcW w:w="460" w:type="dxa"/>
            <w:vAlign w:val="bottom"/>
            <w:tcBorders>
              <w:right w:val="single" w:sz="8" w:color="B6B6B6"/>
            </w:tcBorders>
          </w:tcPr>
          <w:p>
            <w:pPr>
              <w:spacing w:after="0"/>
              <w:rPr>
                <w:sz w:val="15"/>
                <w:szCs w:val="15"/>
                <w:color w:val="auto"/>
              </w:rPr>
            </w:pPr>
          </w:p>
        </w:tc>
        <w:tc>
          <w:tcPr>
            <w:tcW w:w="620" w:type="dxa"/>
            <w:vAlign w:val="bottom"/>
          </w:tcPr>
          <w:p>
            <w:pPr>
              <w:spacing w:after="0"/>
              <w:rPr>
                <w:sz w:val="15"/>
                <w:szCs w:val="15"/>
                <w:color w:val="auto"/>
              </w:rPr>
            </w:pPr>
          </w:p>
        </w:tc>
        <w:tc>
          <w:tcPr>
            <w:tcW w:w="200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associated with LGS or DS, in</w:t>
            </w:r>
          </w:p>
        </w:tc>
        <w:tc>
          <w:tcPr>
            <w:tcW w:w="1620" w:type="dxa"/>
            <w:vAlign w:val="bottom"/>
          </w:tcPr>
          <w:p>
            <w:pPr>
              <w:spacing w:after="0"/>
              <w:rPr>
                <w:sz w:val="15"/>
                <w:szCs w:val="15"/>
                <w:color w:val="auto"/>
              </w:rPr>
            </w:pPr>
          </w:p>
        </w:tc>
        <w:tc>
          <w:tcPr>
            <w:tcW w:w="1180" w:type="dxa"/>
            <w:vAlign w:val="bottom"/>
            <w:tcBorders>
              <w:right w:val="single" w:sz="8" w:color="B6B6B6"/>
            </w:tcBorders>
          </w:tcPr>
          <w:p>
            <w:pPr>
              <w:spacing w:after="0"/>
              <w:rPr>
                <w:sz w:val="15"/>
                <w:szCs w:val="15"/>
                <w:color w:val="auto"/>
              </w:rPr>
            </w:pPr>
          </w:p>
        </w:tc>
        <w:tc>
          <w:tcPr>
            <w:tcW w:w="264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Switzerland, Australia and New</w:t>
            </w:r>
          </w:p>
        </w:tc>
        <w:tc>
          <w:tcPr>
            <w:tcW w:w="0" w:type="dxa"/>
            <w:vAlign w:val="bottom"/>
          </w:tcPr>
          <w:p>
            <w:pPr>
              <w:spacing w:after="0"/>
              <w:rPr>
                <w:sz w:val="1"/>
                <w:szCs w:val="1"/>
                <w:color w:val="auto"/>
              </w:rPr>
            </w:pPr>
          </w:p>
        </w:tc>
      </w:tr>
      <w:tr>
        <w:trPr>
          <w:trHeight w:val="178"/>
        </w:trPr>
        <w:tc>
          <w:tcPr>
            <w:tcW w:w="460" w:type="dxa"/>
            <w:vAlign w:val="bottom"/>
            <w:tcBorders>
              <w:right w:val="single" w:sz="8" w:color="B6B6B6"/>
            </w:tcBorders>
          </w:tcPr>
          <w:p>
            <w:pPr>
              <w:spacing w:after="0"/>
              <w:rPr>
                <w:sz w:val="15"/>
                <w:szCs w:val="15"/>
                <w:color w:val="auto"/>
              </w:rPr>
            </w:pPr>
          </w:p>
        </w:tc>
        <w:tc>
          <w:tcPr>
            <w:tcW w:w="620" w:type="dxa"/>
            <w:vAlign w:val="bottom"/>
          </w:tcPr>
          <w:p>
            <w:pPr>
              <w:spacing w:after="0"/>
              <w:rPr>
                <w:sz w:val="15"/>
                <w:szCs w:val="15"/>
                <w:color w:val="auto"/>
              </w:rPr>
            </w:pPr>
          </w:p>
        </w:tc>
        <w:tc>
          <w:tcPr>
            <w:tcW w:w="200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gridSpan w:val="2"/>
          </w:tcPr>
          <w:p>
            <w:pPr>
              <w:ind w:left="20"/>
              <w:spacing w:after="0" w:line="178" w:lineRule="exact"/>
              <w:rPr>
                <w:sz w:val="20"/>
                <w:szCs w:val="20"/>
                <w:color w:val="auto"/>
              </w:rPr>
            </w:pPr>
            <w:r>
              <w:rPr>
                <w:rFonts w:ascii="Times New Roman" w:cs="Times New Roman" w:eastAsia="Times New Roman" w:hAnsi="Times New Roman"/>
                <w:sz w:val="18"/>
                <w:szCs w:val="18"/>
                <w:color w:val="auto"/>
              </w:rPr>
              <w:t>conjunction with clobazam, for</w:t>
            </w:r>
          </w:p>
        </w:tc>
        <w:tc>
          <w:tcPr>
            <w:tcW w:w="1620" w:type="dxa"/>
            <w:vAlign w:val="bottom"/>
          </w:tcPr>
          <w:p>
            <w:pPr>
              <w:spacing w:after="0"/>
              <w:rPr>
                <w:sz w:val="15"/>
                <w:szCs w:val="15"/>
                <w:color w:val="auto"/>
              </w:rPr>
            </w:pPr>
          </w:p>
        </w:tc>
        <w:tc>
          <w:tcPr>
            <w:tcW w:w="1180" w:type="dxa"/>
            <w:vAlign w:val="bottom"/>
            <w:tcBorders>
              <w:right w:val="single" w:sz="8" w:color="B6B6B6"/>
            </w:tcBorders>
          </w:tcPr>
          <w:p>
            <w:pPr>
              <w:spacing w:after="0"/>
              <w:rPr>
                <w:sz w:val="15"/>
                <w:szCs w:val="15"/>
                <w:color w:val="auto"/>
              </w:rPr>
            </w:pPr>
          </w:p>
        </w:tc>
        <w:tc>
          <w:tcPr>
            <w:tcW w:w="2640" w:type="dxa"/>
            <w:vAlign w:val="bottom"/>
            <w:gridSpan w:val="3"/>
          </w:tcPr>
          <w:p>
            <w:pPr>
              <w:ind w:left="20"/>
              <w:spacing w:after="0" w:line="178" w:lineRule="exact"/>
              <w:rPr>
                <w:sz w:val="20"/>
                <w:szCs w:val="20"/>
                <w:color w:val="auto"/>
              </w:rPr>
            </w:pPr>
            <w:r>
              <w:rPr>
                <w:rFonts w:ascii="Times New Roman" w:cs="Times New Roman" w:eastAsia="Times New Roman" w:hAnsi="Times New Roman"/>
                <w:sz w:val="18"/>
                <w:szCs w:val="18"/>
                <w:color w:val="auto"/>
              </w:rPr>
              <w:t>Zealand</w:t>
            </w:r>
          </w:p>
        </w:tc>
        <w:tc>
          <w:tcPr>
            <w:tcW w:w="0" w:type="dxa"/>
            <w:vAlign w:val="bottom"/>
          </w:tcPr>
          <w:p>
            <w:pPr>
              <w:spacing w:after="0"/>
              <w:rPr>
                <w:sz w:val="1"/>
                <w:szCs w:val="1"/>
                <w:color w:val="auto"/>
              </w:rPr>
            </w:pPr>
          </w:p>
        </w:tc>
      </w:tr>
      <w:tr>
        <w:trPr>
          <w:trHeight w:val="232"/>
        </w:trPr>
        <w:tc>
          <w:tcPr>
            <w:tcW w:w="460" w:type="dxa"/>
            <w:vAlign w:val="bottom"/>
            <w:tcBorders>
              <w:right w:val="single" w:sz="8" w:color="B6B6B6"/>
            </w:tcBorders>
          </w:tcPr>
          <w:p>
            <w:pPr>
              <w:spacing w:after="0"/>
              <w:rPr>
                <w:sz w:val="20"/>
                <w:szCs w:val="20"/>
                <w:color w:val="auto"/>
              </w:rPr>
            </w:pPr>
          </w:p>
        </w:tc>
        <w:tc>
          <w:tcPr>
            <w:tcW w:w="2620" w:type="dxa"/>
            <w:vAlign w:val="bottom"/>
            <w:tcBorders>
              <w:right w:val="single" w:sz="8" w:color="B6B6B6"/>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Epidyolex® (cannabidiol)</w:t>
            </w:r>
          </w:p>
        </w:tc>
        <w:tc>
          <w:tcPr>
            <w:tcW w:w="2820" w:type="dxa"/>
            <w:vAlign w:val="bottom"/>
            <w:tcBorders>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patients 2 years of age and older.*</w:t>
            </w:r>
          </w:p>
        </w:tc>
        <w:tc>
          <w:tcPr>
            <w:tcW w:w="1620" w:type="dxa"/>
            <w:vAlign w:val="bottom"/>
          </w:tcPr>
          <w:p>
            <w:pPr>
              <w:spacing w:after="0"/>
              <w:rPr>
                <w:sz w:val="20"/>
                <w:szCs w:val="20"/>
                <w:color w:val="auto"/>
              </w:rPr>
            </w:pPr>
          </w:p>
        </w:tc>
        <w:tc>
          <w:tcPr>
            <w:tcW w:w="1180" w:type="dxa"/>
            <w:vAlign w:val="bottom"/>
            <w:tcBorders>
              <w:right w:val="single" w:sz="8" w:color="B6B6B6"/>
            </w:tcBorders>
          </w:tcPr>
          <w:p>
            <w:pPr>
              <w:spacing w:after="0"/>
              <w:rPr>
                <w:sz w:val="20"/>
                <w:szCs w:val="20"/>
                <w:color w:val="auto"/>
              </w:rPr>
            </w:pPr>
          </w:p>
        </w:tc>
        <w:tc>
          <w:tcPr>
            <w:tcW w:w="6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60" w:type="dxa"/>
            <w:vAlign w:val="bottom"/>
            <w:tcBorders>
              <w:right w:val="single" w:sz="8" w:color="B6B6B6"/>
            </w:tcBorders>
          </w:tcPr>
          <w:p>
            <w:pPr>
              <w:spacing w:after="0"/>
              <w:rPr>
                <w:sz w:val="18"/>
                <w:szCs w:val="18"/>
                <w:color w:val="auto"/>
              </w:rPr>
            </w:pPr>
          </w:p>
        </w:tc>
        <w:tc>
          <w:tcPr>
            <w:tcW w:w="2620" w:type="dxa"/>
            <w:vAlign w:val="bottom"/>
            <w:tcBorders>
              <w:right w:val="single" w:sz="8" w:color="B6B6B6"/>
            </w:tcBorders>
            <w:gridSpan w:val="2"/>
            <w:vMerge w:val="continue"/>
          </w:tcPr>
          <w:p>
            <w:pPr>
              <w:spacing w:after="0"/>
              <w:rPr>
                <w:sz w:val="18"/>
                <w:szCs w:val="18"/>
                <w:color w:val="auto"/>
              </w:rPr>
            </w:pPr>
          </w:p>
        </w:tc>
        <w:tc>
          <w:tcPr>
            <w:tcW w:w="860" w:type="dxa"/>
            <w:vAlign w:val="bottom"/>
            <w:tcBorders>
              <w:bottom w:val="single" w:sz="8" w:color="B6B6B6"/>
            </w:tcBorders>
          </w:tcPr>
          <w:p>
            <w:pPr>
              <w:spacing w:after="0"/>
              <w:rPr>
                <w:sz w:val="18"/>
                <w:szCs w:val="18"/>
                <w:color w:val="auto"/>
              </w:rPr>
            </w:pPr>
          </w:p>
        </w:tc>
        <w:tc>
          <w:tcPr>
            <w:tcW w:w="1960" w:type="dxa"/>
            <w:vAlign w:val="bottom"/>
            <w:tcBorders>
              <w:bottom w:val="single" w:sz="8" w:color="B6B6B6"/>
              <w:right w:val="single" w:sz="8" w:color="B6B6B6"/>
            </w:tcBorders>
          </w:tcPr>
          <w:p>
            <w:pPr>
              <w:spacing w:after="0"/>
              <w:rPr>
                <w:sz w:val="18"/>
                <w:szCs w:val="18"/>
                <w:color w:val="auto"/>
              </w:rPr>
            </w:pPr>
          </w:p>
        </w:tc>
        <w:tc>
          <w:tcPr>
            <w:tcW w:w="1620" w:type="dxa"/>
            <w:vAlign w:val="bottom"/>
            <w:tcBorders>
              <w:bottom w:val="single" w:sz="8" w:color="B6B6B6"/>
            </w:tcBorders>
          </w:tcPr>
          <w:p>
            <w:pPr>
              <w:spacing w:after="0"/>
              <w:rPr>
                <w:sz w:val="18"/>
                <w:szCs w:val="18"/>
                <w:color w:val="auto"/>
              </w:rPr>
            </w:pPr>
          </w:p>
        </w:tc>
        <w:tc>
          <w:tcPr>
            <w:tcW w:w="1180" w:type="dxa"/>
            <w:vAlign w:val="bottom"/>
            <w:tcBorders>
              <w:bottom w:val="single" w:sz="8" w:color="B6B6B6"/>
              <w:right w:val="single" w:sz="8" w:color="B6B6B6"/>
            </w:tcBorders>
          </w:tcPr>
          <w:p>
            <w:pPr>
              <w:spacing w:after="0"/>
              <w:rPr>
                <w:sz w:val="18"/>
                <w:szCs w:val="18"/>
                <w:color w:val="auto"/>
              </w:rPr>
            </w:pPr>
          </w:p>
        </w:tc>
        <w:tc>
          <w:tcPr>
            <w:tcW w:w="640" w:type="dxa"/>
            <w:vAlign w:val="bottom"/>
            <w:tcBorders>
              <w:bottom w:val="single" w:sz="8" w:color="B6B6B6"/>
            </w:tcBorders>
          </w:tcPr>
          <w:p>
            <w:pPr>
              <w:spacing w:after="0"/>
              <w:rPr>
                <w:sz w:val="18"/>
                <w:szCs w:val="18"/>
                <w:color w:val="auto"/>
              </w:rPr>
            </w:pPr>
          </w:p>
        </w:tc>
        <w:tc>
          <w:tcPr>
            <w:tcW w:w="1900" w:type="dxa"/>
            <w:vAlign w:val="bottom"/>
            <w:tcBorders>
              <w:bottom w:val="single" w:sz="8" w:color="B6B6B6"/>
            </w:tcBorders>
          </w:tcPr>
          <w:p>
            <w:pPr>
              <w:spacing w:after="0"/>
              <w:rPr>
                <w:sz w:val="18"/>
                <w:szCs w:val="18"/>
                <w:color w:val="auto"/>
              </w:rPr>
            </w:pPr>
          </w:p>
        </w:tc>
        <w:tc>
          <w:tcPr>
            <w:tcW w:w="100" w:type="dxa"/>
            <w:vAlign w:val="bottom"/>
            <w:tcBorders>
              <w:bottom w:val="single" w:sz="8" w:color="B6B6B6"/>
            </w:tcBorders>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460" w:type="dxa"/>
            <w:vAlign w:val="bottom"/>
            <w:tcBorders>
              <w:right w:val="single" w:sz="8" w:color="B6B6B6"/>
            </w:tcBorders>
          </w:tcPr>
          <w:p>
            <w:pPr>
              <w:spacing w:after="0"/>
              <w:rPr>
                <w:sz w:val="15"/>
                <w:szCs w:val="15"/>
                <w:color w:val="auto"/>
              </w:rPr>
            </w:pPr>
          </w:p>
        </w:tc>
        <w:tc>
          <w:tcPr>
            <w:tcW w:w="620" w:type="dxa"/>
            <w:vAlign w:val="bottom"/>
          </w:tcPr>
          <w:p>
            <w:pPr>
              <w:spacing w:after="0"/>
              <w:rPr>
                <w:sz w:val="15"/>
                <w:szCs w:val="15"/>
                <w:color w:val="auto"/>
              </w:rPr>
            </w:pPr>
          </w:p>
        </w:tc>
        <w:tc>
          <w:tcPr>
            <w:tcW w:w="200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gridSpan w:val="2"/>
          </w:tcPr>
          <w:p>
            <w:pPr>
              <w:ind w:left="20"/>
              <w:spacing w:after="0" w:line="173" w:lineRule="exact"/>
              <w:rPr>
                <w:sz w:val="20"/>
                <w:szCs w:val="20"/>
                <w:color w:val="auto"/>
              </w:rPr>
            </w:pPr>
            <w:r>
              <w:rPr>
                <w:rFonts w:ascii="Times New Roman" w:cs="Times New Roman" w:eastAsia="Times New Roman" w:hAnsi="Times New Roman"/>
                <w:sz w:val="18"/>
                <w:szCs w:val="18"/>
                <w:color w:val="auto"/>
              </w:rPr>
              <w:t>For adjunctive therapy of seizures</w:t>
            </w:r>
          </w:p>
        </w:tc>
        <w:tc>
          <w:tcPr>
            <w:tcW w:w="2800" w:type="dxa"/>
            <w:vAlign w:val="bottom"/>
            <w:tcBorders>
              <w:right w:val="single" w:sz="8" w:color="B6B6B6"/>
            </w:tcBorders>
            <w:gridSpan w:val="2"/>
          </w:tcPr>
          <w:p>
            <w:pPr>
              <w:spacing w:after="0" w:line="173" w:lineRule="exact"/>
              <w:rPr>
                <w:sz w:val="20"/>
                <w:szCs w:val="20"/>
                <w:color w:val="auto"/>
              </w:rPr>
            </w:pPr>
            <w:r>
              <w:rPr>
                <w:rFonts w:ascii="Times New Roman" w:cs="Times New Roman" w:eastAsia="Times New Roman" w:hAnsi="Times New Roman"/>
                <w:sz w:val="18"/>
                <w:szCs w:val="18"/>
                <w:color w:val="auto"/>
              </w:rPr>
              <w:t>April 2021</w:t>
            </w:r>
          </w:p>
        </w:tc>
        <w:tc>
          <w:tcPr>
            <w:tcW w:w="2640" w:type="dxa"/>
            <w:vAlign w:val="bottom"/>
            <w:gridSpan w:val="3"/>
          </w:tcPr>
          <w:p>
            <w:pPr>
              <w:ind w:left="20"/>
              <w:spacing w:after="0" w:line="173" w:lineRule="exact"/>
              <w:rPr>
                <w:sz w:val="20"/>
                <w:szCs w:val="20"/>
                <w:color w:val="auto"/>
              </w:rPr>
            </w:pPr>
            <w:r>
              <w:rPr>
                <w:rFonts w:ascii="Times New Roman" w:cs="Times New Roman" w:eastAsia="Times New Roman" w:hAnsi="Times New Roman"/>
                <w:sz w:val="18"/>
                <w:szCs w:val="18"/>
                <w:color w:val="auto"/>
              </w:rPr>
              <w:t>EU, Great Britain, Israel and</w:t>
            </w:r>
          </w:p>
        </w:tc>
        <w:tc>
          <w:tcPr>
            <w:tcW w:w="0" w:type="dxa"/>
            <w:vAlign w:val="bottom"/>
          </w:tcPr>
          <w:p>
            <w:pPr>
              <w:spacing w:after="0"/>
              <w:rPr>
                <w:sz w:val="1"/>
                <w:szCs w:val="1"/>
                <w:color w:val="auto"/>
              </w:rPr>
            </w:pPr>
          </w:p>
        </w:tc>
      </w:tr>
      <w:tr>
        <w:trPr>
          <w:trHeight w:val="181"/>
        </w:trPr>
        <w:tc>
          <w:tcPr>
            <w:tcW w:w="460" w:type="dxa"/>
            <w:vAlign w:val="bottom"/>
            <w:tcBorders>
              <w:right w:val="single" w:sz="8" w:color="B6B6B6"/>
            </w:tcBorders>
          </w:tcPr>
          <w:p>
            <w:pPr>
              <w:spacing w:after="0"/>
              <w:rPr>
                <w:sz w:val="15"/>
                <w:szCs w:val="15"/>
                <w:color w:val="auto"/>
              </w:rPr>
            </w:pPr>
          </w:p>
        </w:tc>
        <w:tc>
          <w:tcPr>
            <w:tcW w:w="620" w:type="dxa"/>
            <w:vAlign w:val="bottom"/>
          </w:tcPr>
          <w:p>
            <w:pPr>
              <w:spacing w:after="0"/>
              <w:rPr>
                <w:sz w:val="15"/>
                <w:szCs w:val="15"/>
                <w:color w:val="auto"/>
              </w:rPr>
            </w:pPr>
          </w:p>
        </w:tc>
        <w:tc>
          <w:tcPr>
            <w:tcW w:w="200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associated with TSC for patients 2</w:t>
            </w:r>
          </w:p>
        </w:tc>
        <w:tc>
          <w:tcPr>
            <w:tcW w:w="1620" w:type="dxa"/>
            <w:vAlign w:val="bottom"/>
          </w:tcPr>
          <w:p>
            <w:pPr>
              <w:spacing w:after="0"/>
              <w:rPr>
                <w:sz w:val="15"/>
                <w:szCs w:val="15"/>
                <w:color w:val="auto"/>
              </w:rPr>
            </w:pPr>
          </w:p>
        </w:tc>
        <w:tc>
          <w:tcPr>
            <w:tcW w:w="1180" w:type="dxa"/>
            <w:vAlign w:val="bottom"/>
            <w:tcBorders>
              <w:right w:val="single" w:sz="8" w:color="B6B6B6"/>
            </w:tcBorders>
          </w:tcPr>
          <w:p>
            <w:pPr>
              <w:spacing w:after="0"/>
              <w:rPr>
                <w:sz w:val="15"/>
                <w:szCs w:val="15"/>
                <w:color w:val="auto"/>
              </w:rPr>
            </w:pPr>
          </w:p>
        </w:tc>
        <w:tc>
          <w:tcPr>
            <w:tcW w:w="264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Switzerland</w:t>
            </w:r>
          </w:p>
        </w:tc>
        <w:tc>
          <w:tcPr>
            <w:tcW w:w="0" w:type="dxa"/>
            <w:vAlign w:val="bottom"/>
          </w:tcPr>
          <w:p>
            <w:pPr>
              <w:spacing w:after="0"/>
              <w:rPr>
                <w:sz w:val="1"/>
                <w:szCs w:val="1"/>
                <w:color w:val="auto"/>
              </w:rPr>
            </w:pPr>
          </w:p>
        </w:tc>
      </w:tr>
      <w:tr>
        <w:trPr>
          <w:trHeight w:val="232"/>
        </w:trPr>
        <w:tc>
          <w:tcPr>
            <w:tcW w:w="460" w:type="dxa"/>
            <w:vAlign w:val="bottom"/>
            <w:tcBorders>
              <w:right w:val="single" w:sz="8" w:color="B6B6B6"/>
            </w:tcBorders>
          </w:tcPr>
          <w:p>
            <w:pPr>
              <w:spacing w:after="0"/>
              <w:rPr>
                <w:sz w:val="20"/>
                <w:szCs w:val="20"/>
                <w:color w:val="auto"/>
              </w:rPr>
            </w:pPr>
          </w:p>
        </w:tc>
        <w:tc>
          <w:tcPr>
            <w:tcW w:w="620" w:type="dxa"/>
            <w:vAlign w:val="bottom"/>
          </w:tcPr>
          <w:p>
            <w:pPr>
              <w:spacing w:after="0"/>
              <w:rPr>
                <w:sz w:val="20"/>
                <w:szCs w:val="20"/>
                <w:color w:val="auto"/>
              </w:rPr>
            </w:pPr>
          </w:p>
        </w:tc>
        <w:tc>
          <w:tcPr>
            <w:tcW w:w="2000" w:type="dxa"/>
            <w:vAlign w:val="bottom"/>
            <w:tcBorders>
              <w:right w:val="single" w:sz="8" w:color="B6B6B6"/>
            </w:tcBorders>
          </w:tcPr>
          <w:p>
            <w:pPr>
              <w:spacing w:after="0"/>
              <w:rPr>
                <w:sz w:val="20"/>
                <w:szCs w:val="20"/>
                <w:color w:val="auto"/>
              </w:rPr>
            </w:pPr>
          </w:p>
        </w:tc>
        <w:tc>
          <w:tcPr>
            <w:tcW w:w="2820" w:type="dxa"/>
            <w:vAlign w:val="bottom"/>
            <w:tcBorders>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years of age and older.</w:t>
            </w:r>
          </w:p>
        </w:tc>
        <w:tc>
          <w:tcPr>
            <w:tcW w:w="1620" w:type="dxa"/>
            <w:vAlign w:val="bottom"/>
          </w:tcPr>
          <w:p>
            <w:pPr>
              <w:spacing w:after="0"/>
              <w:rPr>
                <w:sz w:val="20"/>
                <w:szCs w:val="20"/>
                <w:color w:val="auto"/>
              </w:rPr>
            </w:pPr>
          </w:p>
        </w:tc>
        <w:tc>
          <w:tcPr>
            <w:tcW w:w="1180" w:type="dxa"/>
            <w:vAlign w:val="bottom"/>
            <w:tcBorders>
              <w:right w:val="single" w:sz="8" w:color="B6B6B6"/>
            </w:tcBorders>
          </w:tcPr>
          <w:p>
            <w:pPr>
              <w:spacing w:after="0"/>
              <w:rPr>
                <w:sz w:val="20"/>
                <w:szCs w:val="20"/>
                <w:color w:val="auto"/>
              </w:rPr>
            </w:pPr>
          </w:p>
        </w:tc>
        <w:tc>
          <w:tcPr>
            <w:tcW w:w="6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6"/>
        </w:trPr>
        <w:tc>
          <w:tcPr>
            <w:tcW w:w="460" w:type="dxa"/>
            <w:vAlign w:val="bottom"/>
            <w:tcBorders>
              <w:right w:val="single" w:sz="8" w:color="B6B6B6"/>
            </w:tcBorders>
          </w:tcPr>
          <w:p>
            <w:pPr>
              <w:spacing w:after="0"/>
              <w:rPr>
                <w:sz w:val="12"/>
                <w:szCs w:val="12"/>
                <w:color w:val="auto"/>
              </w:rPr>
            </w:pPr>
          </w:p>
        </w:tc>
        <w:tc>
          <w:tcPr>
            <w:tcW w:w="620" w:type="dxa"/>
            <w:vAlign w:val="bottom"/>
            <w:tcBorders>
              <w:bottom w:val="single" w:sz="8" w:color="B6B6B6"/>
            </w:tcBorders>
          </w:tcPr>
          <w:p>
            <w:pPr>
              <w:spacing w:after="0"/>
              <w:rPr>
                <w:sz w:val="12"/>
                <w:szCs w:val="12"/>
                <w:color w:val="auto"/>
              </w:rPr>
            </w:pPr>
          </w:p>
        </w:tc>
        <w:tc>
          <w:tcPr>
            <w:tcW w:w="2000" w:type="dxa"/>
            <w:vAlign w:val="bottom"/>
            <w:tcBorders>
              <w:bottom w:val="single" w:sz="8" w:color="B6B6B6"/>
              <w:right w:val="single" w:sz="8" w:color="B6B6B6"/>
            </w:tcBorders>
          </w:tcPr>
          <w:p>
            <w:pPr>
              <w:spacing w:after="0"/>
              <w:rPr>
                <w:sz w:val="12"/>
                <w:szCs w:val="12"/>
                <w:color w:val="auto"/>
              </w:rPr>
            </w:pPr>
          </w:p>
        </w:tc>
        <w:tc>
          <w:tcPr>
            <w:tcW w:w="860" w:type="dxa"/>
            <w:vAlign w:val="bottom"/>
            <w:tcBorders>
              <w:bottom w:val="single" w:sz="8" w:color="B6B6B6"/>
            </w:tcBorders>
          </w:tcPr>
          <w:p>
            <w:pPr>
              <w:spacing w:after="0"/>
              <w:rPr>
                <w:sz w:val="12"/>
                <w:szCs w:val="12"/>
                <w:color w:val="auto"/>
              </w:rPr>
            </w:pPr>
          </w:p>
        </w:tc>
        <w:tc>
          <w:tcPr>
            <w:tcW w:w="1960" w:type="dxa"/>
            <w:vAlign w:val="bottom"/>
            <w:tcBorders>
              <w:bottom w:val="single" w:sz="8" w:color="B6B6B6"/>
              <w:right w:val="single" w:sz="8" w:color="B6B6B6"/>
            </w:tcBorders>
          </w:tcPr>
          <w:p>
            <w:pPr>
              <w:spacing w:after="0"/>
              <w:rPr>
                <w:sz w:val="12"/>
                <w:szCs w:val="12"/>
                <w:color w:val="auto"/>
              </w:rPr>
            </w:pPr>
          </w:p>
        </w:tc>
        <w:tc>
          <w:tcPr>
            <w:tcW w:w="1620" w:type="dxa"/>
            <w:vAlign w:val="bottom"/>
            <w:tcBorders>
              <w:bottom w:val="single" w:sz="8" w:color="B6B6B6"/>
            </w:tcBorders>
          </w:tcPr>
          <w:p>
            <w:pPr>
              <w:spacing w:after="0"/>
              <w:rPr>
                <w:sz w:val="12"/>
                <w:szCs w:val="12"/>
                <w:color w:val="auto"/>
              </w:rPr>
            </w:pPr>
          </w:p>
        </w:tc>
        <w:tc>
          <w:tcPr>
            <w:tcW w:w="1180" w:type="dxa"/>
            <w:vAlign w:val="bottom"/>
            <w:tcBorders>
              <w:bottom w:val="single" w:sz="8" w:color="B6B6B6"/>
              <w:right w:val="single" w:sz="8" w:color="B6B6B6"/>
            </w:tcBorders>
          </w:tcPr>
          <w:p>
            <w:pPr>
              <w:spacing w:after="0"/>
              <w:rPr>
                <w:sz w:val="12"/>
                <w:szCs w:val="12"/>
                <w:color w:val="auto"/>
              </w:rPr>
            </w:pPr>
          </w:p>
        </w:tc>
        <w:tc>
          <w:tcPr>
            <w:tcW w:w="640" w:type="dxa"/>
            <w:vAlign w:val="bottom"/>
            <w:tcBorders>
              <w:bottom w:val="single" w:sz="8" w:color="B6B6B6"/>
            </w:tcBorders>
          </w:tcPr>
          <w:p>
            <w:pPr>
              <w:spacing w:after="0"/>
              <w:rPr>
                <w:sz w:val="12"/>
                <w:szCs w:val="12"/>
                <w:color w:val="auto"/>
              </w:rPr>
            </w:pPr>
          </w:p>
        </w:tc>
        <w:tc>
          <w:tcPr>
            <w:tcW w:w="2000" w:type="dxa"/>
            <w:vAlign w:val="bottom"/>
            <w:tcBorders>
              <w:bottom w:val="single" w:sz="8" w:color="B6B6B6"/>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60" w:type="dxa"/>
            <w:vAlign w:val="bottom"/>
            <w:tcBorders>
              <w:right w:val="single" w:sz="8" w:color="B6B6B6"/>
            </w:tcBorders>
          </w:tcPr>
          <w:p>
            <w:pPr>
              <w:spacing w:after="0"/>
              <w:rPr>
                <w:sz w:val="14"/>
                <w:szCs w:val="14"/>
                <w:color w:val="auto"/>
              </w:rPr>
            </w:pPr>
          </w:p>
        </w:tc>
        <w:tc>
          <w:tcPr>
            <w:tcW w:w="2620" w:type="dxa"/>
            <w:vAlign w:val="bottom"/>
            <w:tcBorders>
              <w:right w:val="single" w:sz="8" w:color="B6B6B6"/>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Epidiolex® (cannabidiol)</w:t>
            </w:r>
          </w:p>
        </w:tc>
        <w:tc>
          <w:tcPr>
            <w:tcW w:w="2820" w:type="dxa"/>
            <w:vAlign w:val="bottom"/>
            <w:tcBorders>
              <w:right w:val="single" w:sz="8" w:color="B6B6B6"/>
            </w:tcBorders>
            <w:gridSpan w:val="2"/>
          </w:tcPr>
          <w:p>
            <w:pPr>
              <w:ind w:left="20"/>
              <w:spacing w:after="0" w:line="166" w:lineRule="exact"/>
              <w:rPr>
                <w:sz w:val="20"/>
                <w:szCs w:val="20"/>
                <w:color w:val="auto"/>
              </w:rPr>
            </w:pPr>
            <w:r>
              <w:rPr>
                <w:rFonts w:ascii="Times New Roman" w:cs="Times New Roman" w:eastAsia="Times New Roman" w:hAnsi="Times New Roman"/>
                <w:sz w:val="18"/>
                <w:szCs w:val="18"/>
                <w:color w:val="auto"/>
              </w:rPr>
              <w:t>For adjunctive therapy of seizures</w:t>
            </w:r>
          </w:p>
        </w:tc>
        <w:tc>
          <w:tcPr>
            <w:tcW w:w="2800" w:type="dxa"/>
            <w:vAlign w:val="bottom"/>
            <w:tcBorders>
              <w:right w:val="single" w:sz="8" w:color="B6B6B6"/>
            </w:tcBorders>
            <w:gridSpan w:val="2"/>
          </w:tcPr>
          <w:p>
            <w:pPr>
              <w:spacing w:after="0" w:line="166" w:lineRule="exact"/>
              <w:rPr>
                <w:sz w:val="20"/>
                <w:szCs w:val="20"/>
                <w:color w:val="auto"/>
              </w:rPr>
            </w:pPr>
            <w:r>
              <w:rPr>
                <w:rFonts w:ascii="Times New Roman" w:cs="Times New Roman" w:eastAsia="Times New Roman" w:hAnsi="Times New Roman"/>
                <w:sz w:val="18"/>
                <w:szCs w:val="18"/>
                <w:color w:val="auto"/>
              </w:rPr>
              <w:t>November 2023</w:t>
            </w:r>
          </w:p>
        </w:tc>
        <w:tc>
          <w:tcPr>
            <w:tcW w:w="2640" w:type="dxa"/>
            <w:vAlign w:val="bottom"/>
            <w:gridSpan w:val="3"/>
          </w:tcPr>
          <w:p>
            <w:pPr>
              <w:ind w:left="20"/>
              <w:spacing w:after="0" w:line="166" w:lineRule="exact"/>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181"/>
        </w:trPr>
        <w:tc>
          <w:tcPr>
            <w:tcW w:w="460" w:type="dxa"/>
            <w:vAlign w:val="bottom"/>
            <w:tcBorders>
              <w:right w:val="single" w:sz="8" w:color="B6B6B6"/>
            </w:tcBorders>
          </w:tcPr>
          <w:p>
            <w:pPr>
              <w:spacing w:after="0"/>
              <w:rPr>
                <w:sz w:val="15"/>
                <w:szCs w:val="15"/>
                <w:color w:val="auto"/>
              </w:rPr>
            </w:pPr>
          </w:p>
        </w:tc>
        <w:tc>
          <w:tcPr>
            <w:tcW w:w="2620" w:type="dxa"/>
            <w:vAlign w:val="bottom"/>
            <w:tcBorders>
              <w:right w:val="single" w:sz="8" w:color="B6B6B6"/>
            </w:tcBorders>
            <w:gridSpan w:val="2"/>
            <w:vMerge w:val="continue"/>
          </w:tcPr>
          <w:p>
            <w:pPr>
              <w:spacing w:after="0"/>
              <w:rPr>
                <w:sz w:val="15"/>
                <w:szCs w:val="15"/>
                <w:color w:val="auto"/>
              </w:rPr>
            </w:pPr>
          </w:p>
        </w:tc>
        <w:tc>
          <w:tcPr>
            <w:tcW w:w="2820" w:type="dxa"/>
            <w:vAlign w:val="bottom"/>
            <w:tcBorders>
              <w:right w:val="single" w:sz="8" w:color="B6B6B6"/>
            </w:tcBorders>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associated with LGS, DS or TSC for</w:t>
            </w:r>
          </w:p>
        </w:tc>
        <w:tc>
          <w:tcPr>
            <w:tcW w:w="1620" w:type="dxa"/>
            <w:vAlign w:val="bottom"/>
          </w:tcPr>
          <w:p>
            <w:pPr>
              <w:spacing w:after="0"/>
              <w:rPr>
                <w:sz w:val="15"/>
                <w:szCs w:val="15"/>
                <w:color w:val="auto"/>
              </w:rPr>
            </w:pPr>
          </w:p>
        </w:tc>
        <w:tc>
          <w:tcPr>
            <w:tcW w:w="1180" w:type="dxa"/>
            <w:vAlign w:val="bottom"/>
            <w:tcBorders>
              <w:right w:val="single" w:sz="8" w:color="B6B6B6"/>
            </w:tcBorders>
          </w:tcPr>
          <w:p>
            <w:pPr>
              <w:spacing w:after="0"/>
              <w:rPr>
                <w:sz w:val="15"/>
                <w:szCs w:val="15"/>
                <w:color w:val="auto"/>
              </w:rPr>
            </w:pPr>
          </w:p>
        </w:tc>
        <w:tc>
          <w:tcPr>
            <w:tcW w:w="6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60" w:type="dxa"/>
            <w:vAlign w:val="bottom"/>
            <w:tcBorders>
              <w:right w:val="single" w:sz="8" w:color="B6B6B6"/>
            </w:tcBorders>
          </w:tcPr>
          <w:p>
            <w:pPr>
              <w:spacing w:after="0"/>
              <w:rPr>
                <w:sz w:val="20"/>
                <w:szCs w:val="20"/>
                <w:color w:val="auto"/>
              </w:rPr>
            </w:pPr>
          </w:p>
        </w:tc>
        <w:tc>
          <w:tcPr>
            <w:tcW w:w="620" w:type="dxa"/>
            <w:vAlign w:val="bottom"/>
            <w:tcBorders>
              <w:bottom w:val="single" w:sz="8" w:color="B6B6B6"/>
            </w:tcBorders>
          </w:tcPr>
          <w:p>
            <w:pPr>
              <w:spacing w:after="0"/>
              <w:rPr>
                <w:sz w:val="20"/>
                <w:szCs w:val="20"/>
                <w:color w:val="auto"/>
              </w:rPr>
            </w:pPr>
          </w:p>
        </w:tc>
        <w:tc>
          <w:tcPr>
            <w:tcW w:w="2000" w:type="dxa"/>
            <w:vAlign w:val="bottom"/>
            <w:tcBorders>
              <w:bottom w:val="single" w:sz="8" w:color="B6B6B6"/>
              <w:right w:val="single" w:sz="8" w:color="B6B6B6"/>
            </w:tcBorders>
          </w:tcPr>
          <w:p>
            <w:pPr>
              <w:spacing w:after="0"/>
              <w:rPr>
                <w:sz w:val="20"/>
                <w:szCs w:val="20"/>
                <w:color w:val="auto"/>
              </w:rPr>
            </w:pPr>
          </w:p>
        </w:tc>
        <w:tc>
          <w:tcPr>
            <w:tcW w:w="2820" w:type="dxa"/>
            <w:vAlign w:val="bottom"/>
            <w:tcBorders>
              <w:bottom w:val="single" w:sz="8" w:color="B6B6B6"/>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patients 2 years of age and older.</w:t>
            </w:r>
          </w:p>
        </w:tc>
        <w:tc>
          <w:tcPr>
            <w:tcW w:w="1620" w:type="dxa"/>
            <w:vAlign w:val="bottom"/>
            <w:tcBorders>
              <w:bottom w:val="single" w:sz="8" w:color="B6B6B6"/>
            </w:tcBorders>
          </w:tcPr>
          <w:p>
            <w:pPr>
              <w:spacing w:after="0"/>
              <w:rPr>
                <w:sz w:val="20"/>
                <w:szCs w:val="20"/>
                <w:color w:val="auto"/>
              </w:rPr>
            </w:pPr>
          </w:p>
        </w:tc>
        <w:tc>
          <w:tcPr>
            <w:tcW w:w="1180" w:type="dxa"/>
            <w:vAlign w:val="bottom"/>
            <w:tcBorders>
              <w:bottom w:val="single" w:sz="8" w:color="B6B6B6"/>
              <w:right w:val="single" w:sz="8" w:color="B6B6B6"/>
            </w:tcBorders>
          </w:tcPr>
          <w:p>
            <w:pPr>
              <w:spacing w:after="0"/>
              <w:rPr>
                <w:sz w:val="20"/>
                <w:szCs w:val="20"/>
                <w:color w:val="auto"/>
              </w:rPr>
            </w:pPr>
          </w:p>
        </w:tc>
        <w:tc>
          <w:tcPr>
            <w:tcW w:w="640" w:type="dxa"/>
            <w:vAlign w:val="bottom"/>
            <w:tcBorders>
              <w:bottom w:val="single" w:sz="8" w:color="B6B6B6"/>
            </w:tcBorders>
          </w:tcPr>
          <w:p>
            <w:pPr>
              <w:spacing w:after="0"/>
              <w:rPr>
                <w:sz w:val="20"/>
                <w:szCs w:val="20"/>
                <w:color w:val="auto"/>
              </w:rPr>
            </w:pPr>
          </w:p>
        </w:tc>
        <w:tc>
          <w:tcPr>
            <w:tcW w:w="1900" w:type="dxa"/>
            <w:vAlign w:val="bottom"/>
            <w:tcBorders>
              <w:bottom w:val="single" w:sz="8" w:color="B6B6B6"/>
            </w:tcBorders>
          </w:tcPr>
          <w:p>
            <w:pPr>
              <w:spacing w:after="0"/>
              <w:rPr>
                <w:sz w:val="20"/>
                <w:szCs w:val="20"/>
                <w:color w:val="auto"/>
              </w:rPr>
            </w:pPr>
          </w:p>
        </w:tc>
        <w:tc>
          <w:tcPr>
            <w:tcW w:w="100" w:type="dxa"/>
            <w:vAlign w:val="bottom"/>
            <w:tcBorders>
              <w:bottom w:val="single" w:sz="8" w:color="B6B6B6"/>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60" w:type="dxa"/>
            <w:vAlign w:val="bottom"/>
            <w:tcBorders>
              <w:right w:val="single" w:sz="8" w:color="B6B6B6"/>
            </w:tcBorders>
          </w:tcPr>
          <w:p>
            <w:pPr>
              <w:spacing w:after="0"/>
              <w:rPr>
                <w:sz w:val="19"/>
                <w:szCs w:val="19"/>
                <w:color w:val="auto"/>
              </w:rPr>
            </w:pPr>
          </w:p>
        </w:tc>
        <w:tc>
          <w:tcPr>
            <w:tcW w:w="2620" w:type="dxa"/>
            <w:vAlign w:val="bottom"/>
            <w:tcBorders>
              <w:bottom w:val="single" w:sz="8" w:color="B6B6B6"/>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ONCOLOGY</w:t>
            </w:r>
          </w:p>
        </w:tc>
        <w:tc>
          <w:tcPr>
            <w:tcW w:w="860" w:type="dxa"/>
            <w:vAlign w:val="bottom"/>
            <w:tcBorders>
              <w:bottom w:val="single" w:sz="8" w:color="B6B6B6"/>
            </w:tcBorders>
            <w:shd w:val="clear" w:color="auto" w:fill="CCEEFF"/>
          </w:tcPr>
          <w:p>
            <w:pPr>
              <w:spacing w:after="0"/>
              <w:rPr>
                <w:sz w:val="19"/>
                <w:szCs w:val="19"/>
                <w:color w:val="auto"/>
              </w:rPr>
            </w:pPr>
          </w:p>
        </w:tc>
        <w:tc>
          <w:tcPr>
            <w:tcW w:w="1960" w:type="dxa"/>
            <w:vAlign w:val="bottom"/>
            <w:tcBorders>
              <w:bottom w:val="single" w:sz="8" w:color="B6B6B6"/>
              <w:right w:val="single" w:sz="8" w:color="CCEEFF"/>
            </w:tcBorders>
            <w:shd w:val="clear" w:color="auto" w:fill="CCEEFF"/>
          </w:tcPr>
          <w:p>
            <w:pPr>
              <w:spacing w:after="0"/>
              <w:rPr>
                <w:sz w:val="19"/>
                <w:szCs w:val="19"/>
                <w:color w:val="auto"/>
              </w:rPr>
            </w:pPr>
          </w:p>
        </w:tc>
        <w:tc>
          <w:tcPr>
            <w:tcW w:w="1620" w:type="dxa"/>
            <w:vAlign w:val="bottom"/>
            <w:tcBorders>
              <w:bottom w:val="single" w:sz="8" w:color="B6B6B6"/>
            </w:tcBorders>
            <w:shd w:val="clear" w:color="auto" w:fill="CCEEFF"/>
          </w:tcPr>
          <w:p>
            <w:pPr>
              <w:spacing w:after="0"/>
              <w:rPr>
                <w:sz w:val="19"/>
                <w:szCs w:val="19"/>
                <w:color w:val="auto"/>
              </w:rPr>
            </w:pPr>
          </w:p>
        </w:tc>
        <w:tc>
          <w:tcPr>
            <w:tcW w:w="1180" w:type="dxa"/>
            <w:vAlign w:val="bottom"/>
            <w:tcBorders>
              <w:bottom w:val="single" w:sz="8" w:color="B6B6B6"/>
              <w:right w:val="single" w:sz="8" w:color="CCEEFF"/>
            </w:tcBorders>
            <w:shd w:val="clear" w:color="auto" w:fill="CCEEFF"/>
          </w:tcPr>
          <w:p>
            <w:pPr>
              <w:spacing w:after="0"/>
              <w:rPr>
                <w:sz w:val="19"/>
                <w:szCs w:val="19"/>
                <w:color w:val="auto"/>
              </w:rPr>
            </w:pPr>
          </w:p>
        </w:tc>
        <w:tc>
          <w:tcPr>
            <w:tcW w:w="640" w:type="dxa"/>
            <w:vAlign w:val="bottom"/>
            <w:tcBorders>
              <w:bottom w:val="single" w:sz="8" w:color="B6B6B6"/>
            </w:tcBorders>
            <w:shd w:val="clear" w:color="auto" w:fill="CCEEFF"/>
          </w:tcPr>
          <w:p>
            <w:pPr>
              <w:spacing w:after="0"/>
              <w:rPr>
                <w:sz w:val="19"/>
                <w:szCs w:val="19"/>
                <w:color w:val="auto"/>
              </w:rPr>
            </w:pPr>
          </w:p>
        </w:tc>
        <w:tc>
          <w:tcPr>
            <w:tcW w:w="1900" w:type="dxa"/>
            <w:vAlign w:val="bottom"/>
            <w:tcBorders>
              <w:bottom w:val="single" w:sz="8" w:color="B6B6B6"/>
            </w:tcBorders>
            <w:shd w:val="clear" w:color="auto" w:fill="CCEEFF"/>
          </w:tcPr>
          <w:p>
            <w:pPr>
              <w:spacing w:after="0"/>
              <w:rPr>
                <w:sz w:val="19"/>
                <w:szCs w:val="19"/>
                <w:color w:val="auto"/>
              </w:rPr>
            </w:pPr>
          </w:p>
        </w:tc>
        <w:tc>
          <w:tcPr>
            <w:tcW w:w="100" w:type="dxa"/>
            <w:vAlign w:val="bottom"/>
            <w:tcBorders>
              <w:bottom w:val="single" w:sz="8" w:color="B6B6B6"/>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460" w:type="dxa"/>
            <w:vAlign w:val="bottom"/>
            <w:tcBorders>
              <w:right w:val="single" w:sz="8" w:color="B6B6B6"/>
            </w:tcBorders>
          </w:tcPr>
          <w:p>
            <w:pPr>
              <w:spacing w:after="0"/>
              <w:rPr>
                <w:sz w:val="14"/>
                <w:szCs w:val="14"/>
                <w:color w:val="auto"/>
              </w:rPr>
            </w:pPr>
          </w:p>
        </w:tc>
        <w:tc>
          <w:tcPr>
            <w:tcW w:w="620" w:type="dxa"/>
            <w:vAlign w:val="bottom"/>
          </w:tcPr>
          <w:p>
            <w:pPr>
              <w:spacing w:after="0"/>
              <w:rPr>
                <w:sz w:val="14"/>
                <w:szCs w:val="14"/>
                <w:color w:val="auto"/>
              </w:rPr>
            </w:pPr>
          </w:p>
        </w:tc>
        <w:tc>
          <w:tcPr>
            <w:tcW w:w="2000" w:type="dxa"/>
            <w:vAlign w:val="bottom"/>
            <w:tcBorders>
              <w:right w:val="single" w:sz="8" w:color="B6B6B6"/>
            </w:tcBorders>
          </w:tcPr>
          <w:p>
            <w:pPr>
              <w:spacing w:after="0"/>
              <w:rPr>
                <w:sz w:val="14"/>
                <w:szCs w:val="14"/>
                <w:color w:val="auto"/>
              </w:rPr>
            </w:pPr>
          </w:p>
        </w:tc>
        <w:tc>
          <w:tcPr>
            <w:tcW w:w="2820" w:type="dxa"/>
            <w:vAlign w:val="bottom"/>
            <w:tcBorders>
              <w:right w:val="single" w:sz="8" w:color="B6B6B6"/>
            </w:tcBorders>
            <w:gridSpan w:val="2"/>
          </w:tcPr>
          <w:p>
            <w:pPr>
              <w:ind w:left="20"/>
              <w:spacing w:after="0" w:line="166" w:lineRule="exact"/>
              <w:rPr>
                <w:sz w:val="20"/>
                <w:szCs w:val="20"/>
                <w:color w:val="auto"/>
              </w:rPr>
            </w:pPr>
            <w:r>
              <w:rPr>
                <w:rFonts w:ascii="Times New Roman" w:cs="Times New Roman" w:eastAsia="Times New Roman" w:hAnsi="Times New Roman"/>
                <w:sz w:val="18"/>
                <w:szCs w:val="18"/>
                <w:color w:val="auto"/>
              </w:rPr>
              <w:t>A component of a multi-agent</w:t>
            </w:r>
          </w:p>
        </w:tc>
        <w:tc>
          <w:tcPr>
            <w:tcW w:w="2800" w:type="dxa"/>
            <w:vAlign w:val="bottom"/>
            <w:tcBorders>
              <w:right w:val="single" w:sz="8" w:color="B6B6B6"/>
            </w:tcBorders>
            <w:gridSpan w:val="2"/>
          </w:tcPr>
          <w:p>
            <w:pPr>
              <w:spacing w:after="0" w:line="166" w:lineRule="exact"/>
              <w:rPr>
                <w:sz w:val="20"/>
                <w:szCs w:val="20"/>
                <w:color w:val="auto"/>
              </w:rPr>
            </w:pPr>
            <w:r>
              <w:rPr>
                <w:rFonts w:ascii="Times New Roman" w:cs="Times New Roman" w:eastAsia="Times New Roman" w:hAnsi="Times New Roman"/>
                <w:sz w:val="18"/>
                <w:szCs w:val="18"/>
                <w:color w:val="auto"/>
              </w:rPr>
              <w:t>June 2021</w:t>
            </w:r>
          </w:p>
        </w:tc>
        <w:tc>
          <w:tcPr>
            <w:tcW w:w="2640" w:type="dxa"/>
            <w:vAlign w:val="bottom"/>
            <w:gridSpan w:val="3"/>
          </w:tcPr>
          <w:p>
            <w:pPr>
              <w:ind w:left="20"/>
              <w:spacing w:after="0" w:line="166" w:lineRule="exact"/>
              <w:rPr>
                <w:sz w:val="20"/>
                <w:szCs w:val="20"/>
                <w:color w:val="auto"/>
              </w:rPr>
            </w:pPr>
            <w:r>
              <w:rPr>
                <w:rFonts w:ascii="Times New Roman" w:cs="Times New Roman" w:eastAsia="Times New Roman" w:hAnsi="Times New Roman"/>
                <w:sz w:val="18"/>
                <w:szCs w:val="18"/>
                <w:color w:val="auto"/>
              </w:rPr>
              <w:t>U.S.</w:t>
            </w:r>
          </w:p>
        </w:tc>
        <w:tc>
          <w:tcPr>
            <w:tcW w:w="0" w:type="dxa"/>
            <w:vAlign w:val="bottom"/>
          </w:tcPr>
          <w:p>
            <w:pPr>
              <w:spacing w:after="0"/>
              <w:rPr>
                <w:sz w:val="1"/>
                <w:szCs w:val="1"/>
                <w:color w:val="auto"/>
              </w:rPr>
            </w:pPr>
          </w:p>
        </w:tc>
      </w:tr>
      <w:tr>
        <w:trPr>
          <w:trHeight w:val="181"/>
        </w:trPr>
        <w:tc>
          <w:tcPr>
            <w:tcW w:w="460" w:type="dxa"/>
            <w:vAlign w:val="bottom"/>
            <w:tcBorders>
              <w:right w:val="single" w:sz="8" w:color="B6B6B6"/>
            </w:tcBorders>
          </w:tcPr>
          <w:p>
            <w:pPr>
              <w:spacing w:after="0"/>
              <w:rPr>
                <w:sz w:val="15"/>
                <w:szCs w:val="15"/>
                <w:color w:val="auto"/>
              </w:rPr>
            </w:pPr>
          </w:p>
        </w:tc>
        <w:tc>
          <w:tcPr>
            <w:tcW w:w="620" w:type="dxa"/>
            <w:vAlign w:val="bottom"/>
          </w:tcPr>
          <w:p>
            <w:pPr>
              <w:spacing w:after="0"/>
              <w:rPr>
                <w:sz w:val="15"/>
                <w:szCs w:val="15"/>
                <w:color w:val="auto"/>
              </w:rPr>
            </w:pPr>
          </w:p>
        </w:tc>
        <w:tc>
          <w:tcPr>
            <w:tcW w:w="200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chemotherapeutic regimen for the</w:t>
            </w:r>
          </w:p>
        </w:tc>
        <w:tc>
          <w:tcPr>
            <w:tcW w:w="1620" w:type="dxa"/>
            <w:vAlign w:val="bottom"/>
          </w:tcPr>
          <w:p>
            <w:pPr>
              <w:spacing w:after="0"/>
              <w:rPr>
                <w:sz w:val="15"/>
                <w:szCs w:val="15"/>
                <w:color w:val="auto"/>
              </w:rPr>
            </w:pPr>
          </w:p>
        </w:tc>
        <w:tc>
          <w:tcPr>
            <w:tcW w:w="1180" w:type="dxa"/>
            <w:vAlign w:val="bottom"/>
            <w:tcBorders>
              <w:right w:val="single" w:sz="8" w:color="B6B6B6"/>
            </w:tcBorders>
          </w:tcPr>
          <w:p>
            <w:pPr>
              <w:spacing w:after="0"/>
              <w:rPr>
                <w:sz w:val="15"/>
                <w:szCs w:val="15"/>
                <w:color w:val="auto"/>
              </w:rPr>
            </w:pPr>
          </w:p>
        </w:tc>
        <w:tc>
          <w:tcPr>
            <w:tcW w:w="6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60" w:type="dxa"/>
            <w:vAlign w:val="bottom"/>
            <w:tcBorders>
              <w:right w:val="single" w:sz="8" w:color="B6B6B6"/>
            </w:tcBorders>
          </w:tcPr>
          <w:p>
            <w:pPr>
              <w:spacing w:after="0"/>
              <w:rPr>
                <w:sz w:val="15"/>
                <w:szCs w:val="15"/>
                <w:color w:val="auto"/>
              </w:rPr>
            </w:pPr>
          </w:p>
        </w:tc>
        <w:tc>
          <w:tcPr>
            <w:tcW w:w="2620" w:type="dxa"/>
            <w:vAlign w:val="bottom"/>
            <w:tcBorders>
              <w:right w:val="single" w:sz="8" w:color="B6B6B6"/>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Rylaze® (asparaginase erwinia</w:t>
            </w:r>
          </w:p>
        </w:tc>
        <w:tc>
          <w:tcPr>
            <w:tcW w:w="2820" w:type="dxa"/>
            <w:vAlign w:val="bottom"/>
            <w:tcBorders>
              <w:right w:val="single" w:sz="8" w:color="B6B6B6"/>
            </w:tcBorders>
            <w:gridSpan w:val="2"/>
          </w:tcPr>
          <w:p>
            <w:pPr>
              <w:ind w:left="20"/>
              <w:spacing w:after="0" w:line="178" w:lineRule="exact"/>
              <w:rPr>
                <w:sz w:val="20"/>
                <w:szCs w:val="20"/>
                <w:color w:val="auto"/>
              </w:rPr>
            </w:pPr>
            <w:r>
              <w:rPr>
                <w:rFonts w:ascii="Times New Roman" w:cs="Times New Roman" w:eastAsia="Times New Roman" w:hAnsi="Times New Roman"/>
                <w:sz w:val="18"/>
                <w:szCs w:val="18"/>
                <w:color w:val="auto"/>
              </w:rPr>
              <w:t>treatment of acute lymphoblastic</w:t>
            </w:r>
          </w:p>
        </w:tc>
        <w:tc>
          <w:tcPr>
            <w:tcW w:w="1620" w:type="dxa"/>
            <w:vAlign w:val="bottom"/>
          </w:tcPr>
          <w:p>
            <w:pPr>
              <w:spacing w:after="0"/>
              <w:rPr>
                <w:sz w:val="15"/>
                <w:szCs w:val="15"/>
                <w:color w:val="auto"/>
              </w:rPr>
            </w:pPr>
          </w:p>
        </w:tc>
        <w:tc>
          <w:tcPr>
            <w:tcW w:w="1180" w:type="dxa"/>
            <w:vAlign w:val="bottom"/>
            <w:tcBorders>
              <w:right w:val="single" w:sz="8" w:color="B6B6B6"/>
            </w:tcBorders>
          </w:tcPr>
          <w:p>
            <w:pPr>
              <w:spacing w:after="0"/>
              <w:rPr>
                <w:sz w:val="15"/>
                <w:szCs w:val="15"/>
                <w:color w:val="auto"/>
              </w:rPr>
            </w:pPr>
          </w:p>
        </w:tc>
        <w:tc>
          <w:tcPr>
            <w:tcW w:w="6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460" w:type="dxa"/>
            <w:vAlign w:val="bottom"/>
            <w:tcBorders>
              <w:right w:val="single" w:sz="8" w:color="B6B6B6"/>
            </w:tcBorders>
          </w:tcPr>
          <w:p>
            <w:pPr>
              <w:spacing w:after="0"/>
              <w:rPr>
                <w:sz w:val="6"/>
                <w:szCs w:val="6"/>
                <w:color w:val="auto"/>
              </w:rPr>
            </w:pPr>
          </w:p>
        </w:tc>
        <w:tc>
          <w:tcPr>
            <w:tcW w:w="2620" w:type="dxa"/>
            <w:vAlign w:val="bottom"/>
            <w:tcBorders>
              <w:right w:val="single" w:sz="8" w:color="B6B6B6"/>
            </w:tcBorders>
            <w:gridSpan w:val="2"/>
            <w:vMerge w:val="continue"/>
          </w:tcPr>
          <w:p>
            <w:pPr>
              <w:spacing w:after="0"/>
              <w:rPr>
                <w:sz w:val="6"/>
                <w:szCs w:val="6"/>
                <w:color w:val="auto"/>
              </w:rPr>
            </w:pPr>
          </w:p>
        </w:tc>
        <w:tc>
          <w:tcPr>
            <w:tcW w:w="2820" w:type="dxa"/>
            <w:vAlign w:val="bottom"/>
            <w:tcBorders>
              <w:right w:val="single" w:sz="8" w:color="B6B6B6"/>
            </w:tcBorders>
            <w:gridSpan w:val="2"/>
            <w:vMerge w:val="restart"/>
          </w:tcPr>
          <w:p>
            <w:pPr>
              <w:ind w:left="20"/>
              <w:spacing w:after="0" w:line="173" w:lineRule="exact"/>
              <w:rPr>
                <w:sz w:val="20"/>
                <w:szCs w:val="20"/>
                <w:color w:val="auto"/>
              </w:rPr>
            </w:pPr>
            <w:r>
              <w:rPr>
                <w:rFonts w:ascii="Times New Roman" w:cs="Times New Roman" w:eastAsia="Times New Roman" w:hAnsi="Times New Roman"/>
                <w:sz w:val="18"/>
                <w:szCs w:val="18"/>
                <w:color w:val="auto"/>
              </w:rPr>
              <w:t>leukemia, or ALL, and lymphoblastic</w:t>
            </w:r>
          </w:p>
        </w:tc>
        <w:tc>
          <w:tcPr>
            <w:tcW w:w="1620" w:type="dxa"/>
            <w:vAlign w:val="bottom"/>
          </w:tcPr>
          <w:p>
            <w:pPr>
              <w:spacing w:after="0"/>
              <w:rPr>
                <w:sz w:val="6"/>
                <w:szCs w:val="6"/>
                <w:color w:val="auto"/>
              </w:rPr>
            </w:pPr>
          </w:p>
        </w:tc>
        <w:tc>
          <w:tcPr>
            <w:tcW w:w="1180" w:type="dxa"/>
            <w:vAlign w:val="bottom"/>
            <w:tcBorders>
              <w:right w:val="single" w:sz="8" w:color="B6B6B6"/>
            </w:tcBorders>
          </w:tcPr>
          <w:p>
            <w:pPr>
              <w:spacing w:after="0"/>
              <w:rPr>
                <w:sz w:val="6"/>
                <w:szCs w:val="6"/>
                <w:color w:val="auto"/>
              </w:rPr>
            </w:pPr>
          </w:p>
        </w:tc>
        <w:tc>
          <w:tcPr>
            <w:tcW w:w="64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460" w:type="dxa"/>
            <w:vAlign w:val="bottom"/>
            <w:tcBorders>
              <w:right w:val="single" w:sz="8" w:color="B6B6B6"/>
            </w:tcBorders>
          </w:tcPr>
          <w:p>
            <w:pPr>
              <w:spacing w:after="0"/>
              <w:rPr>
                <w:sz w:val="8"/>
                <w:szCs w:val="8"/>
                <w:color w:val="auto"/>
              </w:rPr>
            </w:pPr>
          </w:p>
        </w:tc>
        <w:tc>
          <w:tcPr>
            <w:tcW w:w="2620" w:type="dxa"/>
            <w:vAlign w:val="bottom"/>
            <w:tcBorders>
              <w:right w:val="single" w:sz="8" w:color="B6B6B6"/>
            </w:tcBorders>
            <w:gridSpan w:val="2"/>
            <w:vMerge w:val="restart"/>
          </w:tcPr>
          <w:p>
            <w:pPr>
              <w:ind w:left="20"/>
              <w:spacing w:after="0" w:line="182" w:lineRule="exact"/>
              <w:rPr>
                <w:sz w:val="20"/>
                <w:szCs w:val="20"/>
                <w:color w:val="auto"/>
              </w:rPr>
            </w:pPr>
            <w:r>
              <w:rPr>
                <w:rFonts w:ascii="Times New Roman" w:cs="Times New Roman" w:eastAsia="Times New Roman" w:hAnsi="Times New Roman"/>
                <w:sz w:val="18"/>
                <w:szCs w:val="18"/>
                <w:color w:val="auto"/>
              </w:rPr>
              <w:t>chrysanthemi (recombinant)-</w:t>
            </w:r>
          </w:p>
        </w:tc>
        <w:tc>
          <w:tcPr>
            <w:tcW w:w="2820" w:type="dxa"/>
            <w:vAlign w:val="bottom"/>
            <w:tcBorders>
              <w:right w:val="single" w:sz="8" w:color="B6B6B6"/>
            </w:tcBorders>
            <w:gridSpan w:val="2"/>
            <w:vMerge w:val="continue"/>
          </w:tcPr>
          <w:p>
            <w:pPr>
              <w:spacing w:after="0"/>
              <w:rPr>
                <w:sz w:val="8"/>
                <w:szCs w:val="8"/>
                <w:color w:val="auto"/>
              </w:rPr>
            </w:pPr>
          </w:p>
        </w:tc>
        <w:tc>
          <w:tcPr>
            <w:tcW w:w="1620" w:type="dxa"/>
            <w:vAlign w:val="bottom"/>
          </w:tcPr>
          <w:p>
            <w:pPr>
              <w:spacing w:after="0"/>
              <w:rPr>
                <w:sz w:val="8"/>
                <w:szCs w:val="8"/>
                <w:color w:val="auto"/>
              </w:rPr>
            </w:pPr>
          </w:p>
        </w:tc>
        <w:tc>
          <w:tcPr>
            <w:tcW w:w="1180" w:type="dxa"/>
            <w:vAlign w:val="bottom"/>
            <w:tcBorders>
              <w:right w:val="single" w:sz="8" w:color="B6B6B6"/>
            </w:tcBorders>
          </w:tcPr>
          <w:p>
            <w:pPr>
              <w:spacing w:after="0"/>
              <w:rPr>
                <w:sz w:val="8"/>
                <w:szCs w:val="8"/>
                <w:color w:val="auto"/>
              </w:rPr>
            </w:pPr>
          </w:p>
        </w:tc>
        <w:tc>
          <w:tcPr>
            <w:tcW w:w="6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460" w:type="dxa"/>
            <w:vAlign w:val="bottom"/>
            <w:tcBorders>
              <w:right w:val="single" w:sz="8" w:color="B6B6B6"/>
            </w:tcBorders>
          </w:tcPr>
          <w:p>
            <w:pPr>
              <w:spacing w:after="0"/>
              <w:rPr>
                <w:sz w:val="7"/>
                <w:szCs w:val="7"/>
                <w:color w:val="auto"/>
              </w:rPr>
            </w:pPr>
          </w:p>
        </w:tc>
        <w:tc>
          <w:tcPr>
            <w:tcW w:w="2620" w:type="dxa"/>
            <w:vAlign w:val="bottom"/>
            <w:tcBorders>
              <w:right w:val="single" w:sz="8" w:color="B6B6B6"/>
            </w:tcBorders>
            <w:gridSpan w:val="2"/>
            <w:vMerge w:val="continue"/>
          </w:tcPr>
          <w:p>
            <w:pPr>
              <w:spacing w:after="0"/>
              <w:rPr>
                <w:sz w:val="7"/>
                <w:szCs w:val="7"/>
                <w:color w:val="auto"/>
              </w:rPr>
            </w:pPr>
          </w:p>
        </w:tc>
        <w:tc>
          <w:tcPr>
            <w:tcW w:w="2820" w:type="dxa"/>
            <w:vAlign w:val="bottom"/>
            <w:tcBorders>
              <w:right w:val="single" w:sz="8" w:color="B6B6B6"/>
            </w:tcBorders>
            <w:gridSpan w:val="2"/>
            <w:vMerge w:val="restart"/>
          </w:tcPr>
          <w:p>
            <w:pPr>
              <w:ind w:left="20"/>
              <w:spacing w:after="0" w:line="182" w:lineRule="exact"/>
              <w:rPr>
                <w:sz w:val="20"/>
                <w:szCs w:val="20"/>
                <w:color w:val="auto"/>
              </w:rPr>
            </w:pPr>
            <w:r>
              <w:rPr>
                <w:rFonts w:ascii="Times New Roman" w:cs="Times New Roman" w:eastAsia="Times New Roman" w:hAnsi="Times New Roman"/>
                <w:sz w:val="18"/>
                <w:szCs w:val="18"/>
                <w:color w:val="auto"/>
              </w:rPr>
              <w:t>lymphoma, or LBL, in adult and</w:t>
            </w:r>
          </w:p>
        </w:tc>
        <w:tc>
          <w:tcPr>
            <w:tcW w:w="1620" w:type="dxa"/>
            <w:vAlign w:val="bottom"/>
          </w:tcPr>
          <w:p>
            <w:pPr>
              <w:spacing w:after="0"/>
              <w:rPr>
                <w:sz w:val="7"/>
                <w:szCs w:val="7"/>
                <w:color w:val="auto"/>
              </w:rPr>
            </w:pPr>
          </w:p>
        </w:tc>
        <w:tc>
          <w:tcPr>
            <w:tcW w:w="1180" w:type="dxa"/>
            <w:vAlign w:val="bottom"/>
            <w:tcBorders>
              <w:right w:val="single" w:sz="8" w:color="B6B6B6"/>
            </w:tcBorders>
          </w:tcPr>
          <w:p>
            <w:pPr>
              <w:spacing w:after="0"/>
              <w:rPr>
                <w:sz w:val="7"/>
                <w:szCs w:val="7"/>
                <w:color w:val="auto"/>
              </w:rPr>
            </w:pPr>
          </w:p>
        </w:tc>
        <w:tc>
          <w:tcPr>
            <w:tcW w:w="64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460" w:type="dxa"/>
            <w:vAlign w:val="bottom"/>
            <w:tcBorders>
              <w:right w:val="single" w:sz="8" w:color="B6B6B6"/>
            </w:tcBorders>
          </w:tcPr>
          <w:p>
            <w:pPr>
              <w:spacing w:after="0"/>
              <w:rPr>
                <w:sz w:val="8"/>
                <w:szCs w:val="8"/>
                <w:color w:val="auto"/>
              </w:rPr>
            </w:pPr>
          </w:p>
        </w:tc>
        <w:tc>
          <w:tcPr>
            <w:tcW w:w="2620" w:type="dxa"/>
            <w:vAlign w:val="bottom"/>
            <w:tcBorders>
              <w:right w:val="single" w:sz="8" w:color="B6B6B6"/>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rywn)</w:t>
            </w:r>
          </w:p>
        </w:tc>
        <w:tc>
          <w:tcPr>
            <w:tcW w:w="2820" w:type="dxa"/>
            <w:vAlign w:val="bottom"/>
            <w:tcBorders>
              <w:right w:val="single" w:sz="8" w:color="B6B6B6"/>
            </w:tcBorders>
            <w:gridSpan w:val="2"/>
            <w:vMerge w:val="continue"/>
          </w:tcPr>
          <w:p>
            <w:pPr>
              <w:spacing w:after="0"/>
              <w:rPr>
                <w:sz w:val="8"/>
                <w:szCs w:val="8"/>
                <w:color w:val="auto"/>
              </w:rPr>
            </w:pPr>
          </w:p>
        </w:tc>
        <w:tc>
          <w:tcPr>
            <w:tcW w:w="1620" w:type="dxa"/>
            <w:vAlign w:val="bottom"/>
          </w:tcPr>
          <w:p>
            <w:pPr>
              <w:spacing w:after="0"/>
              <w:rPr>
                <w:sz w:val="8"/>
                <w:szCs w:val="8"/>
                <w:color w:val="auto"/>
              </w:rPr>
            </w:pPr>
          </w:p>
        </w:tc>
        <w:tc>
          <w:tcPr>
            <w:tcW w:w="1180" w:type="dxa"/>
            <w:vAlign w:val="bottom"/>
            <w:tcBorders>
              <w:right w:val="single" w:sz="8" w:color="B6B6B6"/>
            </w:tcBorders>
          </w:tcPr>
          <w:p>
            <w:pPr>
              <w:spacing w:after="0"/>
              <w:rPr>
                <w:sz w:val="8"/>
                <w:szCs w:val="8"/>
                <w:color w:val="auto"/>
              </w:rPr>
            </w:pPr>
          </w:p>
        </w:tc>
        <w:tc>
          <w:tcPr>
            <w:tcW w:w="6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460" w:type="dxa"/>
            <w:vAlign w:val="bottom"/>
            <w:tcBorders>
              <w:right w:val="single" w:sz="8" w:color="B6B6B6"/>
            </w:tcBorders>
          </w:tcPr>
          <w:p>
            <w:pPr>
              <w:spacing w:after="0"/>
              <w:rPr>
                <w:sz w:val="12"/>
                <w:szCs w:val="12"/>
                <w:color w:val="auto"/>
              </w:rPr>
            </w:pPr>
          </w:p>
        </w:tc>
        <w:tc>
          <w:tcPr>
            <w:tcW w:w="2620" w:type="dxa"/>
            <w:vAlign w:val="bottom"/>
            <w:tcBorders>
              <w:right w:val="single" w:sz="8" w:color="B6B6B6"/>
            </w:tcBorders>
            <w:gridSpan w:val="2"/>
            <w:vMerge w:val="continue"/>
          </w:tcPr>
          <w:p>
            <w:pPr>
              <w:spacing w:after="0"/>
              <w:rPr>
                <w:sz w:val="12"/>
                <w:szCs w:val="12"/>
                <w:color w:val="auto"/>
              </w:rPr>
            </w:pPr>
          </w:p>
        </w:tc>
        <w:tc>
          <w:tcPr>
            <w:tcW w:w="2820" w:type="dxa"/>
            <w:vAlign w:val="bottom"/>
            <w:tcBorders>
              <w:right w:val="single" w:sz="8" w:color="B6B6B6"/>
            </w:tcBorders>
            <w:gridSpan w:val="2"/>
            <w:vMerge w:val="restart"/>
          </w:tcPr>
          <w:p>
            <w:pPr>
              <w:ind w:left="20"/>
              <w:spacing w:after="0" w:line="178" w:lineRule="exact"/>
              <w:rPr>
                <w:sz w:val="20"/>
                <w:szCs w:val="20"/>
                <w:color w:val="auto"/>
              </w:rPr>
            </w:pPr>
            <w:r>
              <w:rPr>
                <w:rFonts w:ascii="Times New Roman" w:cs="Times New Roman" w:eastAsia="Times New Roman" w:hAnsi="Times New Roman"/>
                <w:sz w:val="18"/>
                <w:szCs w:val="18"/>
                <w:color w:val="auto"/>
              </w:rPr>
              <w:t>pediatric patients 1 month or older</w:t>
            </w:r>
          </w:p>
        </w:tc>
        <w:tc>
          <w:tcPr>
            <w:tcW w:w="1620" w:type="dxa"/>
            <w:vAlign w:val="bottom"/>
          </w:tcPr>
          <w:p>
            <w:pPr>
              <w:spacing w:after="0"/>
              <w:rPr>
                <w:sz w:val="12"/>
                <w:szCs w:val="12"/>
                <w:color w:val="auto"/>
              </w:rPr>
            </w:pPr>
          </w:p>
        </w:tc>
        <w:tc>
          <w:tcPr>
            <w:tcW w:w="1180" w:type="dxa"/>
            <w:vAlign w:val="bottom"/>
            <w:tcBorders>
              <w:right w:val="single" w:sz="8" w:color="B6B6B6"/>
            </w:tcBorders>
          </w:tcPr>
          <w:p>
            <w:pPr>
              <w:spacing w:after="0"/>
              <w:rPr>
                <w:sz w:val="12"/>
                <w:szCs w:val="12"/>
                <w:color w:val="auto"/>
              </w:rPr>
            </w:pPr>
          </w:p>
        </w:tc>
        <w:tc>
          <w:tcPr>
            <w:tcW w:w="6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460" w:type="dxa"/>
            <w:vAlign w:val="bottom"/>
            <w:tcBorders>
              <w:right w:val="single" w:sz="8" w:color="B6B6B6"/>
            </w:tcBorders>
          </w:tcPr>
          <w:p>
            <w:pPr>
              <w:spacing w:after="0"/>
              <w:rPr>
                <w:sz w:val="3"/>
                <w:szCs w:val="3"/>
                <w:color w:val="auto"/>
              </w:rPr>
            </w:pPr>
          </w:p>
        </w:tc>
        <w:tc>
          <w:tcPr>
            <w:tcW w:w="620" w:type="dxa"/>
            <w:vAlign w:val="bottom"/>
          </w:tcPr>
          <w:p>
            <w:pPr>
              <w:spacing w:after="0"/>
              <w:rPr>
                <w:sz w:val="3"/>
                <w:szCs w:val="3"/>
                <w:color w:val="auto"/>
              </w:rPr>
            </w:pPr>
          </w:p>
        </w:tc>
        <w:tc>
          <w:tcPr>
            <w:tcW w:w="2000" w:type="dxa"/>
            <w:vAlign w:val="bottom"/>
            <w:tcBorders>
              <w:right w:val="single" w:sz="8" w:color="B6B6B6"/>
            </w:tcBorders>
          </w:tcPr>
          <w:p>
            <w:pPr>
              <w:spacing w:after="0"/>
              <w:rPr>
                <w:sz w:val="3"/>
                <w:szCs w:val="3"/>
                <w:color w:val="auto"/>
              </w:rPr>
            </w:pPr>
          </w:p>
        </w:tc>
        <w:tc>
          <w:tcPr>
            <w:tcW w:w="2820" w:type="dxa"/>
            <w:vAlign w:val="bottom"/>
            <w:tcBorders>
              <w:right w:val="single" w:sz="8" w:color="B6B6B6"/>
            </w:tcBorders>
            <w:gridSpan w:val="2"/>
            <w:vMerge w:val="continue"/>
          </w:tcPr>
          <w:p>
            <w:pPr>
              <w:spacing w:after="0"/>
              <w:rPr>
                <w:sz w:val="3"/>
                <w:szCs w:val="3"/>
                <w:color w:val="auto"/>
              </w:rPr>
            </w:pPr>
          </w:p>
        </w:tc>
        <w:tc>
          <w:tcPr>
            <w:tcW w:w="1620" w:type="dxa"/>
            <w:vAlign w:val="bottom"/>
          </w:tcPr>
          <w:p>
            <w:pPr>
              <w:spacing w:after="0"/>
              <w:rPr>
                <w:sz w:val="3"/>
                <w:szCs w:val="3"/>
                <w:color w:val="auto"/>
              </w:rPr>
            </w:pPr>
          </w:p>
        </w:tc>
        <w:tc>
          <w:tcPr>
            <w:tcW w:w="1180" w:type="dxa"/>
            <w:vAlign w:val="bottom"/>
            <w:tcBorders>
              <w:right w:val="single" w:sz="8" w:color="B6B6B6"/>
            </w:tcBorders>
          </w:tcPr>
          <w:p>
            <w:pPr>
              <w:spacing w:after="0"/>
              <w:rPr>
                <w:sz w:val="3"/>
                <w:szCs w:val="3"/>
                <w:color w:val="auto"/>
              </w:rPr>
            </w:pPr>
          </w:p>
        </w:tc>
        <w:tc>
          <w:tcPr>
            <w:tcW w:w="6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460" w:type="dxa"/>
            <w:vAlign w:val="bottom"/>
            <w:tcBorders>
              <w:right w:val="single" w:sz="8" w:color="B6B6B6"/>
            </w:tcBorders>
          </w:tcPr>
          <w:p>
            <w:pPr>
              <w:spacing w:after="0"/>
              <w:rPr>
                <w:sz w:val="15"/>
                <w:szCs w:val="15"/>
                <w:color w:val="auto"/>
              </w:rPr>
            </w:pPr>
          </w:p>
        </w:tc>
        <w:tc>
          <w:tcPr>
            <w:tcW w:w="620" w:type="dxa"/>
            <w:vAlign w:val="bottom"/>
          </w:tcPr>
          <w:p>
            <w:pPr>
              <w:spacing w:after="0"/>
              <w:rPr>
                <w:sz w:val="15"/>
                <w:szCs w:val="15"/>
                <w:color w:val="auto"/>
              </w:rPr>
            </w:pPr>
          </w:p>
        </w:tc>
        <w:tc>
          <w:tcPr>
            <w:tcW w:w="200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gridSpan w:val="2"/>
          </w:tcPr>
          <w:p>
            <w:pPr>
              <w:ind w:left="20"/>
              <w:spacing w:after="0" w:line="173" w:lineRule="exact"/>
              <w:rPr>
                <w:sz w:val="20"/>
                <w:szCs w:val="20"/>
                <w:color w:val="auto"/>
              </w:rPr>
            </w:pPr>
            <w:r>
              <w:rPr>
                <w:rFonts w:ascii="Times New Roman" w:cs="Times New Roman" w:eastAsia="Times New Roman" w:hAnsi="Times New Roman"/>
                <w:sz w:val="18"/>
                <w:szCs w:val="18"/>
                <w:color w:val="auto"/>
              </w:rPr>
              <w:t>who have developed hypersensitivity</w:t>
            </w:r>
          </w:p>
        </w:tc>
        <w:tc>
          <w:tcPr>
            <w:tcW w:w="1620" w:type="dxa"/>
            <w:vAlign w:val="bottom"/>
          </w:tcPr>
          <w:p>
            <w:pPr>
              <w:spacing w:after="0"/>
              <w:rPr>
                <w:sz w:val="15"/>
                <w:szCs w:val="15"/>
                <w:color w:val="auto"/>
              </w:rPr>
            </w:pPr>
          </w:p>
        </w:tc>
        <w:tc>
          <w:tcPr>
            <w:tcW w:w="1180" w:type="dxa"/>
            <w:vAlign w:val="bottom"/>
            <w:tcBorders>
              <w:right w:val="single" w:sz="8" w:color="B6B6B6"/>
            </w:tcBorders>
          </w:tcPr>
          <w:p>
            <w:pPr>
              <w:spacing w:after="0"/>
              <w:rPr>
                <w:sz w:val="15"/>
                <w:szCs w:val="15"/>
                <w:color w:val="auto"/>
              </w:rPr>
            </w:pPr>
          </w:p>
        </w:tc>
        <w:tc>
          <w:tcPr>
            <w:tcW w:w="6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60" w:type="dxa"/>
            <w:vAlign w:val="bottom"/>
            <w:tcBorders>
              <w:right w:val="single" w:sz="8" w:color="B6B6B6"/>
            </w:tcBorders>
          </w:tcPr>
          <w:p>
            <w:pPr>
              <w:spacing w:after="0"/>
              <w:rPr>
                <w:sz w:val="20"/>
                <w:szCs w:val="20"/>
                <w:color w:val="auto"/>
              </w:rPr>
            </w:pPr>
          </w:p>
        </w:tc>
        <w:tc>
          <w:tcPr>
            <w:tcW w:w="620" w:type="dxa"/>
            <w:vAlign w:val="bottom"/>
            <w:tcBorders>
              <w:bottom w:val="single" w:sz="8" w:color="B6B6B6"/>
            </w:tcBorders>
          </w:tcPr>
          <w:p>
            <w:pPr>
              <w:spacing w:after="0"/>
              <w:rPr>
                <w:sz w:val="20"/>
                <w:szCs w:val="20"/>
                <w:color w:val="auto"/>
              </w:rPr>
            </w:pPr>
          </w:p>
        </w:tc>
        <w:tc>
          <w:tcPr>
            <w:tcW w:w="2000" w:type="dxa"/>
            <w:vAlign w:val="bottom"/>
            <w:tcBorders>
              <w:bottom w:val="single" w:sz="8" w:color="B6B6B6"/>
              <w:right w:val="single" w:sz="8" w:color="B6B6B6"/>
            </w:tcBorders>
          </w:tcPr>
          <w:p>
            <w:pPr>
              <w:spacing w:after="0"/>
              <w:rPr>
                <w:sz w:val="20"/>
                <w:szCs w:val="20"/>
                <w:color w:val="auto"/>
              </w:rPr>
            </w:pPr>
          </w:p>
        </w:tc>
        <w:tc>
          <w:tcPr>
            <w:tcW w:w="2820" w:type="dxa"/>
            <w:vAlign w:val="bottom"/>
            <w:tcBorders>
              <w:bottom w:val="single" w:sz="8" w:color="B6B6B6"/>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 E. coli-derived asparaginase.</w:t>
            </w:r>
          </w:p>
        </w:tc>
        <w:tc>
          <w:tcPr>
            <w:tcW w:w="1620" w:type="dxa"/>
            <w:vAlign w:val="bottom"/>
            <w:tcBorders>
              <w:bottom w:val="single" w:sz="8" w:color="B6B6B6"/>
            </w:tcBorders>
          </w:tcPr>
          <w:p>
            <w:pPr>
              <w:spacing w:after="0"/>
              <w:rPr>
                <w:sz w:val="20"/>
                <w:szCs w:val="20"/>
                <w:color w:val="auto"/>
              </w:rPr>
            </w:pPr>
          </w:p>
        </w:tc>
        <w:tc>
          <w:tcPr>
            <w:tcW w:w="1180" w:type="dxa"/>
            <w:vAlign w:val="bottom"/>
            <w:tcBorders>
              <w:bottom w:val="single" w:sz="8" w:color="B6B6B6"/>
              <w:right w:val="single" w:sz="8" w:color="B6B6B6"/>
            </w:tcBorders>
          </w:tcPr>
          <w:p>
            <w:pPr>
              <w:spacing w:after="0"/>
              <w:rPr>
                <w:sz w:val="20"/>
                <w:szCs w:val="20"/>
                <w:color w:val="auto"/>
              </w:rPr>
            </w:pPr>
          </w:p>
        </w:tc>
        <w:tc>
          <w:tcPr>
            <w:tcW w:w="640" w:type="dxa"/>
            <w:vAlign w:val="bottom"/>
            <w:tcBorders>
              <w:bottom w:val="single" w:sz="8" w:color="B6B6B6"/>
            </w:tcBorders>
          </w:tcPr>
          <w:p>
            <w:pPr>
              <w:spacing w:after="0"/>
              <w:rPr>
                <w:sz w:val="20"/>
                <w:szCs w:val="20"/>
                <w:color w:val="auto"/>
              </w:rPr>
            </w:pPr>
          </w:p>
        </w:tc>
        <w:tc>
          <w:tcPr>
            <w:tcW w:w="1900" w:type="dxa"/>
            <w:vAlign w:val="bottom"/>
            <w:tcBorders>
              <w:bottom w:val="single" w:sz="8" w:color="B6B6B6"/>
            </w:tcBorders>
          </w:tcPr>
          <w:p>
            <w:pPr>
              <w:spacing w:after="0"/>
              <w:rPr>
                <w:sz w:val="20"/>
                <w:szCs w:val="20"/>
                <w:color w:val="auto"/>
              </w:rPr>
            </w:pPr>
          </w:p>
        </w:tc>
        <w:tc>
          <w:tcPr>
            <w:tcW w:w="100" w:type="dxa"/>
            <w:vAlign w:val="bottom"/>
            <w:tcBorders>
              <w:bottom w:val="single" w:sz="8" w:color="B6B6B6"/>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460" w:type="dxa"/>
            <w:vAlign w:val="bottom"/>
            <w:tcBorders>
              <w:right w:val="single" w:sz="8" w:color="B6B6B6"/>
            </w:tcBorders>
          </w:tcPr>
          <w:p>
            <w:pPr>
              <w:spacing w:after="0"/>
              <w:rPr>
                <w:sz w:val="14"/>
                <w:szCs w:val="14"/>
                <w:color w:val="auto"/>
              </w:rPr>
            </w:pPr>
          </w:p>
        </w:tc>
        <w:tc>
          <w:tcPr>
            <w:tcW w:w="620" w:type="dxa"/>
            <w:vAlign w:val="bottom"/>
          </w:tcPr>
          <w:p>
            <w:pPr>
              <w:spacing w:after="0"/>
              <w:rPr>
                <w:sz w:val="14"/>
                <w:szCs w:val="14"/>
                <w:color w:val="auto"/>
              </w:rPr>
            </w:pPr>
          </w:p>
        </w:tc>
        <w:tc>
          <w:tcPr>
            <w:tcW w:w="2000" w:type="dxa"/>
            <w:vAlign w:val="bottom"/>
            <w:tcBorders>
              <w:right w:val="single" w:sz="8" w:color="B6B6B6"/>
            </w:tcBorders>
          </w:tcPr>
          <w:p>
            <w:pPr>
              <w:spacing w:after="0"/>
              <w:rPr>
                <w:sz w:val="14"/>
                <w:szCs w:val="14"/>
                <w:color w:val="auto"/>
              </w:rPr>
            </w:pPr>
          </w:p>
        </w:tc>
        <w:tc>
          <w:tcPr>
            <w:tcW w:w="2820" w:type="dxa"/>
            <w:vAlign w:val="bottom"/>
            <w:tcBorders>
              <w:right w:val="single" w:sz="8" w:color="B6B6B6"/>
            </w:tcBorders>
            <w:gridSpan w:val="2"/>
          </w:tcPr>
          <w:p>
            <w:pPr>
              <w:ind w:left="20"/>
              <w:spacing w:after="0" w:line="170" w:lineRule="exact"/>
              <w:rPr>
                <w:sz w:val="20"/>
                <w:szCs w:val="20"/>
                <w:color w:val="auto"/>
              </w:rPr>
            </w:pPr>
            <w:r>
              <w:rPr>
                <w:rFonts w:ascii="Times New Roman" w:cs="Times New Roman" w:eastAsia="Times New Roman" w:hAnsi="Times New Roman"/>
                <w:sz w:val="18"/>
                <w:szCs w:val="18"/>
                <w:color w:val="auto"/>
              </w:rPr>
              <w:t>A component of a multi-agent</w:t>
            </w:r>
          </w:p>
        </w:tc>
        <w:tc>
          <w:tcPr>
            <w:tcW w:w="2800" w:type="dxa"/>
            <w:vAlign w:val="bottom"/>
            <w:tcBorders>
              <w:right w:val="single" w:sz="8" w:color="B6B6B6"/>
            </w:tcBorders>
            <w:gridSpan w:val="2"/>
          </w:tcPr>
          <w:p>
            <w:pPr>
              <w:spacing w:after="0" w:line="170" w:lineRule="exact"/>
              <w:rPr>
                <w:sz w:val="20"/>
                <w:szCs w:val="20"/>
                <w:color w:val="auto"/>
              </w:rPr>
            </w:pPr>
            <w:r>
              <w:rPr>
                <w:rFonts w:ascii="Times New Roman" w:cs="Times New Roman" w:eastAsia="Times New Roman" w:hAnsi="Times New Roman"/>
                <w:sz w:val="18"/>
                <w:szCs w:val="18"/>
                <w:color w:val="auto"/>
              </w:rPr>
              <w:t>September 2022</w:t>
            </w:r>
          </w:p>
        </w:tc>
        <w:tc>
          <w:tcPr>
            <w:tcW w:w="2640" w:type="dxa"/>
            <w:vAlign w:val="bottom"/>
            <w:gridSpan w:val="3"/>
          </w:tcPr>
          <w:p>
            <w:pPr>
              <w:ind w:left="20"/>
              <w:spacing w:after="0" w:line="170" w:lineRule="exact"/>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181"/>
        </w:trPr>
        <w:tc>
          <w:tcPr>
            <w:tcW w:w="460" w:type="dxa"/>
            <w:vAlign w:val="bottom"/>
            <w:tcBorders>
              <w:right w:val="single" w:sz="8" w:color="B6B6B6"/>
            </w:tcBorders>
          </w:tcPr>
          <w:p>
            <w:pPr>
              <w:spacing w:after="0"/>
              <w:rPr>
                <w:sz w:val="15"/>
                <w:szCs w:val="15"/>
                <w:color w:val="auto"/>
              </w:rPr>
            </w:pPr>
          </w:p>
        </w:tc>
        <w:tc>
          <w:tcPr>
            <w:tcW w:w="620" w:type="dxa"/>
            <w:vAlign w:val="bottom"/>
          </w:tcPr>
          <w:p>
            <w:pPr>
              <w:spacing w:after="0"/>
              <w:rPr>
                <w:sz w:val="15"/>
                <w:szCs w:val="15"/>
                <w:color w:val="auto"/>
              </w:rPr>
            </w:pPr>
          </w:p>
        </w:tc>
        <w:tc>
          <w:tcPr>
            <w:tcW w:w="200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chemotherapeutic regimen for the</w:t>
            </w:r>
          </w:p>
        </w:tc>
        <w:tc>
          <w:tcPr>
            <w:tcW w:w="1620" w:type="dxa"/>
            <w:vAlign w:val="bottom"/>
          </w:tcPr>
          <w:p>
            <w:pPr>
              <w:spacing w:after="0"/>
              <w:rPr>
                <w:sz w:val="15"/>
                <w:szCs w:val="15"/>
                <w:color w:val="auto"/>
              </w:rPr>
            </w:pPr>
          </w:p>
        </w:tc>
        <w:tc>
          <w:tcPr>
            <w:tcW w:w="1180" w:type="dxa"/>
            <w:vAlign w:val="bottom"/>
            <w:tcBorders>
              <w:right w:val="single" w:sz="8" w:color="B6B6B6"/>
            </w:tcBorders>
          </w:tcPr>
          <w:p>
            <w:pPr>
              <w:spacing w:after="0"/>
              <w:rPr>
                <w:sz w:val="15"/>
                <w:szCs w:val="15"/>
                <w:color w:val="auto"/>
              </w:rPr>
            </w:pPr>
          </w:p>
        </w:tc>
        <w:tc>
          <w:tcPr>
            <w:tcW w:w="6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60" w:type="dxa"/>
            <w:vAlign w:val="bottom"/>
            <w:tcBorders>
              <w:right w:val="single" w:sz="8" w:color="B6B6B6"/>
            </w:tcBorders>
          </w:tcPr>
          <w:p>
            <w:pPr>
              <w:spacing w:after="0"/>
              <w:rPr>
                <w:sz w:val="15"/>
                <w:szCs w:val="15"/>
                <w:color w:val="auto"/>
              </w:rPr>
            </w:pPr>
          </w:p>
        </w:tc>
        <w:tc>
          <w:tcPr>
            <w:tcW w:w="2620" w:type="dxa"/>
            <w:vAlign w:val="bottom"/>
            <w:tcBorders>
              <w:right w:val="single" w:sz="8" w:color="B6B6B6"/>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Rylaze® (crisantaspase</w:t>
            </w:r>
          </w:p>
        </w:tc>
        <w:tc>
          <w:tcPr>
            <w:tcW w:w="2820" w:type="dxa"/>
            <w:vAlign w:val="bottom"/>
            <w:tcBorders>
              <w:right w:val="single" w:sz="8" w:color="B6B6B6"/>
            </w:tcBorders>
            <w:gridSpan w:val="2"/>
          </w:tcPr>
          <w:p>
            <w:pPr>
              <w:ind w:left="20"/>
              <w:spacing w:after="0" w:line="178" w:lineRule="exact"/>
              <w:rPr>
                <w:sz w:val="20"/>
                <w:szCs w:val="20"/>
                <w:color w:val="auto"/>
              </w:rPr>
            </w:pPr>
            <w:r>
              <w:rPr>
                <w:rFonts w:ascii="Times New Roman" w:cs="Times New Roman" w:eastAsia="Times New Roman" w:hAnsi="Times New Roman"/>
                <w:sz w:val="18"/>
                <w:szCs w:val="18"/>
                <w:color w:val="auto"/>
              </w:rPr>
              <w:t>treatment of ALL and LBL, in adults</w:t>
            </w:r>
          </w:p>
        </w:tc>
        <w:tc>
          <w:tcPr>
            <w:tcW w:w="1620" w:type="dxa"/>
            <w:vAlign w:val="bottom"/>
          </w:tcPr>
          <w:p>
            <w:pPr>
              <w:spacing w:after="0"/>
              <w:rPr>
                <w:sz w:val="15"/>
                <w:szCs w:val="15"/>
                <w:color w:val="auto"/>
              </w:rPr>
            </w:pPr>
          </w:p>
        </w:tc>
        <w:tc>
          <w:tcPr>
            <w:tcW w:w="1180" w:type="dxa"/>
            <w:vAlign w:val="bottom"/>
            <w:tcBorders>
              <w:right w:val="single" w:sz="8" w:color="B6B6B6"/>
            </w:tcBorders>
          </w:tcPr>
          <w:p>
            <w:pPr>
              <w:spacing w:after="0"/>
              <w:rPr>
                <w:sz w:val="15"/>
                <w:szCs w:val="15"/>
                <w:color w:val="auto"/>
              </w:rPr>
            </w:pPr>
          </w:p>
        </w:tc>
        <w:tc>
          <w:tcPr>
            <w:tcW w:w="6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460" w:type="dxa"/>
            <w:vAlign w:val="bottom"/>
            <w:tcBorders>
              <w:right w:val="single" w:sz="8" w:color="B6B6B6"/>
            </w:tcBorders>
          </w:tcPr>
          <w:p>
            <w:pPr>
              <w:spacing w:after="0"/>
              <w:rPr>
                <w:sz w:val="6"/>
                <w:szCs w:val="6"/>
                <w:color w:val="auto"/>
              </w:rPr>
            </w:pPr>
          </w:p>
        </w:tc>
        <w:tc>
          <w:tcPr>
            <w:tcW w:w="2620" w:type="dxa"/>
            <w:vAlign w:val="bottom"/>
            <w:tcBorders>
              <w:right w:val="single" w:sz="8" w:color="B6B6B6"/>
            </w:tcBorders>
            <w:gridSpan w:val="2"/>
            <w:vMerge w:val="continue"/>
          </w:tcPr>
          <w:p>
            <w:pPr>
              <w:spacing w:after="0"/>
              <w:rPr>
                <w:sz w:val="6"/>
                <w:szCs w:val="6"/>
                <w:color w:val="auto"/>
              </w:rPr>
            </w:pPr>
          </w:p>
        </w:tc>
        <w:tc>
          <w:tcPr>
            <w:tcW w:w="2820" w:type="dxa"/>
            <w:vAlign w:val="bottom"/>
            <w:tcBorders>
              <w:right w:val="single" w:sz="8" w:color="B6B6B6"/>
            </w:tcBorders>
            <w:gridSpan w:val="2"/>
            <w:vMerge w:val="restart"/>
          </w:tcPr>
          <w:p>
            <w:pPr>
              <w:ind w:left="20"/>
              <w:spacing w:after="0" w:line="173" w:lineRule="exact"/>
              <w:rPr>
                <w:sz w:val="20"/>
                <w:szCs w:val="20"/>
                <w:color w:val="auto"/>
              </w:rPr>
            </w:pPr>
            <w:r>
              <w:rPr>
                <w:rFonts w:ascii="Times New Roman" w:cs="Times New Roman" w:eastAsia="Times New Roman" w:hAnsi="Times New Roman"/>
                <w:sz w:val="18"/>
                <w:szCs w:val="18"/>
                <w:color w:val="auto"/>
              </w:rPr>
              <w:t>and pediatric patients 1 year or older</w:t>
            </w:r>
          </w:p>
        </w:tc>
        <w:tc>
          <w:tcPr>
            <w:tcW w:w="1620" w:type="dxa"/>
            <w:vAlign w:val="bottom"/>
          </w:tcPr>
          <w:p>
            <w:pPr>
              <w:spacing w:after="0"/>
              <w:rPr>
                <w:sz w:val="6"/>
                <w:szCs w:val="6"/>
                <w:color w:val="auto"/>
              </w:rPr>
            </w:pPr>
          </w:p>
        </w:tc>
        <w:tc>
          <w:tcPr>
            <w:tcW w:w="1180" w:type="dxa"/>
            <w:vAlign w:val="bottom"/>
            <w:tcBorders>
              <w:right w:val="single" w:sz="8" w:color="B6B6B6"/>
            </w:tcBorders>
          </w:tcPr>
          <w:p>
            <w:pPr>
              <w:spacing w:after="0"/>
              <w:rPr>
                <w:sz w:val="6"/>
                <w:szCs w:val="6"/>
                <w:color w:val="auto"/>
              </w:rPr>
            </w:pPr>
          </w:p>
        </w:tc>
        <w:tc>
          <w:tcPr>
            <w:tcW w:w="64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460" w:type="dxa"/>
            <w:vAlign w:val="bottom"/>
            <w:tcBorders>
              <w:right w:val="single" w:sz="8" w:color="B6B6B6"/>
            </w:tcBorders>
          </w:tcPr>
          <w:p>
            <w:pPr>
              <w:spacing w:after="0"/>
              <w:rPr>
                <w:sz w:val="8"/>
                <w:szCs w:val="8"/>
                <w:color w:val="auto"/>
              </w:rPr>
            </w:pPr>
          </w:p>
        </w:tc>
        <w:tc>
          <w:tcPr>
            <w:tcW w:w="2620" w:type="dxa"/>
            <w:vAlign w:val="bottom"/>
            <w:tcBorders>
              <w:right w:val="single" w:sz="8" w:color="B6B6B6"/>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recombinant)</w:t>
            </w:r>
          </w:p>
        </w:tc>
        <w:tc>
          <w:tcPr>
            <w:tcW w:w="2820" w:type="dxa"/>
            <w:vAlign w:val="bottom"/>
            <w:tcBorders>
              <w:right w:val="single" w:sz="8" w:color="B6B6B6"/>
            </w:tcBorders>
            <w:gridSpan w:val="2"/>
            <w:vMerge w:val="continue"/>
          </w:tcPr>
          <w:p>
            <w:pPr>
              <w:spacing w:after="0"/>
              <w:rPr>
                <w:sz w:val="8"/>
                <w:szCs w:val="8"/>
                <w:color w:val="auto"/>
              </w:rPr>
            </w:pPr>
          </w:p>
        </w:tc>
        <w:tc>
          <w:tcPr>
            <w:tcW w:w="1620" w:type="dxa"/>
            <w:vAlign w:val="bottom"/>
          </w:tcPr>
          <w:p>
            <w:pPr>
              <w:spacing w:after="0"/>
              <w:rPr>
                <w:sz w:val="8"/>
                <w:szCs w:val="8"/>
                <w:color w:val="auto"/>
              </w:rPr>
            </w:pPr>
          </w:p>
        </w:tc>
        <w:tc>
          <w:tcPr>
            <w:tcW w:w="1180" w:type="dxa"/>
            <w:vAlign w:val="bottom"/>
            <w:tcBorders>
              <w:right w:val="single" w:sz="8" w:color="B6B6B6"/>
            </w:tcBorders>
          </w:tcPr>
          <w:p>
            <w:pPr>
              <w:spacing w:after="0"/>
              <w:rPr>
                <w:sz w:val="8"/>
                <w:szCs w:val="8"/>
                <w:color w:val="auto"/>
              </w:rPr>
            </w:pPr>
          </w:p>
        </w:tc>
        <w:tc>
          <w:tcPr>
            <w:tcW w:w="6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460" w:type="dxa"/>
            <w:vAlign w:val="bottom"/>
            <w:tcBorders>
              <w:right w:val="single" w:sz="8" w:color="B6B6B6"/>
            </w:tcBorders>
          </w:tcPr>
          <w:p>
            <w:pPr>
              <w:spacing w:after="0"/>
              <w:rPr>
                <w:sz w:val="12"/>
                <w:szCs w:val="12"/>
                <w:color w:val="auto"/>
              </w:rPr>
            </w:pPr>
          </w:p>
        </w:tc>
        <w:tc>
          <w:tcPr>
            <w:tcW w:w="2620" w:type="dxa"/>
            <w:vAlign w:val="bottom"/>
            <w:tcBorders>
              <w:right w:val="single" w:sz="8" w:color="B6B6B6"/>
            </w:tcBorders>
            <w:gridSpan w:val="2"/>
            <w:vMerge w:val="continue"/>
          </w:tcPr>
          <w:p>
            <w:pPr>
              <w:spacing w:after="0"/>
              <w:rPr>
                <w:sz w:val="12"/>
                <w:szCs w:val="12"/>
                <w:color w:val="auto"/>
              </w:rPr>
            </w:pPr>
          </w:p>
        </w:tc>
        <w:tc>
          <w:tcPr>
            <w:tcW w:w="2820" w:type="dxa"/>
            <w:vAlign w:val="bottom"/>
            <w:tcBorders>
              <w:right w:val="single" w:sz="8" w:color="B6B6B6"/>
            </w:tcBorders>
            <w:gridSpan w:val="2"/>
            <w:vMerge w:val="restart"/>
          </w:tcPr>
          <w:p>
            <w:pPr>
              <w:ind w:left="20"/>
              <w:spacing w:after="0" w:line="182" w:lineRule="exact"/>
              <w:rPr>
                <w:sz w:val="20"/>
                <w:szCs w:val="20"/>
                <w:color w:val="auto"/>
              </w:rPr>
            </w:pPr>
            <w:r>
              <w:rPr>
                <w:rFonts w:ascii="Times New Roman" w:cs="Times New Roman" w:eastAsia="Times New Roman" w:hAnsi="Times New Roman"/>
                <w:sz w:val="18"/>
                <w:szCs w:val="18"/>
                <w:color w:val="auto"/>
              </w:rPr>
              <w:t>who have developed hypersensitivity</w:t>
            </w:r>
          </w:p>
        </w:tc>
        <w:tc>
          <w:tcPr>
            <w:tcW w:w="1620" w:type="dxa"/>
            <w:vAlign w:val="bottom"/>
          </w:tcPr>
          <w:p>
            <w:pPr>
              <w:spacing w:after="0"/>
              <w:rPr>
                <w:sz w:val="12"/>
                <w:szCs w:val="12"/>
                <w:color w:val="auto"/>
              </w:rPr>
            </w:pPr>
          </w:p>
        </w:tc>
        <w:tc>
          <w:tcPr>
            <w:tcW w:w="1180" w:type="dxa"/>
            <w:vAlign w:val="bottom"/>
            <w:tcBorders>
              <w:right w:val="single" w:sz="8" w:color="B6B6B6"/>
            </w:tcBorders>
          </w:tcPr>
          <w:p>
            <w:pPr>
              <w:spacing w:after="0"/>
              <w:rPr>
                <w:sz w:val="12"/>
                <w:szCs w:val="12"/>
                <w:color w:val="auto"/>
              </w:rPr>
            </w:pPr>
          </w:p>
        </w:tc>
        <w:tc>
          <w:tcPr>
            <w:tcW w:w="6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460" w:type="dxa"/>
            <w:vAlign w:val="bottom"/>
            <w:tcBorders>
              <w:right w:val="single" w:sz="8" w:color="B6B6B6"/>
            </w:tcBorders>
          </w:tcPr>
          <w:p>
            <w:pPr>
              <w:spacing w:after="0"/>
              <w:rPr>
                <w:sz w:val="3"/>
                <w:szCs w:val="3"/>
                <w:color w:val="auto"/>
              </w:rPr>
            </w:pPr>
          </w:p>
        </w:tc>
        <w:tc>
          <w:tcPr>
            <w:tcW w:w="620" w:type="dxa"/>
            <w:vAlign w:val="bottom"/>
          </w:tcPr>
          <w:p>
            <w:pPr>
              <w:spacing w:after="0"/>
              <w:rPr>
                <w:sz w:val="3"/>
                <w:szCs w:val="3"/>
                <w:color w:val="auto"/>
              </w:rPr>
            </w:pPr>
          </w:p>
        </w:tc>
        <w:tc>
          <w:tcPr>
            <w:tcW w:w="2000" w:type="dxa"/>
            <w:vAlign w:val="bottom"/>
            <w:tcBorders>
              <w:right w:val="single" w:sz="8" w:color="B6B6B6"/>
            </w:tcBorders>
          </w:tcPr>
          <w:p>
            <w:pPr>
              <w:spacing w:after="0"/>
              <w:rPr>
                <w:sz w:val="3"/>
                <w:szCs w:val="3"/>
                <w:color w:val="auto"/>
              </w:rPr>
            </w:pPr>
          </w:p>
        </w:tc>
        <w:tc>
          <w:tcPr>
            <w:tcW w:w="2820" w:type="dxa"/>
            <w:vAlign w:val="bottom"/>
            <w:tcBorders>
              <w:right w:val="single" w:sz="8" w:color="B6B6B6"/>
            </w:tcBorders>
            <w:gridSpan w:val="2"/>
            <w:vMerge w:val="continue"/>
          </w:tcPr>
          <w:p>
            <w:pPr>
              <w:spacing w:after="0"/>
              <w:rPr>
                <w:sz w:val="3"/>
                <w:szCs w:val="3"/>
                <w:color w:val="auto"/>
              </w:rPr>
            </w:pPr>
          </w:p>
        </w:tc>
        <w:tc>
          <w:tcPr>
            <w:tcW w:w="1620" w:type="dxa"/>
            <w:vAlign w:val="bottom"/>
          </w:tcPr>
          <w:p>
            <w:pPr>
              <w:spacing w:after="0"/>
              <w:rPr>
                <w:sz w:val="3"/>
                <w:szCs w:val="3"/>
                <w:color w:val="auto"/>
              </w:rPr>
            </w:pPr>
          </w:p>
        </w:tc>
        <w:tc>
          <w:tcPr>
            <w:tcW w:w="1180" w:type="dxa"/>
            <w:vAlign w:val="bottom"/>
            <w:tcBorders>
              <w:right w:val="single" w:sz="8" w:color="B6B6B6"/>
            </w:tcBorders>
          </w:tcPr>
          <w:p>
            <w:pPr>
              <w:spacing w:after="0"/>
              <w:rPr>
                <w:sz w:val="3"/>
                <w:szCs w:val="3"/>
                <w:color w:val="auto"/>
              </w:rPr>
            </w:pPr>
          </w:p>
        </w:tc>
        <w:tc>
          <w:tcPr>
            <w:tcW w:w="6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460" w:type="dxa"/>
            <w:vAlign w:val="bottom"/>
            <w:tcBorders>
              <w:right w:val="single" w:sz="8" w:color="B6B6B6"/>
            </w:tcBorders>
          </w:tcPr>
          <w:p>
            <w:pPr>
              <w:spacing w:after="0"/>
              <w:rPr>
                <w:sz w:val="15"/>
                <w:szCs w:val="15"/>
                <w:color w:val="auto"/>
              </w:rPr>
            </w:pPr>
          </w:p>
        </w:tc>
        <w:tc>
          <w:tcPr>
            <w:tcW w:w="620" w:type="dxa"/>
            <w:vAlign w:val="bottom"/>
          </w:tcPr>
          <w:p>
            <w:pPr>
              <w:spacing w:after="0"/>
              <w:rPr>
                <w:sz w:val="15"/>
                <w:szCs w:val="15"/>
                <w:color w:val="auto"/>
              </w:rPr>
            </w:pPr>
          </w:p>
        </w:tc>
        <w:tc>
          <w:tcPr>
            <w:tcW w:w="2000" w:type="dxa"/>
            <w:vAlign w:val="bottom"/>
            <w:tcBorders>
              <w:right w:val="single" w:sz="8" w:color="B6B6B6"/>
            </w:tcBorders>
          </w:tcPr>
          <w:p>
            <w:pPr>
              <w:spacing w:after="0"/>
              <w:rPr>
                <w:sz w:val="15"/>
                <w:szCs w:val="15"/>
                <w:color w:val="auto"/>
              </w:rPr>
            </w:pPr>
          </w:p>
        </w:tc>
        <w:tc>
          <w:tcPr>
            <w:tcW w:w="2820" w:type="dxa"/>
            <w:vAlign w:val="bottom"/>
            <w:tcBorders>
              <w:right w:val="single" w:sz="8" w:color="B6B6B6"/>
            </w:tcBorders>
            <w:gridSpan w:val="2"/>
          </w:tcPr>
          <w:p>
            <w:pPr>
              <w:ind w:left="20"/>
              <w:spacing w:after="0" w:line="178" w:lineRule="exact"/>
              <w:rPr>
                <w:sz w:val="20"/>
                <w:szCs w:val="20"/>
                <w:color w:val="auto"/>
              </w:rPr>
            </w:pPr>
            <w:r>
              <w:rPr>
                <w:rFonts w:ascii="Times New Roman" w:cs="Times New Roman" w:eastAsia="Times New Roman" w:hAnsi="Times New Roman"/>
                <w:sz w:val="18"/>
                <w:szCs w:val="18"/>
                <w:color w:val="auto"/>
              </w:rPr>
              <w:t>to</w:t>
            </w:r>
          </w:p>
        </w:tc>
        <w:tc>
          <w:tcPr>
            <w:tcW w:w="1620" w:type="dxa"/>
            <w:vAlign w:val="bottom"/>
          </w:tcPr>
          <w:p>
            <w:pPr>
              <w:spacing w:after="0"/>
              <w:rPr>
                <w:sz w:val="15"/>
                <w:szCs w:val="15"/>
                <w:color w:val="auto"/>
              </w:rPr>
            </w:pPr>
          </w:p>
        </w:tc>
        <w:tc>
          <w:tcPr>
            <w:tcW w:w="1180" w:type="dxa"/>
            <w:vAlign w:val="bottom"/>
            <w:tcBorders>
              <w:right w:val="single" w:sz="8" w:color="B6B6B6"/>
            </w:tcBorders>
          </w:tcPr>
          <w:p>
            <w:pPr>
              <w:spacing w:after="0"/>
              <w:rPr>
                <w:sz w:val="15"/>
                <w:szCs w:val="15"/>
                <w:color w:val="auto"/>
              </w:rPr>
            </w:pPr>
          </w:p>
        </w:tc>
        <w:tc>
          <w:tcPr>
            <w:tcW w:w="6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60" w:type="dxa"/>
            <w:vAlign w:val="bottom"/>
            <w:tcBorders>
              <w:right w:val="single" w:sz="8" w:color="B6B6B6"/>
            </w:tcBorders>
          </w:tcPr>
          <w:p>
            <w:pPr>
              <w:spacing w:after="0"/>
              <w:rPr>
                <w:sz w:val="19"/>
                <w:szCs w:val="19"/>
                <w:color w:val="auto"/>
              </w:rPr>
            </w:pPr>
          </w:p>
        </w:tc>
        <w:tc>
          <w:tcPr>
            <w:tcW w:w="620" w:type="dxa"/>
            <w:vAlign w:val="bottom"/>
            <w:tcBorders>
              <w:bottom w:val="single" w:sz="8" w:color="929292"/>
            </w:tcBorders>
          </w:tcPr>
          <w:p>
            <w:pPr>
              <w:spacing w:after="0"/>
              <w:rPr>
                <w:sz w:val="19"/>
                <w:szCs w:val="19"/>
                <w:color w:val="auto"/>
              </w:rPr>
            </w:pPr>
          </w:p>
        </w:tc>
        <w:tc>
          <w:tcPr>
            <w:tcW w:w="2000" w:type="dxa"/>
            <w:vAlign w:val="bottom"/>
            <w:tcBorders>
              <w:bottom w:val="single" w:sz="8" w:color="929292"/>
              <w:right w:val="single" w:sz="8" w:color="B6B6B6"/>
            </w:tcBorders>
          </w:tcPr>
          <w:p>
            <w:pPr>
              <w:spacing w:after="0"/>
              <w:rPr>
                <w:sz w:val="19"/>
                <w:szCs w:val="19"/>
                <w:color w:val="auto"/>
              </w:rPr>
            </w:pPr>
          </w:p>
        </w:tc>
        <w:tc>
          <w:tcPr>
            <w:tcW w:w="2820" w:type="dxa"/>
            <w:vAlign w:val="bottom"/>
            <w:tcBorders>
              <w:bottom w:val="single" w:sz="8" w:color="929292"/>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E. coli-derived asparaginase.</w:t>
            </w:r>
          </w:p>
        </w:tc>
        <w:tc>
          <w:tcPr>
            <w:tcW w:w="1620" w:type="dxa"/>
            <w:vAlign w:val="bottom"/>
            <w:tcBorders>
              <w:bottom w:val="single" w:sz="8" w:color="929292"/>
            </w:tcBorders>
          </w:tcPr>
          <w:p>
            <w:pPr>
              <w:spacing w:after="0"/>
              <w:rPr>
                <w:sz w:val="19"/>
                <w:szCs w:val="19"/>
                <w:color w:val="auto"/>
              </w:rPr>
            </w:pPr>
          </w:p>
        </w:tc>
        <w:tc>
          <w:tcPr>
            <w:tcW w:w="1180" w:type="dxa"/>
            <w:vAlign w:val="bottom"/>
            <w:tcBorders>
              <w:bottom w:val="single" w:sz="8" w:color="929292"/>
              <w:right w:val="single" w:sz="8" w:color="B6B6B6"/>
            </w:tcBorders>
          </w:tcPr>
          <w:p>
            <w:pPr>
              <w:spacing w:after="0"/>
              <w:rPr>
                <w:sz w:val="19"/>
                <w:szCs w:val="19"/>
                <w:color w:val="auto"/>
              </w:rPr>
            </w:pPr>
          </w:p>
        </w:tc>
        <w:tc>
          <w:tcPr>
            <w:tcW w:w="640" w:type="dxa"/>
            <w:vAlign w:val="bottom"/>
            <w:tcBorders>
              <w:bottom w:val="single" w:sz="8" w:color="929292"/>
            </w:tcBorders>
          </w:tcPr>
          <w:p>
            <w:pPr>
              <w:spacing w:after="0"/>
              <w:rPr>
                <w:sz w:val="19"/>
                <w:szCs w:val="19"/>
                <w:color w:val="auto"/>
              </w:rPr>
            </w:pPr>
          </w:p>
        </w:tc>
        <w:tc>
          <w:tcPr>
            <w:tcW w:w="1900" w:type="dxa"/>
            <w:vAlign w:val="bottom"/>
            <w:tcBorders>
              <w:bottom w:val="single" w:sz="8" w:color="929292"/>
            </w:tcBorders>
          </w:tcPr>
          <w:p>
            <w:pPr>
              <w:spacing w:after="0"/>
              <w:rPr>
                <w:sz w:val="19"/>
                <w:szCs w:val="19"/>
                <w:color w:val="auto"/>
              </w:rPr>
            </w:pPr>
          </w:p>
        </w:tc>
        <w:tc>
          <w:tcPr>
            <w:tcW w:w="100" w:type="dxa"/>
            <w:vAlign w:val="bottom"/>
            <w:tcBorders>
              <w:bottom w:val="single" w:sz="8" w:color="929292"/>
            </w:tcBorders>
          </w:tcPr>
          <w:p>
            <w:pPr>
              <w:spacing w:after="0"/>
              <w:rPr>
                <w:sz w:val="19"/>
                <w:szCs w:val="19"/>
                <w:color w:val="auto"/>
              </w:rPr>
            </w:pPr>
          </w:p>
        </w:tc>
        <w:tc>
          <w:tcPr>
            <w:tcW w:w="0" w:type="dxa"/>
            <w:vAlign w:val="bottom"/>
          </w:tcPr>
          <w:p>
            <w:pPr>
              <w:spacing w:after="0"/>
              <w:rPr>
                <w:sz w:val="1"/>
                <w:szCs w:val="1"/>
                <w:color w:val="auto"/>
              </w:rPr>
            </w:pPr>
          </w:p>
        </w:tc>
      </w:tr>
      <w:tr>
        <w:trPr>
          <w:trHeight w:val="846"/>
        </w:trPr>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820" w:type="dxa"/>
            <w:vAlign w:val="bottom"/>
            <w:gridSpan w:val="2"/>
          </w:tcPr>
          <w:p>
            <w:pPr>
              <w:ind w:left="2460"/>
              <w:spacing w:after="0"/>
              <w:rPr>
                <w:sz w:val="20"/>
                <w:szCs w:val="20"/>
                <w:color w:val="auto"/>
              </w:rPr>
            </w:pPr>
            <w:r>
              <w:rPr>
                <w:rFonts w:ascii="Times New Roman" w:cs="Times New Roman" w:eastAsia="Times New Roman" w:hAnsi="Times New Roman"/>
                <w:sz w:val="18"/>
                <w:szCs w:val="18"/>
                <w:color w:val="auto"/>
              </w:rPr>
              <w:t>73</w:t>
            </w:r>
          </w:p>
        </w:tc>
        <w:tc>
          <w:tcPr>
            <w:tcW w:w="1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6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0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96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450" w:type="dxa"/>
        <w:tblCellMar>
          <w:top w:w="0" w:type="dxa"/>
          <w:left w:w="0" w:type="dxa"/>
          <w:bottom w:w="0" w:type="dxa"/>
          <w:right w:w="0" w:type="dxa"/>
        </w:tblCellMar>
      </w:tblPr>
      <w:tr>
        <w:trPr>
          <w:trHeight w:val="186"/>
        </w:trPr>
        <w:tc>
          <w:tcPr>
            <w:tcW w:w="2640" w:type="dxa"/>
            <w:vAlign w:val="bottom"/>
            <w:tcBorders>
              <w:top w:val="single" w:sz="8" w:color="929292"/>
              <w:left w:val="single" w:sz="8" w:color="B6B6B6"/>
              <w:right w:val="single" w:sz="8" w:color="B6B6B6"/>
            </w:tcBorders>
          </w:tcPr>
          <w:p>
            <w:pPr>
              <w:spacing w:after="0"/>
              <w:rPr>
                <w:sz w:val="16"/>
                <w:szCs w:val="16"/>
                <w:color w:val="auto"/>
              </w:rPr>
            </w:pPr>
          </w:p>
        </w:tc>
        <w:tc>
          <w:tcPr>
            <w:tcW w:w="2820" w:type="dxa"/>
            <w:vAlign w:val="bottom"/>
            <w:tcBorders>
              <w:top w:val="single" w:sz="8" w:color="929292"/>
              <w:right w:val="single" w:sz="8" w:color="B6B6B6"/>
            </w:tcBorders>
          </w:tcPr>
          <w:p>
            <w:pPr>
              <w:ind w:left="20"/>
              <w:spacing w:after="0" w:line="187" w:lineRule="exact"/>
              <w:rPr>
                <w:sz w:val="20"/>
                <w:szCs w:val="20"/>
                <w:color w:val="auto"/>
              </w:rPr>
            </w:pPr>
            <w:r>
              <w:rPr>
                <w:rFonts w:ascii="Times New Roman" w:cs="Times New Roman" w:eastAsia="Times New Roman" w:hAnsi="Times New Roman"/>
                <w:sz w:val="18"/>
                <w:szCs w:val="18"/>
                <w:color w:val="auto"/>
              </w:rPr>
              <w:t>A component of a multi-agent</w:t>
            </w:r>
          </w:p>
        </w:tc>
        <w:tc>
          <w:tcPr>
            <w:tcW w:w="2800" w:type="dxa"/>
            <w:vAlign w:val="bottom"/>
            <w:tcBorders>
              <w:top w:val="single" w:sz="8" w:color="929292"/>
              <w:right w:val="single" w:sz="8" w:color="B6B6B6"/>
            </w:tcBorders>
          </w:tcPr>
          <w:p>
            <w:pPr>
              <w:spacing w:after="0" w:line="187" w:lineRule="exact"/>
              <w:rPr>
                <w:sz w:val="20"/>
                <w:szCs w:val="20"/>
                <w:color w:val="auto"/>
              </w:rPr>
            </w:pPr>
            <w:r>
              <w:rPr>
                <w:rFonts w:ascii="Times New Roman" w:cs="Times New Roman" w:eastAsia="Times New Roman" w:hAnsi="Times New Roman"/>
                <w:sz w:val="18"/>
                <w:szCs w:val="18"/>
                <w:color w:val="auto"/>
              </w:rPr>
              <w:t>September 2023</w:t>
            </w:r>
          </w:p>
        </w:tc>
        <w:tc>
          <w:tcPr>
            <w:tcW w:w="2640" w:type="dxa"/>
            <w:vAlign w:val="bottom"/>
            <w:tcBorders>
              <w:top w:val="single" w:sz="8" w:color="929292"/>
            </w:tcBorders>
          </w:tcPr>
          <w:p>
            <w:pPr>
              <w:ind w:left="20"/>
              <w:spacing w:after="0" w:line="187" w:lineRule="exact"/>
              <w:rPr>
                <w:sz w:val="20"/>
                <w:szCs w:val="20"/>
                <w:color w:val="auto"/>
              </w:rPr>
            </w:pPr>
            <w:r>
              <w:rPr>
                <w:rFonts w:ascii="Times New Roman" w:cs="Times New Roman" w:eastAsia="Times New Roman" w:hAnsi="Times New Roman"/>
                <w:sz w:val="18"/>
                <w:szCs w:val="18"/>
                <w:color w:val="auto"/>
              </w:rPr>
              <w:t>EU, Great Britain</w:t>
            </w:r>
          </w:p>
        </w:tc>
        <w:tc>
          <w:tcPr>
            <w:tcW w:w="0" w:type="dxa"/>
            <w:vAlign w:val="bottom"/>
          </w:tcPr>
          <w:p>
            <w:pPr>
              <w:spacing w:after="0"/>
              <w:rPr>
                <w:sz w:val="1"/>
                <w:szCs w:val="1"/>
                <w:color w:val="auto"/>
              </w:rPr>
            </w:pPr>
          </w:p>
        </w:tc>
      </w:tr>
      <w:tr>
        <w:trPr>
          <w:trHeight w:val="181"/>
        </w:trPr>
        <w:tc>
          <w:tcPr>
            <w:tcW w:w="2640" w:type="dxa"/>
            <w:vAlign w:val="bottom"/>
            <w:tcBorders>
              <w:left w:val="single" w:sz="8" w:color="B6B6B6"/>
              <w:right w:val="single" w:sz="8" w:color="B6B6B6"/>
            </w:tcBorders>
          </w:tcPr>
          <w:p>
            <w:pPr>
              <w:spacing w:after="0"/>
              <w:rPr>
                <w:sz w:val="15"/>
                <w:szCs w:val="15"/>
                <w:color w:val="auto"/>
              </w:rPr>
            </w:pPr>
          </w:p>
        </w:tc>
        <w:tc>
          <w:tcPr>
            <w:tcW w:w="2820" w:type="dxa"/>
            <w:vAlign w:val="bottom"/>
            <w:tcBorders>
              <w:right w:val="single" w:sz="8" w:color="B6B6B6"/>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chemotherapeutic regimen for the</w:t>
            </w:r>
          </w:p>
        </w:tc>
        <w:tc>
          <w:tcPr>
            <w:tcW w:w="2800" w:type="dxa"/>
            <w:vAlign w:val="bottom"/>
            <w:tcBorders>
              <w:right w:val="single" w:sz="8" w:color="B6B6B6"/>
            </w:tcBorders>
          </w:tcPr>
          <w:p>
            <w:pPr>
              <w:spacing w:after="0"/>
              <w:rPr>
                <w:sz w:val="15"/>
                <w:szCs w:val="15"/>
                <w:color w:val="auto"/>
              </w:rPr>
            </w:pPr>
          </w:p>
        </w:tc>
        <w:tc>
          <w:tcPr>
            <w:tcW w:w="2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640" w:type="dxa"/>
            <w:vAlign w:val="bottom"/>
            <w:tcBorders>
              <w:left w:val="single" w:sz="8" w:color="B6B6B6"/>
              <w:right w:val="single" w:sz="8" w:color="B6B6B6"/>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Enrylaze® (recombinant</w:t>
            </w:r>
          </w:p>
        </w:tc>
        <w:tc>
          <w:tcPr>
            <w:tcW w:w="2820" w:type="dxa"/>
            <w:vAlign w:val="bottom"/>
            <w:tcBorders>
              <w:right w:val="single" w:sz="8" w:color="B6B6B6"/>
            </w:tcBorders>
          </w:tcPr>
          <w:p>
            <w:pPr>
              <w:ind w:left="20"/>
              <w:spacing w:after="0" w:line="178" w:lineRule="exact"/>
              <w:rPr>
                <w:sz w:val="20"/>
                <w:szCs w:val="20"/>
                <w:color w:val="auto"/>
              </w:rPr>
            </w:pPr>
            <w:r>
              <w:rPr>
                <w:rFonts w:ascii="Times New Roman" w:cs="Times New Roman" w:eastAsia="Times New Roman" w:hAnsi="Times New Roman"/>
                <w:sz w:val="18"/>
                <w:szCs w:val="18"/>
                <w:color w:val="auto"/>
              </w:rPr>
              <w:t>treatment of ALL and LBL in adult</w:t>
            </w:r>
          </w:p>
        </w:tc>
        <w:tc>
          <w:tcPr>
            <w:tcW w:w="2800" w:type="dxa"/>
            <w:vAlign w:val="bottom"/>
            <w:tcBorders>
              <w:right w:val="single" w:sz="8" w:color="B6B6B6"/>
            </w:tcBorders>
          </w:tcPr>
          <w:p>
            <w:pPr>
              <w:spacing w:after="0"/>
              <w:rPr>
                <w:sz w:val="15"/>
                <w:szCs w:val="15"/>
                <w:color w:val="auto"/>
              </w:rPr>
            </w:pPr>
          </w:p>
        </w:tc>
        <w:tc>
          <w:tcPr>
            <w:tcW w:w="2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2640" w:type="dxa"/>
            <w:vAlign w:val="bottom"/>
            <w:tcBorders>
              <w:left w:val="single" w:sz="8" w:color="B6B6B6"/>
              <w:right w:val="single" w:sz="8" w:color="B6B6B6"/>
            </w:tcBorders>
            <w:vMerge w:val="continue"/>
          </w:tcPr>
          <w:p>
            <w:pPr>
              <w:spacing w:after="0"/>
              <w:rPr>
                <w:sz w:val="6"/>
                <w:szCs w:val="6"/>
                <w:color w:val="auto"/>
              </w:rPr>
            </w:pPr>
          </w:p>
        </w:tc>
        <w:tc>
          <w:tcPr>
            <w:tcW w:w="2820" w:type="dxa"/>
            <w:vAlign w:val="bottom"/>
            <w:tcBorders>
              <w:right w:val="single" w:sz="8" w:color="B6B6B6"/>
            </w:tcBorders>
            <w:vMerge w:val="restart"/>
          </w:tcPr>
          <w:p>
            <w:pPr>
              <w:ind w:left="20"/>
              <w:spacing w:after="0" w:line="173" w:lineRule="exact"/>
              <w:rPr>
                <w:sz w:val="20"/>
                <w:szCs w:val="20"/>
                <w:color w:val="auto"/>
              </w:rPr>
            </w:pPr>
            <w:r>
              <w:rPr>
                <w:rFonts w:ascii="Times New Roman" w:cs="Times New Roman" w:eastAsia="Times New Roman" w:hAnsi="Times New Roman"/>
                <w:sz w:val="18"/>
                <w:szCs w:val="18"/>
                <w:color w:val="auto"/>
              </w:rPr>
              <w:t>and pediatric patients (1 month and</w:t>
            </w:r>
          </w:p>
        </w:tc>
        <w:tc>
          <w:tcPr>
            <w:tcW w:w="2800" w:type="dxa"/>
            <w:vAlign w:val="bottom"/>
            <w:tcBorders>
              <w:right w:val="single" w:sz="8" w:color="B6B6B6"/>
            </w:tcBorders>
          </w:tcPr>
          <w:p>
            <w:pPr>
              <w:spacing w:after="0"/>
              <w:rPr>
                <w:sz w:val="6"/>
                <w:szCs w:val="6"/>
                <w:color w:val="auto"/>
              </w:rPr>
            </w:pPr>
          </w:p>
        </w:tc>
        <w:tc>
          <w:tcPr>
            <w:tcW w:w="2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640" w:type="dxa"/>
            <w:vAlign w:val="bottom"/>
            <w:tcBorders>
              <w:left w:val="single" w:sz="8" w:color="B6B6B6"/>
              <w:right w:val="single" w:sz="8" w:color="B6B6B6"/>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crisantaspase)</w:t>
            </w:r>
          </w:p>
        </w:tc>
        <w:tc>
          <w:tcPr>
            <w:tcW w:w="2820" w:type="dxa"/>
            <w:vAlign w:val="bottom"/>
            <w:tcBorders>
              <w:right w:val="single" w:sz="8" w:color="B6B6B6"/>
            </w:tcBorders>
            <w:vMerge w:val="continue"/>
          </w:tcPr>
          <w:p>
            <w:pPr>
              <w:spacing w:after="0"/>
              <w:rPr>
                <w:sz w:val="8"/>
                <w:szCs w:val="8"/>
                <w:color w:val="auto"/>
              </w:rPr>
            </w:pPr>
          </w:p>
        </w:tc>
        <w:tc>
          <w:tcPr>
            <w:tcW w:w="2800" w:type="dxa"/>
            <w:vAlign w:val="bottom"/>
            <w:tcBorders>
              <w:right w:val="single" w:sz="8" w:color="B6B6B6"/>
            </w:tcBorders>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2640" w:type="dxa"/>
            <w:vAlign w:val="bottom"/>
            <w:tcBorders>
              <w:left w:val="single" w:sz="8" w:color="B6B6B6"/>
              <w:right w:val="single" w:sz="8" w:color="B6B6B6"/>
            </w:tcBorders>
            <w:vMerge w:val="continue"/>
          </w:tcPr>
          <w:p>
            <w:pPr>
              <w:spacing w:after="0"/>
              <w:rPr>
                <w:sz w:val="12"/>
                <w:szCs w:val="12"/>
                <w:color w:val="auto"/>
              </w:rPr>
            </w:pPr>
          </w:p>
        </w:tc>
        <w:tc>
          <w:tcPr>
            <w:tcW w:w="2820" w:type="dxa"/>
            <w:vAlign w:val="bottom"/>
            <w:tcBorders>
              <w:right w:val="single" w:sz="8" w:color="B6B6B6"/>
            </w:tcBorders>
            <w:vMerge w:val="restart"/>
          </w:tcPr>
          <w:p>
            <w:pPr>
              <w:ind w:left="20"/>
              <w:spacing w:after="0" w:line="182" w:lineRule="exact"/>
              <w:rPr>
                <w:sz w:val="20"/>
                <w:szCs w:val="20"/>
                <w:color w:val="auto"/>
              </w:rPr>
            </w:pPr>
            <w:r>
              <w:rPr>
                <w:rFonts w:ascii="Times New Roman" w:cs="Times New Roman" w:eastAsia="Times New Roman" w:hAnsi="Times New Roman"/>
                <w:sz w:val="18"/>
                <w:szCs w:val="18"/>
                <w:color w:val="auto"/>
              </w:rPr>
              <w:t>older) who have developed</w:t>
            </w:r>
          </w:p>
        </w:tc>
        <w:tc>
          <w:tcPr>
            <w:tcW w:w="2800" w:type="dxa"/>
            <w:vAlign w:val="bottom"/>
            <w:tcBorders>
              <w:right w:val="single" w:sz="8" w:color="B6B6B6"/>
            </w:tcBorders>
          </w:tcPr>
          <w:p>
            <w:pPr>
              <w:spacing w:after="0"/>
              <w:rPr>
                <w:sz w:val="12"/>
                <w:szCs w:val="12"/>
                <w:color w:val="auto"/>
              </w:rPr>
            </w:pPr>
          </w:p>
        </w:tc>
        <w:tc>
          <w:tcPr>
            <w:tcW w:w="2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640" w:type="dxa"/>
            <w:vAlign w:val="bottom"/>
            <w:tcBorders>
              <w:left w:val="single" w:sz="8" w:color="B6B6B6"/>
              <w:right w:val="single" w:sz="8" w:color="B6B6B6"/>
            </w:tcBorders>
          </w:tcPr>
          <w:p>
            <w:pPr>
              <w:spacing w:after="0"/>
              <w:rPr>
                <w:sz w:val="3"/>
                <w:szCs w:val="3"/>
                <w:color w:val="auto"/>
              </w:rPr>
            </w:pPr>
          </w:p>
        </w:tc>
        <w:tc>
          <w:tcPr>
            <w:tcW w:w="2820" w:type="dxa"/>
            <w:vAlign w:val="bottom"/>
            <w:tcBorders>
              <w:right w:val="single" w:sz="8" w:color="B6B6B6"/>
            </w:tcBorders>
            <w:vMerge w:val="continue"/>
          </w:tcPr>
          <w:p>
            <w:pPr>
              <w:spacing w:after="0"/>
              <w:rPr>
                <w:sz w:val="3"/>
                <w:szCs w:val="3"/>
                <w:color w:val="auto"/>
              </w:rPr>
            </w:pPr>
          </w:p>
        </w:tc>
        <w:tc>
          <w:tcPr>
            <w:tcW w:w="2800" w:type="dxa"/>
            <w:vAlign w:val="bottom"/>
            <w:tcBorders>
              <w:right w:val="single" w:sz="8" w:color="B6B6B6"/>
            </w:tcBorders>
          </w:tcPr>
          <w:p>
            <w:pPr>
              <w:spacing w:after="0"/>
              <w:rPr>
                <w:sz w:val="3"/>
                <w:szCs w:val="3"/>
                <w:color w:val="auto"/>
              </w:rPr>
            </w:pPr>
          </w:p>
        </w:tc>
        <w:tc>
          <w:tcPr>
            <w:tcW w:w="2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640" w:type="dxa"/>
            <w:vAlign w:val="bottom"/>
            <w:tcBorders>
              <w:left w:val="single" w:sz="8" w:color="B6B6B6"/>
              <w:right w:val="single" w:sz="8" w:color="B6B6B6"/>
            </w:tcBorders>
          </w:tcPr>
          <w:p>
            <w:pPr>
              <w:spacing w:after="0"/>
              <w:rPr>
                <w:sz w:val="15"/>
                <w:szCs w:val="15"/>
                <w:color w:val="auto"/>
              </w:rPr>
            </w:pPr>
          </w:p>
        </w:tc>
        <w:tc>
          <w:tcPr>
            <w:tcW w:w="2820" w:type="dxa"/>
            <w:vAlign w:val="bottom"/>
            <w:tcBorders>
              <w:right w:val="single" w:sz="8" w:color="B6B6B6"/>
            </w:tcBorders>
          </w:tcPr>
          <w:p>
            <w:pPr>
              <w:ind w:left="20"/>
              <w:spacing w:after="0" w:line="178" w:lineRule="exact"/>
              <w:rPr>
                <w:sz w:val="20"/>
                <w:szCs w:val="20"/>
                <w:color w:val="auto"/>
              </w:rPr>
            </w:pPr>
            <w:r>
              <w:rPr>
                <w:rFonts w:ascii="Times New Roman" w:cs="Times New Roman" w:eastAsia="Times New Roman" w:hAnsi="Times New Roman"/>
                <w:sz w:val="18"/>
                <w:szCs w:val="18"/>
                <w:color w:val="auto"/>
              </w:rPr>
              <w:t>hypersensitivity or silent inactivation</w:t>
            </w:r>
          </w:p>
        </w:tc>
        <w:tc>
          <w:tcPr>
            <w:tcW w:w="2800" w:type="dxa"/>
            <w:vAlign w:val="bottom"/>
            <w:tcBorders>
              <w:right w:val="single" w:sz="8" w:color="B6B6B6"/>
            </w:tcBorders>
          </w:tcPr>
          <w:p>
            <w:pPr>
              <w:spacing w:after="0"/>
              <w:rPr>
                <w:sz w:val="15"/>
                <w:szCs w:val="15"/>
                <w:color w:val="auto"/>
              </w:rPr>
            </w:pPr>
          </w:p>
        </w:tc>
        <w:tc>
          <w:tcPr>
            <w:tcW w:w="2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640" w:type="dxa"/>
            <w:vAlign w:val="bottom"/>
            <w:tcBorders>
              <w:left w:val="single" w:sz="8" w:color="B6B6B6"/>
              <w:bottom w:val="single" w:sz="8" w:color="B6B6B6"/>
              <w:right w:val="single" w:sz="8" w:color="B6B6B6"/>
            </w:tcBorders>
          </w:tcPr>
          <w:p>
            <w:pPr>
              <w:spacing w:after="0"/>
              <w:rPr>
                <w:sz w:val="19"/>
                <w:szCs w:val="19"/>
                <w:color w:val="auto"/>
              </w:rPr>
            </w:pPr>
          </w:p>
        </w:tc>
        <w:tc>
          <w:tcPr>
            <w:tcW w:w="2820" w:type="dxa"/>
            <w:vAlign w:val="bottom"/>
            <w:tcBorders>
              <w:bottom w:val="single" w:sz="8" w:color="B6B6B6"/>
              <w:right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to E. coli-derived asparaginase.</w:t>
            </w:r>
          </w:p>
        </w:tc>
        <w:tc>
          <w:tcPr>
            <w:tcW w:w="2800" w:type="dxa"/>
            <w:vAlign w:val="bottom"/>
            <w:tcBorders>
              <w:bottom w:val="single" w:sz="8" w:color="B6B6B6"/>
              <w:right w:val="single" w:sz="8" w:color="B6B6B6"/>
            </w:tcBorders>
          </w:tcPr>
          <w:p>
            <w:pPr>
              <w:spacing w:after="0"/>
              <w:rPr>
                <w:sz w:val="19"/>
                <w:szCs w:val="19"/>
                <w:color w:val="auto"/>
              </w:rPr>
            </w:pPr>
          </w:p>
        </w:tc>
        <w:tc>
          <w:tcPr>
            <w:tcW w:w="2640" w:type="dxa"/>
            <w:vAlign w:val="bottom"/>
            <w:tcBorders>
              <w:bottom w:val="single" w:sz="8" w:color="B6B6B6"/>
            </w:tcBorders>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640" w:type="dxa"/>
            <w:vAlign w:val="bottom"/>
            <w:tcBorders>
              <w:left w:val="single" w:sz="8" w:color="B6B6B6"/>
              <w:right w:val="single" w:sz="8" w:color="B6B6B6"/>
            </w:tcBorders>
            <w:shd w:val="clear" w:color="auto" w:fill="CCEEFF"/>
          </w:tcPr>
          <w:p>
            <w:pPr>
              <w:spacing w:after="0"/>
              <w:rPr>
                <w:sz w:val="14"/>
                <w:szCs w:val="14"/>
                <w:color w:val="auto"/>
              </w:rPr>
            </w:pPr>
          </w:p>
        </w:tc>
        <w:tc>
          <w:tcPr>
            <w:tcW w:w="2820" w:type="dxa"/>
            <w:vAlign w:val="bottom"/>
            <w:tcBorders>
              <w:right w:val="single" w:sz="8" w:color="B6B6B6"/>
            </w:tcBorders>
            <w:shd w:val="clear" w:color="auto" w:fill="CCEEFF"/>
          </w:tcPr>
          <w:p>
            <w:pPr>
              <w:ind w:left="20"/>
              <w:spacing w:after="0" w:line="166" w:lineRule="exact"/>
              <w:rPr>
                <w:sz w:val="20"/>
                <w:szCs w:val="20"/>
                <w:color w:val="auto"/>
              </w:rPr>
            </w:pPr>
            <w:r>
              <w:rPr>
                <w:rFonts w:ascii="Times New Roman" w:cs="Times New Roman" w:eastAsia="Times New Roman" w:hAnsi="Times New Roman"/>
                <w:sz w:val="18"/>
                <w:szCs w:val="18"/>
                <w:color w:val="auto"/>
              </w:rPr>
              <w:t>Treatment of adult patients with</w:t>
            </w:r>
          </w:p>
        </w:tc>
        <w:tc>
          <w:tcPr>
            <w:tcW w:w="2800" w:type="dxa"/>
            <w:vAlign w:val="bottom"/>
            <w:tcBorders>
              <w:right w:val="single" w:sz="8" w:color="B6B6B6"/>
            </w:tcBorders>
            <w:shd w:val="clear" w:color="auto" w:fill="CCEEFF"/>
          </w:tcPr>
          <w:p>
            <w:pPr>
              <w:spacing w:after="0" w:line="166" w:lineRule="exact"/>
              <w:rPr>
                <w:sz w:val="20"/>
                <w:szCs w:val="20"/>
                <w:color w:val="auto"/>
              </w:rPr>
            </w:pPr>
            <w:r>
              <w:rPr>
                <w:rFonts w:ascii="Times New Roman" w:cs="Times New Roman" w:eastAsia="Times New Roman" w:hAnsi="Times New Roman"/>
                <w:sz w:val="18"/>
                <w:szCs w:val="18"/>
                <w:color w:val="auto"/>
              </w:rPr>
              <w:t>June 2020</w:t>
            </w:r>
          </w:p>
        </w:tc>
        <w:tc>
          <w:tcPr>
            <w:tcW w:w="2640" w:type="dxa"/>
            <w:vAlign w:val="bottom"/>
            <w:shd w:val="clear" w:color="auto" w:fill="CCEEFF"/>
          </w:tcPr>
          <w:p>
            <w:pPr>
              <w:ind w:left="20"/>
              <w:spacing w:after="0" w:line="166" w:lineRule="exact"/>
              <w:rPr>
                <w:sz w:val="20"/>
                <w:szCs w:val="20"/>
                <w:color w:val="auto"/>
              </w:rPr>
            </w:pPr>
            <w:r>
              <w:rPr>
                <w:rFonts w:ascii="Times New Roman" w:cs="Times New Roman" w:eastAsia="Times New Roman" w:hAnsi="Times New Roman"/>
                <w:sz w:val="18"/>
                <w:szCs w:val="18"/>
                <w:color w:val="auto"/>
                <w:w w:val="98"/>
              </w:rPr>
              <w:t>U.S. (licensed from PharmaMar)***</w:t>
            </w:r>
          </w:p>
        </w:tc>
        <w:tc>
          <w:tcPr>
            <w:tcW w:w="0" w:type="dxa"/>
            <w:vAlign w:val="bottom"/>
          </w:tcPr>
          <w:p>
            <w:pPr>
              <w:spacing w:after="0"/>
              <w:rPr>
                <w:sz w:val="1"/>
                <w:szCs w:val="1"/>
                <w:color w:val="auto"/>
              </w:rPr>
            </w:pPr>
          </w:p>
        </w:tc>
      </w:tr>
      <w:tr>
        <w:trPr>
          <w:trHeight w:val="181"/>
        </w:trPr>
        <w:tc>
          <w:tcPr>
            <w:tcW w:w="2640" w:type="dxa"/>
            <w:vAlign w:val="bottom"/>
            <w:tcBorders>
              <w:left w:val="single" w:sz="8" w:color="B6B6B6"/>
              <w:right w:val="single" w:sz="8" w:color="B6B6B6"/>
            </w:tcBorders>
            <w:shd w:val="clear" w:color="auto" w:fill="CCEEFF"/>
          </w:tcPr>
          <w:p>
            <w:pPr>
              <w:spacing w:after="0"/>
              <w:rPr>
                <w:sz w:val="15"/>
                <w:szCs w:val="15"/>
                <w:color w:val="auto"/>
              </w:rPr>
            </w:pPr>
          </w:p>
        </w:tc>
        <w:tc>
          <w:tcPr>
            <w:tcW w:w="2820" w:type="dxa"/>
            <w:vAlign w:val="bottom"/>
            <w:tcBorders>
              <w:right w:val="single" w:sz="8" w:color="B6B6B6"/>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metastatic small cell lung cancer, or</w:t>
            </w:r>
          </w:p>
        </w:tc>
        <w:tc>
          <w:tcPr>
            <w:tcW w:w="2800" w:type="dxa"/>
            <w:vAlign w:val="bottom"/>
            <w:tcBorders>
              <w:right w:val="single" w:sz="8" w:color="B6B6B6"/>
            </w:tcBorders>
            <w:shd w:val="clear" w:color="auto" w:fill="CCEEFF"/>
          </w:tcPr>
          <w:p>
            <w:pPr>
              <w:spacing w:after="0"/>
              <w:rPr>
                <w:sz w:val="15"/>
                <w:szCs w:val="15"/>
                <w:color w:val="auto"/>
              </w:rPr>
            </w:pPr>
          </w:p>
        </w:tc>
        <w:tc>
          <w:tcPr>
            <w:tcW w:w="2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640" w:type="dxa"/>
            <w:vAlign w:val="bottom"/>
            <w:tcBorders>
              <w:left w:val="single" w:sz="8" w:color="B6B6B6"/>
              <w:right w:val="single" w:sz="8" w:color="B6B6B6"/>
            </w:tcBorders>
            <w:shd w:val="clear" w:color="auto" w:fill="CCEEFF"/>
          </w:tcPr>
          <w:p>
            <w:pPr>
              <w:spacing w:after="0"/>
              <w:rPr>
                <w:sz w:val="15"/>
                <w:szCs w:val="15"/>
                <w:color w:val="auto"/>
              </w:rPr>
            </w:pPr>
          </w:p>
        </w:tc>
        <w:tc>
          <w:tcPr>
            <w:tcW w:w="2820" w:type="dxa"/>
            <w:vAlign w:val="bottom"/>
            <w:tcBorders>
              <w:right w:val="single" w:sz="8" w:color="B6B6B6"/>
            </w:tcBorders>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SCLC, with disease progression on or</w:t>
            </w:r>
          </w:p>
        </w:tc>
        <w:tc>
          <w:tcPr>
            <w:tcW w:w="2800" w:type="dxa"/>
            <w:vAlign w:val="bottom"/>
            <w:tcBorders>
              <w:right w:val="single" w:sz="8" w:color="B6B6B6"/>
            </w:tcBorders>
            <w:shd w:val="clear" w:color="auto" w:fill="CCEEFF"/>
          </w:tcPr>
          <w:p>
            <w:pPr>
              <w:spacing w:after="0"/>
              <w:rPr>
                <w:sz w:val="15"/>
                <w:szCs w:val="15"/>
                <w:color w:val="auto"/>
              </w:rPr>
            </w:pPr>
          </w:p>
        </w:tc>
        <w:tc>
          <w:tcPr>
            <w:tcW w:w="2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640" w:type="dxa"/>
            <w:vAlign w:val="bottom"/>
            <w:tcBorders>
              <w:left w:val="single" w:sz="8" w:color="B6B6B6"/>
              <w:right w:val="single" w:sz="8" w:color="B6B6B6"/>
            </w:tcBorders>
            <w:shd w:val="clear" w:color="auto" w:fill="CCEEFF"/>
          </w:tcPr>
          <w:p>
            <w:pPr>
              <w:spacing w:after="0"/>
              <w:rPr>
                <w:sz w:val="20"/>
                <w:szCs w:val="20"/>
                <w:color w:val="auto"/>
              </w:rPr>
            </w:pPr>
          </w:p>
        </w:tc>
        <w:tc>
          <w:tcPr>
            <w:tcW w:w="2820" w:type="dxa"/>
            <w:vAlign w:val="bottom"/>
            <w:tcBorders>
              <w:right w:val="single" w:sz="8" w:color="B6B6B6"/>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after platinum-based chemotherapy.</w:t>
            </w:r>
          </w:p>
        </w:tc>
        <w:tc>
          <w:tcPr>
            <w:tcW w:w="2800" w:type="dxa"/>
            <w:vAlign w:val="bottom"/>
            <w:tcBorders>
              <w:right w:val="single" w:sz="8" w:color="B6B6B6"/>
            </w:tcBorders>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94"/>
        </w:trPr>
        <w:tc>
          <w:tcPr>
            <w:tcW w:w="2640" w:type="dxa"/>
            <w:vAlign w:val="bottom"/>
            <w:tcBorders>
              <w:left w:val="single" w:sz="8" w:color="B6B6B6"/>
              <w:bottom w:val="single" w:sz="8" w:color="CCEEFF"/>
              <w:right w:val="single" w:sz="8" w:color="B6B6B6"/>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Zepzelca® (lurbinectedin)</w:t>
            </w:r>
          </w:p>
        </w:tc>
        <w:tc>
          <w:tcPr>
            <w:tcW w:w="2820" w:type="dxa"/>
            <w:vAlign w:val="bottom"/>
            <w:tcBorders>
              <w:bottom w:val="single" w:sz="8" w:color="B6B6B6"/>
              <w:right w:val="single" w:sz="8" w:color="B6B6B6"/>
            </w:tcBorders>
            <w:shd w:val="clear" w:color="auto" w:fill="CCEEFF"/>
          </w:tcPr>
          <w:p>
            <w:pPr>
              <w:spacing w:after="0"/>
              <w:rPr>
                <w:sz w:val="24"/>
                <w:szCs w:val="24"/>
                <w:color w:val="auto"/>
              </w:rPr>
            </w:pPr>
          </w:p>
        </w:tc>
        <w:tc>
          <w:tcPr>
            <w:tcW w:w="2800" w:type="dxa"/>
            <w:vAlign w:val="bottom"/>
            <w:tcBorders>
              <w:bottom w:val="single" w:sz="8" w:color="B6B6B6"/>
              <w:right w:val="single" w:sz="8" w:color="B6B6B6"/>
            </w:tcBorders>
            <w:shd w:val="clear" w:color="auto" w:fill="CCEEFF"/>
          </w:tcPr>
          <w:p>
            <w:pPr>
              <w:spacing w:after="0"/>
              <w:rPr>
                <w:sz w:val="24"/>
                <w:szCs w:val="24"/>
                <w:color w:val="auto"/>
              </w:rPr>
            </w:pPr>
          </w:p>
        </w:tc>
        <w:tc>
          <w:tcPr>
            <w:tcW w:w="2640" w:type="dxa"/>
            <w:vAlign w:val="bottom"/>
            <w:tcBorders>
              <w:bottom w:val="single" w:sz="8" w:color="B6B6B6"/>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640" w:type="dxa"/>
            <w:vAlign w:val="bottom"/>
            <w:tcBorders>
              <w:left w:val="single" w:sz="8" w:color="B6B6B6"/>
              <w:right w:val="single" w:sz="8" w:color="B6B6B6"/>
            </w:tcBorders>
            <w:shd w:val="clear" w:color="auto" w:fill="CCEEFF"/>
          </w:tcPr>
          <w:p>
            <w:pPr>
              <w:spacing w:after="0"/>
              <w:rPr>
                <w:sz w:val="14"/>
                <w:szCs w:val="14"/>
                <w:color w:val="auto"/>
              </w:rPr>
            </w:pPr>
          </w:p>
        </w:tc>
        <w:tc>
          <w:tcPr>
            <w:tcW w:w="2820" w:type="dxa"/>
            <w:vAlign w:val="bottom"/>
            <w:tcBorders>
              <w:right w:val="single" w:sz="8" w:color="B6B6B6"/>
            </w:tcBorders>
            <w:shd w:val="clear" w:color="auto" w:fill="CCEEFF"/>
          </w:tcPr>
          <w:p>
            <w:pPr>
              <w:ind w:left="20"/>
              <w:spacing w:after="0" w:line="166" w:lineRule="exact"/>
              <w:rPr>
                <w:sz w:val="20"/>
                <w:szCs w:val="20"/>
                <w:color w:val="auto"/>
              </w:rPr>
            </w:pPr>
            <w:r>
              <w:rPr>
                <w:rFonts w:ascii="Times New Roman" w:cs="Times New Roman" w:eastAsia="Times New Roman" w:hAnsi="Times New Roman"/>
                <w:sz w:val="18"/>
                <w:szCs w:val="18"/>
                <w:color w:val="auto"/>
              </w:rPr>
              <w:t>Treatment of adults with Stage III or</w:t>
            </w:r>
          </w:p>
        </w:tc>
        <w:tc>
          <w:tcPr>
            <w:tcW w:w="2800" w:type="dxa"/>
            <w:vAlign w:val="bottom"/>
            <w:tcBorders>
              <w:right w:val="single" w:sz="8" w:color="B6B6B6"/>
            </w:tcBorders>
            <w:shd w:val="clear" w:color="auto" w:fill="CCEEFF"/>
          </w:tcPr>
          <w:p>
            <w:pPr>
              <w:spacing w:after="0" w:line="166" w:lineRule="exact"/>
              <w:rPr>
                <w:sz w:val="20"/>
                <w:szCs w:val="20"/>
                <w:color w:val="auto"/>
              </w:rPr>
            </w:pPr>
            <w:r>
              <w:rPr>
                <w:rFonts w:ascii="Times New Roman" w:cs="Times New Roman" w:eastAsia="Times New Roman" w:hAnsi="Times New Roman"/>
                <w:sz w:val="18"/>
                <w:szCs w:val="18"/>
                <w:color w:val="auto"/>
              </w:rPr>
              <w:t>September 2021</w:t>
            </w:r>
          </w:p>
        </w:tc>
        <w:tc>
          <w:tcPr>
            <w:tcW w:w="2640" w:type="dxa"/>
            <w:vAlign w:val="bottom"/>
            <w:shd w:val="clear" w:color="auto" w:fill="CCEEFF"/>
          </w:tcPr>
          <w:p>
            <w:pPr>
              <w:ind w:left="20"/>
              <w:spacing w:after="0" w:line="166" w:lineRule="exact"/>
              <w:rPr>
                <w:sz w:val="20"/>
                <w:szCs w:val="20"/>
                <w:color w:val="auto"/>
              </w:rPr>
            </w:pPr>
            <w:r>
              <w:rPr>
                <w:rFonts w:ascii="Times New Roman" w:cs="Times New Roman" w:eastAsia="Times New Roman" w:hAnsi="Times New Roman"/>
                <w:sz w:val="18"/>
                <w:szCs w:val="18"/>
                <w:color w:val="auto"/>
              </w:rPr>
              <w:t>Canada (licensed from</w:t>
            </w:r>
          </w:p>
        </w:tc>
        <w:tc>
          <w:tcPr>
            <w:tcW w:w="0" w:type="dxa"/>
            <w:vAlign w:val="bottom"/>
          </w:tcPr>
          <w:p>
            <w:pPr>
              <w:spacing w:after="0"/>
              <w:rPr>
                <w:sz w:val="1"/>
                <w:szCs w:val="1"/>
                <w:color w:val="auto"/>
              </w:rPr>
            </w:pPr>
          </w:p>
        </w:tc>
      </w:tr>
      <w:tr>
        <w:trPr>
          <w:trHeight w:val="181"/>
        </w:trPr>
        <w:tc>
          <w:tcPr>
            <w:tcW w:w="2640" w:type="dxa"/>
            <w:vAlign w:val="bottom"/>
            <w:tcBorders>
              <w:left w:val="single" w:sz="8" w:color="B6B6B6"/>
              <w:right w:val="single" w:sz="8" w:color="B6B6B6"/>
            </w:tcBorders>
            <w:shd w:val="clear" w:color="auto" w:fill="CCEEFF"/>
          </w:tcPr>
          <w:p>
            <w:pPr>
              <w:spacing w:after="0"/>
              <w:rPr>
                <w:sz w:val="15"/>
                <w:szCs w:val="15"/>
                <w:color w:val="auto"/>
              </w:rPr>
            </w:pPr>
          </w:p>
        </w:tc>
        <w:tc>
          <w:tcPr>
            <w:tcW w:w="2820" w:type="dxa"/>
            <w:vAlign w:val="bottom"/>
            <w:tcBorders>
              <w:right w:val="single" w:sz="8" w:color="B6B6B6"/>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w w:val="98"/>
              </w:rPr>
              <w:t>metastatic SCLC who have progressed</w:t>
            </w:r>
          </w:p>
        </w:tc>
        <w:tc>
          <w:tcPr>
            <w:tcW w:w="2800" w:type="dxa"/>
            <w:vAlign w:val="bottom"/>
            <w:tcBorders>
              <w:right w:val="single" w:sz="8" w:color="B6B6B6"/>
            </w:tcBorders>
            <w:shd w:val="clear" w:color="auto" w:fill="CCEEFF"/>
          </w:tcPr>
          <w:p>
            <w:pPr>
              <w:spacing w:after="0"/>
              <w:rPr>
                <w:sz w:val="15"/>
                <w:szCs w:val="15"/>
                <w:color w:val="auto"/>
              </w:rPr>
            </w:pPr>
          </w:p>
        </w:tc>
        <w:tc>
          <w:tcPr>
            <w:tcW w:w="264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PharmaMar)****</w:t>
            </w:r>
          </w:p>
        </w:tc>
        <w:tc>
          <w:tcPr>
            <w:tcW w:w="0" w:type="dxa"/>
            <w:vAlign w:val="bottom"/>
          </w:tcPr>
          <w:p>
            <w:pPr>
              <w:spacing w:after="0"/>
              <w:rPr>
                <w:sz w:val="1"/>
                <w:szCs w:val="1"/>
                <w:color w:val="auto"/>
              </w:rPr>
            </w:pPr>
          </w:p>
        </w:tc>
      </w:tr>
      <w:tr>
        <w:trPr>
          <w:trHeight w:val="178"/>
        </w:trPr>
        <w:tc>
          <w:tcPr>
            <w:tcW w:w="2640" w:type="dxa"/>
            <w:vAlign w:val="bottom"/>
            <w:tcBorders>
              <w:left w:val="single" w:sz="8" w:color="B6B6B6"/>
              <w:right w:val="single" w:sz="8" w:color="B6B6B6"/>
            </w:tcBorders>
            <w:shd w:val="clear" w:color="auto" w:fill="CCEEFF"/>
          </w:tcPr>
          <w:p>
            <w:pPr>
              <w:spacing w:after="0"/>
              <w:rPr>
                <w:sz w:val="15"/>
                <w:szCs w:val="15"/>
                <w:color w:val="auto"/>
              </w:rPr>
            </w:pPr>
          </w:p>
        </w:tc>
        <w:tc>
          <w:tcPr>
            <w:tcW w:w="2820" w:type="dxa"/>
            <w:vAlign w:val="bottom"/>
            <w:tcBorders>
              <w:right w:val="single" w:sz="8" w:color="B6B6B6"/>
            </w:tcBorders>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on or after platinum-containing</w:t>
            </w:r>
          </w:p>
        </w:tc>
        <w:tc>
          <w:tcPr>
            <w:tcW w:w="2800" w:type="dxa"/>
            <w:vAlign w:val="bottom"/>
            <w:tcBorders>
              <w:right w:val="single" w:sz="8" w:color="B6B6B6"/>
            </w:tcBorders>
            <w:shd w:val="clear" w:color="auto" w:fill="CCEEFF"/>
          </w:tcPr>
          <w:p>
            <w:pPr>
              <w:spacing w:after="0"/>
              <w:rPr>
                <w:sz w:val="15"/>
                <w:szCs w:val="15"/>
                <w:color w:val="auto"/>
              </w:rPr>
            </w:pPr>
          </w:p>
        </w:tc>
        <w:tc>
          <w:tcPr>
            <w:tcW w:w="2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640" w:type="dxa"/>
            <w:vAlign w:val="bottom"/>
            <w:tcBorders>
              <w:left w:val="single" w:sz="8" w:color="B6B6B6"/>
              <w:right w:val="single" w:sz="8" w:color="B6B6B6"/>
            </w:tcBorders>
            <w:shd w:val="clear" w:color="auto" w:fill="CCEEFF"/>
          </w:tcPr>
          <w:p>
            <w:pPr>
              <w:spacing w:after="0"/>
              <w:rPr>
                <w:sz w:val="20"/>
                <w:szCs w:val="20"/>
                <w:color w:val="auto"/>
              </w:rPr>
            </w:pPr>
          </w:p>
        </w:tc>
        <w:tc>
          <w:tcPr>
            <w:tcW w:w="2820" w:type="dxa"/>
            <w:vAlign w:val="bottom"/>
            <w:tcBorders>
              <w:right w:val="single" w:sz="8" w:color="B6B6B6"/>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therapy.</w:t>
            </w:r>
          </w:p>
        </w:tc>
        <w:tc>
          <w:tcPr>
            <w:tcW w:w="2800" w:type="dxa"/>
            <w:vAlign w:val="bottom"/>
            <w:tcBorders>
              <w:right w:val="single" w:sz="8" w:color="B6B6B6"/>
            </w:tcBorders>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640" w:type="dxa"/>
            <w:vAlign w:val="bottom"/>
            <w:tcBorders>
              <w:left w:val="single" w:sz="8" w:color="B6B6B6"/>
              <w:bottom w:val="single" w:sz="8" w:color="B6B6B6"/>
              <w:right w:val="single" w:sz="8" w:color="B6B6B6"/>
            </w:tcBorders>
            <w:shd w:val="clear" w:color="auto" w:fill="CCEEFF"/>
          </w:tcPr>
          <w:p>
            <w:pPr>
              <w:spacing w:after="0"/>
              <w:rPr>
                <w:sz w:val="20"/>
                <w:szCs w:val="20"/>
                <w:color w:val="auto"/>
              </w:rPr>
            </w:pPr>
          </w:p>
        </w:tc>
        <w:tc>
          <w:tcPr>
            <w:tcW w:w="2820" w:type="dxa"/>
            <w:vAlign w:val="bottom"/>
            <w:tcBorders>
              <w:bottom w:val="single" w:sz="8" w:color="B6B6B6"/>
              <w:right w:val="single" w:sz="8" w:color="B6B6B6"/>
            </w:tcBorders>
            <w:shd w:val="clear" w:color="auto" w:fill="CCEEFF"/>
          </w:tcPr>
          <w:p>
            <w:pPr>
              <w:spacing w:after="0"/>
              <w:rPr>
                <w:sz w:val="20"/>
                <w:szCs w:val="20"/>
                <w:color w:val="auto"/>
              </w:rPr>
            </w:pPr>
          </w:p>
        </w:tc>
        <w:tc>
          <w:tcPr>
            <w:tcW w:w="2800" w:type="dxa"/>
            <w:vAlign w:val="bottom"/>
            <w:tcBorders>
              <w:bottom w:val="single" w:sz="8" w:color="B6B6B6"/>
              <w:right w:val="single" w:sz="8" w:color="B6B6B6"/>
            </w:tcBorders>
            <w:shd w:val="clear" w:color="auto" w:fill="CCEEFF"/>
          </w:tcPr>
          <w:p>
            <w:pPr>
              <w:spacing w:after="0"/>
              <w:rPr>
                <w:sz w:val="20"/>
                <w:szCs w:val="20"/>
                <w:color w:val="auto"/>
              </w:rPr>
            </w:pPr>
          </w:p>
        </w:tc>
        <w:tc>
          <w:tcPr>
            <w:tcW w:w="2640" w:type="dxa"/>
            <w:vAlign w:val="bottom"/>
            <w:tcBorders>
              <w:bottom w:val="single" w:sz="8" w:color="B6B6B6"/>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2640" w:type="dxa"/>
            <w:vAlign w:val="bottom"/>
            <w:tcBorders>
              <w:left w:val="single" w:sz="8" w:color="B6B6B6"/>
              <w:right w:val="single" w:sz="8" w:color="B6B6B6"/>
            </w:tcBorders>
          </w:tcPr>
          <w:p>
            <w:pPr>
              <w:ind w:left="40"/>
              <w:spacing w:after="0" w:line="166" w:lineRule="exact"/>
              <w:rPr>
                <w:sz w:val="20"/>
                <w:szCs w:val="20"/>
                <w:color w:val="auto"/>
              </w:rPr>
            </w:pPr>
            <w:r>
              <w:rPr>
                <w:rFonts w:ascii="Times New Roman" w:cs="Times New Roman" w:eastAsia="Times New Roman" w:hAnsi="Times New Roman"/>
                <w:sz w:val="18"/>
                <w:szCs w:val="18"/>
                <w:color w:val="auto"/>
              </w:rPr>
              <w:t>Defitelio® (defibrotide)</w:t>
            </w:r>
          </w:p>
        </w:tc>
        <w:tc>
          <w:tcPr>
            <w:tcW w:w="2820" w:type="dxa"/>
            <w:vAlign w:val="bottom"/>
            <w:tcBorders>
              <w:right w:val="single" w:sz="8" w:color="B6B6B6"/>
            </w:tcBorders>
          </w:tcPr>
          <w:p>
            <w:pPr>
              <w:ind w:left="20"/>
              <w:spacing w:after="0" w:line="166" w:lineRule="exact"/>
              <w:rPr>
                <w:sz w:val="20"/>
                <w:szCs w:val="20"/>
                <w:color w:val="auto"/>
              </w:rPr>
            </w:pPr>
            <w:r>
              <w:rPr>
                <w:rFonts w:ascii="Times New Roman" w:cs="Times New Roman" w:eastAsia="Times New Roman" w:hAnsi="Times New Roman"/>
                <w:sz w:val="18"/>
                <w:szCs w:val="18"/>
                <w:color w:val="auto"/>
              </w:rPr>
              <w:t>Treatment of severe hepatic veno-</w:t>
            </w:r>
          </w:p>
        </w:tc>
        <w:tc>
          <w:tcPr>
            <w:tcW w:w="2800" w:type="dxa"/>
            <w:vAlign w:val="bottom"/>
            <w:tcBorders>
              <w:right w:val="single" w:sz="8" w:color="B6B6B6"/>
            </w:tcBorders>
          </w:tcPr>
          <w:p>
            <w:pPr>
              <w:spacing w:after="0" w:line="166" w:lineRule="exact"/>
              <w:rPr>
                <w:sz w:val="20"/>
                <w:szCs w:val="20"/>
                <w:color w:val="auto"/>
              </w:rPr>
            </w:pPr>
            <w:r>
              <w:rPr>
                <w:rFonts w:ascii="Times New Roman" w:cs="Times New Roman" w:eastAsia="Times New Roman" w:hAnsi="Times New Roman"/>
                <w:sz w:val="18"/>
                <w:szCs w:val="18"/>
                <w:color w:val="auto"/>
              </w:rPr>
              <w:t>October 2013</w:t>
            </w:r>
          </w:p>
        </w:tc>
        <w:tc>
          <w:tcPr>
            <w:tcW w:w="2640" w:type="dxa"/>
            <w:vAlign w:val="bottom"/>
          </w:tcPr>
          <w:p>
            <w:pPr>
              <w:ind w:left="20"/>
              <w:spacing w:after="0" w:line="166" w:lineRule="exact"/>
              <w:rPr>
                <w:sz w:val="20"/>
                <w:szCs w:val="20"/>
                <w:color w:val="auto"/>
              </w:rPr>
            </w:pPr>
            <w:r>
              <w:rPr>
                <w:rFonts w:ascii="Times New Roman" w:cs="Times New Roman" w:eastAsia="Times New Roman" w:hAnsi="Times New Roman"/>
                <w:sz w:val="18"/>
                <w:szCs w:val="18"/>
                <w:color w:val="auto"/>
              </w:rPr>
              <w:t>EU, Great Britain, EEA**,</w:t>
            </w:r>
          </w:p>
        </w:tc>
        <w:tc>
          <w:tcPr>
            <w:tcW w:w="0" w:type="dxa"/>
            <w:vAlign w:val="bottom"/>
          </w:tcPr>
          <w:p>
            <w:pPr>
              <w:spacing w:after="0"/>
              <w:rPr>
                <w:sz w:val="1"/>
                <w:szCs w:val="1"/>
                <w:color w:val="auto"/>
              </w:rPr>
            </w:pPr>
          </w:p>
        </w:tc>
      </w:tr>
      <w:tr>
        <w:trPr>
          <w:trHeight w:val="181"/>
        </w:trPr>
        <w:tc>
          <w:tcPr>
            <w:tcW w:w="2640" w:type="dxa"/>
            <w:vAlign w:val="bottom"/>
            <w:tcBorders>
              <w:left w:val="single" w:sz="8" w:color="B6B6B6"/>
              <w:right w:val="single" w:sz="8" w:color="B6B6B6"/>
            </w:tcBorders>
          </w:tcPr>
          <w:p>
            <w:pPr>
              <w:spacing w:after="0"/>
              <w:rPr>
                <w:sz w:val="15"/>
                <w:szCs w:val="15"/>
                <w:color w:val="auto"/>
              </w:rPr>
            </w:pPr>
          </w:p>
        </w:tc>
        <w:tc>
          <w:tcPr>
            <w:tcW w:w="2820" w:type="dxa"/>
            <w:vAlign w:val="bottom"/>
            <w:tcBorders>
              <w:right w:val="single" w:sz="8" w:color="B6B6B6"/>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occlusive disease, or VOD, also</w:t>
            </w:r>
          </w:p>
        </w:tc>
        <w:tc>
          <w:tcPr>
            <w:tcW w:w="2800" w:type="dxa"/>
            <w:vAlign w:val="bottom"/>
            <w:tcBorders>
              <w:right w:val="single" w:sz="8" w:color="B6B6B6"/>
            </w:tcBorders>
          </w:tcPr>
          <w:p>
            <w:pPr>
              <w:spacing w:after="0"/>
              <w:rPr>
                <w:sz w:val="15"/>
                <w:szCs w:val="15"/>
                <w:color w:val="auto"/>
              </w:rPr>
            </w:pPr>
          </w:p>
        </w:tc>
        <w:tc>
          <w:tcPr>
            <w:tcW w:w="264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w w:val="99"/>
              </w:rPr>
              <w:t>Switzerland, Israel, Australia, South</w:t>
            </w:r>
          </w:p>
        </w:tc>
        <w:tc>
          <w:tcPr>
            <w:tcW w:w="0" w:type="dxa"/>
            <w:vAlign w:val="bottom"/>
          </w:tcPr>
          <w:p>
            <w:pPr>
              <w:spacing w:after="0"/>
              <w:rPr>
                <w:sz w:val="1"/>
                <w:szCs w:val="1"/>
                <w:color w:val="auto"/>
              </w:rPr>
            </w:pPr>
          </w:p>
        </w:tc>
      </w:tr>
      <w:tr>
        <w:trPr>
          <w:trHeight w:val="178"/>
        </w:trPr>
        <w:tc>
          <w:tcPr>
            <w:tcW w:w="2640" w:type="dxa"/>
            <w:vAlign w:val="bottom"/>
            <w:tcBorders>
              <w:left w:val="single" w:sz="8" w:color="B6B6B6"/>
              <w:right w:val="single" w:sz="8" w:color="B6B6B6"/>
            </w:tcBorders>
          </w:tcPr>
          <w:p>
            <w:pPr>
              <w:spacing w:after="0"/>
              <w:rPr>
                <w:sz w:val="15"/>
                <w:szCs w:val="15"/>
                <w:color w:val="auto"/>
              </w:rPr>
            </w:pPr>
          </w:p>
        </w:tc>
        <w:tc>
          <w:tcPr>
            <w:tcW w:w="2820" w:type="dxa"/>
            <w:vAlign w:val="bottom"/>
            <w:tcBorders>
              <w:right w:val="single" w:sz="8" w:color="B6B6B6"/>
            </w:tcBorders>
          </w:tcPr>
          <w:p>
            <w:pPr>
              <w:ind w:left="20"/>
              <w:spacing w:after="0" w:line="178" w:lineRule="exact"/>
              <w:rPr>
                <w:sz w:val="20"/>
                <w:szCs w:val="20"/>
                <w:color w:val="auto"/>
              </w:rPr>
            </w:pPr>
            <w:r>
              <w:rPr>
                <w:rFonts w:ascii="Times New Roman" w:cs="Times New Roman" w:eastAsia="Times New Roman" w:hAnsi="Times New Roman"/>
                <w:sz w:val="18"/>
                <w:szCs w:val="18"/>
                <w:color w:val="auto"/>
              </w:rPr>
              <w:t>known as sinusoidal obstruction</w:t>
            </w:r>
          </w:p>
        </w:tc>
        <w:tc>
          <w:tcPr>
            <w:tcW w:w="2800" w:type="dxa"/>
            <w:vAlign w:val="bottom"/>
            <w:tcBorders>
              <w:right w:val="single" w:sz="8" w:color="B6B6B6"/>
            </w:tcBorders>
          </w:tcPr>
          <w:p>
            <w:pPr>
              <w:spacing w:after="0"/>
              <w:rPr>
                <w:sz w:val="15"/>
                <w:szCs w:val="15"/>
                <w:color w:val="auto"/>
              </w:rPr>
            </w:pPr>
          </w:p>
        </w:tc>
        <w:tc>
          <w:tcPr>
            <w:tcW w:w="2640" w:type="dxa"/>
            <w:vAlign w:val="bottom"/>
          </w:tcPr>
          <w:p>
            <w:pPr>
              <w:ind w:left="20"/>
              <w:spacing w:after="0" w:line="178" w:lineRule="exact"/>
              <w:rPr>
                <w:sz w:val="20"/>
                <w:szCs w:val="20"/>
                <w:color w:val="auto"/>
              </w:rPr>
            </w:pPr>
            <w:r>
              <w:rPr>
                <w:rFonts w:ascii="Times New Roman" w:cs="Times New Roman" w:eastAsia="Times New Roman" w:hAnsi="Times New Roman"/>
                <w:sz w:val="18"/>
                <w:szCs w:val="18"/>
                <w:color w:val="auto"/>
              </w:rPr>
              <w:t>Korea, Saudi Arabia</w:t>
            </w:r>
          </w:p>
        </w:tc>
        <w:tc>
          <w:tcPr>
            <w:tcW w:w="0" w:type="dxa"/>
            <w:vAlign w:val="bottom"/>
          </w:tcPr>
          <w:p>
            <w:pPr>
              <w:spacing w:after="0"/>
              <w:rPr>
                <w:sz w:val="1"/>
                <w:szCs w:val="1"/>
                <w:color w:val="auto"/>
              </w:rPr>
            </w:pPr>
          </w:p>
        </w:tc>
      </w:tr>
      <w:tr>
        <w:trPr>
          <w:trHeight w:val="173"/>
        </w:trPr>
        <w:tc>
          <w:tcPr>
            <w:tcW w:w="2640" w:type="dxa"/>
            <w:vAlign w:val="bottom"/>
            <w:tcBorders>
              <w:left w:val="single" w:sz="8" w:color="B6B6B6"/>
              <w:right w:val="single" w:sz="8" w:color="B6B6B6"/>
            </w:tcBorders>
          </w:tcPr>
          <w:p>
            <w:pPr>
              <w:spacing w:after="0"/>
              <w:rPr>
                <w:sz w:val="15"/>
                <w:szCs w:val="15"/>
                <w:color w:val="auto"/>
              </w:rPr>
            </w:pPr>
          </w:p>
        </w:tc>
        <w:tc>
          <w:tcPr>
            <w:tcW w:w="2820" w:type="dxa"/>
            <w:vAlign w:val="bottom"/>
            <w:tcBorders>
              <w:right w:val="single" w:sz="8" w:color="B6B6B6"/>
            </w:tcBorders>
          </w:tcPr>
          <w:p>
            <w:pPr>
              <w:ind w:left="20"/>
              <w:spacing w:after="0" w:line="173" w:lineRule="exact"/>
              <w:rPr>
                <w:sz w:val="20"/>
                <w:szCs w:val="20"/>
                <w:color w:val="auto"/>
              </w:rPr>
            </w:pPr>
            <w:r>
              <w:rPr>
                <w:rFonts w:ascii="Times New Roman" w:cs="Times New Roman" w:eastAsia="Times New Roman" w:hAnsi="Times New Roman"/>
                <w:sz w:val="18"/>
                <w:szCs w:val="18"/>
                <w:color w:val="auto"/>
              </w:rPr>
              <w:t>syndrome, or SOS, following</w:t>
            </w:r>
          </w:p>
        </w:tc>
        <w:tc>
          <w:tcPr>
            <w:tcW w:w="2800" w:type="dxa"/>
            <w:vAlign w:val="bottom"/>
            <w:tcBorders>
              <w:right w:val="single" w:sz="8" w:color="B6B6B6"/>
            </w:tcBorders>
          </w:tcPr>
          <w:p>
            <w:pPr>
              <w:spacing w:after="0"/>
              <w:rPr>
                <w:sz w:val="15"/>
                <w:szCs w:val="15"/>
                <w:color w:val="auto"/>
              </w:rPr>
            </w:pPr>
          </w:p>
        </w:tc>
        <w:tc>
          <w:tcPr>
            <w:tcW w:w="2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40" w:type="dxa"/>
            <w:vAlign w:val="bottom"/>
            <w:tcBorders>
              <w:left w:val="single" w:sz="8" w:color="B6B6B6"/>
              <w:right w:val="single" w:sz="8" w:color="B6B6B6"/>
            </w:tcBorders>
          </w:tcPr>
          <w:p>
            <w:pPr>
              <w:spacing w:after="0"/>
              <w:rPr>
                <w:sz w:val="15"/>
                <w:szCs w:val="15"/>
                <w:color w:val="auto"/>
              </w:rPr>
            </w:pPr>
          </w:p>
        </w:tc>
        <w:tc>
          <w:tcPr>
            <w:tcW w:w="2820" w:type="dxa"/>
            <w:vAlign w:val="bottom"/>
            <w:tcBorders>
              <w:right w:val="single" w:sz="8" w:color="B6B6B6"/>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hematopoietic stem cell</w:t>
            </w:r>
          </w:p>
        </w:tc>
        <w:tc>
          <w:tcPr>
            <w:tcW w:w="2800" w:type="dxa"/>
            <w:vAlign w:val="bottom"/>
            <w:tcBorders>
              <w:right w:val="single" w:sz="8" w:color="B6B6B6"/>
            </w:tcBorders>
          </w:tcPr>
          <w:p>
            <w:pPr>
              <w:spacing w:after="0"/>
              <w:rPr>
                <w:sz w:val="15"/>
                <w:szCs w:val="15"/>
                <w:color w:val="auto"/>
              </w:rPr>
            </w:pPr>
          </w:p>
        </w:tc>
        <w:tc>
          <w:tcPr>
            <w:tcW w:w="2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640" w:type="dxa"/>
            <w:vAlign w:val="bottom"/>
            <w:tcBorders>
              <w:left w:val="single" w:sz="8" w:color="B6B6B6"/>
              <w:bottom w:val="single" w:sz="8" w:color="B6B6B6"/>
              <w:right w:val="single" w:sz="8" w:color="B6B6B6"/>
            </w:tcBorders>
          </w:tcPr>
          <w:p>
            <w:pPr>
              <w:spacing w:after="0"/>
              <w:rPr>
                <w:sz w:val="20"/>
                <w:szCs w:val="20"/>
                <w:color w:val="auto"/>
              </w:rPr>
            </w:pPr>
          </w:p>
        </w:tc>
        <w:tc>
          <w:tcPr>
            <w:tcW w:w="2820" w:type="dxa"/>
            <w:vAlign w:val="bottom"/>
            <w:tcBorders>
              <w:bottom w:val="single" w:sz="8" w:color="B6B6B6"/>
              <w:right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transplantation, or HSCT, therapy.</w:t>
            </w:r>
          </w:p>
        </w:tc>
        <w:tc>
          <w:tcPr>
            <w:tcW w:w="2800" w:type="dxa"/>
            <w:vAlign w:val="bottom"/>
            <w:tcBorders>
              <w:bottom w:val="single" w:sz="8" w:color="B6B6B6"/>
              <w:right w:val="single" w:sz="8" w:color="B6B6B6"/>
            </w:tcBorders>
          </w:tcPr>
          <w:p>
            <w:pPr>
              <w:spacing w:after="0"/>
              <w:rPr>
                <w:sz w:val="20"/>
                <w:szCs w:val="20"/>
                <w:color w:val="auto"/>
              </w:rPr>
            </w:pPr>
          </w:p>
        </w:tc>
        <w:tc>
          <w:tcPr>
            <w:tcW w:w="2640" w:type="dxa"/>
            <w:vAlign w:val="bottom"/>
            <w:tcBorders>
              <w:bottom w:val="single" w:sz="8" w:color="B6B6B6"/>
            </w:tcBorders>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2640" w:type="dxa"/>
            <w:vAlign w:val="bottom"/>
            <w:tcBorders>
              <w:left w:val="single" w:sz="8" w:color="B6B6B6"/>
              <w:right w:val="single" w:sz="8" w:color="B6B6B6"/>
            </w:tcBorders>
          </w:tcPr>
          <w:p>
            <w:pPr>
              <w:ind w:left="40"/>
              <w:spacing w:after="0" w:line="166" w:lineRule="exact"/>
              <w:rPr>
                <w:sz w:val="20"/>
                <w:szCs w:val="20"/>
                <w:color w:val="auto"/>
              </w:rPr>
            </w:pPr>
            <w:r>
              <w:rPr>
                <w:rFonts w:ascii="Times New Roman" w:cs="Times New Roman" w:eastAsia="Times New Roman" w:hAnsi="Times New Roman"/>
                <w:sz w:val="18"/>
                <w:szCs w:val="18"/>
                <w:color w:val="auto"/>
              </w:rPr>
              <w:t>Defitelio® (defibrotide sodium)</w:t>
            </w:r>
          </w:p>
        </w:tc>
        <w:tc>
          <w:tcPr>
            <w:tcW w:w="2820" w:type="dxa"/>
            <w:vAlign w:val="bottom"/>
            <w:tcBorders>
              <w:right w:val="single" w:sz="8" w:color="B6B6B6"/>
            </w:tcBorders>
          </w:tcPr>
          <w:p>
            <w:pPr>
              <w:ind w:left="20"/>
              <w:spacing w:after="0" w:line="166" w:lineRule="exact"/>
              <w:rPr>
                <w:sz w:val="20"/>
                <w:szCs w:val="20"/>
                <w:color w:val="auto"/>
              </w:rPr>
            </w:pPr>
            <w:r>
              <w:rPr>
                <w:rFonts w:ascii="Times New Roman" w:cs="Times New Roman" w:eastAsia="Times New Roman" w:hAnsi="Times New Roman"/>
                <w:sz w:val="18"/>
                <w:szCs w:val="18"/>
                <w:color w:val="auto"/>
              </w:rPr>
              <w:t>Treatment of adult and pediatric</w:t>
            </w:r>
          </w:p>
        </w:tc>
        <w:tc>
          <w:tcPr>
            <w:tcW w:w="2800" w:type="dxa"/>
            <w:vAlign w:val="bottom"/>
            <w:tcBorders>
              <w:right w:val="single" w:sz="8" w:color="B6B6B6"/>
            </w:tcBorders>
          </w:tcPr>
          <w:p>
            <w:pPr>
              <w:spacing w:after="0" w:line="166" w:lineRule="exact"/>
              <w:rPr>
                <w:sz w:val="20"/>
                <w:szCs w:val="20"/>
                <w:color w:val="auto"/>
              </w:rPr>
            </w:pPr>
            <w:r>
              <w:rPr>
                <w:rFonts w:ascii="Times New Roman" w:cs="Times New Roman" w:eastAsia="Times New Roman" w:hAnsi="Times New Roman"/>
                <w:sz w:val="18"/>
                <w:szCs w:val="18"/>
                <w:color w:val="auto"/>
              </w:rPr>
              <w:t>March 2016</w:t>
            </w:r>
          </w:p>
        </w:tc>
        <w:tc>
          <w:tcPr>
            <w:tcW w:w="2640" w:type="dxa"/>
            <w:vAlign w:val="bottom"/>
          </w:tcPr>
          <w:p>
            <w:pPr>
              <w:ind w:left="20"/>
              <w:spacing w:after="0" w:line="166" w:lineRule="exact"/>
              <w:rPr>
                <w:sz w:val="20"/>
                <w:szCs w:val="20"/>
                <w:color w:val="auto"/>
              </w:rPr>
            </w:pPr>
            <w:r>
              <w:rPr>
                <w:rFonts w:ascii="Times New Roman" w:cs="Times New Roman" w:eastAsia="Times New Roman" w:hAnsi="Times New Roman"/>
                <w:sz w:val="18"/>
                <w:szCs w:val="18"/>
                <w:color w:val="auto"/>
              </w:rPr>
              <w:t>U.S.</w:t>
            </w:r>
          </w:p>
        </w:tc>
        <w:tc>
          <w:tcPr>
            <w:tcW w:w="0" w:type="dxa"/>
            <w:vAlign w:val="bottom"/>
          </w:tcPr>
          <w:p>
            <w:pPr>
              <w:spacing w:after="0"/>
              <w:rPr>
                <w:sz w:val="1"/>
                <w:szCs w:val="1"/>
                <w:color w:val="auto"/>
              </w:rPr>
            </w:pPr>
          </w:p>
        </w:tc>
      </w:tr>
      <w:tr>
        <w:trPr>
          <w:trHeight w:val="181"/>
        </w:trPr>
        <w:tc>
          <w:tcPr>
            <w:tcW w:w="2640" w:type="dxa"/>
            <w:vAlign w:val="bottom"/>
            <w:tcBorders>
              <w:left w:val="single" w:sz="8" w:color="B6B6B6"/>
              <w:right w:val="single" w:sz="8" w:color="B6B6B6"/>
            </w:tcBorders>
          </w:tcPr>
          <w:p>
            <w:pPr>
              <w:spacing w:after="0"/>
              <w:rPr>
                <w:sz w:val="15"/>
                <w:szCs w:val="15"/>
                <w:color w:val="auto"/>
              </w:rPr>
            </w:pPr>
          </w:p>
        </w:tc>
        <w:tc>
          <w:tcPr>
            <w:tcW w:w="2820" w:type="dxa"/>
            <w:vAlign w:val="bottom"/>
            <w:tcBorders>
              <w:right w:val="single" w:sz="8" w:color="B6B6B6"/>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patients with hepatic VOD, also</w:t>
            </w:r>
          </w:p>
        </w:tc>
        <w:tc>
          <w:tcPr>
            <w:tcW w:w="2800" w:type="dxa"/>
            <w:vAlign w:val="bottom"/>
            <w:tcBorders>
              <w:right w:val="single" w:sz="8" w:color="B6B6B6"/>
            </w:tcBorders>
          </w:tcPr>
          <w:p>
            <w:pPr>
              <w:spacing w:after="0"/>
              <w:rPr>
                <w:sz w:val="15"/>
                <w:szCs w:val="15"/>
                <w:color w:val="auto"/>
              </w:rPr>
            </w:pPr>
          </w:p>
        </w:tc>
        <w:tc>
          <w:tcPr>
            <w:tcW w:w="2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640" w:type="dxa"/>
            <w:vAlign w:val="bottom"/>
            <w:tcBorders>
              <w:left w:val="single" w:sz="8" w:color="B6B6B6"/>
              <w:right w:val="single" w:sz="8" w:color="B6B6B6"/>
            </w:tcBorders>
          </w:tcPr>
          <w:p>
            <w:pPr>
              <w:spacing w:after="0"/>
              <w:rPr>
                <w:sz w:val="15"/>
                <w:szCs w:val="15"/>
                <w:color w:val="auto"/>
              </w:rPr>
            </w:pPr>
          </w:p>
        </w:tc>
        <w:tc>
          <w:tcPr>
            <w:tcW w:w="2820" w:type="dxa"/>
            <w:vAlign w:val="bottom"/>
            <w:tcBorders>
              <w:right w:val="single" w:sz="8" w:color="B6B6B6"/>
            </w:tcBorders>
          </w:tcPr>
          <w:p>
            <w:pPr>
              <w:ind w:left="20"/>
              <w:spacing w:after="0" w:line="178" w:lineRule="exact"/>
              <w:rPr>
                <w:sz w:val="20"/>
                <w:szCs w:val="20"/>
                <w:color w:val="auto"/>
              </w:rPr>
            </w:pPr>
            <w:r>
              <w:rPr>
                <w:rFonts w:ascii="Times New Roman" w:cs="Times New Roman" w:eastAsia="Times New Roman" w:hAnsi="Times New Roman"/>
                <w:sz w:val="18"/>
                <w:szCs w:val="18"/>
                <w:color w:val="auto"/>
              </w:rPr>
              <w:t>known as SOS, with renal or</w:t>
            </w:r>
          </w:p>
        </w:tc>
        <w:tc>
          <w:tcPr>
            <w:tcW w:w="2800" w:type="dxa"/>
            <w:vAlign w:val="bottom"/>
            <w:tcBorders>
              <w:right w:val="single" w:sz="8" w:color="B6B6B6"/>
            </w:tcBorders>
          </w:tcPr>
          <w:p>
            <w:pPr>
              <w:spacing w:after="0"/>
              <w:rPr>
                <w:sz w:val="15"/>
                <w:szCs w:val="15"/>
                <w:color w:val="auto"/>
              </w:rPr>
            </w:pPr>
          </w:p>
        </w:tc>
        <w:tc>
          <w:tcPr>
            <w:tcW w:w="2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640" w:type="dxa"/>
            <w:vAlign w:val="bottom"/>
            <w:tcBorders>
              <w:left w:val="single" w:sz="8" w:color="B6B6B6"/>
              <w:right w:val="single" w:sz="8" w:color="B6B6B6"/>
            </w:tcBorders>
          </w:tcPr>
          <w:p>
            <w:pPr>
              <w:spacing w:after="0"/>
              <w:rPr>
                <w:sz w:val="15"/>
                <w:szCs w:val="15"/>
                <w:color w:val="auto"/>
              </w:rPr>
            </w:pPr>
          </w:p>
        </w:tc>
        <w:tc>
          <w:tcPr>
            <w:tcW w:w="2820" w:type="dxa"/>
            <w:vAlign w:val="bottom"/>
            <w:tcBorders>
              <w:right w:val="single" w:sz="8" w:color="B6B6B6"/>
            </w:tcBorders>
          </w:tcPr>
          <w:p>
            <w:pPr>
              <w:ind w:left="20"/>
              <w:spacing w:after="0" w:line="173" w:lineRule="exact"/>
              <w:rPr>
                <w:sz w:val="20"/>
                <w:szCs w:val="20"/>
                <w:color w:val="auto"/>
              </w:rPr>
            </w:pPr>
            <w:r>
              <w:rPr>
                <w:rFonts w:ascii="Times New Roman" w:cs="Times New Roman" w:eastAsia="Times New Roman" w:hAnsi="Times New Roman"/>
                <w:sz w:val="18"/>
                <w:szCs w:val="18"/>
                <w:color w:val="auto"/>
              </w:rPr>
              <w:t>pulmonary dysfunction following</w:t>
            </w:r>
          </w:p>
        </w:tc>
        <w:tc>
          <w:tcPr>
            <w:tcW w:w="2800" w:type="dxa"/>
            <w:vAlign w:val="bottom"/>
            <w:tcBorders>
              <w:right w:val="single" w:sz="8" w:color="B6B6B6"/>
            </w:tcBorders>
          </w:tcPr>
          <w:p>
            <w:pPr>
              <w:spacing w:after="0"/>
              <w:rPr>
                <w:sz w:val="15"/>
                <w:szCs w:val="15"/>
                <w:color w:val="auto"/>
              </w:rPr>
            </w:pPr>
          </w:p>
        </w:tc>
        <w:tc>
          <w:tcPr>
            <w:tcW w:w="2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640" w:type="dxa"/>
            <w:vAlign w:val="bottom"/>
            <w:tcBorders>
              <w:left w:val="single" w:sz="8" w:color="B6B6B6"/>
              <w:bottom w:val="single" w:sz="8" w:color="B6B6B6"/>
              <w:right w:val="single" w:sz="8" w:color="B6B6B6"/>
            </w:tcBorders>
          </w:tcPr>
          <w:p>
            <w:pPr>
              <w:spacing w:after="0"/>
              <w:rPr>
                <w:sz w:val="20"/>
                <w:szCs w:val="20"/>
                <w:color w:val="auto"/>
              </w:rPr>
            </w:pPr>
          </w:p>
        </w:tc>
        <w:tc>
          <w:tcPr>
            <w:tcW w:w="2820" w:type="dxa"/>
            <w:vAlign w:val="bottom"/>
            <w:tcBorders>
              <w:bottom w:val="single" w:sz="8" w:color="B6B6B6"/>
              <w:right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HSCT.</w:t>
            </w:r>
          </w:p>
        </w:tc>
        <w:tc>
          <w:tcPr>
            <w:tcW w:w="2800" w:type="dxa"/>
            <w:vAlign w:val="bottom"/>
            <w:tcBorders>
              <w:bottom w:val="single" w:sz="8" w:color="B6B6B6"/>
              <w:right w:val="single" w:sz="8" w:color="B6B6B6"/>
            </w:tcBorders>
          </w:tcPr>
          <w:p>
            <w:pPr>
              <w:spacing w:after="0"/>
              <w:rPr>
                <w:sz w:val="20"/>
                <w:szCs w:val="20"/>
                <w:color w:val="auto"/>
              </w:rPr>
            </w:pPr>
          </w:p>
        </w:tc>
        <w:tc>
          <w:tcPr>
            <w:tcW w:w="2640" w:type="dxa"/>
            <w:vAlign w:val="bottom"/>
            <w:tcBorders>
              <w:bottom w:val="single" w:sz="8" w:color="B6B6B6"/>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2640" w:type="dxa"/>
            <w:vAlign w:val="bottom"/>
            <w:tcBorders>
              <w:left w:val="single" w:sz="8" w:color="B6B6B6"/>
              <w:right w:val="single" w:sz="8" w:color="B6B6B6"/>
            </w:tcBorders>
          </w:tcPr>
          <w:p>
            <w:pPr>
              <w:ind w:left="40"/>
              <w:spacing w:after="0" w:line="170" w:lineRule="exact"/>
              <w:rPr>
                <w:sz w:val="20"/>
                <w:szCs w:val="20"/>
                <w:color w:val="auto"/>
              </w:rPr>
            </w:pPr>
            <w:r>
              <w:rPr>
                <w:rFonts w:ascii="Times New Roman" w:cs="Times New Roman" w:eastAsia="Times New Roman" w:hAnsi="Times New Roman"/>
                <w:sz w:val="18"/>
                <w:szCs w:val="18"/>
                <w:color w:val="auto"/>
              </w:rPr>
              <w:t>Defitelio® (defibrotide sodium)</w:t>
            </w:r>
          </w:p>
        </w:tc>
        <w:tc>
          <w:tcPr>
            <w:tcW w:w="2820" w:type="dxa"/>
            <w:vAlign w:val="bottom"/>
            <w:tcBorders>
              <w:right w:val="single" w:sz="8" w:color="B6B6B6"/>
            </w:tcBorders>
          </w:tcPr>
          <w:p>
            <w:pPr>
              <w:ind w:left="20"/>
              <w:spacing w:after="0" w:line="170" w:lineRule="exact"/>
              <w:rPr>
                <w:sz w:val="20"/>
                <w:szCs w:val="20"/>
                <w:color w:val="auto"/>
              </w:rPr>
            </w:pPr>
            <w:r>
              <w:rPr>
                <w:rFonts w:ascii="Times New Roman" w:cs="Times New Roman" w:eastAsia="Times New Roman" w:hAnsi="Times New Roman"/>
                <w:sz w:val="18"/>
                <w:szCs w:val="18"/>
                <w:color w:val="auto"/>
              </w:rPr>
              <w:t>Treatment of severe hepatic VOD,</w:t>
            </w:r>
          </w:p>
        </w:tc>
        <w:tc>
          <w:tcPr>
            <w:tcW w:w="2800" w:type="dxa"/>
            <w:vAlign w:val="bottom"/>
            <w:tcBorders>
              <w:right w:val="single" w:sz="8" w:color="B6B6B6"/>
            </w:tcBorders>
          </w:tcPr>
          <w:p>
            <w:pPr>
              <w:spacing w:after="0" w:line="170" w:lineRule="exact"/>
              <w:rPr>
                <w:sz w:val="20"/>
                <w:szCs w:val="20"/>
                <w:color w:val="auto"/>
              </w:rPr>
            </w:pPr>
            <w:r>
              <w:rPr>
                <w:rFonts w:ascii="Times New Roman" w:cs="Times New Roman" w:eastAsia="Times New Roman" w:hAnsi="Times New Roman"/>
                <w:sz w:val="18"/>
                <w:szCs w:val="18"/>
                <w:color w:val="auto"/>
              </w:rPr>
              <w:t>July 2017</w:t>
            </w:r>
          </w:p>
        </w:tc>
        <w:tc>
          <w:tcPr>
            <w:tcW w:w="264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Canada, Brazil</w:t>
            </w:r>
          </w:p>
        </w:tc>
        <w:tc>
          <w:tcPr>
            <w:tcW w:w="0" w:type="dxa"/>
            <w:vAlign w:val="bottom"/>
          </w:tcPr>
          <w:p>
            <w:pPr>
              <w:spacing w:after="0"/>
              <w:rPr>
                <w:sz w:val="1"/>
                <w:szCs w:val="1"/>
                <w:color w:val="auto"/>
              </w:rPr>
            </w:pPr>
          </w:p>
        </w:tc>
      </w:tr>
      <w:tr>
        <w:trPr>
          <w:trHeight w:val="181"/>
        </w:trPr>
        <w:tc>
          <w:tcPr>
            <w:tcW w:w="2640" w:type="dxa"/>
            <w:vAlign w:val="bottom"/>
            <w:tcBorders>
              <w:left w:val="single" w:sz="8" w:color="B6B6B6"/>
              <w:right w:val="single" w:sz="8" w:color="B6B6B6"/>
            </w:tcBorders>
          </w:tcPr>
          <w:p>
            <w:pPr>
              <w:spacing w:after="0"/>
              <w:rPr>
                <w:sz w:val="15"/>
                <w:szCs w:val="15"/>
                <w:color w:val="auto"/>
              </w:rPr>
            </w:pPr>
          </w:p>
        </w:tc>
        <w:tc>
          <w:tcPr>
            <w:tcW w:w="2820" w:type="dxa"/>
            <w:vAlign w:val="bottom"/>
            <w:tcBorders>
              <w:right w:val="single" w:sz="8" w:color="B6B6B6"/>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also known as SOS, following HSCT</w:t>
            </w:r>
          </w:p>
        </w:tc>
        <w:tc>
          <w:tcPr>
            <w:tcW w:w="2800" w:type="dxa"/>
            <w:vAlign w:val="bottom"/>
            <w:tcBorders>
              <w:right w:val="single" w:sz="8" w:color="B6B6B6"/>
            </w:tcBorders>
          </w:tcPr>
          <w:p>
            <w:pPr>
              <w:spacing w:after="0"/>
              <w:rPr>
                <w:sz w:val="15"/>
                <w:szCs w:val="15"/>
                <w:color w:val="auto"/>
              </w:rPr>
            </w:pPr>
          </w:p>
        </w:tc>
        <w:tc>
          <w:tcPr>
            <w:tcW w:w="2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640" w:type="dxa"/>
            <w:vAlign w:val="bottom"/>
            <w:tcBorders>
              <w:left w:val="single" w:sz="8" w:color="B6B6B6"/>
              <w:bottom w:val="single" w:sz="8" w:color="B6B6B6"/>
              <w:right w:val="single" w:sz="8" w:color="B6B6B6"/>
            </w:tcBorders>
          </w:tcPr>
          <w:p>
            <w:pPr>
              <w:spacing w:after="0"/>
              <w:rPr>
                <w:sz w:val="20"/>
                <w:szCs w:val="20"/>
                <w:color w:val="auto"/>
              </w:rPr>
            </w:pPr>
          </w:p>
        </w:tc>
        <w:tc>
          <w:tcPr>
            <w:tcW w:w="2820" w:type="dxa"/>
            <w:vAlign w:val="bottom"/>
            <w:tcBorders>
              <w:bottom w:val="single" w:sz="8" w:color="B6B6B6"/>
              <w:right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therapy.</w:t>
            </w:r>
          </w:p>
        </w:tc>
        <w:tc>
          <w:tcPr>
            <w:tcW w:w="2800" w:type="dxa"/>
            <w:vAlign w:val="bottom"/>
            <w:tcBorders>
              <w:bottom w:val="single" w:sz="8" w:color="B6B6B6"/>
              <w:right w:val="single" w:sz="8" w:color="B6B6B6"/>
            </w:tcBorders>
          </w:tcPr>
          <w:p>
            <w:pPr>
              <w:spacing w:after="0"/>
              <w:rPr>
                <w:sz w:val="20"/>
                <w:szCs w:val="20"/>
                <w:color w:val="auto"/>
              </w:rPr>
            </w:pPr>
          </w:p>
        </w:tc>
        <w:tc>
          <w:tcPr>
            <w:tcW w:w="2640" w:type="dxa"/>
            <w:vAlign w:val="bottom"/>
            <w:tcBorders>
              <w:bottom w:val="single" w:sz="8" w:color="B6B6B6"/>
            </w:tcBorders>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2640" w:type="dxa"/>
            <w:vAlign w:val="bottom"/>
            <w:tcBorders>
              <w:left w:val="single" w:sz="8" w:color="B6B6B6"/>
              <w:right w:val="single" w:sz="8" w:color="B6B6B6"/>
            </w:tcBorders>
          </w:tcPr>
          <w:p>
            <w:pPr>
              <w:ind w:left="40"/>
              <w:spacing w:after="0" w:line="166" w:lineRule="exact"/>
              <w:rPr>
                <w:sz w:val="20"/>
                <w:szCs w:val="20"/>
                <w:color w:val="auto"/>
              </w:rPr>
            </w:pPr>
            <w:r>
              <w:rPr>
                <w:rFonts w:ascii="Times New Roman" w:cs="Times New Roman" w:eastAsia="Times New Roman" w:hAnsi="Times New Roman"/>
                <w:sz w:val="18"/>
                <w:szCs w:val="18"/>
                <w:color w:val="auto"/>
              </w:rPr>
              <w:t>Defitelio® (defibrotide)</w:t>
            </w:r>
          </w:p>
        </w:tc>
        <w:tc>
          <w:tcPr>
            <w:tcW w:w="2820" w:type="dxa"/>
            <w:vAlign w:val="bottom"/>
            <w:tcBorders>
              <w:right w:val="single" w:sz="8" w:color="B6B6B6"/>
            </w:tcBorders>
          </w:tcPr>
          <w:p>
            <w:pPr>
              <w:ind w:left="20"/>
              <w:spacing w:after="0" w:line="166" w:lineRule="exact"/>
              <w:rPr>
                <w:sz w:val="20"/>
                <w:szCs w:val="20"/>
                <w:color w:val="auto"/>
              </w:rPr>
            </w:pPr>
            <w:r>
              <w:rPr>
                <w:rFonts w:ascii="Times New Roman" w:cs="Times New Roman" w:eastAsia="Times New Roman" w:hAnsi="Times New Roman"/>
                <w:sz w:val="18"/>
                <w:szCs w:val="18"/>
                <w:color w:val="auto"/>
              </w:rPr>
              <w:t>Treatment of hepatic SOS (hepatic</w:t>
            </w:r>
          </w:p>
        </w:tc>
        <w:tc>
          <w:tcPr>
            <w:tcW w:w="2800" w:type="dxa"/>
            <w:vAlign w:val="bottom"/>
            <w:tcBorders>
              <w:right w:val="single" w:sz="8" w:color="B6B6B6"/>
            </w:tcBorders>
          </w:tcPr>
          <w:p>
            <w:pPr>
              <w:spacing w:after="0" w:line="166" w:lineRule="exact"/>
              <w:rPr>
                <w:sz w:val="20"/>
                <w:szCs w:val="20"/>
                <w:color w:val="auto"/>
              </w:rPr>
            </w:pPr>
            <w:r>
              <w:rPr>
                <w:rFonts w:ascii="Times New Roman" w:cs="Times New Roman" w:eastAsia="Times New Roman" w:hAnsi="Times New Roman"/>
                <w:sz w:val="18"/>
                <w:szCs w:val="18"/>
                <w:color w:val="auto"/>
              </w:rPr>
              <w:t>June 2019</w:t>
            </w:r>
          </w:p>
        </w:tc>
        <w:tc>
          <w:tcPr>
            <w:tcW w:w="2640" w:type="dxa"/>
            <w:vAlign w:val="bottom"/>
          </w:tcPr>
          <w:p>
            <w:pPr>
              <w:ind w:left="20"/>
              <w:spacing w:after="0" w:line="166" w:lineRule="exact"/>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36"/>
        </w:trPr>
        <w:tc>
          <w:tcPr>
            <w:tcW w:w="2640" w:type="dxa"/>
            <w:vAlign w:val="bottom"/>
            <w:tcBorders>
              <w:left w:val="single" w:sz="8" w:color="B6B6B6"/>
              <w:bottom w:val="single" w:sz="8" w:color="B6B6B6"/>
              <w:right w:val="single" w:sz="8" w:color="B6B6B6"/>
            </w:tcBorders>
          </w:tcPr>
          <w:p>
            <w:pPr>
              <w:spacing w:after="0"/>
              <w:rPr>
                <w:sz w:val="20"/>
                <w:szCs w:val="20"/>
                <w:color w:val="auto"/>
              </w:rPr>
            </w:pPr>
          </w:p>
        </w:tc>
        <w:tc>
          <w:tcPr>
            <w:tcW w:w="2820" w:type="dxa"/>
            <w:vAlign w:val="bottom"/>
            <w:tcBorders>
              <w:bottom w:val="single" w:sz="8" w:color="B6B6B6"/>
              <w:right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VOD).</w:t>
            </w:r>
          </w:p>
        </w:tc>
        <w:tc>
          <w:tcPr>
            <w:tcW w:w="2800" w:type="dxa"/>
            <w:vAlign w:val="bottom"/>
            <w:tcBorders>
              <w:bottom w:val="single" w:sz="8" w:color="B6B6B6"/>
              <w:right w:val="single" w:sz="8" w:color="B6B6B6"/>
            </w:tcBorders>
          </w:tcPr>
          <w:p>
            <w:pPr>
              <w:spacing w:after="0"/>
              <w:rPr>
                <w:sz w:val="20"/>
                <w:szCs w:val="20"/>
                <w:color w:val="auto"/>
              </w:rPr>
            </w:pPr>
          </w:p>
        </w:tc>
        <w:tc>
          <w:tcPr>
            <w:tcW w:w="2640" w:type="dxa"/>
            <w:vAlign w:val="bottom"/>
            <w:tcBorders>
              <w:bottom w:val="single" w:sz="8" w:color="B6B6B6"/>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2640" w:type="dxa"/>
            <w:vAlign w:val="bottom"/>
            <w:tcBorders>
              <w:left w:val="single" w:sz="8" w:color="B6B6B6"/>
              <w:right w:val="single" w:sz="8" w:color="B6B6B6"/>
            </w:tcBorders>
            <w:shd w:val="clear" w:color="auto" w:fill="CCEEFF"/>
          </w:tcPr>
          <w:p>
            <w:pPr>
              <w:ind w:left="40"/>
              <w:spacing w:after="0" w:line="170" w:lineRule="exact"/>
              <w:rPr>
                <w:sz w:val="20"/>
                <w:szCs w:val="20"/>
                <w:color w:val="auto"/>
              </w:rPr>
            </w:pPr>
            <w:r>
              <w:rPr>
                <w:rFonts w:ascii="Times New Roman" w:cs="Times New Roman" w:eastAsia="Times New Roman" w:hAnsi="Times New Roman"/>
                <w:sz w:val="18"/>
                <w:szCs w:val="18"/>
                <w:color w:val="auto"/>
              </w:rPr>
              <w:t>Vyxeos® (daunorubicin and</w:t>
            </w:r>
          </w:p>
        </w:tc>
        <w:tc>
          <w:tcPr>
            <w:tcW w:w="2820" w:type="dxa"/>
            <w:vAlign w:val="bottom"/>
            <w:tcBorders>
              <w:right w:val="single" w:sz="8" w:color="B6B6B6"/>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Treatment of newly-diagnosed</w:t>
            </w:r>
          </w:p>
        </w:tc>
        <w:tc>
          <w:tcPr>
            <w:tcW w:w="2800" w:type="dxa"/>
            <w:vAlign w:val="bottom"/>
            <w:tcBorders>
              <w:right w:val="single" w:sz="8" w:color="B6B6B6"/>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August 2017</w:t>
            </w:r>
          </w:p>
        </w:tc>
        <w:tc>
          <w:tcPr>
            <w:tcW w:w="264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U.S.</w:t>
            </w:r>
          </w:p>
        </w:tc>
        <w:tc>
          <w:tcPr>
            <w:tcW w:w="0" w:type="dxa"/>
            <w:vAlign w:val="bottom"/>
          </w:tcPr>
          <w:p>
            <w:pPr>
              <w:spacing w:after="0"/>
              <w:rPr>
                <w:sz w:val="1"/>
                <w:szCs w:val="1"/>
                <w:color w:val="auto"/>
              </w:rPr>
            </w:pPr>
          </w:p>
        </w:tc>
      </w:tr>
      <w:tr>
        <w:trPr>
          <w:trHeight w:val="181"/>
        </w:trPr>
        <w:tc>
          <w:tcPr>
            <w:tcW w:w="2640" w:type="dxa"/>
            <w:vAlign w:val="bottom"/>
            <w:tcBorders>
              <w:left w:val="single" w:sz="8" w:color="B6B6B6"/>
              <w:right w:val="single" w:sz="8" w:color="B6B6B6"/>
            </w:tcBorders>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cytarabine) liposome for injection</w:t>
            </w:r>
          </w:p>
        </w:tc>
        <w:tc>
          <w:tcPr>
            <w:tcW w:w="2820" w:type="dxa"/>
            <w:vAlign w:val="bottom"/>
            <w:tcBorders>
              <w:right w:val="single" w:sz="8" w:color="B6B6B6"/>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therapy-related acute myeloid</w:t>
            </w:r>
          </w:p>
        </w:tc>
        <w:tc>
          <w:tcPr>
            <w:tcW w:w="2800" w:type="dxa"/>
            <w:vAlign w:val="bottom"/>
            <w:tcBorders>
              <w:right w:val="single" w:sz="8" w:color="B6B6B6"/>
            </w:tcBorders>
            <w:shd w:val="clear" w:color="auto" w:fill="CCEEFF"/>
          </w:tcPr>
          <w:p>
            <w:pPr>
              <w:spacing w:after="0"/>
              <w:rPr>
                <w:sz w:val="15"/>
                <w:szCs w:val="15"/>
                <w:color w:val="auto"/>
              </w:rPr>
            </w:pPr>
          </w:p>
        </w:tc>
        <w:tc>
          <w:tcPr>
            <w:tcW w:w="2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640" w:type="dxa"/>
            <w:vAlign w:val="bottom"/>
            <w:tcBorders>
              <w:left w:val="single" w:sz="8" w:color="B6B6B6"/>
              <w:right w:val="single" w:sz="8" w:color="B6B6B6"/>
            </w:tcBorders>
            <w:shd w:val="clear" w:color="auto" w:fill="CCEEFF"/>
          </w:tcPr>
          <w:p>
            <w:pPr>
              <w:spacing w:after="0"/>
              <w:rPr>
                <w:sz w:val="15"/>
                <w:szCs w:val="15"/>
                <w:color w:val="auto"/>
              </w:rPr>
            </w:pPr>
          </w:p>
        </w:tc>
        <w:tc>
          <w:tcPr>
            <w:tcW w:w="2820" w:type="dxa"/>
            <w:vAlign w:val="bottom"/>
            <w:tcBorders>
              <w:right w:val="single" w:sz="8" w:color="B6B6B6"/>
            </w:tcBorders>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leukemia, or t-AML, or AML with</w:t>
            </w:r>
          </w:p>
        </w:tc>
        <w:tc>
          <w:tcPr>
            <w:tcW w:w="2800" w:type="dxa"/>
            <w:vAlign w:val="bottom"/>
            <w:tcBorders>
              <w:right w:val="single" w:sz="8" w:color="B6B6B6"/>
            </w:tcBorders>
            <w:shd w:val="clear" w:color="auto" w:fill="CCEEFF"/>
          </w:tcPr>
          <w:p>
            <w:pPr>
              <w:spacing w:after="0"/>
              <w:rPr>
                <w:sz w:val="15"/>
                <w:szCs w:val="15"/>
                <w:color w:val="auto"/>
              </w:rPr>
            </w:pPr>
          </w:p>
        </w:tc>
        <w:tc>
          <w:tcPr>
            <w:tcW w:w="2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640" w:type="dxa"/>
            <w:vAlign w:val="bottom"/>
            <w:tcBorders>
              <w:left w:val="single" w:sz="8" w:color="B6B6B6"/>
              <w:right w:val="single" w:sz="8" w:color="B6B6B6"/>
            </w:tcBorders>
            <w:shd w:val="clear" w:color="auto" w:fill="CCEEFF"/>
          </w:tcPr>
          <w:p>
            <w:pPr>
              <w:spacing w:after="0"/>
              <w:rPr>
                <w:sz w:val="15"/>
                <w:szCs w:val="15"/>
                <w:color w:val="auto"/>
              </w:rPr>
            </w:pPr>
          </w:p>
        </w:tc>
        <w:tc>
          <w:tcPr>
            <w:tcW w:w="2820" w:type="dxa"/>
            <w:vAlign w:val="bottom"/>
            <w:tcBorders>
              <w:right w:val="single" w:sz="8" w:color="B6B6B6"/>
            </w:tcBorders>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myelodysplasia-related changes, or</w:t>
            </w:r>
          </w:p>
        </w:tc>
        <w:tc>
          <w:tcPr>
            <w:tcW w:w="2800" w:type="dxa"/>
            <w:vAlign w:val="bottom"/>
            <w:tcBorders>
              <w:right w:val="single" w:sz="8" w:color="B6B6B6"/>
            </w:tcBorders>
            <w:shd w:val="clear" w:color="auto" w:fill="CCEEFF"/>
          </w:tcPr>
          <w:p>
            <w:pPr>
              <w:spacing w:after="0"/>
              <w:rPr>
                <w:sz w:val="15"/>
                <w:szCs w:val="15"/>
                <w:color w:val="auto"/>
              </w:rPr>
            </w:pPr>
          </w:p>
        </w:tc>
        <w:tc>
          <w:tcPr>
            <w:tcW w:w="2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40" w:type="dxa"/>
            <w:vAlign w:val="bottom"/>
            <w:tcBorders>
              <w:left w:val="single" w:sz="8" w:color="B6B6B6"/>
              <w:right w:val="single" w:sz="8" w:color="B6B6B6"/>
            </w:tcBorders>
            <w:shd w:val="clear" w:color="auto" w:fill="CCEEFF"/>
          </w:tcPr>
          <w:p>
            <w:pPr>
              <w:spacing w:after="0"/>
              <w:rPr>
                <w:sz w:val="15"/>
                <w:szCs w:val="15"/>
                <w:color w:val="auto"/>
              </w:rPr>
            </w:pPr>
          </w:p>
        </w:tc>
        <w:tc>
          <w:tcPr>
            <w:tcW w:w="2820" w:type="dxa"/>
            <w:vAlign w:val="bottom"/>
            <w:tcBorders>
              <w:right w:val="single" w:sz="8" w:color="B6B6B6"/>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AML-MRC, in adults and pediatric</w:t>
            </w:r>
          </w:p>
        </w:tc>
        <w:tc>
          <w:tcPr>
            <w:tcW w:w="2800" w:type="dxa"/>
            <w:vAlign w:val="bottom"/>
            <w:tcBorders>
              <w:right w:val="single" w:sz="8" w:color="B6B6B6"/>
            </w:tcBorders>
            <w:shd w:val="clear" w:color="auto" w:fill="CCEEFF"/>
          </w:tcPr>
          <w:p>
            <w:pPr>
              <w:spacing w:after="0"/>
              <w:rPr>
                <w:sz w:val="15"/>
                <w:szCs w:val="15"/>
                <w:color w:val="auto"/>
              </w:rPr>
            </w:pPr>
          </w:p>
        </w:tc>
        <w:tc>
          <w:tcPr>
            <w:tcW w:w="2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640" w:type="dxa"/>
            <w:vAlign w:val="bottom"/>
            <w:tcBorders>
              <w:left w:val="single" w:sz="8" w:color="B6B6B6"/>
              <w:bottom w:val="single" w:sz="8" w:color="B6B6B6"/>
              <w:right w:val="single" w:sz="8" w:color="B6B6B6"/>
            </w:tcBorders>
            <w:shd w:val="clear" w:color="auto" w:fill="CCEEFF"/>
          </w:tcPr>
          <w:p>
            <w:pPr>
              <w:spacing w:after="0"/>
              <w:rPr>
                <w:sz w:val="20"/>
                <w:szCs w:val="20"/>
                <w:color w:val="auto"/>
              </w:rPr>
            </w:pPr>
          </w:p>
        </w:tc>
        <w:tc>
          <w:tcPr>
            <w:tcW w:w="2820" w:type="dxa"/>
            <w:vAlign w:val="bottom"/>
            <w:tcBorders>
              <w:bottom w:val="single" w:sz="8" w:color="B6B6B6"/>
              <w:right w:val="single" w:sz="8" w:color="B6B6B6"/>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patients one year and older.</w:t>
            </w:r>
          </w:p>
        </w:tc>
        <w:tc>
          <w:tcPr>
            <w:tcW w:w="2800" w:type="dxa"/>
            <w:vAlign w:val="bottom"/>
            <w:tcBorders>
              <w:bottom w:val="single" w:sz="8" w:color="B6B6B6"/>
              <w:right w:val="single" w:sz="8" w:color="B6B6B6"/>
            </w:tcBorders>
            <w:shd w:val="clear" w:color="auto" w:fill="CCEEFF"/>
          </w:tcPr>
          <w:p>
            <w:pPr>
              <w:spacing w:after="0"/>
              <w:rPr>
                <w:sz w:val="20"/>
                <w:szCs w:val="20"/>
                <w:color w:val="auto"/>
              </w:rPr>
            </w:pPr>
          </w:p>
        </w:tc>
        <w:tc>
          <w:tcPr>
            <w:tcW w:w="2640" w:type="dxa"/>
            <w:vAlign w:val="bottom"/>
            <w:tcBorders>
              <w:bottom w:val="single" w:sz="8" w:color="B6B6B6"/>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2640" w:type="dxa"/>
            <w:vAlign w:val="bottom"/>
            <w:tcBorders>
              <w:left w:val="single" w:sz="8" w:color="B6B6B6"/>
              <w:right w:val="single" w:sz="8" w:color="B6B6B6"/>
            </w:tcBorders>
            <w:shd w:val="clear" w:color="auto" w:fill="CCEEFF"/>
          </w:tcPr>
          <w:p>
            <w:pPr>
              <w:ind w:left="40"/>
              <w:spacing w:after="0" w:line="166" w:lineRule="exact"/>
              <w:rPr>
                <w:sz w:val="20"/>
                <w:szCs w:val="20"/>
                <w:color w:val="auto"/>
              </w:rPr>
            </w:pPr>
            <w:r>
              <w:rPr>
                <w:rFonts w:ascii="Times New Roman" w:cs="Times New Roman" w:eastAsia="Times New Roman" w:hAnsi="Times New Roman"/>
                <w:sz w:val="18"/>
                <w:szCs w:val="18"/>
                <w:color w:val="auto"/>
              </w:rPr>
              <w:t>Vyxeos® liposomal</w:t>
            </w:r>
          </w:p>
        </w:tc>
        <w:tc>
          <w:tcPr>
            <w:tcW w:w="2820" w:type="dxa"/>
            <w:vAlign w:val="bottom"/>
            <w:tcBorders>
              <w:right w:val="single" w:sz="8" w:color="B6B6B6"/>
            </w:tcBorders>
            <w:shd w:val="clear" w:color="auto" w:fill="CCEEFF"/>
          </w:tcPr>
          <w:p>
            <w:pPr>
              <w:ind w:left="20"/>
              <w:spacing w:after="0" w:line="166" w:lineRule="exact"/>
              <w:rPr>
                <w:sz w:val="20"/>
                <w:szCs w:val="20"/>
                <w:color w:val="auto"/>
              </w:rPr>
            </w:pPr>
            <w:r>
              <w:rPr>
                <w:rFonts w:ascii="Times New Roman" w:cs="Times New Roman" w:eastAsia="Times New Roman" w:hAnsi="Times New Roman"/>
                <w:sz w:val="18"/>
                <w:szCs w:val="18"/>
                <w:color w:val="auto"/>
              </w:rPr>
              <w:t>Treatment of adults with newly-</w:t>
            </w:r>
          </w:p>
        </w:tc>
        <w:tc>
          <w:tcPr>
            <w:tcW w:w="2800" w:type="dxa"/>
            <w:vAlign w:val="bottom"/>
            <w:tcBorders>
              <w:right w:val="single" w:sz="8" w:color="B6B6B6"/>
            </w:tcBorders>
            <w:shd w:val="clear" w:color="auto" w:fill="CCEEFF"/>
          </w:tcPr>
          <w:p>
            <w:pPr>
              <w:spacing w:after="0" w:line="166" w:lineRule="exact"/>
              <w:rPr>
                <w:sz w:val="20"/>
                <w:szCs w:val="20"/>
                <w:color w:val="auto"/>
              </w:rPr>
            </w:pPr>
            <w:r>
              <w:rPr>
                <w:rFonts w:ascii="Times New Roman" w:cs="Times New Roman" w:eastAsia="Times New Roman" w:hAnsi="Times New Roman"/>
                <w:sz w:val="18"/>
                <w:szCs w:val="18"/>
                <w:color w:val="auto"/>
              </w:rPr>
              <w:t>August 2018</w:t>
            </w:r>
          </w:p>
        </w:tc>
        <w:tc>
          <w:tcPr>
            <w:tcW w:w="2640" w:type="dxa"/>
            <w:vAlign w:val="bottom"/>
            <w:shd w:val="clear" w:color="auto" w:fill="CCEEFF"/>
          </w:tcPr>
          <w:p>
            <w:pPr>
              <w:ind w:left="20"/>
              <w:spacing w:after="0" w:line="166" w:lineRule="exact"/>
              <w:rPr>
                <w:sz w:val="20"/>
                <w:szCs w:val="20"/>
                <w:color w:val="auto"/>
              </w:rPr>
            </w:pPr>
            <w:r>
              <w:rPr>
                <w:rFonts w:ascii="Times New Roman" w:cs="Times New Roman" w:eastAsia="Times New Roman" w:hAnsi="Times New Roman"/>
                <w:sz w:val="18"/>
                <w:szCs w:val="18"/>
                <w:color w:val="auto"/>
                <w:w w:val="97"/>
              </w:rPr>
              <w:t>EU, Great Britain, Switzerland, Israe</w:t>
            </w:r>
          </w:p>
        </w:tc>
        <w:tc>
          <w:tcPr>
            <w:tcW w:w="0" w:type="dxa"/>
            <w:vAlign w:val="bottom"/>
          </w:tcPr>
          <w:p>
            <w:pPr>
              <w:spacing w:after="0"/>
              <w:rPr>
                <w:sz w:val="1"/>
                <w:szCs w:val="1"/>
                <w:color w:val="auto"/>
              </w:rPr>
            </w:pPr>
          </w:p>
        </w:tc>
      </w:tr>
      <w:tr>
        <w:trPr>
          <w:trHeight w:val="181"/>
        </w:trPr>
        <w:tc>
          <w:tcPr>
            <w:tcW w:w="2640" w:type="dxa"/>
            <w:vAlign w:val="bottom"/>
            <w:tcBorders>
              <w:left w:val="single" w:sz="8" w:color="B6B6B6"/>
              <w:right w:val="single" w:sz="8" w:color="B6B6B6"/>
            </w:tcBorders>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44 mg/100 mg powder for</w:t>
            </w:r>
          </w:p>
        </w:tc>
        <w:tc>
          <w:tcPr>
            <w:tcW w:w="2820" w:type="dxa"/>
            <w:vAlign w:val="bottom"/>
            <w:tcBorders>
              <w:right w:val="single" w:sz="8" w:color="B6B6B6"/>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diagnosed t-AML or AML-MRC.</w:t>
            </w:r>
          </w:p>
        </w:tc>
        <w:tc>
          <w:tcPr>
            <w:tcW w:w="2800" w:type="dxa"/>
            <w:vAlign w:val="bottom"/>
            <w:tcBorders>
              <w:right w:val="single" w:sz="8" w:color="B6B6B6"/>
            </w:tcBorders>
            <w:shd w:val="clear" w:color="auto" w:fill="CCEEFF"/>
          </w:tcPr>
          <w:p>
            <w:pPr>
              <w:spacing w:after="0"/>
              <w:rPr>
                <w:sz w:val="15"/>
                <w:szCs w:val="15"/>
                <w:color w:val="auto"/>
              </w:rPr>
            </w:pPr>
          </w:p>
        </w:tc>
        <w:tc>
          <w:tcPr>
            <w:tcW w:w="264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w w:val="96"/>
              </w:rPr>
              <w:t>Australia, South Korea, Saudi Arabia</w:t>
            </w:r>
          </w:p>
        </w:tc>
        <w:tc>
          <w:tcPr>
            <w:tcW w:w="0" w:type="dxa"/>
            <w:vAlign w:val="bottom"/>
          </w:tcPr>
          <w:p>
            <w:pPr>
              <w:spacing w:after="0"/>
              <w:rPr>
                <w:sz w:val="1"/>
                <w:szCs w:val="1"/>
                <w:color w:val="auto"/>
              </w:rPr>
            </w:pPr>
          </w:p>
        </w:tc>
      </w:tr>
      <w:tr>
        <w:trPr>
          <w:trHeight w:val="231"/>
        </w:trPr>
        <w:tc>
          <w:tcPr>
            <w:tcW w:w="2640" w:type="dxa"/>
            <w:vAlign w:val="bottom"/>
            <w:tcBorders>
              <w:left w:val="single" w:sz="8" w:color="B6B6B6"/>
              <w:bottom w:val="single" w:sz="8" w:color="B6B6B6"/>
              <w:right w:val="single" w:sz="8" w:color="B6B6B6"/>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8"/>
              </w:rPr>
              <w:t>concentrate for solution for infusion</w:t>
            </w:r>
          </w:p>
        </w:tc>
        <w:tc>
          <w:tcPr>
            <w:tcW w:w="2820" w:type="dxa"/>
            <w:vAlign w:val="bottom"/>
            <w:tcBorders>
              <w:bottom w:val="single" w:sz="8" w:color="B6B6B6"/>
              <w:right w:val="single" w:sz="8" w:color="B6B6B6"/>
            </w:tcBorders>
            <w:shd w:val="clear" w:color="auto" w:fill="CCEEFF"/>
          </w:tcPr>
          <w:p>
            <w:pPr>
              <w:spacing w:after="0"/>
              <w:rPr>
                <w:sz w:val="20"/>
                <w:szCs w:val="20"/>
                <w:color w:val="auto"/>
              </w:rPr>
            </w:pPr>
          </w:p>
        </w:tc>
        <w:tc>
          <w:tcPr>
            <w:tcW w:w="2800" w:type="dxa"/>
            <w:vAlign w:val="bottom"/>
            <w:tcBorders>
              <w:bottom w:val="single" w:sz="8" w:color="B6B6B6"/>
              <w:right w:val="single" w:sz="8" w:color="B6B6B6"/>
            </w:tcBorders>
            <w:shd w:val="clear" w:color="auto" w:fill="CCEEFF"/>
          </w:tcPr>
          <w:p>
            <w:pPr>
              <w:spacing w:after="0"/>
              <w:rPr>
                <w:sz w:val="20"/>
                <w:szCs w:val="20"/>
                <w:color w:val="auto"/>
              </w:rPr>
            </w:pPr>
          </w:p>
        </w:tc>
        <w:tc>
          <w:tcPr>
            <w:tcW w:w="2640" w:type="dxa"/>
            <w:vAlign w:val="bottom"/>
            <w:tcBorders>
              <w:bottom w:val="single" w:sz="8" w:color="B6B6B6"/>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2640" w:type="dxa"/>
            <w:vAlign w:val="bottom"/>
            <w:tcBorders>
              <w:left w:val="single" w:sz="8" w:color="B6B6B6"/>
              <w:right w:val="single" w:sz="8" w:color="B6B6B6"/>
            </w:tcBorders>
            <w:shd w:val="clear" w:color="auto" w:fill="CCEEFF"/>
          </w:tcPr>
          <w:p>
            <w:pPr>
              <w:ind w:left="40"/>
              <w:spacing w:after="0" w:line="166" w:lineRule="exact"/>
              <w:rPr>
                <w:sz w:val="20"/>
                <w:szCs w:val="20"/>
                <w:color w:val="auto"/>
              </w:rPr>
            </w:pPr>
            <w:r>
              <w:rPr>
                <w:rFonts w:ascii="Times New Roman" w:cs="Times New Roman" w:eastAsia="Times New Roman" w:hAnsi="Times New Roman"/>
                <w:sz w:val="18"/>
                <w:szCs w:val="18"/>
                <w:color w:val="auto"/>
              </w:rPr>
              <w:t>Vyxeos® Daunorubicin and</w:t>
            </w:r>
          </w:p>
        </w:tc>
        <w:tc>
          <w:tcPr>
            <w:tcW w:w="2820" w:type="dxa"/>
            <w:vAlign w:val="bottom"/>
            <w:tcBorders>
              <w:right w:val="single" w:sz="8" w:color="B6B6B6"/>
            </w:tcBorders>
            <w:shd w:val="clear" w:color="auto" w:fill="CCEEFF"/>
          </w:tcPr>
          <w:p>
            <w:pPr>
              <w:ind w:left="20"/>
              <w:spacing w:after="0" w:line="166" w:lineRule="exact"/>
              <w:rPr>
                <w:sz w:val="20"/>
                <w:szCs w:val="20"/>
                <w:color w:val="auto"/>
              </w:rPr>
            </w:pPr>
            <w:r>
              <w:rPr>
                <w:rFonts w:ascii="Times New Roman" w:cs="Times New Roman" w:eastAsia="Times New Roman" w:hAnsi="Times New Roman"/>
                <w:sz w:val="18"/>
                <w:szCs w:val="18"/>
                <w:color w:val="auto"/>
              </w:rPr>
              <w:t>Treatment of adults with newly</w:t>
            </w:r>
          </w:p>
        </w:tc>
        <w:tc>
          <w:tcPr>
            <w:tcW w:w="2800" w:type="dxa"/>
            <w:vAlign w:val="bottom"/>
            <w:tcBorders>
              <w:right w:val="single" w:sz="8" w:color="B6B6B6"/>
            </w:tcBorders>
            <w:shd w:val="clear" w:color="auto" w:fill="CCEEFF"/>
          </w:tcPr>
          <w:p>
            <w:pPr>
              <w:spacing w:after="0" w:line="166" w:lineRule="exact"/>
              <w:rPr>
                <w:sz w:val="20"/>
                <w:szCs w:val="20"/>
                <w:color w:val="auto"/>
              </w:rPr>
            </w:pPr>
            <w:r>
              <w:rPr>
                <w:rFonts w:ascii="Times New Roman" w:cs="Times New Roman" w:eastAsia="Times New Roman" w:hAnsi="Times New Roman"/>
                <w:sz w:val="18"/>
                <w:szCs w:val="18"/>
                <w:color w:val="auto"/>
              </w:rPr>
              <w:t>April 2021</w:t>
            </w:r>
          </w:p>
        </w:tc>
        <w:tc>
          <w:tcPr>
            <w:tcW w:w="2640" w:type="dxa"/>
            <w:vAlign w:val="bottom"/>
            <w:shd w:val="clear" w:color="auto" w:fill="CCEEFF"/>
          </w:tcPr>
          <w:p>
            <w:pPr>
              <w:ind w:left="20"/>
              <w:spacing w:after="0" w:line="166" w:lineRule="exact"/>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181"/>
        </w:trPr>
        <w:tc>
          <w:tcPr>
            <w:tcW w:w="2640" w:type="dxa"/>
            <w:vAlign w:val="bottom"/>
            <w:tcBorders>
              <w:left w:val="single" w:sz="8" w:color="B6B6B6"/>
              <w:right w:val="single" w:sz="8" w:color="B6B6B6"/>
            </w:tcBorders>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cytarabine liposome for injection</w:t>
            </w:r>
          </w:p>
        </w:tc>
        <w:tc>
          <w:tcPr>
            <w:tcW w:w="2820" w:type="dxa"/>
            <w:vAlign w:val="bottom"/>
            <w:tcBorders>
              <w:right w:val="single" w:sz="8" w:color="B6B6B6"/>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diagnosed therapy-related t-AML or</w:t>
            </w:r>
          </w:p>
        </w:tc>
        <w:tc>
          <w:tcPr>
            <w:tcW w:w="2800" w:type="dxa"/>
            <w:vAlign w:val="bottom"/>
            <w:tcBorders>
              <w:right w:val="single" w:sz="8" w:color="B6B6B6"/>
            </w:tcBorders>
            <w:shd w:val="clear" w:color="auto" w:fill="CCEEFF"/>
          </w:tcPr>
          <w:p>
            <w:pPr>
              <w:spacing w:after="0"/>
              <w:rPr>
                <w:sz w:val="15"/>
                <w:szCs w:val="15"/>
                <w:color w:val="auto"/>
              </w:rPr>
            </w:pPr>
          </w:p>
        </w:tc>
        <w:tc>
          <w:tcPr>
            <w:tcW w:w="2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640" w:type="dxa"/>
            <w:vAlign w:val="bottom"/>
            <w:tcBorders>
              <w:left w:val="single" w:sz="8" w:color="B6B6B6"/>
              <w:right w:val="single" w:sz="8" w:color="B6B6B6"/>
            </w:tcBorders>
            <w:shd w:val="clear" w:color="auto" w:fill="CCEEFF"/>
          </w:tcPr>
          <w:p>
            <w:pPr>
              <w:ind w:left="40"/>
              <w:spacing w:after="0" w:line="178" w:lineRule="exact"/>
              <w:rPr>
                <w:sz w:val="20"/>
                <w:szCs w:val="20"/>
                <w:color w:val="auto"/>
              </w:rPr>
            </w:pPr>
            <w:r>
              <w:rPr>
                <w:rFonts w:ascii="Times New Roman" w:cs="Times New Roman" w:eastAsia="Times New Roman" w:hAnsi="Times New Roman"/>
                <w:sz w:val="18"/>
                <w:szCs w:val="18"/>
                <w:color w:val="auto"/>
              </w:rPr>
              <w:t>Powder, 44 mg daunorubicin and</w:t>
            </w:r>
          </w:p>
        </w:tc>
        <w:tc>
          <w:tcPr>
            <w:tcW w:w="2820" w:type="dxa"/>
            <w:vAlign w:val="bottom"/>
            <w:tcBorders>
              <w:right w:val="single" w:sz="8" w:color="B6B6B6"/>
            </w:tcBorders>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AML with AML-MRC.</w:t>
            </w:r>
          </w:p>
        </w:tc>
        <w:tc>
          <w:tcPr>
            <w:tcW w:w="2800" w:type="dxa"/>
            <w:vAlign w:val="bottom"/>
            <w:tcBorders>
              <w:right w:val="single" w:sz="8" w:color="B6B6B6"/>
            </w:tcBorders>
            <w:shd w:val="clear" w:color="auto" w:fill="CCEEFF"/>
          </w:tcPr>
          <w:p>
            <w:pPr>
              <w:spacing w:after="0"/>
              <w:rPr>
                <w:sz w:val="15"/>
                <w:szCs w:val="15"/>
                <w:color w:val="auto"/>
              </w:rPr>
            </w:pPr>
          </w:p>
        </w:tc>
        <w:tc>
          <w:tcPr>
            <w:tcW w:w="2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640" w:type="dxa"/>
            <w:vAlign w:val="bottom"/>
            <w:tcBorders>
              <w:left w:val="single" w:sz="8" w:color="B6B6B6"/>
              <w:right w:val="single" w:sz="8" w:color="B6B6B6"/>
            </w:tcBorders>
            <w:shd w:val="clear" w:color="auto" w:fill="CCEEFF"/>
          </w:tcPr>
          <w:p>
            <w:pPr>
              <w:ind w:left="40"/>
              <w:spacing w:after="0" w:line="173" w:lineRule="exact"/>
              <w:rPr>
                <w:sz w:val="20"/>
                <w:szCs w:val="20"/>
                <w:color w:val="auto"/>
              </w:rPr>
            </w:pPr>
            <w:r>
              <w:rPr>
                <w:rFonts w:ascii="Times New Roman" w:cs="Times New Roman" w:eastAsia="Times New Roman" w:hAnsi="Times New Roman"/>
                <w:sz w:val="18"/>
                <w:szCs w:val="18"/>
                <w:color w:val="auto"/>
              </w:rPr>
              <w:t>100 mg cytarabine per vial,</w:t>
            </w:r>
          </w:p>
        </w:tc>
        <w:tc>
          <w:tcPr>
            <w:tcW w:w="2820" w:type="dxa"/>
            <w:vAlign w:val="bottom"/>
            <w:tcBorders>
              <w:right w:val="single" w:sz="8" w:color="B6B6B6"/>
            </w:tcBorders>
            <w:shd w:val="clear" w:color="auto" w:fill="CCEEFF"/>
          </w:tcPr>
          <w:p>
            <w:pPr>
              <w:spacing w:after="0"/>
              <w:rPr>
                <w:sz w:val="15"/>
                <w:szCs w:val="15"/>
                <w:color w:val="auto"/>
              </w:rPr>
            </w:pPr>
          </w:p>
        </w:tc>
        <w:tc>
          <w:tcPr>
            <w:tcW w:w="2800" w:type="dxa"/>
            <w:vAlign w:val="bottom"/>
            <w:tcBorders>
              <w:right w:val="single" w:sz="8" w:color="B6B6B6"/>
            </w:tcBorders>
            <w:shd w:val="clear" w:color="auto" w:fill="CCEEFF"/>
          </w:tcPr>
          <w:p>
            <w:pPr>
              <w:spacing w:after="0"/>
              <w:rPr>
                <w:sz w:val="15"/>
                <w:szCs w:val="15"/>
                <w:color w:val="auto"/>
              </w:rPr>
            </w:pPr>
          </w:p>
        </w:tc>
        <w:tc>
          <w:tcPr>
            <w:tcW w:w="2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640" w:type="dxa"/>
            <w:vAlign w:val="bottom"/>
            <w:tcBorders>
              <w:left w:val="single" w:sz="8" w:color="B6B6B6"/>
              <w:bottom w:val="single" w:sz="8" w:color="B6B6B6"/>
              <w:right w:val="single" w:sz="8" w:color="B6B6B6"/>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intravenous, or IV, infusion</w:t>
            </w:r>
          </w:p>
        </w:tc>
        <w:tc>
          <w:tcPr>
            <w:tcW w:w="2820" w:type="dxa"/>
            <w:vAlign w:val="bottom"/>
            <w:tcBorders>
              <w:bottom w:val="single" w:sz="8" w:color="B6B6B6"/>
              <w:right w:val="single" w:sz="8" w:color="B6B6B6"/>
            </w:tcBorders>
            <w:shd w:val="clear" w:color="auto" w:fill="CCEEFF"/>
          </w:tcPr>
          <w:p>
            <w:pPr>
              <w:spacing w:after="0"/>
              <w:rPr>
                <w:sz w:val="20"/>
                <w:szCs w:val="20"/>
                <w:color w:val="auto"/>
              </w:rPr>
            </w:pPr>
          </w:p>
        </w:tc>
        <w:tc>
          <w:tcPr>
            <w:tcW w:w="2800" w:type="dxa"/>
            <w:vAlign w:val="bottom"/>
            <w:tcBorders>
              <w:bottom w:val="single" w:sz="8" w:color="B6B6B6"/>
              <w:right w:val="single" w:sz="8" w:color="B6B6B6"/>
            </w:tcBorders>
            <w:shd w:val="clear" w:color="auto" w:fill="CCEEFF"/>
          </w:tcPr>
          <w:p>
            <w:pPr>
              <w:spacing w:after="0"/>
              <w:rPr>
                <w:sz w:val="20"/>
                <w:szCs w:val="20"/>
                <w:color w:val="auto"/>
              </w:rPr>
            </w:pPr>
          </w:p>
        </w:tc>
        <w:tc>
          <w:tcPr>
            <w:tcW w:w="2640" w:type="dxa"/>
            <w:vAlign w:val="bottom"/>
            <w:tcBorders>
              <w:bottom w:val="single" w:sz="8" w:color="B6B6B6"/>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clobazam restriction limited to EU and Great Britain</w:t>
      </w:r>
    </w:p>
    <w:p>
      <w:pPr>
        <w:spacing w:after="0" w:line="1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**European Economic Area</w:t>
      </w:r>
    </w:p>
    <w:p>
      <w:pPr>
        <w:spacing w:after="0" w:line="112" w:lineRule="exact"/>
        <w:rPr>
          <w:sz w:val="20"/>
          <w:szCs w:val="20"/>
          <w:color w:val="auto"/>
        </w:rPr>
      </w:pPr>
    </w:p>
    <w:p>
      <w:pPr>
        <w:ind w:left="440" w:right="4840"/>
        <w:spacing w:after="0" w:line="399" w:lineRule="auto"/>
        <w:rPr>
          <w:sz w:val="20"/>
          <w:szCs w:val="20"/>
          <w:color w:val="auto"/>
        </w:rPr>
      </w:pPr>
      <w:r>
        <w:rPr>
          <w:rFonts w:ascii="Times New Roman" w:cs="Times New Roman" w:eastAsia="Times New Roman" w:hAnsi="Times New Roman"/>
          <w:sz w:val="18"/>
          <w:szCs w:val="18"/>
          <w:color w:val="auto"/>
        </w:rPr>
        <w:t>***Accelerated approval received from U.S. Food and Drug Administration, or FDA ****Conditional approval received from Health Canada</w:t>
      </w:r>
    </w:p>
    <w:p>
      <w:pPr>
        <w:spacing w:after="0" w:line="39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Neuroscience</w:t>
      </w:r>
    </w:p>
    <w:p>
      <w:pPr>
        <w:spacing w:after="0" w:line="116" w:lineRule="exact"/>
        <w:rPr>
          <w:sz w:val="20"/>
          <w:szCs w:val="20"/>
          <w:color w:val="auto"/>
        </w:rPr>
      </w:pPr>
    </w:p>
    <w:p>
      <w:pPr>
        <w:ind w:firstLine="439"/>
        <w:spacing w:after="0" w:line="254" w:lineRule="auto"/>
        <w:rPr>
          <w:sz w:val="20"/>
          <w:szCs w:val="20"/>
          <w:color w:val="auto"/>
        </w:rPr>
      </w:pPr>
      <w:r>
        <w:rPr>
          <w:rFonts w:ascii="Times New Roman" w:cs="Times New Roman" w:eastAsia="Times New Roman" w:hAnsi="Times New Roman"/>
          <w:sz w:val="18"/>
          <w:szCs w:val="18"/>
          <w:color w:val="auto"/>
        </w:rPr>
        <w:t>We are the global leader in the development and commercialization of oxybate therapy for patients with sleep disorders. Xyrem was approved by FDA in 2002 for treatment of cataplexy and in 2005 for treatment of EDS in narcolepsy. In 2020, we received FDA approval for Xywav for the treatment of cataplexy or EDS, in patients seven years of age and older with narcolepsy. In August 2021, Xywav became the first and only therapy approved by FDA for the treatment of IH in adults. Xywav is an oxybate therapy that contains 92% less sodium than Xyrem. Xywav has become a standard of care for patients with narcolepsy and IH.</w:t>
      </w:r>
    </w:p>
    <w:p>
      <w:pPr>
        <w:spacing w:after="0" w:line="76" w:lineRule="exact"/>
        <w:rPr>
          <w:sz w:val="20"/>
          <w:szCs w:val="20"/>
          <w:color w:val="auto"/>
        </w:rPr>
      </w:pPr>
    </w:p>
    <w:p>
      <w:pPr>
        <w:ind w:right="20" w:firstLine="439"/>
        <w:spacing w:after="0" w:line="256" w:lineRule="auto"/>
        <w:rPr>
          <w:sz w:val="20"/>
          <w:szCs w:val="20"/>
          <w:color w:val="auto"/>
        </w:rPr>
      </w:pPr>
      <w:r>
        <w:rPr>
          <w:rFonts w:ascii="Times New Roman" w:cs="Times New Roman" w:eastAsia="Times New Roman" w:hAnsi="Times New Roman"/>
          <w:sz w:val="18"/>
          <w:szCs w:val="18"/>
          <w:color w:val="auto"/>
        </w:rPr>
        <w:t>Since there is no cure for narcolepsy and long-term disease management is needed, we believe that Xywav represents an important therapeutic option for patients with this sleep disorder. Our commercial efforts are focused on educating patients and physicians about the lifelong impact of high sodium intake, and how the use of Xywav enables them to address what is a modifiable risk factor. We view the adoption of Xywav in narcolepsy as a positive indication that physicians and patients appreciate the benefits of a low-sodium oxybate option.</w:t>
      </w:r>
    </w:p>
    <w:p>
      <w:pPr>
        <w:spacing w:after="0" w:line="75" w:lineRule="exact"/>
        <w:rPr>
          <w:sz w:val="20"/>
          <w:szCs w:val="20"/>
          <w:color w:val="auto"/>
        </w:rPr>
      </w:pPr>
    </w:p>
    <w:p>
      <w:pPr>
        <w:ind w:right="40" w:firstLine="439"/>
        <w:spacing w:after="0" w:line="250" w:lineRule="auto"/>
        <w:rPr>
          <w:sz w:val="20"/>
          <w:szCs w:val="20"/>
          <w:color w:val="auto"/>
        </w:rPr>
      </w:pPr>
      <w:r>
        <w:rPr>
          <w:rFonts w:ascii="Times New Roman" w:cs="Times New Roman" w:eastAsia="Times New Roman" w:hAnsi="Times New Roman"/>
          <w:sz w:val="18"/>
          <w:szCs w:val="18"/>
          <w:color w:val="auto"/>
        </w:rPr>
        <w:t>In June 2021, FDA recognized seven years of Orphan Drug Exclusivity, or ODE, for Xywav in narcolepsy. ODE extends through July 2027. Nevertheless, Lumryz, a fixed-dose, high-sodium oxybate, was approved by FDA on May 1, 2023 for the treatment of cataplexy or EDS in adults with narcolepsy. FDA continues to recognize seven years of ODE for Xywav in narcolepsy. In connection with granting ODE, FDA stated that "Xywav is clinically superior to Xyrem by means of greater safety because Xywav provides a greatly reduced chronic sodium burden compared to Xyrem.” FDA's summary also stated that "the differences in the sodium content of the two products at the recommended doses will be clinically meaningful in reducing cardiovascular morbidity in a substantial proportion of patients for whom the drug is indicated." FDA has also recognized that the difference in sodium content between Xywav and Lumryz is likely to be clinically meaningful in all patients with narcolepsy and that Xywav is safer than Lumryz in all such patients. Lumryz has the same sodium content as Xyrem. Xywav is the only approved oxybate therapy that does not carry a warning and precaution related to high sodium intake.</w:t>
      </w:r>
    </w:p>
    <w:p>
      <w:pPr>
        <w:spacing w:after="0" w:line="83" w:lineRule="exact"/>
        <w:rPr>
          <w:sz w:val="20"/>
          <w:szCs w:val="20"/>
          <w:color w:val="auto"/>
        </w:rPr>
      </w:pPr>
    </w:p>
    <w:p>
      <w:pPr>
        <w:ind w:right="60" w:firstLine="439"/>
        <w:spacing w:after="0" w:line="254" w:lineRule="auto"/>
        <w:rPr>
          <w:sz w:val="20"/>
          <w:szCs w:val="20"/>
          <w:color w:val="auto"/>
        </w:rPr>
      </w:pPr>
      <w:r>
        <w:rPr>
          <w:rFonts w:ascii="Times New Roman" w:cs="Times New Roman" w:eastAsia="Times New Roman" w:hAnsi="Times New Roman"/>
          <w:sz w:val="18"/>
          <w:szCs w:val="18"/>
          <w:color w:val="auto"/>
        </w:rPr>
        <w:t>On August 12, 2021, FDA approved Xywav for the treatment of IH in adults. Xywav remains the first and only FDA-approved therapy to treat IH. We initiated the U.S. commercial launch of Xywav for the treatment of IH in adults in November 2021. In January 2022, FDA recognized seven years of ODE for Xywav in IH that extends through August 2028. IH is a debilitating neurologic sleep disorder characterized by chronic EDS (the inability to stay awake and alert during the day resulting in the irrepressible need to sleep or unplanned lapses into sleep or drowsiness), severe sleep inertia, and prolonged and non-restorative nighttime sleep. An estimated 37,000 people in the U.S. have been diagnosed with IH and are actively seeking healthcare.</w:t>
      </w:r>
    </w:p>
    <w:p>
      <w:pPr>
        <w:spacing w:after="0" w:line="76" w:lineRule="exact"/>
        <w:rPr>
          <w:sz w:val="20"/>
          <w:szCs w:val="20"/>
          <w:color w:val="auto"/>
        </w:rPr>
      </w:pPr>
    </w:p>
    <w:p>
      <w:pPr>
        <w:ind w:right="80" w:firstLine="439"/>
        <w:spacing w:after="0" w:line="261" w:lineRule="auto"/>
        <w:rPr>
          <w:sz w:val="20"/>
          <w:szCs w:val="20"/>
          <w:color w:val="auto"/>
        </w:rPr>
      </w:pPr>
      <w:r>
        <w:rPr>
          <w:rFonts w:ascii="Times New Roman" w:cs="Times New Roman" w:eastAsia="Times New Roman" w:hAnsi="Times New Roman"/>
          <w:sz w:val="18"/>
          <w:szCs w:val="18"/>
          <w:color w:val="auto"/>
        </w:rPr>
        <w:t>We have agreements in place for Xywav with all three major pharmacy benefit managers, or PBMs, in the U.S. To date, we have entered into agreements with various entities and have achieved benefit coverage for Xywav in both narcolepsy and IH indications for approximately 90% of commercial lives.</w:t>
      </w:r>
    </w:p>
    <w:p>
      <w:pPr>
        <w:spacing w:after="0" w:line="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We have seen strong adoption of Xywav in narcolepsy since its launch in November 2020, and increasing adoption in IH since its launch in November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Exiting 2023, there were approximately 12,300 patients taking Xywav, including approximately 9,525 patients with narcolepsy and approximately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2,775 patients with IH.</w:t>
      </w:r>
    </w:p>
    <w:p>
      <w:pPr>
        <w:spacing w:after="0" w:line="93" w:lineRule="exact"/>
        <w:rPr>
          <w:sz w:val="20"/>
          <w:szCs w:val="20"/>
          <w:color w:val="auto"/>
        </w:rPr>
      </w:pPr>
    </w:p>
    <w:p>
      <w:pPr>
        <w:ind w:right="20" w:firstLine="439"/>
        <w:spacing w:after="0" w:line="250" w:lineRule="auto"/>
        <w:rPr>
          <w:sz w:val="20"/>
          <w:szCs w:val="20"/>
          <w:color w:val="auto"/>
        </w:rPr>
      </w:pPr>
      <w:r>
        <w:rPr>
          <w:rFonts w:ascii="Times New Roman" w:cs="Times New Roman" w:eastAsia="Times New Roman" w:hAnsi="Times New Roman"/>
          <w:sz w:val="18"/>
          <w:szCs w:val="18"/>
          <w:color w:val="auto"/>
        </w:rPr>
        <w:t>We acquired Epidiolex (Epidyolex outside the U.S.) in May 2021 as part of the acquisition of GW Pharmaceuticals plc, or GW, which we refer to as the GW Acquisition, which expanded our growing neuroscience business with a global, high-growth childhood-onset epilepsy franchise. Epidiolex was approved in the U.S. in June 2018 for the treatment of seizures associated with two rare and severe forms of epilepsy, LGS and DS, in patients two years of age and older, and subsequently approved in July 2020 for the treatment of seizures associated with TSC in patients one year of age and older. FDA also approved the expansion of all existing indications, LGS and DS, to patients one year of age and older. The rolling European launch of Epidyolex is also underway following European Commission, or EC, approval in September 2019 for use as adjunctive therapy of seizures associated with LGS or DS, in conjunction with clobazam, for patients two years of age and older. Epidyolex is now launched in all five key European markets: United Kingdom, Germany, Italy, Spain and France. The clobazam restriction is limited to the EU and Great Britain. Epidyolex was also approved for adjunctive therapy of seizures associated with TSC for patients 2 years of age and older in the EU in April 2021 and Great Britain in August 2021, and is approved or under review for this indication in other markets. Outside the U.S. and Europe, Epidiolex/Epidyolex is approved in Israel, Canada, Australia and New Zealand.</w:t>
      </w:r>
    </w:p>
    <w:p>
      <w:pPr>
        <w:spacing w:after="0" w:line="80" w:lineRule="exact"/>
        <w:rPr>
          <w:sz w:val="20"/>
          <w:szCs w:val="20"/>
          <w:color w:val="auto"/>
        </w:rPr>
      </w:pPr>
    </w:p>
    <w:p>
      <w:pPr>
        <w:ind w:right="20" w:firstLine="439"/>
        <w:spacing w:after="0" w:line="254" w:lineRule="auto"/>
        <w:rPr>
          <w:sz w:val="20"/>
          <w:szCs w:val="20"/>
          <w:color w:val="auto"/>
        </w:rPr>
      </w:pPr>
      <w:r>
        <w:rPr>
          <w:rFonts w:ascii="Times New Roman" w:cs="Times New Roman" w:eastAsia="Times New Roman" w:hAnsi="Times New Roman"/>
          <w:sz w:val="18"/>
          <w:szCs w:val="18"/>
          <w:color w:val="auto"/>
        </w:rPr>
        <w:t>In addition to our currently marketed products, we previously marketed Sunosi® (solriamfetol) in the U.S. and in Europe and Canada. In May 2022, we completed the U.S. divestiture of Sunosi and in November 2022 we completed the ex-U.S. divestiture to Axsome. Under the terms of the sale agreement with Axsome, Axsome received the rights to Sunosi in all of the existing territories available to us. We received an upfront payment of $53.0 million, and have the right to receive a high single-digit royalty on Axsome’s U.S. net sales of Sunosi in current indications and a mid-single-digit royalty on Axsome’s U.S. net sales of Sunosi in future indications.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Oncology</w:t>
      </w:r>
    </w:p>
    <w:p>
      <w:pPr>
        <w:spacing w:after="0" w:line="116" w:lineRule="exact"/>
        <w:rPr>
          <w:sz w:val="20"/>
          <w:szCs w:val="20"/>
          <w:color w:val="auto"/>
        </w:rPr>
      </w:pPr>
    </w:p>
    <w:p>
      <w:pPr>
        <w:jc w:val="both"/>
        <w:ind w:firstLine="439"/>
        <w:spacing w:after="0" w:line="236" w:lineRule="auto"/>
        <w:rPr>
          <w:sz w:val="20"/>
          <w:szCs w:val="20"/>
          <w:color w:val="auto"/>
        </w:rPr>
      </w:pPr>
      <w:r>
        <w:rPr>
          <w:rFonts w:ascii="Times New Roman" w:cs="Times New Roman" w:eastAsia="Times New Roman" w:hAnsi="Times New Roman"/>
          <w:sz w:val="18"/>
          <w:szCs w:val="18"/>
          <w:color w:val="auto"/>
        </w:rPr>
        <w:t>Rylaze was approved by FDA in June 2021 under the Real-Time Oncology Review program, and was launched in the U.S. in July 2021 for use as a component of a multi-agent chemotherapeutic regimen for the treatment of patients with ALL or LBL in pediatric and adult patients one month and older who have developed hypersensitivity to E. coli-derived asparaginase. Rylaze is the only recombinant erwinia asparaginase manufactured product approved in the U.S. that maintains a clinically meaningful level of asparaginase activity throughout the entire course of treatment. We developed Rylaze to address the needs of patients and health care providers for an innovative, high-quality erwinia asparaginase with reliable supply. The initial approved recommended dosage of Rylaze was for an intramuscular, or IM, administration of 25 mg/m</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every 48 hours. In November 2022, FDA approved a supplemental Biologics License Application, or sBLA, for a Monday/Wednesday/Friday 25/25/50 mg/m</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IM dosing schedule. In April 2022, we submitted a separate sBLA for IV administration. In February 2023, we received a complete response letter from FDA requesting additional clinical data on the IV administration of Rylaze. There is no impact on the approved product labeling for Rylaze IM administration. In September 2023, the EC granted marketing authorization for JZP458 under the trade name Enrylaze and we have initiated a rolling launch in Europe.</w:t>
      </w:r>
    </w:p>
    <w:p>
      <w:pPr>
        <w:spacing w:after="0" w:line="88" w:lineRule="exact"/>
        <w:rPr>
          <w:sz w:val="20"/>
          <w:szCs w:val="20"/>
          <w:color w:val="auto"/>
        </w:rPr>
      </w:pPr>
    </w:p>
    <w:p>
      <w:pPr>
        <w:jc w:val="both"/>
        <w:ind w:firstLine="439"/>
        <w:spacing w:after="0" w:line="254" w:lineRule="auto"/>
        <w:rPr>
          <w:sz w:val="20"/>
          <w:szCs w:val="20"/>
          <w:color w:val="auto"/>
        </w:rPr>
      </w:pPr>
      <w:r>
        <w:rPr>
          <w:rFonts w:ascii="Times New Roman" w:cs="Times New Roman" w:eastAsia="Times New Roman" w:hAnsi="Times New Roman"/>
          <w:sz w:val="18"/>
          <w:szCs w:val="18"/>
          <w:color w:val="auto"/>
        </w:rPr>
        <w:t>We acquired U.S. development and commercialization rights to Zepzelca in early 2020, and launched six months thereafter, with an indication for treatment of patients with SCLC with disease progression on or after platinum-based chemotherapy. Our education and promotional efforts are focused on SCLC-treating physicians. We are continuing to raise awareness of Zepzelca across academic and community cancer centers. In collaboration with F. Hoffmann-La Roche Ltd, or Roche, we have an ongoing Phase 3 pivotal clinical trial in first-line extensive stage SCLC of Zepzelca in combination with Tecentriq® (atezolizumab). We are also developing Zepzelca in additional indications.</w:t>
      </w:r>
    </w:p>
    <w:p>
      <w:pPr>
        <w:spacing w:after="0" w:line="76" w:lineRule="exact"/>
        <w:rPr>
          <w:sz w:val="20"/>
          <w:szCs w:val="20"/>
          <w:color w:val="auto"/>
        </w:rPr>
      </w:pPr>
    </w:p>
    <w:p>
      <w:pPr>
        <w:jc w:val="both"/>
        <w:ind w:firstLine="439"/>
        <w:spacing w:after="0" w:line="254" w:lineRule="auto"/>
        <w:rPr>
          <w:sz w:val="20"/>
          <w:szCs w:val="20"/>
          <w:color w:val="auto"/>
        </w:rPr>
      </w:pPr>
      <w:r>
        <w:rPr>
          <w:rFonts w:ascii="Times New Roman" w:cs="Times New Roman" w:eastAsia="Times New Roman" w:hAnsi="Times New Roman"/>
          <w:sz w:val="18"/>
          <w:szCs w:val="18"/>
          <w:color w:val="auto"/>
        </w:rPr>
        <w:t>Defitelio is the first and only approved treatment for patients with VOD, severe VOD, or sVOD, or VOD with renal or pulmonary dysfunction following HSCT by regulatory authorities in the U.S., Europe, Japan and other markets. There was a significant decline in the number of patients receiving HSCT due to the effects of the COVID-19 pandemic. Moving forward, while HSCT procedures are gradually returning to pre-pandemic numbers, we expect changes in chemotherapy regimens and the increasing use of cell therapies to potentially lower the incidence of sVOD; additionally, there has been a reduction of prophylactic use of Defitelio in Europe.</w:t>
      </w:r>
    </w:p>
    <w:p>
      <w:pPr>
        <w:spacing w:after="0" w:line="76" w:lineRule="exact"/>
        <w:rPr>
          <w:sz w:val="20"/>
          <w:szCs w:val="20"/>
          <w:color w:val="auto"/>
        </w:rPr>
      </w:pPr>
    </w:p>
    <w:p>
      <w:pPr>
        <w:jc w:val="both"/>
        <w:ind w:right="600" w:firstLine="439"/>
        <w:spacing w:after="0" w:line="256" w:lineRule="auto"/>
        <w:rPr>
          <w:sz w:val="20"/>
          <w:szCs w:val="20"/>
          <w:color w:val="auto"/>
        </w:rPr>
      </w:pPr>
      <w:r>
        <w:rPr>
          <w:rFonts w:ascii="Times New Roman" w:cs="Times New Roman" w:eastAsia="Times New Roman" w:hAnsi="Times New Roman"/>
          <w:sz w:val="18"/>
          <w:szCs w:val="18"/>
          <w:color w:val="auto"/>
        </w:rPr>
        <w:t>Vyxeos is a treatment for adults with newly-diagnosed t-AML, or AML-MRC. In March 2021, FDA approved a revised label to include a new indication to treat newly-diagnosed t-AML, or AML-MRC, in pediatric patients aged one year and older. We have a number of ongoing development activities and continue to expand into new markets internationally. With ongoing trends in the U.S. towards lower-intensity treatments and away from intensive chemotherapy regimens for AML, we have seen increasing competition from other therapeutic options.</w:t>
      </w:r>
    </w:p>
    <w:p>
      <w:pPr>
        <w:spacing w:after="0" w:line="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Progress</w:t>
      </w:r>
    </w:p>
    <w:p>
      <w:pPr>
        <w:spacing w:after="0" w:line="116" w:lineRule="exact"/>
        <w:rPr>
          <w:sz w:val="20"/>
          <w:szCs w:val="20"/>
          <w:color w:val="auto"/>
        </w:rPr>
      </w:pPr>
    </w:p>
    <w:p>
      <w:pPr>
        <w:ind w:right="20" w:firstLine="439"/>
        <w:spacing w:after="0" w:line="267" w:lineRule="auto"/>
        <w:rPr>
          <w:sz w:val="20"/>
          <w:szCs w:val="20"/>
          <w:color w:val="auto"/>
        </w:rPr>
      </w:pPr>
      <w:r>
        <w:rPr>
          <w:rFonts w:ascii="Times New Roman" w:cs="Times New Roman" w:eastAsia="Times New Roman" w:hAnsi="Times New Roman"/>
          <w:sz w:val="17"/>
          <w:szCs w:val="17"/>
          <w:color w:val="auto"/>
        </w:rPr>
        <w:t>Our research and development activities encompass all stages of development and currently include clinical testing of new product candidates and activities related to clinical improvements of, or additional indications or new clinical data for, our existing marketed products. We also have active preclinical programs for novel therapies, including neuroscience and precision medicines in oncology. We are increasingly leveraging our growing internal research and development function, and we have also entered into collaborations with third parties for the research and development of innovative early-stage product candidates and have supported additional investigator-sponsored trials that are anticipated to generate additional data related to our products. We also seek out investment opportunities in support of the development of early- and mid-stage technologies in our therapeutic areas and adjacencies. We have a number of licensing and collaboration agreements with third parties, including biotechnology companies, academic institutions and research-based companies and institutions, related to preclinical and clinical research and development activities in hematology and in precision oncology, as well as in neuroscience.</w:t>
      </w:r>
    </w:p>
    <w:p>
      <w:pPr>
        <w:spacing w:after="0" w:line="71" w:lineRule="exact"/>
        <w:rPr>
          <w:sz w:val="20"/>
          <w:szCs w:val="20"/>
          <w:color w:val="auto"/>
        </w:rPr>
      </w:pPr>
    </w:p>
    <w:p>
      <w:pPr>
        <w:ind w:right="20" w:firstLine="439"/>
        <w:spacing w:after="0" w:line="249" w:lineRule="auto"/>
        <w:rPr>
          <w:sz w:val="20"/>
          <w:szCs w:val="20"/>
          <w:color w:val="auto"/>
        </w:rPr>
      </w:pPr>
      <w:r>
        <w:rPr>
          <w:rFonts w:ascii="Times New Roman" w:cs="Times New Roman" w:eastAsia="Times New Roman" w:hAnsi="Times New Roman"/>
          <w:sz w:val="18"/>
          <w:szCs w:val="18"/>
          <w:color w:val="auto"/>
        </w:rPr>
        <w:t>Within our oncology R&amp;D program, in October 2022, we announced an exclusive licensing and collaboration agreement with Zymeworks Inc., or Zymeworks, providing us the right to acquire development and commercialization rights to Zymeworks' zanidatamab across all indications in the United States, Europe, Japan and all other territories except for those Asia/Pacific territories previously licensed by Zymeworks. In December 2022, we exercised the option to continue with the exclusive development and commercialization rights to zanidatamab. Under the terms of the agreement, Zymeworks received an upfront payment of $50.0 million, and following the exercise of our option to continue the collaboration, a second, one-time payment of $325 million. Zymeworks is also eligible to receive regulatory and commercial milestone payments of up to $1.4 billion, for total potential payments of $1.76 billion. Pending approval, Zymeworks is eligible to receive tiered royalties between 10% and 20% on our net sales. Zanidatamab is a bispecific antibody that can simultaneously bind two non-overlapping epitopes of HER2, known as biparatopic binding. Zanidatamab is currently being evaluated in multiple clinical trials as a treatment for patients with HER2-expressing cancers. Following positive data from a pivotal Phase 2 clinical trial evaluating zanidatamab monotherapy in patients with previously treated advanced or metastatic HER2-amplified biliary tract cancers, or BTC, we initiated a rolling BLA submission for accelerated approval in second-line BTC. In addition, we have an ongoing Phase 3 randomized clinical trial evaluating zanidatamab in combination with chemotherapy plus or minus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tislelizumab as a first-line treatment for HER2-expressing gastroesophageal adenocarcinoma, or GEA, and an ongoing Phase 2 trial examining zanidatamab in combination with chemotherapy in first-line patients with HER2-expressing metastatic GEA. There are also multiple ongoing clinical trials exploring zanidatamab in breast cancer and other HER2-expressing tumor types.</w:t>
      </w:r>
    </w:p>
    <w:p>
      <w:pPr>
        <w:spacing w:after="0" w:line="70" w:lineRule="exact"/>
        <w:rPr>
          <w:sz w:val="20"/>
          <w:szCs w:val="20"/>
          <w:color w:val="auto"/>
        </w:rPr>
      </w:pPr>
    </w:p>
    <w:p>
      <w:pPr>
        <w:ind w:right="200" w:firstLine="439"/>
        <w:spacing w:after="0" w:line="254" w:lineRule="auto"/>
        <w:rPr>
          <w:sz w:val="20"/>
          <w:szCs w:val="20"/>
          <w:color w:val="auto"/>
        </w:rPr>
      </w:pPr>
      <w:r>
        <w:rPr>
          <w:rFonts w:ascii="Times New Roman" w:cs="Times New Roman" w:eastAsia="Times New Roman" w:hAnsi="Times New Roman"/>
          <w:sz w:val="18"/>
          <w:szCs w:val="18"/>
          <w:color w:val="auto"/>
        </w:rPr>
        <w:t>Our development plan for Zepzelca continues to progress. We are collaborating with Roche on a pivotal Phase 3 clinical trial evaluating Zepzelca in combination with Tecentriq in first-line extensive stage SCLC. In December 2021, our licensor PharmaMar initiated a confirmatory trial in second-line SCLC. This ongoing three-arm trial is comparing Zepzelca as either monotherapy or in combination with irinotecan to investigator's choice of irinotecan or topotecan. Data from either the first-line trial of Zepzelca in combination with Tecentriq or the PharmaMar trial could serve to confirm clinical benefit of Zepzelca and secure full approval in the U.S.</w:t>
      </w:r>
    </w:p>
    <w:p>
      <w:pPr>
        <w:spacing w:after="0" w:line="76" w:lineRule="exact"/>
        <w:rPr>
          <w:sz w:val="20"/>
          <w:szCs w:val="20"/>
          <w:color w:val="auto"/>
        </w:rPr>
      </w:pPr>
    </w:p>
    <w:p>
      <w:pPr>
        <w:ind w:right="60" w:firstLine="439"/>
        <w:spacing w:after="0" w:line="276" w:lineRule="auto"/>
        <w:rPr>
          <w:sz w:val="20"/>
          <w:szCs w:val="20"/>
          <w:color w:val="auto"/>
        </w:rPr>
      </w:pPr>
      <w:r>
        <w:rPr>
          <w:rFonts w:ascii="Times New Roman" w:cs="Times New Roman" w:eastAsia="Times New Roman" w:hAnsi="Times New Roman"/>
          <w:sz w:val="18"/>
          <w:szCs w:val="18"/>
          <w:color w:val="auto"/>
        </w:rPr>
        <w:t>In addition, we have an ongoing Phase 4 observational study to collect real world safety and outcome data in adult Zepzelca monotherapy patients with SCLC who progress on or after prior platinum-containing chemotherapy.</w:t>
      </w:r>
    </w:p>
    <w:p>
      <w:pPr>
        <w:spacing w:after="0" w:line="56" w:lineRule="exact"/>
        <w:rPr>
          <w:sz w:val="20"/>
          <w:szCs w:val="20"/>
          <w:color w:val="auto"/>
        </w:rPr>
      </w:pPr>
    </w:p>
    <w:p>
      <w:pPr>
        <w:ind w:right="20" w:firstLine="439"/>
        <w:spacing w:after="0" w:line="261" w:lineRule="auto"/>
        <w:rPr>
          <w:sz w:val="20"/>
          <w:szCs w:val="20"/>
          <w:color w:val="auto"/>
        </w:rPr>
      </w:pPr>
      <w:r>
        <w:rPr>
          <w:rFonts w:ascii="Times New Roman" w:cs="Times New Roman" w:eastAsia="Times New Roman" w:hAnsi="Times New Roman"/>
          <w:sz w:val="18"/>
          <w:szCs w:val="18"/>
          <w:color w:val="auto"/>
        </w:rPr>
        <w:t>In June 2022, we announced the FDA had cleared our Investigational New Drug application for JZP815 and in October 2022, we enrolled the first patient in a Phase 1 trial. JZP815 is an investigational stage pan-RAF kinase inhibitor that targets specific components of the mitogen-activated protein kinase pathway that, when activated by oncogenic mutations, can be a frequent driver of human cancer.</w:t>
      </w:r>
    </w:p>
    <w:p>
      <w:pPr>
        <w:spacing w:after="0" w:line="70" w:lineRule="exact"/>
        <w:rPr>
          <w:sz w:val="20"/>
          <w:szCs w:val="20"/>
          <w:color w:val="auto"/>
        </w:rPr>
      </w:pPr>
    </w:p>
    <w:p>
      <w:pPr>
        <w:ind w:right="160" w:firstLine="439"/>
        <w:spacing w:after="0" w:line="251" w:lineRule="auto"/>
        <w:rPr>
          <w:sz w:val="20"/>
          <w:szCs w:val="20"/>
          <w:color w:val="auto"/>
        </w:rPr>
      </w:pPr>
      <w:r>
        <w:rPr>
          <w:rFonts w:ascii="Times New Roman" w:cs="Times New Roman" w:eastAsia="Times New Roman" w:hAnsi="Times New Roman"/>
          <w:sz w:val="18"/>
          <w:szCs w:val="18"/>
          <w:color w:val="auto"/>
        </w:rPr>
        <w:t>In April 2022, we announced that we had entered into a licensing and collaboration agreement with Werewolf Therapeutics, Inc., or Werewolf, to acquire exclusive global development and commercialization rights to Werewolf's investigational WTX-613, now referred to as JZP898. Under the terms of the agreement, we made an upfront payment of $15.0 million to Werewolf, and Werewolf is eligible to receive development, regulatory and commercial milestone payments of up to $1.26 billion. If approved, Werewolf is eligible to receive a tiered, mid-single-digit percentage royalty on net sales of JZP898. This transaction underscores our commitment to enhancing our pipeline to deliver novel oncology therapies to patients, and also provides us with an opportunity to expand into immuno-oncology. JZP898 is a differentiated, conditionally-activated interferon alpha, or IFNα, INDUKINE™ molecule. We initiated a Phase 1 clinical trial of JZP898 in late 2023.</w:t>
      </w:r>
    </w:p>
    <w:p>
      <w:pPr>
        <w:spacing w:after="0" w:line="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neuroscience R&amp;D efforts include an ongoing Phase 3 trial of Epidyolex for LGS, DS and TSC in Japan initiated in October 2022.</w:t>
      </w:r>
    </w:p>
    <w:p>
      <w:pPr>
        <w:spacing w:after="0" w:line="112" w:lineRule="exact"/>
        <w:rPr>
          <w:sz w:val="20"/>
          <w:szCs w:val="20"/>
          <w:color w:val="auto"/>
        </w:rPr>
      </w:pPr>
    </w:p>
    <w:p>
      <w:pPr>
        <w:ind w:right="120" w:firstLine="439"/>
        <w:spacing w:after="0" w:line="252" w:lineRule="auto"/>
        <w:rPr>
          <w:sz w:val="20"/>
          <w:szCs w:val="20"/>
          <w:color w:val="auto"/>
        </w:rPr>
      </w:pPr>
      <w:r>
        <w:rPr>
          <w:rFonts w:ascii="Times New Roman" w:cs="Times New Roman" w:eastAsia="Times New Roman" w:hAnsi="Times New Roman"/>
          <w:sz w:val="18"/>
          <w:szCs w:val="18"/>
          <w:color w:val="auto"/>
        </w:rPr>
        <w:t>In December 2021 we initiated Phase 2 clinical trials for suvecaltamide (JZP385), for essential tremor, or ET. Additionally, in November 2022, we initiated a Phase 2 trial of suvecaltamide in patients with Parkinson's disease tremor. In December 2023, we announced that our Phase 2 clinical trial for JZP150 for treatment of post-traumatic stress disorder, or PTSD, did not meet the primary endpoint. We plan to fully evaluate these data; however, based on top-line results we do not anticipate moving forward with additional JZP150 development in PTSD. We are also pursuing early-stage activities related to the development of JZP324, an extended-release low sodium, oxybate formulation that we believe could provide a clinically meaningful option for narcolepsy patients.</w:t>
      </w:r>
    </w:p>
    <w:p>
      <w:pPr>
        <w:spacing w:after="0" w:line="80" w:lineRule="exact"/>
        <w:rPr>
          <w:sz w:val="20"/>
          <w:szCs w:val="20"/>
          <w:color w:val="auto"/>
        </w:rPr>
      </w:pPr>
    </w:p>
    <w:p>
      <w:pPr>
        <w:ind w:right="140" w:firstLine="439"/>
        <w:spacing w:after="0" w:line="250" w:lineRule="auto"/>
        <w:rPr>
          <w:sz w:val="20"/>
          <w:szCs w:val="20"/>
          <w:color w:val="auto"/>
        </w:rPr>
      </w:pPr>
      <w:r>
        <w:rPr>
          <w:rFonts w:ascii="Times New Roman" w:cs="Times New Roman" w:eastAsia="Times New Roman" w:hAnsi="Times New Roman"/>
          <w:sz w:val="18"/>
          <w:szCs w:val="18"/>
          <w:color w:val="auto"/>
        </w:rPr>
        <w:t>In May 2022, we announced that we had entered into a licensing agreement with Sumitomo Pharma Co., Ltd, or Sumitomo, to acquire exclusive development and commercialization rights in the United States, Europe and other territories for JZP441, also known as DSP-0187, a potent, highly selective oral orexin-2 receptor agonist with potential application for the treatment of narcolepsy, IH and other sleep disorders. Under the terms of the agreement, we made an upfront payment of $50 million to Sumitomo, and Sumitomo is eligible to receive development, regulatory and commercial milestone payments of up to $1.09 billion. If approved, Sumitomo is eligible to receive a tiered, low double-digit royalty on our net sales of JZP441. In November 2023, we announced that we achieved initial proof-of-concept in our Phase 1 clinical trial program in healthy volunteers as demonstrated by the Maintenance of Wakefulness Test (MWT). At that time, we also noted the program was being paused as we analyze safety findings related to visual disturbances and cardiovascular effects; no liver toxicity signals were observed. We are committed to orexin-2 agonist development and have a backup orexin-2 receptor agonist program.</w:t>
      </w:r>
    </w:p>
    <w:p>
      <w:pPr>
        <w:spacing w:after="0" w:line="83" w:lineRule="exact"/>
        <w:rPr>
          <w:sz w:val="20"/>
          <w:szCs w:val="20"/>
          <w:color w:val="auto"/>
        </w:rPr>
      </w:pPr>
    </w:p>
    <w:p>
      <w:pPr>
        <w:ind w:right="160" w:firstLine="439"/>
        <w:spacing w:after="0" w:line="276" w:lineRule="auto"/>
        <w:rPr>
          <w:sz w:val="20"/>
          <w:szCs w:val="20"/>
          <w:color w:val="auto"/>
        </w:rPr>
      </w:pPr>
      <w:r>
        <w:rPr>
          <w:rFonts w:ascii="Times New Roman" w:cs="Times New Roman" w:eastAsia="Times New Roman" w:hAnsi="Times New Roman"/>
          <w:sz w:val="18"/>
          <w:szCs w:val="18"/>
          <w:color w:val="auto"/>
        </w:rPr>
        <w:t>Below is a summary of our key ongoing and planned development projects related to our products and pipeline and their corresponding current stages of development:</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Product Candidates</w:t>
            </w:r>
          </w:p>
        </w:tc>
        <w:tc>
          <w:tcPr>
            <w:tcW w:w="9700" w:type="dxa"/>
            <w:vAlign w:val="bottom"/>
            <w:gridSpan w:val="4"/>
          </w:tcPr>
          <w:p>
            <w:pPr>
              <w:ind w:left="29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36"/>
        </w:trPr>
        <w:tc>
          <w:tcPr>
            <w:tcW w:w="20" w:type="dxa"/>
            <w:vAlign w:val="bottom"/>
            <w:shd w:val="clear" w:color="auto" w:fill="CCEEFF"/>
          </w:tcPr>
          <w:p>
            <w:pPr>
              <w:spacing w:after="0"/>
              <w:rPr>
                <w:sz w:val="20"/>
                <w:szCs w:val="20"/>
                <w:color w:val="auto"/>
              </w:rPr>
            </w:pPr>
          </w:p>
        </w:tc>
        <w:tc>
          <w:tcPr>
            <w:tcW w:w="1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ONCOLOGY</w:t>
            </w:r>
          </w:p>
        </w:tc>
        <w:tc>
          <w:tcPr>
            <w:tcW w:w="2940" w:type="dxa"/>
            <w:vAlign w:val="bottom"/>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580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r>
      <w:tr>
        <w:trPr>
          <w:trHeight w:val="226"/>
        </w:trPr>
        <w:tc>
          <w:tcPr>
            <w:tcW w:w="2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2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20" w:type="dxa"/>
            <w:vAlign w:val="bottom"/>
            <w:shd w:val="clear" w:color="auto" w:fill="CCEEFF"/>
          </w:tcPr>
          <w:p>
            <w:pPr>
              <w:spacing w:after="0"/>
              <w:rPr>
                <w:sz w:val="19"/>
                <w:szCs w:val="19"/>
                <w:color w:val="auto"/>
              </w:rPr>
            </w:pPr>
          </w:p>
        </w:tc>
        <w:tc>
          <w:tcPr>
            <w:tcW w:w="1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Zanidatamab</w:t>
            </w:r>
          </w:p>
        </w:tc>
        <w:tc>
          <w:tcPr>
            <w:tcW w:w="9600" w:type="dxa"/>
            <w:vAlign w:val="bottom"/>
            <w:gridSpan w:val="3"/>
            <w:shd w:val="clear" w:color="auto" w:fill="CCEEFF"/>
          </w:tcPr>
          <w:p>
            <w:pPr>
              <w:ind w:left="2940"/>
              <w:spacing w:after="0"/>
              <w:rPr>
                <w:sz w:val="20"/>
                <w:szCs w:val="20"/>
                <w:color w:val="auto"/>
              </w:rPr>
            </w:pPr>
            <w:r>
              <w:rPr>
                <w:rFonts w:ascii="Times New Roman" w:cs="Times New Roman" w:eastAsia="Times New Roman" w:hAnsi="Times New Roman"/>
                <w:sz w:val="18"/>
                <w:szCs w:val="18"/>
                <w:color w:val="auto"/>
              </w:rPr>
              <w:t>HER2-positive GEA (ongoing trial)</w:t>
            </w:r>
          </w:p>
        </w:tc>
        <w:tc>
          <w:tcPr>
            <w:tcW w:w="10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520" w:type="dxa"/>
            <w:vAlign w:val="bottom"/>
          </w:tcPr>
          <w:p>
            <w:pPr>
              <w:ind w:left="120"/>
              <w:spacing w:after="0" w:line="173" w:lineRule="exact"/>
              <w:rPr>
                <w:sz w:val="20"/>
                <w:szCs w:val="20"/>
                <w:color w:val="auto"/>
              </w:rPr>
            </w:pPr>
            <w:r>
              <w:rPr>
                <w:rFonts w:ascii="Times New Roman" w:cs="Times New Roman" w:eastAsia="Times New Roman" w:hAnsi="Times New Roman"/>
                <w:sz w:val="18"/>
                <w:szCs w:val="18"/>
                <w:color w:val="auto"/>
              </w:rPr>
              <w:t>Zepzelca</w:t>
            </w:r>
          </w:p>
        </w:tc>
        <w:tc>
          <w:tcPr>
            <w:tcW w:w="9600" w:type="dxa"/>
            <w:vAlign w:val="bottom"/>
            <w:gridSpan w:val="3"/>
          </w:tcPr>
          <w:p>
            <w:pPr>
              <w:ind w:left="2940"/>
              <w:spacing w:after="0" w:line="173" w:lineRule="exact"/>
              <w:rPr>
                <w:sz w:val="20"/>
                <w:szCs w:val="20"/>
                <w:color w:val="auto"/>
              </w:rPr>
            </w:pPr>
            <w:r>
              <w:rPr>
                <w:rFonts w:ascii="Times New Roman" w:cs="Times New Roman" w:eastAsia="Times New Roman" w:hAnsi="Times New Roman"/>
                <w:sz w:val="18"/>
                <w:szCs w:val="18"/>
                <w:color w:val="auto"/>
              </w:rPr>
              <w:t>First-line extensive stage SCLC in combination with Tecentriq (collaboration with Roche)</w:t>
            </w:r>
          </w:p>
        </w:tc>
        <w:tc>
          <w:tcPr>
            <w:tcW w:w="10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9700" w:type="dxa"/>
            <w:vAlign w:val="bottom"/>
            <w:gridSpan w:val="4"/>
          </w:tcPr>
          <w:p>
            <w:pPr>
              <w:ind w:left="2940"/>
              <w:spacing w:after="0" w:line="182" w:lineRule="exact"/>
              <w:rPr>
                <w:sz w:val="20"/>
                <w:szCs w:val="20"/>
                <w:color w:val="auto"/>
              </w:rPr>
            </w:pPr>
            <w:r>
              <w:rPr>
                <w:rFonts w:ascii="Times New Roman" w:cs="Times New Roman" w:eastAsia="Times New Roman" w:hAnsi="Times New Roman"/>
                <w:sz w:val="18"/>
                <w:szCs w:val="18"/>
                <w:color w:val="auto"/>
              </w:rPr>
              <w:t>(ongoing trial)</w:t>
            </w:r>
          </w:p>
        </w:tc>
      </w:tr>
      <w:tr>
        <w:trPr>
          <w:trHeight w:val="232"/>
        </w:trPr>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700" w:type="dxa"/>
            <w:vAlign w:val="bottom"/>
            <w:gridSpan w:val="4"/>
          </w:tcPr>
          <w:p>
            <w:pPr>
              <w:ind w:left="2940"/>
              <w:spacing w:after="0"/>
              <w:rPr>
                <w:sz w:val="20"/>
                <w:szCs w:val="20"/>
                <w:color w:val="auto"/>
              </w:rPr>
            </w:pPr>
            <w:r>
              <w:rPr>
                <w:rFonts w:ascii="Times New Roman" w:cs="Times New Roman" w:eastAsia="Times New Roman" w:hAnsi="Times New Roman"/>
                <w:sz w:val="18"/>
                <w:szCs w:val="18"/>
                <w:color w:val="auto"/>
              </w:rPr>
              <w:t>Confirmatory Study (PharmaMar study) (ongoing trial)</w:t>
            </w:r>
          </w:p>
        </w:tc>
      </w:tr>
      <w:tr>
        <w:trPr>
          <w:trHeight w:val="852"/>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600" w:type="dxa"/>
            <w:vAlign w:val="bottom"/>
            <w:gridSpan w:val="3"/>
          </w:tcPr>
          <w:p>
            <w:pPr>
              <w:ind w:left="400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4"/>
                <w:szCs w:val="24"/>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29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5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Vyxeos</w:t>
            </w:r>
          </w:p>
        </w:tc>
        <w:tc>
          <w:tcPr>
            <w:tcW w:w="73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8"/>
              </w:rPr>
              <w:t>AML or high-risk Myelodysplastic Syndrome, or MDS (AML18) (cooperative group studies)</w:t>
            </w:r>
          </w:p>
        </w:tc>
        <w:tc>
          <w:tcPr>
            <w:tcW w:w="100" w:type="dxa"/>
            <w:vAlign w:val="bottom"/>
          </w:tcPr>
          <w:p>
            <w:pPr>
              <w:spacing w:after="0"/>
              <w:rPr>
                <w:sz w:val="17"/>
                <w:szCs w:val="17"/>
                <w:color w:val="auto"/>
              </w:rPr>
            </w:pPr>
          </w:p>
        </w:tc>
      </w:tr>
      <w:tr>
        <w:trPr>
          <w:trHeight w:val="181"/>
        </w:trPr>
        <w:tc>
          <w:tcPr>
            <w:tcW w:w="3840" w:type="dxa"/>
            <w:vAlign w:val="bottom"/>
            <w:shd w:val="clear" w:color="auto" w:fill="CCEEFF"/>
          </w:tcPr>
          <w:p>
            <w:pPr>
              <w:spacing w:after="0"/>
              <w:rPr>
                <w:sz w:val="15"/>
                <w:szCs w:val="15"/>
                <w:color w:val="auto"/>
              </w:rPr>
            </w:pPr>
          </w:p>
        </w:tc>
        <w:tc>
          <w:tcPr>
            <w:tcW w:w="7300" w:type="dxa"/>
            <w:vAlign w:val="bottom"/>
            <w:shd w:val="clear" w:color="auto" w:fill="CCEEFF"/>
          </w:tcPr>
          <w:p>
            <w:pPr>
              <w:ind w:left="640"/>
              <w:spacing w:after="0" w:line="182" w:lineRule="exact"/>
              <w:rPr>
                <w:sz w:val="20"/>
                <w:szCs w:val="20"/>
                <w:color w:val="auto"/>
              </w:rPr>
            </w:pPr>
            <w:r>
              <w:rPr>
                <w:rFonts w:ascii="Times New Roman" w:cs="Times New Roman" w:eastAsia="Times New Roman" w:hAnsi="Times New Roman"/>
                <w:sz w:val="18"/>
                <w:szCs w:val="18"/>
                <w:color w:val="auto"/>
              </w:rPr>
              <w:t>(ongoing trial)</w:t>
            </w:r>
          </w:p>
        </w:tc>
        <w:tc>
          <w:tcPr>
            <w:tcW w:w="100" w:type="dxa"/>
            <w:vAlign w:val="bottom"/>
          </w:tcPr>
          <w:p>
            <w:pPr>
              <w:spacing w:after="0"/>
              <w:rPr>
                <w:sz w:val="15"/>
                <w:szCs w:val="15"/>
                <w:color w:val="auto"/>
              </w:rPr>
            </w:pPr>
          </w:p>
        </w:tc>
      </w:tr>
      <w:tr>
        <w:trPr>
          <w:trHeight w:val="178"/>
        </w:trPr>
        <w:tc>
          <w:tcPr>
            <w:tcW w:w="3840" w:type="dxa"/>
            <w:vAlign w:val="bottom"/>
            <w:shd w:val="clear" w:color="auto" w:fill="CCEEFF"/>
          </w:tcPr>
          <w:p>
            <w:pPr>
              <w:spacing w:after="0"/>
              <w:rPr>
                <w:sz w:val="15"/>
                <w:szCs w:val="15"/>
                <w:color w:val="auto"/>
              </w:rPr>
            </w:pPr>
          </w:p>
        </w:tc>
        <w:tc>
          <w:tcPr>
            <w:tcW w:w="7300" w:type="dxa"/>
            <w:vAlign w:val="bottom"/>
            <w:shd w:val="clear" w:color="auto" w:fill="CCEEFF"/>
          </w:tcPr>
          <w:p>
            <w:pPr>
              <w:ind w:left="640"/>
              <w:spacing w:after="0" w:line="178" w:lineRule="exact"/>
              <w:rPr>
                <w:sz w:val="20"/>
                <w:szCs w:val="20"/>
                <w:color w:val="auto"/>
              </w:rPr>
            </w:pPr>
            <w:r>
              <w:rPr>
                <w:rFonts w:ascii="Times New Roman" w:cs="Times New Roman" w:eastAsia="Times New Roman" w:hAnsi="Times New Roman"/>
                <w:sz w:val="18"/>
                <w:szCs w:val="18"/>
                <w:color w:val="auto"/>
              </w:rPr>
              <w:t>Newly diagnosed adults with standard- and high-risk AML (AML Study Group cooperative</w:t>
            </w:r>
          </w:p>
        </w:tc>
        <w:tc>
          <w:tcPr>
            <w:tcW w:w="100" w:type="dxa"/>
            <w:vAlign w:val="bottom"/>
          </w:tcPr>
          <w:p>
            <w:pPr>
              <w:spacing w:after="0"/>
              <w:rPr>
                <w:sz w:val="15"/>
                <w:szCs w:val="15"/>
                <w:color w:val="auto"/>
              </w:rPr>
            </w:pPr>
          </w:p>
        </w:tc>
      </w:tr>
      <w:tr>
        <w:trPr>
          <w:trHeight w:val="173"/>
        </w:trPr>
        <w:tc>
          <w:tcPr>
            <w:tcW w:w="3840" w:type="dxa"/>
            <w:vAlign w:val="bottom"/>
            <w:shd w:val="clear" w:color="auto" w:fill="CCEEFF"/>
          </w:tcPr>
          <w:p>
            <w:pPr>
              <w:spacing w:after="0"/>
              <w:rPr>
                <w:sz w:val="15"/>
                <w:szCs w:val="15"/>
                <w:color w:val="auto"/>
              </w:rPr>
            </w:pPr>
          </w:p>
        </w:tc>
        <w:tc>
          <w:tcPr>
            <w:tcW w:w="7300" w:type="dxa"/>
            <w:vAlign w:val="bottom"/>
            <w:shd w:val="clear" w:color="auto" w:fill="CCEEFF"/>
          </w:tcPr>
          <w:p>
            <w:pPr>
              <w:ind w:left="640"/>
              <w:spacing w:after="0" w:line="173" w:lineRule="exact"/>
              <w:rPr>
                <w:sz w:val="20"/>
                <w:szCs w:val="20"/>
                <w:color w:val="auto"/>
              </w:rPr>
            </w:pPr>
            <w:r>
              <w:rPr>
                <w:rFonts w:ascii="Times New Roman" w:cs="Times New Roman" w:eastAsia="Times New Roman" w:hAnsi="Times New Roman"/>
                <w:sz w:val="18"/>
                <w:szCs w:val="18"/>
                <w:color w:val="auto"/>
              </w:rPr>
              <w:t>group study) (ongoing trial)</w:t>
            </w:r>
          </w:p>
        </w:tc>
        <w:tc>
          <w:tcPr>
            <w:tcW w:w="100" w:type="dxa"/>
            <w:vAlign w:val="bottom"/>
          </w:tcPr>
          <w:p>
            <w:pPr>
              <w:spacing w:after="0"/>
              <w:rPr>
                <w:sz w:val="15"/>
                <w:szCs w:val="15"/>
                <w:color w:val="auto"/>
              </w:rPr>
            </w:pPr>
          </w:p>
        </w:tc>
      </w:tr>
      <w:tr>
        <w:trPr>
          <w:trHeight w:val="181"/>
        </w:trPr>
        <w:tc>
          <w:tcPr>
            <w:tcW w:w="3840" w:type="dxa"/>
            <w:vAlign w:val="bottom"/>
            <w:shd w:val="clear" w:color="auto" w:fill="CCEEFF"/>
          </w:tcPr>
          <w:p>
            <w:pPr>
              <w:spacing w:after="0"/>
              <w:rPr>
                <w:sz w:val="15"/>
                <w:szCs w:val="15"/>
                <w:color w:val="auto"/>
              </w:rPr>
            </w:pPr>
          </w:p>
        </w:tc>
        <w:tc>
          <w:tcPr>
            <w:tcW w:w="7300" w:type="dxa"/>
            <w:vAlign w:val="bottom"/>
            <w:shd w:val="clear" w:color="auto" w:fill="CCEEFF"/>
          </w:tcPr>
          <w:p>
            <w:pPr>
              <w:ind w:left="640"/>
              <w:spacing w:after="0" w:line="182" w:lineRule="exact"/>
              <w:rPr>
                <w:sz w:val="20"/>
                <w:szCs w:val="20"/>
                <w:color w:val="auto"/>
              </w:rPr>
            </w:pPr>
            <w:r>
              <w:rPr>
                <w:rFonts w:ascii="Times New Roman" w:cs="Times New Roman" w:eastAsia="Times New Roman" w:hAnsi="Times New Roman"/>
                <w:sz w:val="18"/>
                <w:szCs w:val="18"/>
                <w:color w:val="auto"/>
              </w:rPr>
              <w:t>Newly diagnosed pediatric patients with AML (Children’s Oncology Group cooperative</w:t>
            </w:r>
          </w:p>
        </w:tc>
        <w:tc>
          <w:tcPr>
            <w:tcW w:w="100" w:type="dxa"/>
            <w:vAlign w:val="bottom"/>
          </w:tcPr>
          <w:p>
            <w:pPr>
              <w:spacing w:after="0"/>
              <w:rPr>
                <w:sz w:val="15"/>
                <w:szCs w:val="15"/>
                <w:color w:val="auto"/>
              </w:rPr>
            </w:pPr>
          </w:p>
        </w:tc>
      </w:tr>
      <w:tr>
        <w:trPr>
          <w:trHeight w:val="231"/>
        </w:trPr>
        <w:tc>
          <w:tcPr>
            <w:tcW w:w="3840" w:type="dxa"/>
            <w:vAlign w:val="bottom"/>
            <w:shd w:val="clear" w:color="auto" w:fill="CCEEFF"/>
          </w:tcPr>
          <w:p>
            <w:pPr>
              <w:spacing w:after="0"/>
              <w:rPr>
                <w:sz w:val="20"/>
                <w:szCs w:val="20"/>
                <w:color w:val="auto"/>
              </w:rPr>
            </w:pPr>
          </w:p>
        </w:tc>
        <w:tc>
          <w:tcPr>
            <w:tcW w:w="73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group study) (ongoing trial)</w:t>
            </w:r>
          </w:p>
        </w:tc>
        <w:tc>
          <w:tcPr>
            <w:tcW w:w="100" w:type="dxa"/>
            <w:vAlign w:val="bottom"/>
          </w:tcPr>
          <w:p>
            <w:pPr>
              <w:spacing w:after="0"/>
              <w:rPr>
                <w:sz w:val="20"/>
                <w:szCs w:val="20"/>
                <w:color w:val="auto"/>
              </w:rPr>
            </w:pPr>
          </w:p>
        </w:tc>
      </w:tr>
      <w:tr>
        <w:trPr>
          <w:trHeight w:val="22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Pivotal Phase 2</w:t>
            </w:r>
          </w:p>
        </w:tc>
        <w:tc>
          <w:tcPr>
            <w:tcW w:w="7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Zanidatamab</w:t>
            </w:r>
          </w:p>
        </w:tc>
        <w:tc>
          <w:tcPr>
            <w:tcW w:w="73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Previously treated, advanced HER2-expressing BTC (ongoing trial) (pivotal trial)</w:t>
            </w:r>
          </w:p>
        </w:tc>
        <w:tc>
          <w:tcPr>
            <w:tcW w:w="100" w:type="dxa"/>
            <w:vAlign w:val="bottom"/>
          </w:tcPr>
          <w:p>
            <w:pPr>
              <w:spacing w:after="0"/>
              <w:rPr>
                <w:sz w:val="19"/>
                <w:szCs w:val="19"/>
                <w:color w:val="auto"/>
              </w:rPr>
            </w:pPr>
          </w:p>
        </w:tc>
      </w:tr>
      <w:tr>
        <w:trPr>
          <w:trHeight w:val="22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7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3840" w:type="dxa"/>
            <w:vAlign w:val="bottom"/>
            <w:shd w:val="clear" w:color="auto" w:fill="CCEEFF"/>
          </w:tcPr>
          <w:p>
            <w:pPr>
              <w:ind w:left="140"/>
              <w:spacing w:after="0" w:line="173" w:lineRule="exact"/>
              <w:rPr>
                <w:sz w:val="20"/>
                <w:szCs w:val="20"/>
                <w:color w:val="auto"/>
              </w:rPr>
            </w:pPr>
            <w:r>
              <w:rPr>
                <w:rFonts w:ascii="Times New Roman" w:cs="Times New Roman" w:eastAsia="Times New Roman" w:hAnsi="Times New Roman"/>
                <w:sz w:val="18"/>
                <w:szCs w:val="18"/>
                <w:color w:val="auto"/>
              </w:rPr>
              <w:t>Zanidatamab</w:t>
            </w:r>
          </w:p>
        </w:tc>
        <w:tc>
          <w:tcPr>
            <w:tcW w:w="7300" w:type="dxa"/>
            <w:vAlign w:val="bottom"/>
            <w:shd w:val="clear" w:color="auto" w:fill="CCEEFF"/>
          </w:tcPr>
          <w:p>
            <w:pPr>
              <w:ind w:left="640"/>
              <w:spacing w:after="0" w:line="173" w:lineRule="exact"/>
              <w:rPr>
                <w:sz w:val="20"/>
                <w:szCs w:val="20"/>
                <w:color w:val="auto"/>
              </w:rPr>
            </w:pPr>
            <w:r>
              <w:rPr>
                <w:rFonts w:ascii="Times New Roman" w:cs="Times New Roman" w:eastAsia="Times New Roman" w:hAnsi="Times New Roman"/>
                <w:sz w:val="18"/>
                <w:szCs w:val="18"/>
                <w:color w:val="auto"/>
              </w:rPr>
              <w:t>HER2-expressing GEA, BTC or colorectal cancer in combination with standard first-line</w:t>
            </w:r>
          </w:p>
        </w:tc>
        <w:tc>
          <w:tcPr>
            <w:tcW w:w="100" w:type="dxa"/>
            <w:vAlign w:val="bottom"/>
          </w:tcPr>
          <w:p>
            <w:pPr>
              <w:spacing w:after="0"/>
              <w:rPr>
                <w:sz w:val="15"/>
                <w:szCs w:val="15"/>
                <w:color w:val="auto"/>
              </w:rPr>
            </w:pPr>
          </w:p>
        </w:tc>
      </w:tr>
      <w:tr>
        <w:trPr>
          <w:trHeight w:val="240"/>
        </w:trPr>
        <w:tc>
          <w:tcPr>
            <w:tcW w:w="3840" w:type="dxa"/>
            <w:vAlign w:val="bottom"/>
            <w:shd w:val="clear" w:color="auto" w:fill="CCEEFF"/>
          </w:tcPr>
          <w:p>
            <w:pPr>
              <w:spacing w:after="0"/>
              <w:rPr>
                <w:sz w:val="20"/>
                <w:szCs w:val="20"/>
                <w:color w:val="auto"/>
              </w:rPr>
            </w:pPr>
          </w:p>
        </w:tc>
        <w:tc>
          <w:tcPr>
            <w:tcW w:w="73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chemotherapy (ongoing trial)</w:t>
            </w:r>
          </w:p>
        </w:tc>
        <w:tc>
          <w:tcPr>
            <w:tcW w:w="100" w:type="dxa"/>
            <w:vAlign w:val="bottom"/>
          </w:tcPr>
          <w:p>
            <w:pPr>
              <w:spacing w:after="0"/>
              <w:rPr>
                <w:sz w:val="20"/>
                <w:szCs w:val="20"/>
                <w:color w:val="auto"/>
              </w:rPr>
            </w:pPr>
          </w:p>
        </w:tc>
      </w:tr>
      <w:tr>
        <w:trPr>
          <w:trHeight w:val="173"/>
        </w:trPr>
        <w:tc>
          <w:tcPr>
            <w:tcW w:w="3840" w:type="dxa"/>
            <w:vAlign w:val="bottom"/>
          </w:tcPr>
          <w:p>
            <w:pPr>
              <w:ind w:left="140"/>
              <w:spacing w:after="0" w:line="173" w:lineRule="exact"/>
              <w:rPr>
                <w:sz w:val="20"/>
                <w:szCs w:val="20"/>
                <w:color w:val="auto"/>
              </w:rPr>
            </w:pPr>
            <w:r>
              <w:rPr>
                <w:rFonts w:ascii="Times New Roman" w:cs="Times New Roman" w:eastAsia="Times New Roman" w:hAnsi="Times New Roman"/>
                <w:sz w:val="18"/>
                <w:szCs w:val="18"/>
                <w:color w:val="auto"/>
              </w:rPr>
              <w:t>Vyxeos</w:t>
            </w:r>
          </w:p>
        </w:tc>
        <w:tc>
          <w:tcPr>
            <w:tcW w:w="7300" w:type="dxa"/>
            <w:vAlign w:val="bottom"/>
          </w:tcPr>
          <w:p>
            <w:pPr>
              <w:ind w:left="640"/>
              <w:spacing w:after="0" w:line="173" w:lineRule="exact"/>
              <w:rPr>
                <w:sz w:val="20"/>
                <w:szCs w:val="20"/>
                <w:color w:val="auto"/>
              </w:rPr>
            </w:pPr>
            <w:r>
              <w:rPr>
                <w:rFonts w:ascii="Times New Roman" w:cs="Times New Roman" w:eastAsia="Times New Roman" w:hAnsi="Times New Roman"/>
                <w:sz w:val="18"/>
                <w:szCs w:val="18"/>
                <w:color w:val="auto"/>
                <w:w w:val="99"/>
              </w:rPr>
              <w:t>High-risk MDS (European Myelodysplastic Syndromes) (cooperative group study) (ongoing</w:t>
            </w:r>
          </w:p>
        </w:tc>
        <w:tc>
          <w:tcPr>
            <w:tcW w:w="100" w:type="dxa"/>
            <w:vAlign w:val="bottom"/>
          </w:tcPr>
          <w:p>
            <w:pPr>
              <w:spacing w:after="0"/>
              <w:rPr>
                <w:sz w:val="15"/>
                <w:szCs w:val="15"/>
                <w:color w:val="auto"/>
              </w:rPr>
            </w:pPr>
          </w:p>
        </w:tc>
      </w:tr>
      <w:tr>
        <w:trPr>
          <w:trHeight w:val="181"/>
        </w:trPr>
        <w:tc>
          <w:tcPr>
            <w:tcW w:w="3840" w:type="dxa"/>
            <w:vAlign w:val="bottom"/>
          </w:tcPr>
          <w:p>
            <w:pPr>
              <w:spacing w:after="0"/>
              <w:rPr>
                <w:sz w:val="15"/>
                <w:szCs w:val="15"/>
                <w:color w:val="auto"/>
              </w:rPr>
            </w:pPr>
          </w:p>
        </w:tc>
        <w:tc>
          <w:tcPr>
            <w:tcW w:w="7400" w:type="dxa"/>
            <w:vAlign w:val="bottom"/>
            <w:gridSpan w:val="2"/>
          </w:tcPr>
          <w:p>
            <w:pPr>
              <w:ind w:left="640"/>
              <w:spacing w:after="0" w:line="182" w:lineRule="exact"/>
              <w:rPr>
                <w:sz w:val="20"/>
                <w:szCs w:val="20"/>
                <w:color w:val="auto"/>
              </w:rPr>
            </w:pPr>
            <w:r>
              <w:rPr>
                <w:rFonts w:ascii="Times New Roman" w:cs="Times New Roman" w:eastAsia="Times New Roman" w:hAnsi="Times New Roman"/>
                <w:sz w:val="18"/>
                <w:szCs w:val="18"/>
                <w:color w:val="auto"/>
              </w:rPr>
              <w:t>trial)</w:t>
            </w:r>
          </w:p>
        </w:tc>
      </w:tr>
      <w:tr>
        <w:trPr>
          <w:trHeight w:val="178"/>
        </w:trPr>
        <w:tc>
          <w:tcPr>
            <w:tcW w:w="3840" w:type="dxa"/>
            <w:vAlign w:val="bottom"/>
          </w:tcPr>
          <w:p>
            <w:pPr>
              <w:spacing w:after="0"/>
              <w:rPr>
                <w:sz w:val="15"/>
                <w:szCs w:val="15"/>
                <w:color w:val="auto"/>
              </w:rPr>
            </w:pPr>
          </w:p>
        </w:tc>
        <w:tc>
          <w:tcPr>
            <w:tcW w:w="7400" w:type="dxa"/>
            <w:vAlign w:val="bottom"/>
            <w:gridSpan w:val="2"/>
          </w:tcPr>
          <w:p>
            <w:pPr>
              <w:ind w:left="640"/>
              <w:spacing w:after="0" w:line="178" w:lineRule="exact"/>
              <w:rPr>
                <w:sz w:val="20"/>
                <w:szCs w:val="20"/>
                <w:color w:val="auto"/>
              </w:rPr>
            </w:pPr>
            <w:r>
              <w:rPr>
                <w:rFonts w:ascii="Times New Roman" w:cs="Times New Roman" w:eastAsia="Times New Roman" w:hAnsi="Times New Roman"/>
                <w:sz w:val="18"/>
                <w:szCs w:val="18"/>
                <w:color w:val="auto"/>
              </w:rPr>
              <w:t>Newly diagnosed untreated patients with high-risk AML (cooperative group study) (planned</w:t>
            </w:r>
          </w:p>
        </w:tc>
      </w:tr>
      <w:tr>
        <w:trPr>
          <w:trHeight w:val="226"/>
        </w:trPr>
        <w:tc>
          <w:tcPr>
            <w:tcW w:w="3840" w:type="dxa"/>
            <w:vAlign w:val="bottom"/>
          </w:tcPr>
          <w:p>
            <w:pPr>
              <w:spacing w:after="0"/>
              <w:rPr>
                <w:sz w:val="19"/>
                <w:szCs w:val="19"/>
                <w:color w:val="auto"/>
              </w:rPr>
            </w:pPr>
          </w:p>
        </w:tc>
        <w:tc>
          <w:tcPr>
            <w:tcW w:w="74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trial)</w:t>
            </w:r>
          </w:p>
        </w:tc>
      </w:tr>
      <w:tr>
        <w:trPr>
          <w:trHeight w:val="173"/>
        </w:trPr>
        <w:tc>
          <w:tcPr>
            <w:tcW w:w="3840" w:type="dxa"/>
            <w:vAlign w:val="bottom"/>
            <w:shd w:val="clear" w:color="auto" w:fill="CCEEFF"/>
          </w:tcPr>
          <w:p>
            <w:pPr>
              <w:ind w:left="140"/>
              <w:spacing w:after="0" w:line="173" w:lineRule="exact"/>
              <w:rPr>
                <w:sz w:val="20"/>
                <w:szCs w:val="20"/>
                <w:color w:val="auto"/>
              </w:rPr>
            </w:pPr>
            <w:r>
              <w:rPr>
                <w:rFonts w:ascii="Times New Roman" w:cs="Times New Roman" w:eastAsia="Times New Roman" w:hAnsi="Times New Roman"/>
                <w:sz w:val="18"/>
                <w:szCs w:val="18"/>
                <w:color w:val="auto"/>
              </w:rPr>
              <w:t>Vyxeos + other approved therapies</w:t>
            </w:r>
          </w:p>
        </w:tc>
        <w:tc>
          <w:tcPr>
            <w:tcW w:w="7300" w:type="dxa"/>
            <w:vAlign w:val="bottom"/>
            <w:shd w:val="clear" w:color="auto" w:fill="CCEEFF"/>
          </w:tcPr>
          <w:p>
            <w:pPr>
              <w:ind w:left="640"/>
              <w:spacing w:after="0" w:line="173" w:lineRule="exact"/>
              <w:rPr>
                <w:sz w:val="20"/>
                <w:szCs w:val="20"/>
                <w:color w:val="auto"/>
              </w:rPr>
            </w:pPr>
            <w:r>
              <w:rPr>
                <w:rFonts w:ascii="Times New Roman" w:cs="Times New Roman" w:eastAsia="Times New Roman" w:hAnsi="Times New Roman"/>
                <w:sz w:val="18"/>
                <w:szCs w:val="18"/>
                <w:color w:val="auto"/>
              </w:rPr>
              <w:t>Relapsed/refractory, or R/R AML or hypomethylating agent failure MDS (MD Anderson</w:t>
            </w:r>
          </w:p>
        </w:tc>
        <w:tc>
          <w:tcPr>
            <w:tcW w:w="100" w:type="dxa"/>
            <w:vAlign w:val="bottom"/>
          </w:tcPr>
          <w:p>
            <w:pPr>
              <w:spacing w:after="0"/>
              <w:rPr>
                <w:sz w:val="15"/>
                <w:szCs w:val="15"/>
                <w:color w:val="auto"/>
              </w:rPr>
            </w:pPr>
          </w:p>
        </w:tc>
      </w:tr>
      <w:tr>
        <w:trPr>
          <w:trHeight w:val="181"/>
        </w:trPr>
        <w:tc>
          <w:tcPr>
            <w:tcW w:w="3840" w:type="dxa"/>
            <w:vAlign w:val="bottom"/>
            <w:shd w:val="clear" w:color="auto" w:fill="CCEEFF"/>
          </w:tcPr>
          <w:p>
            <w:pPr>
              <w:spacing w:after="0"/>
              <w:rPr>
                <w:sz w:val="15"/>
                <w:szCs w:val="15"/>
                <w:color w:val="auto"/>
              </w:rPr>
            </w:pPr>
          </w:p>
        </w:tc>
        <w:tc>
          <w:tcPr>
            <w:tcW w:w="7300" w:type="dxa"/>
            <w:vAlign w:val="bottom"/>
            <w:shd w:val="clear" w:color="auto" w:fill="CCEEFF"/>
          </w:tcPr>
          <w:p>
            <w:pPr>
              <w:ind w:left="640"/>
              <w:spacing w:after="0" w:line="182" w:lineRule="exact"/>
              <w:rPr>
                <w:sz w:val="20"/>
                <w:szCs w:val="20"/>
                <w:color w:val="auto"/>
              </w:rPr>
            </w:pPr>
            <w:r>
              <w:rPr>
                <w:rFonts w:ascii="Times New Roman" w:cs="Times New Roman" w:eastAsia="Times New Roman" w:hAnsi="Times New Roman"/>
                <w:sz w:val="18"/>
                <w:szCs w:val="18"/>
                <w:color w:val="auto"/>
              </w:rPr>
              <w:t>collaboration study) (ongoing trial)</w:t>
            </w:r>
          </w:p>
        </w:tc>
        <w:tc>
          <w:tcPr>
            <w:tcW w:w="100" w:type="dxa"/>
            <w:vAlign w:val="bottom"/>
          </w:tcPr>
          <w:p>
            <w:pPr>
              <w:spacing w:after="0"/>
              <w:rPr>
                <w:sz w:val="15"/>
                <w:szCs w:val="15"/>
                <w:color w:val="auto"/>
              </w:rPr>
            </w:pPr>
          </w:p>
        </w:tc>
      </w:tr>
      <w:tr>
        <w:trPr>
          <w:trHeight w:val="231"/>
        </w:trPr>
        <w:tc>
          <w:tcPr>
            <w:tcW w:w="3840" w:type="dxa"/>
            <w:vAlign w:val="bottom"/>
            <w:shd w:val="clear" w:color="auto" w:fill="CCEEFF"/>
          </w:tcPr>
          <w:p>
            <w:pPr>
              <w:spacing w:after="0"/>
              <w:rPr>
                <w:sz w:val="20"/>
                <w:szCs w:val="20"/>
                <w:color w:val="auto"/>
              </w:rPr>
            </w:pPr>
          </w:p>
        </w:tc>
        <w:tc>
          <w:tcPr>
            <w:tcW w:w="73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De novo or R/R AML (MD Anderson collaboration study) (ongoing trial)</w:t>
            </w:r>
          </w:p>
        </w:tc>
        <w:tc>
          <w:tcPr>
            <w:tcW w:w="100" w:type="dxa"/>
            <w:vAlign w:val="bottom"/>
          </w:tcPr>
          <w:p>
            <w:pPr>
              <w:spacing w:after="0"/>
              <w:rPr>
                <w:sz w:val="20"/>
                <w:szCs w:val="20"/>
                <w:color w:val="auto"/>
              </w:rPr>
            </w:pPr>
          </w:p>
        </w:tc>
      </w:tr>
      <w:tr>
        <w:trPr>
          <w:trHeight w:val="22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Phase 2a</w:t>
            </w:r>
          </w:p>
        </w:tc>
        <w:tc>
          <w:tcPr>
            <w:tcW w:w="7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Zanidatamab</w:t>
            </w:r>
          </w:p>
        </w:tc>
        <w:tc>
          <w:tcPr>
            <w:tcW w:w="73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9"/>
              </w:rPr>
              <w:t>Previously treated HER2+HR+ breast cancer in combination with palbociclib (ongoing trial)</w:t>
            </w:r>
          </w:p>
        </w:tc>
        <w:tc>
          <w:tcPr>
            <w:tcW w:w="100" w:type="dxa"/>
            <w:vAlign w:val="bottom"/>
          </w:tcPr>
          <w:p>
            <w:pPr>
              <w:spacing w:after="0"/>
              <w:rPr>
                <w:sz w:val="19"/>
                <w:szCs w:val="19"/>
                <w:color w:val="auto"/>
              </w:rPr>
            </w:pPr>
          </w:p>
        </w:tc>
      </w:tr>
      <w:tr>
        <w:trPr>
          <w:trHeight w:val="22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Phase 1b/2</w:t>
            </w:r>
          </w:p>
        </w:tc>
        <w:tc>
          <w:tcPr>
            <w:tcW w:w="7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Zanidatamab</w:t>
            </w:r>
          </w:p>
        </w:tc>
        <w:tc>
          <w:tcPr>
            <w:tcW w:w="73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First-line breast cancer and GEA (BeiGene trial) (ongoing trial)</w:t>
            </w:r>
          </w:p>
        </w:tc>
        <w:tc>
          <w:tcPr>
            <w:tcW w:w="100" w:type="dxa"/>
            <w:vAlign w:val="bottom"/>
          </w:tcPr>
          <w:p>
            <w:pPr>
              <w:spacing w:after="0"/>
              <w:rPr>
                <w:sz w:val="19"/>
                <w:szCs w:val="19"/>
                <w:color w:val="auto"/>
              </w:rPr>
            </w:pPr>
          </w:p>
        </w:tc>
      </w:tr>
      <w:tr>
        <w:trPr>
          <w:trHeight w:val="226"/>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Zanidatamab</w:t>
            </w:r>
          </w:p>
        </w:tc>
        <w:tc>
          <w:tcPr>
            <w:tcW w:w="73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HER2-expressing breast cancer in combination with ALX148 (ongoing trial)</w:t>
            </w:r>
          </w:p>
        </w:tc>
        <w:tc>
          <w:tcPr>
            <w:tcW w:w="100" w:type="dxa"/>
            <w:vAlign w:val="bottom"/>
          </w:tcPr>
          <w:p>
            <w:pPr>
              <w:spacing w:after="0"/>
              <w:rPr>
                <w:sz w:val="19"/>
                <w:szCs w:val="19"/>
                <w:color w:val="auto"/>
              </w:rPr>
            </w:pPr>
          </w:p>
        </w:tc>
      </w:tr>
      <w:tr>
        <w:trPr>
          <w:trHeight w:val="226"/>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Phase 1</w:t>
            </w:r>
          </w:p>
        </w:tc>
        <w:tc>
          <w:tcPr>
            <w:tcW w:w="73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JZP815</w:t>
            </w:r>
          </w:p>
        </w:tc>
        <w:tc>
          <w:tcPr>
            <w:tcW w:w="73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Raf and Ras mutant tumors (acquired from Redx Pharma plc, or Redx) (ongoing trial)</w:t>
            </w:r>
          </w:p>
        </w:tc>
        <w:tc>
          <w:tcPr>
            <w:tcW w:w="100" w:type="dxa"/>
            <w:vAlign w:val="bottom"/>
          </w:tcPr>
          <w:p>
            <w:pPr>
              <w:spacing w:after="0"/>
              <w:rPr>
                <w:sz w:val="19"/>
                <w:szCs w:val="19"/>
                <w:color w:val="auto"/>
              </w:rPr>
            </w:pPr>
          </w:p>
        </w:tc>
      </w:tr>
      <w:tr>
        <w:trPr>
          <w:trHeight w:val="173"/>
        </w:trPr>
        <w:tc>
          <w:tcPr>
            <w:tcW w:w="3840" w:type="dxa"/>
            <w:vAlign w:val="bottom"/>
            <w:shd w:val="clear" w:color="auto" w:fill="CCEEFF"/>
          </w:tcPr>
          <w:p>
            <w:pPr>
              <w:ind w:left="140"/>
              <w:spacing w:after="0" w:line="173" w:lineRule="exact"/>
              <w:rPr>
                <w:sz w:val="20"/>
                <w:szCs w:val="20"/>
                <w:color w:val="auto"/>
              </w:rPr>
            </w:pPr>
            <w:r>
              <w:rPr>
                <w:rFonts w:ascii="Times New Roman" w:cs="Times New Roman" w:eastAsia="Times New Roman" w:hAnsi="Times New Roman"/>
                <w:sz w:val="18"/>
                <w:szCs w:val="18"/>
                <w:color w:val="auto"/>
              </w:rPr>
              <w:t>Zanidatamab</w:t>
            </w:r>
          </w:p>
        </w:tc>
        <w:tc>
          <w:tcPr>
            <w:tcW w:w="7300" w:type="dxa"/>
            <w:vAlign w:val="bottom"/>
            <w:shd w:val="clear" w:color="auto" w:fill="CCEEFF"/>
          </w:tcPr>
          <w:p>
            <w:pPr>
              <w:ind w:left="640"/>
              <w:spacing w:after="0" w:line="173" w:lineRule="exact"/>
              <w:rPr>
                <w:sz w:val="20"/>
                <w:szCs w:val="20"/>
                <w:color w:val="auto"/>
              </w:rPr>
            </w:pPr>
            <w:r>
              <w:rPr>
                <w:rFonts w:ascii="Times New Roman" w:cs="Times New Roman" w:eastAsia="Times New Roman" w:hAnsi="Times New Roman"/>
                <w:sz w:val="18"/>
                <w:szCs w:val="18"/>
                <w:color w:val="auto"/>
              </w:rPr>
              <w:t>Previously treated metastatic HER2-expressing cancers in combination with select</w:t>
            </w:r>
          </w:p>
        </w:tc>
        <w:tc>
          <w:tcPr>
            <w:tcW w:w="100" w:type="dxa"/>
            <w:vAlign w:val="bottom"/>
          </w:tcPr>
          <w:p>
            <w:pPr>
              <w:spacing w:after="0"/>
              <w:rPr>
                <w:sz w:val="15"/>
                <w:szCs w:val="15"/>
                <w:color w:val="auto"/>
              </w:rPr>
            </w:pPr>
          </w:p>
        </w:tc>
      </w:tr>
      <w:tr>
        <w:trPr>
          <w:trHeight w:val="240"/>
        </w:trPr>
        <w:tc>
          <w:tcPr>
            <w:tcW w:w="3840" w:type="dxa"/>
            <w:vAlign w:val="bottom"/>
            <w:shd w:val="clear" w:color="auto" w:fill="CCEEFF"/>
          </w:tcPr>
          <w:p>
            <w:pPr>
              <w:spacing w:after="0"/>
              <w:rPr>
                <w:sz w:val="20"/>
                <w:szCs w:val="20"/>
                <w:color w:val="auto"/>
              </w:rPr>
            </w:pPr>
          </w:p>
        </w:tc>
        <w:tc>
          <w:tcPr>
            <w:tcW w:w="73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antineoplastic therapies (ongoing trial)</w:t>
            </w:r>
          </w:p>
        </w:tc>
        <w:tc>
          <w:tcPr>
            <w:tcW w:w="100" w:type="dxa"/>
            <w:vAlign w:val="bottom"/>
          </w:tcPr>
          <w:p>
            <w:pPr>
              <w:spacing w:after="0"/>
              <w:rPr>
                <w:sz w:val="20"/>
                <w:szCs w:val="20"/>
                <w:color w:val="auto"/>
              </w:rPr>
            </w:pPr>
          </w:p>
        </w:tc>
      </w:tr>
      <w:tr>
        <w:trPr>
          <w:trHeight w:val="226"/>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JZP341 (long-acting </w:t>
            </w:r>
            <w:r>
              <w:rPr>
                <w:rFonts w:ascii="Times New Roman" w:cs="Times New Roman" w:eastAsia="Times New Roman" w:hAnsi="Times New Roman"/>
                <w:sz w:val="18"/>
                <w:szCs w:val="18"/>
                <w:i w:val="1"/>
                <w:iCs w:val="1"/>
                <w:color w:val="auto"/>
              </w:rPr>
              <w:t>Erwinia</w:t>
            </w:r>
            <w:r>
              <w:rPr>
                <w:rFonts w:ascii="Times New Roman" w:cs="Times New Roman" w:eastAsia="Times New Roman" w:hAnsi="Times New Roman"/>
                <w:sz w:val="18"/>
                <w:szCs w:val="18"/>
                <w:color w:val="auto"/>
              </w:rPr>
              <w:t xml:space="preserve"> asparaginase)</w:t>
            </w:r>
          </w:p>
        </w:tc>
        <w:tc>
          <w:tcPr>
            <w:tcW w:w="730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Solid tumors (licensed from Ligand Pharmaceuticals Incorporated, or Ligand) (ongoing trial)</w:t>
            </w:r>
          </w:p>
        </w:tc>
        <w:tc>
          <w:tcPr>
            <w:tcW w:w="100" w:type="dxa"/>
            <w:vAlign w:val="bottom"/>
          </w:tcPr>
          <w:p>
            <w:pPr>
              <w:spacing w:after="0"/>
              <w:rPr>
                <w:sz w:val="19"/>
                <w:szCs w:val="19"/>
                <w:color w:val="auto"/>
              </w:rPr>
            </w:pPr>
          </w:p>
        </w:tc>
      </w:tr>
      <w:tr>
        <w:trPr>
          <w:trHeight w:val="226"/>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JZP898</w:t>
            </w:r>
          </w:p>
        </w:tc>
        <w:tc>
          <w:tcPr>
            <w:tcW w:w="73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Conditionally-activated IFNα INDUKINE™ molecule in solid tumors (ongoing trial)</w:t>
            </w:r>
          </w:p>
        </w:tc>
        <w:tc>
          <w:tcPr>
            <w:tcW w:w="100" w:type="dxa"/>
            <w:vAlign w:val="bottom"/>
          </w:tcPr>
          <w:p>
            <w:pPr>
              <w:spacing w:after="0"/>
              <w:rPr>
                <w:sz w:val="19"/>
                <w:szCs w:val="19"/>
                <w:color w:val="auto"/>
              </w:rPr>
            </w:pPr>
          </w:p>
        </w:tc>
      </w:tr>
      <w:tr>
        <w:trPr>
          <w:trHeight w:val="226"/>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Vyxeos</w:t>
            </w:r>
          </w:p>
        </w:tc>
        <w:tc>
          <w:tcPr>
            <w:tcW w:w="730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8"/>
              </w:rPr>
              <w:t>Low intensity dosing for higher risk MDS (MD Anderson collaboration study) (ongoing trial)</w:t>
            </w:r>
          </w:p>
        </w:tc>
        <w:tc>
          <w:tcPr>
            <w:tcW w:w="100" w:type="dxa"/>
            <w:vAlign w:val="bottom"/>
          </w:tcPr>
          <w:p>
            <w:pPr>
              <w:spacing w:after="0"/>
              <w:rPr>
                <w:sz w:val="19"/>
                <w:szCs w:val="19"/>
                <w:color w:val="auto"/>
              </w:rPr>
            </w:pPr>
          </w:p>
        </w:tc>
      </w:tr>
      <w:tr>
        <w:trPr>
          <w:trHeight w:val="226"/>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Preclinical</w:t>
            </w:r>
          </w:p>
        </w:tc>
        <w:tc>
          <w:tcPr>
            <w:tcW w:w="73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Undisclosed target</w:t>
            </w:r>
          </w:p>
        </w:tc>
        <w:tc>
          <w:tcPr>
            <w:tcW w:w="73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Ras/Raf/MAP kinase pathway (collaboration with Redx)</w:t>
            </w:r>
          </w:p>
        </w:tc>
        <w:tc>
          <w:tcPr>
            <w:tcW w:w="100" w:type="dxa"/>
            <w:vAlign w:val="bottom"/>
          </w:tcPr>
          <w:p>
            <w:pPr>
              <w:spacing w:after="0"/>
              <w:rPr>
                <w:sz w:val="19"/>
                <w:szCs w:val="19"/>
                <w:color w:val="auto"/>
              </w:rPr>
            </w:pPr>
          </w:p>
        </w:tc>
      </w:tr>
      <w:tr>
        <w:trPr>
          <w:trHeight w:val="226"/>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Undisclosed targets</w:t>
            </w:r>
          </w:p>
        </w:tc>
        <w:tc>
          <w:tcPr>
            <w:tcW w:w="73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Oncology</w:t>
            </w:r>
          </w:p>
        </w:tc>
        <w:tc>
          <w:tcPr>
            <w:tcW w:w="100" w:type="dxa"/>
            <w:vAlign w:val="bottom"/>
          </w:tcPr>
          <w:p>
            <w:pPr>
              <w:spacing w:after="0"/>
              <w:rPr>
                <w:sz w:val="19"/>
                <w:szCs w:val="19"/>
                <w:color w:val="auto"/>
              </w:rPr>
            </w:pPr>
          </w:p>
        </w:tc>
      </w:tr>
      <w:tr>
        <w:trPr>
          <w:trHeight w:val="226"/>
        </w:trPr>
        <w:tc>
          <w:tcPr>
            <w:tcW w:w="3840" w:type="dxa"/>
            <w:vAlign w:val="bottom"/>
          </w:tcPr>
          <w:p>
            <w:pPr>
              <w:ind w:left="140"/>
              <w:spacing w:after="0" w:line="226" w:lineRule="exact"/>
              <w:rPr>
                <w:sz w:val="20"/>
                <w:szCs w:val="20"/>
                <w:color w:val="auto"/>
              </w:rPr>
            </w:pPr>
            <w:r>
              <w:rPr>
                <w:rFonts w:ascii="Times New Roman" w:cs="Times New Roman" w:eastAsia="Times New Roman" w:hAnsi="Times New Roman"/>
                <w:sz w:val="18"/>
                <w:szCs w:val="18"/>
                <w:color w:val="auto"/>
              </w:rPr>
              <w:t>CombiPlex</w:t>
            </w:r>
            <w:r>
              <w:rPr>
                <w:rFonts w:ascii="Times New Roman" w:cs="Times New Roman" w:eastAsia="Times New Roman" w:hAnsi="Times New Roman"/>
                <w:sz w:val="23"/>
                <w:szCs w:val="23"/>
                <w:color w:val="auto"/>
                <w:vertAlign w:val="superscript"/>
              </w:rPr>
              <w:t>®</w:t>
            </w:r>
          </w:p>
        </w:tc>
        <w:tc>
          <w:tcPr>
            <w:tcW w:w="73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Hematology/oncology exploratory activities</w:t>
            </w:r>
          </w:p>
        </w:tc>
        <w:tc>
          <w:tcPr>
            <w:tcW w:w="100" w:type="dxa"/>
            <w:vAlign w:val="bottom"/>
          </w:tcPr>
          <w:p>
            <w:pPr>
              <w:spacing w:after="0"/>
              <w:rPr>
                <w:sz w:val="19"/>
                <w:szCs w:val="19"/>
                <w:color w:val="auto"/>
              </w:rPr>
            </w:pPr>
          </w:p>
        </w:tc>
      </w:tr>
      <w:tr>
        <w:trPr>
          <w:trHeight w:val="226"/>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NEUROSCIENCE</w:t>
            </w:r>
          </w:p>
        </w:tc>
        <w:tc>
          <w:tcPr>
            <w:tcW w:w="73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7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Epidyolex</w:t>
            </w:r>
          </w:p>
        </w:tc>
        <w:tc>
          <w:tcPr>
            <w:tcW w:w="73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LGS, TSC and DS (ongoing trial in Japan)</w:t>
            </w:r>
          </w:p>
        </w:tc>
        <w:tc>
          <w:tcPr>
            <w:tcW w:w="100" w:type="dxa"/>
            <w:vAlign w:val="bottom"/>
          </w:tcPr>
          <w:p>
            <w:pPr>
              <w:spacing w:after="0"/>
              <w:rPr>
                <w:sz w:val="19"/>
                <w:szCs w:val="19"/>
                <w:color w:val="auto"/>
              </w:rPr>
            </w:pPr>
          </w:p>
        </w:tc>
      </w:tr>
      <w:tr>
        <w:trPr>
          <w:trHeight w:val="22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Phase 2b</w:t>
            </w:r>
          </w:p>
        </w:tc>
        <w:tc>
          <w:tcPr>
            <w:tcW w:w="7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Suvecaltamide (JZP385)</w:t>
            </w:r>
          </w:p>
        </w:tc>
        <w:tc>
          <w:tcPr>
            <w:tcW w:w="73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ET (ongoing trial)</w:t>
            </w:r>
          </w:p>
        </w:tc>
        <w:tc>
          <w:tcPr>
            <w:tcW w:w="100" w:type="dxa"/>
            <w:vAlign w:val="bottom"/>
          </w:tcPr>
          <w:p>
            <w:pPr>
              <w:spacing w:after="0"/>
              <w:rPr>
                <w:sz w:val="19"/>
                <w:szCs w:val="19"/>
                <w:color w:val="auto"/>
              </w:rPr>
            </w:pPr>
          </w:p>
        </w:tc>
      </w:tr>
      <w:tr>
        <w:trPr>
          <w:trHeight w:val="22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7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33"/>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Suvecaltamide (JZP385)</w:t>
            </w:r>
          </w:p>
        </w:tc>
        <w:tc>
          <w:tcPr>
            <w:tcW w:w="73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Parkinson's disease tremor (ongoing trial)</w:t>
            </w:r>
          </w:p>
        </w:tc>
        <w:tc>
          <w:tcPr>
            <w:tcW w:w="100" w:type="dxa"/>
            <w:vAlign w:val="bottom"/>
          </w:tcPr>
          <w:p>
            <w:pPr>
              <w:spacing w:after="0"/>
              <w:rPr>
                <w:sz w:val="24"/>
                <w:szCs w:val="24"/>
                <w:color w:val="auto"/>
              </w:rPr>
            </w:pPr>
          </w:p>
        </w:tc>
      </w:tr>
      <w:tr>
        <w:trPr>
          <w:trHeight w:val="22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Phase 1</w:t>
            </w:r>
          </w:p>
        </w:tc>
        <w:tc>
          <w:tcPr>
            <w:tcW w:w="7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JZP324</w:t>
            </w:r>
          </w:p>
        </w:tc>
        <w:tc>
          <w:tcPr>
            <w:tcW w:w="73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Oxybate extended-release formulation (planned trial)</w:t>
            </w:r>
          </w:p>
        </w:tc>
        <w:tc>
          <w:tcPr>
            <w:tcW w:w="100" w:type="dxa"/>
            <w:vAlign w:val="bottom"/>
          </w:tcPr>
          <w:p>
            <w:pPr>
              <w:spacing w:after="0"/>
              <w:rPr>
                <w:sz w:val="19"/>
                <w:szCs w:val="19"/>
                <w:color w:val="auto"/>
              </w:rPr>
            </w:pPr>
          </w:p>
        </w:tc>
      </w:tr>
      <w:tr>
        <w:trPr>
          <w:trHeight w:val="226"/>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JZP441*</w:t>
            </w:r>
          </w:p>
        </w:tc>
        <w:tc>
          <w:tcPr>
            <w:tcW w:w="73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Potent, highly selective oral orexin-2 receptor agonist (paused)</w:t>
            </w:r>
          </w:p>
        </w:tc>
        <w:tc>
          <w:tcPr>
            <w:tcW w:w="100" w:type="dxa"/>
            <w:vAlign w:val="bottom"/>
          </w:tcPr>
          <w:p>
            <w:pPr>
              <w:spacing w:after="0"/>
              <w:rPr>
                <w:sz w:val="19"/>
                <w:szCs w:val="19"/>
                <w:color w:val="auto"/>
              </w:rPr>
            </w:pPr>
          </w:p>
        </w:tc>
      </w:tr>
      <w:tr>
        <w:trPr>
          <w:trHeight w:val="226"/>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Undisclosed cannabinoids</w:t>
            </w:r>
          </w:p>
        </w:tc>
        <w:tc>
          <w:tcPr>
            <w:tcW w:w="73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Other neuroscience (ongoing trials)</w:t>
            </w:r>
          </w:p>
        </w:tc>
        <w:tc>
          <w:tcPr>
            <w:tcW w:w="100" w:type="dxa"/>
            <w:vAlign w:val="bottom"/>
          </w:tcPr>
          <w:p>
            <w:pPr>
              <w:spacing w:after="0"/>
              <w:rPr>
                <w:sz w:val="19"/>
                <w:szCs w:val="19"/>
                <w:color w:val="auto"/>
              </w:rPr>
            </w:pPr>
          </w:p>
        </w:tc>
      </w:tr>
      <w:tr>
        <w:trPr>
          <w:trHeight w:val="22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Preclinical</w:t>
            </w:r>
          </w:p>
        </w:tc>
        <w:tc>
          <w:tcPr>
            <w:tcW w:w="7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3840" w:type="dxa"/>
            <w:vAlign w:val="bottom"/>
            <w:shd w:val="clear" w:color="auto" w:fill="CCEEFF"/>
          </w:tcPr>
          <w:p>
            <w:pPr>
              <w:ind w:left="140"/>
              <w:spacing w:after="0" w:line="173" w:lineRule="exact"/>
              <w:rPr>
                <w:sz w:val="20"/>
                <w:szCs w:val="20"/>
                <w:color w:val="auto"/>
              </w:rPr>
            </w:pPr>
            <w:r>
              <w:rPr>
                <w:rFonts w:ascii="Times New Roman" w:cs="Times New Roman" w:eastAsia="Times New Roman" w:hAnsi="Times New Roman"/>
                <w:sz w:val="18"/>
                <w:szCs w:val="18"/>
                <w:color w:val="auto"/>
              </w:rPr>
              <w:t>Undisclosed targets</w:t>
            </w:r>
          </w:p>
        </w:tc>
        <w:tc>
          <w:tcPr>
            <w:tcW w:w="7300" w:type="dxa"/>
            <w:vAlign w:val="bottom"/>
            <w:shd w:val="clear" w:color="auto" w:fill="CCEEFF"/>
          </w:tcPr>
          <w:p>
            <w:pPr>
              <w:ind w:left="640"/>
              <w:spacing w:after="0" w:line="173" w:lineRule="exact"/>
              <w:rPr>
                <w:sz w:val="20"/>
                <w:szCs w:val="20"/>
                <w:color w:val="auto"/>
              </w:rPr>
            </w:pPr>
            <w:r>
              <w:rPr>
                <w:rFonts w:ascii="Times New Roman" w:cs="Times New Roman" w:eastAsia="Times New Roman" w:hAnsi="Times New Roman"/>
                <w:sz w:val="18"/>
                <w:szCs w:val="18"/>
                <w:color w:val="auto"/>
              </w:rPr>
              <w:t>Sleep</w:t>
            </w:r>
          </w:p>
        </w:tc>
        <w:tc>
          <w:tcPr>
            <w:tcW w:w="100" w:type="dxa"/>
            <w:vAlign w:val="bottom"/>
          </w:tcPr>
          <w:p>
            <w:pPr>
              <w:spacing w:after="0"/>
              <w:rPr>
                <w:sz w:val="15"/>
                <w:szCs w:val="15"/>
                <w:color w:val="auto"/>
              </w:rPr>
            </w:pPr>
          </w:p>
        </w:tc>
      </w:tr>
      <w:tr>
        <w:trPr>
          <w:trHeight w:val="181"/>
        </w:trPr>
        <w:tc>
          <w:tcPr>
            <w:tcW w:w="3840" w:type="dxa"/>
            <w:vAlign w:val="bottom"/>
            <w:shd w:val="clear" w:color="auto" w:fill="CCEEFF"/>
          </w:tcPr>
          <w:p>
            <w:pPr>
              <w:spacing w:after="0"/>
              <w:rPr>
                <w:sz w:val="15"/>
                <w:szCs w:val="15"/>
                <w:color w:val="auto"/>
              </w:rPr>
            </w:pPr>
          </w:p>
        </w:tc>
        <w:tc>
          <w:tcPr>
            <w:tcW w:w="7300" w:type="dxa"/>
            <w:vAlign w:val="bottom"/>
            <w:shd w:val="clear" w:color="auto" w:fill="CCEEFF"/>
          </w:tcPr>
          <w:p>
            <w:pPr>
              <w:ind w:left="640"/>
              <w:spacing w:after="0" w:line="182" w:lineRule="exact"/>
              <w:rPr>
                <w:sz w:val="20"/>
                <w:szCs w:val="20"/>
                <w:color w:val="auto"/>
              </w:rPr>
            </w:pPr>
            <w:r>
              <w:rPr>
                <w:rFonts w:ascii="Times New Roman" w:cs="Times New Roman" w:eastAsia="Times New Roman" w:hAnsi="Times New Roman"/>
                <w:sz w:val="18"/>
                <w:szCs w:val="18"/>
                <w:color w:val="auto"/>
              </w:rPr>
              <w:t>Epilepsy</w:t>
            </w:r>
          </w:p>
        </w:tc>
        <w:tc>
          <w:tcPr>
            <w:tcW w:w="100" w:type="dxa"/>
            <w:vAlign w:val="bottom"/>
          </w:tcPr>
          <w:p>
            <w:pPr>
              <w:spacing w:after="0"/>
              <w:rPr>
                <w:sz w:val="15"/>
                <w:szCs w:val="15"/>
                <w:color w:val="auto"/>
              </w:rPr>
            </w:pPr>
          </w:p>
        </w:tc>
      </w:tr>
      <w:tr>
        <w:trPr>
          <w:trHeight w:val="231"/>
        </w:trPr>
        <w:tc>
          <w:tcPr>
            <w:tcW w:w="3840" w:type="dxa"/>
            <w:vAlign w:val="bottom"/>
            <w:shd w:val="clear" w:color="auto" w:fill="CCEEFF"/>
          </w:tcPr>
          <w:p>
            <w:pPr>
              <w:spacing w:after="0"/>
              <w:rPr>
                <w:sz w:val="20"/>
                <w:szCs w:val="20"/>
                <w:color w:val="auto"/>
              </w:rPr>
            </w:pPr>
          </w:p>
        </w:tc>
        <w:tc>
          <w:tcPr>
            <w:tcW w:w="73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Other Neuroscience</w:t>
            </w:r>
          </w:p>
        </w:tc>
        <w:tc>
          <w:tcPr>
            <w:tcW w:w="100" w:type="dxa"/>
            <w:vAlign w:val="bottom"/>
          </w:tcPr>
          <w:p>
            <w:pPr>
              <w:spacing w:after="0"/>
              <w:rPr>
                <w:sz w:val="20"/>
                <w:szCs w:val="20"/>
                <w:color w:val="auto"/>
              </w:rPr>
            </w:pPr>
          </w:p>
        </w:tc>
      </w:tr>
      <w:tr>
        <w:trPr>
          <w:trHeight w:val="853"/>
        </w:trPr>
        <w:tc>
          <w:tcPr>
            <w:tcW w:w="3840" w:type="dxa"/>
            <w:vAlign w:val="bottom"/>
          </w:tcPr>
          <w:p>
            <w:pPr>
              <w:spacing w:after="0"/>
              <w:rPr>
                <w:sz w:val="24"/>
                <w:szCs w:val="24"/>
                <w:color w:val="auto"/>
              </w:rPr>
            </w:pPr>
          </w:p>
        </w:tc>
        <w:tc>
          <w:tcPr>
            <w:tcW w:w="730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4"/>
                <w:szCs w:val="24"/>
                <w:color w:val="auto"/>
              </w:rPr>
            </w:pPr>
          </w:p>
        </w:tc>
      </w:tr>
      <w:tr>
        <w:trPr>
          <w:trHeight w:val="112"/>
        </w:trPr>
        <w:tc>
          <w:tcPr>
            <w:tcW w:w="3840" w:type="dxa"/>
            <w:vAlign w:val="bottom"/>
            <w:tcBorders>
              <w:bottom w:val="single" w:sz="8" w:color="9A9A9A"/>
            </w:tcBorders>
          </w:tcPr>
          <w:p>
            <w:pPr>
              <w:spacing w:after="0"/>
              <w:rPr>
                <w:sz w:val="9"/>
                <w:szCs w:val="9"/>
                <w:color w:val="auto"/>
              </w:rPr>
            </w:pPr>
          </w:p>
        </w:tc>
        <w:tc>
          <w:tcPr>
            <w:tcW w:w="7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*Also known as DSP-0187 (see discussion above in this section for JZP441)</w:t>
      </w:r>
    </w:p>
    <w:p>
      <w:pPr>
        <w:spacing w:after="0" w:line="1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2023 Highlights and Recent Developments</w:t>
      </w:r>
    </w:p>
    <w:p>
      <w:pPr>
        <w:spacing w:after="0" w:line="1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Regulatory Submissions, Approvals and Commercial Launches</w:t>
      </w: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u w:val="single" w:color="auto"/>
          <w:color w:val="auto"/>
        </w:rPr>
        <w:t>Xywav</w:t>
      </w:r>
    </w:p>
    <w:p>
      <w:pPr>
        <w:spacing w:after="0" w:line="112" w:lineRule="exact"/>
        <w:rPr>
          <w:sz w:val="20"/>
          <w:szCs w:val="20"/>
          <w:color w:val="auto"/>
        </w:rPr>
      </w:pPr>
    </w:p>
    <w:p>
      <w:pPr>
        <w:ind w:left="400" w:right="3060" w:firstLine="6"/>
        <w:spacing w:after="0" w:line="370" w:lineRule="auto"/>
        <w:tabs>
          <w:tab w:leader="none" w:pos="7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May 2023, Xywav was approved for the treatment of cataplexy in patients with narcolepsy in Canada. </w:t>
      </w:r>
      <w:r>
        <w:rPr>
          <w:rFonts w:ascii="Times New Roman" w:cs="Times New Roman" w:eastAsia="Times New Roman" w:hAnsi="Times New Roman"/>
          <w:sz w:val="18"/>
          <w:szCs w:val="18"/>
          <w:u w:val="single" w:color="auto"/>
          <w:color w:val="auto"/>
        </w:rPr>
        <w:t>Epidiolex/Epidyolex</w:t>
      </w:r>
    </w:p>
    <w:p>
      <w:pPr>
        <w:ind w:left="720" w:hanging="314"/>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half of 2023, launched TSC indication in England and Spain. Also launched LGS indication in Australia.</w:t>
      </w:r>
    </w:p>
    <w:p>
      <w:pPr>
        <w:spacing w:after="0" w:line="112" w:lineRule="exact"/>
        <w:rPr>
          <w:rFonts w:ascii="Times New Roman" w:cs="Times New Roman" w:eastAsia="Times New Roman" w:hAnsi="Times New Roman"/>
          <w:sz w:val="18"/>
          <w:szCs w:val="18"/>
          <w:color w:val="auto"/>
        </w:rPr>
      </w:pPr>
    </w:p>
    <w:p>
      <w:pPr>
        <w:ind w:left="720" w:right="880" w:hanging="314"/>
        <w:spacing w:after="0" w:line="276" w:lineRule="auto"/>
        <w:tabs>
          <w:tab w:leader="none" w:pos="7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half of 2023, secured reimbursement for LGS, DS and TSC indications in Greece, Poland and Luxembourg. Also secured reimbursement for TSC indication in Austria, Finland and Norway.</w:t>
      </w:r>
    </w:p>
    <w:p>
      <w:pPr>
        <w:spacing w:after="0" w:line="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u w:val="single" w:color="auto"/>
          <w:color w:val="auto"/>
        </w:rPr>
        <w:t>Rylaze/Enrylaze</w:t>
      </w:r>
    </w:p>
    <w:p>
      <w:pPr>
        <w:spacing w:after="0" w:line="112" w:lineRule="exact"/>
        <w:rPr>
          <w:sz w:val="20"/>
          <w:szCs w:val="20"/>
          <w:color w:val="auto"/>
        </w:rPr>
      </w:pPr>
    </w:p>
    <w:p>
      <w:pPr>
        <w:ind w:left="400" w:right="3160" w:firstLine="6"/>
        <w:spacing w:after="0" w:line="370" w:lineRule="auto"/>
        <w:tabs>
          <w:tab w:leader="none" w:pos="715"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In September 2023, the EC granted marketing authorization for JZP485 under the trade name Enrylaze. </w:t>
      </w:r>
      <w:r>
        <w:rPr>
          <w:rFonts w:ascii="Times New Roman" w:cs="Times New Roman" w:eastAsia="Times New Roman" w:hAnsi="Times New Roman"/>
          <w:sz w:val="18"/>
          <w:szCs w:val="18"/>
          <w:u w:val="single" w:color="auto"/>
          <w:color w:val="auto"/>
        </w:rPr>
        <w:t>Zanidatamab</w:t>
      </w:r>
    </w:p>
    <w:p>
      <w:pPr>
        <w:ind w:left="400" w:right="2940" w:firstLine="6"/>
        <w:spacing w:after="0" w:line="370" w:lineRule="auto"/>
        <w:tabs>
          <w:tab w:leader="none" w:pos="7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fourth quarter for 2023, we initiated a rolling BLA submission for zanidatamab in second-line BTC. </w:t>
      </w:r>
      <w:r>
        <w:rPr>
          <w:rFonts w:ascii="Times New Roman" w:cs="Times New Roman" w:eastAsia="Times New Roman" w:hAnsi="Times New Roman"/>
          <w:sz w:val="18"/>
          <w:szCs w:val="18"/>
          <w:u w:val="single" w:color="auto"/>
          <w:color w:val="auto"/>
        </w:rPr>
        <w:t>Research and Development</w:t>
      </w:r>
    </w:p>
    <w:p>
      <w:pPr>
        <w:ind w:left="720" w:hanging="314"/>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of 2023, we initiated a Phase 1 clinical trial for JPZ898.</w:t>
      </w:r>
    </w:p>
    <w:p>
      <w:pPr>
        <w:spacing w:after="0" w:line="1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Operational Excellence</w:t>
      </w:r>
    </w:p>
    <w:p>
      <w:pPr>
        <w:spacing w:after="0" w:line="116" w:lineRule="exact"/>
        <w:rPr>
          <w:sz w:val="20"/>
          <w:szCs w:val="20"/>
          <w:color w:val="auto"/>
        </w:rPr>
      </w:pPr>
    </w:p>
    <w:p>
      <w:pPr>
        <w:ind w:right="200" w:firstLine="439"/>
        <w:spacing w:after="0" w:line="251" w:lineRule="auto"/>
        <w:rPr>
          <w:sz w:val="20"/>
          <w:szCs w:val="20"/>
          <w:color w:val="auto"/>
        </w:rPr>
      </w:pPr>
      <w:r>
        <w:rPr>
          <w:rFonts w:ascii="Times New Roman" w:cs="Times New Roman" w:eastAsia="Times New Roman" w:hAnsi="Times New Roman"/>
          <w:sz w:val="18"/>
          <w:szCs w:val="18"/>
          <w:color w:val="auto"/>
        </w:rPr>
        <w:t>We remain focused on continuing to build excellence in areas that we believe will give us a competitive advantage, including maintaining an increasingly agile and adaptable commercialization engine and strengthening our customer-focused market expertise across patients, providers and payors. We are continuously refining our approach to engaging our customers by strengthening alignment and integration across functions and across regions. This includes maintaining a virtual presence at scientific congresses, when appropriate, designed to ensure we can continue to provide promotional and non-promotional interactions and supporting our field-based teams with virtual customer interaction tools, training and content. These initiatives mark a significant operational evolution that is directly linked to our corporate strategy and are designed to better enable our teams to work collaboratively on an aligned and shared agenda through both virtual and in-person interactions. In most geographies, our teams have increased the frequency of in-person interactions as medical congresses and healthcare practices have resumed in-person activities.</w:t>
      </w:r>
    </w:p>
    <w:p>
      <w:pPr>
        <w:spacing w:after="0" w:line="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Other Challenges, Risks and Trends Related to Our Business</w:t>
      </w:r>
    </w:p>
    <w:p>
      <w:pPr>
        <w:spacing w:after="0" w:line="116" w:lineRule="exact"/>
        <w:rPr>
          <w:sz w:val="20"/>
          <w:szCs w:val="20"/>
          <w:color w:val="auto"/>
        </w:rPr>
      </w:pPr>
    </w:p>
    <w:p>
      <w:pPr>
        <w:ind w:firstLine="439"/>
        <w:spacing w:after="0" w:line="252" w:lineRule="auto"/>
        <w:rPr>
          <w:sz w:val="20"/>
          <w:szCs w:val="20"/>
          <w:color w:val="auto"/>
        </w:rPr>
      </w:pPr>
      <w:r>
        <w:rPr>
          <w:rFonts w:ascii="Times New Roman" w:cs="Times New Roman" w:eastAsia="Times New Roman" w:hAnsi="Times New Roman"/>
          <w:sz w:val="18"/>
          <w:szCs w:val="18"/>
          <w:color w:val="auto"/>
        </w:rPr>
        <w:t>Historically, our business was substantially dependent on Xyrem and our financial results were significantly influenced by sales of Xyrem. Our operating plan assumes that Xywav, with 92% lower sodium compared to high-sodium oxybates, depending on the dose, absence of a sodium warning and dosing titration option, will remain the treatment of choice for patients who can benefit from oxybate treatment. In June 2021, FDA recognized seven years of ODE for Xywav in narcolepsy through July 21, 2027 stating that Xywav is clinically superior to Xyrem by means of greater safety due to reduced chronic sodium burden. While we expect that our business will continue to meaningfully depend on oxybate revenues, there is no guarantee that oxybate revenues will remain at current levels, or that oxybate revenues will otherwise grow in future periods.</w:t>
      </w:r>
    </w:p>
    <w:p>
      <w:pPr>
        <w:spacing w:after="0" w:line="80" w:lineRule="exact"/>
        <w:rPr>
          <w:sz w:val="20"/>
          <w:szCs w:val="20"/>
          <w:color w:val="auto"/>
        </w:rPr>
      </w:pPr>
    </w:p>
    <w:p>
      <w:pPr>
        <w:ind w:right="100" w:firstLine="439"/>
        <w:spacing w:after="0" w:line="261" w:lineRule="auto"/>
        <w:rPr>
          <w:sz w:val="20"/>
          <w:szCs w:val="20"/>
          <w:color w:val="auto"/>
        </w:rPr>
      </w:pPr>
      <w:r>
        <w:rPr>
          <w:rFonts w:ascii="Times New Roman" w:cs="Times New Roman" w:eastAsia="Times New Roman" w:hAnsi="Times New Roman"/>
          <w:sz w:val="18"/>
          <w:szCs w:val="18"/>
          <w:color w:val="auto"/>
        </w:rPr>
        <w:t>Our ability to successfully commercialize Xywav will depend on, among other things, our ability to maintain adequate payor coverage and reimbursement for Xywav and acceptance of Xywav by physicians and patients, including of Xywav for the treatment of IH in adults. In an effort to support strong adoption of Xywav, we are focused on providing robust patient copay and savings programs and facilitating payor coverage for Xywav.</w:t>
      </w:r>
    </w:p>
    <w:p>
      <w:pPr>
        <w:spacing w:after="0" w:line="70" w:lineRule="exact"/>
        <w:rPr>
          <w:sz w:val="20"/>
          <w:szCs w:val="20"/>
          <w:color w:val="auto"/>
        </w:rPr>
      </w:pPr>
    </w:p>
    <w:p>
      <w:pPr>
        <w:ind w:right="220" w:firstLine="439"/>
        <w:spacing w:after="0" w:line="252" w:lineRule="auto"/>
        <w:rPr>
          <w:sz w:val="20"/>
          <w:szCs w:val="20"/>
          <w:color w:val="auto"/>
        </w:rPr>
      </w:pPr>
      <w:r>
        <w:rPr>
          <w:rFonts w:ascii="Times New Roman" w:cs="Times New Roman" w:eastAsia="Times New Roman" w:hAnsi="Times New Roman"/>
          <w:sz w:val="18"/>
          <w:szCs w:val="18"/>
          <w:color w:val="auto"/>
        </w:rPr>
        <w:t>Xywav and Xyrem face competition from a branded product for treatment of cataplexy and/or EDS in narcolepsy. Avadel’s Lumryz was launched in the U.S. market in June 2023. On June 22, 2023, we filed a complaint in the United States District Court for the District of Columbia seeking a declaration that FDA’s approval of the New Drug Application, or NDA, for Avadel's Lumryz was unlawful. In the complaint, we allege that FDA acted outside its authority under the Orphan Drug Act, when, despite ODE protecting Xywav, FDA approved the Lumryz NDA and granted Lumryz ODE based on FDA’s finding that Lumryz makes a major contribution to patient care and is therefore clinically superior to Xywav and Xyrem. We cannot at this time predict the timing or ultimate outcome of this litigation or the impact of this litigation on our business.</w:t>
      </w:r>
    </w:p>
    <w:p>
      <w:pPr>
        <w:spacing w:after="0" w:line="80" w:lineRule="exact"/>
        <w:rPr>
          <w:sz w:val="20"/>
          <w:szCs w:val="20"/>
          <w:color w:val="auto"/>
        </w:rPr>
      </w:pPr>
    </w:p>
    <w:p>
      <w:pPr>
        <w:ind w:right="40" w:firstLine="439"/>
        <w:spacing w:after="0" w:line="256" w:lineRule="auto"/>
        <w:rPr>
          <w:sz w:val="20"/>
          <w:szCs w:val="20"/>
          <w:color w:val="auto"/>
        </w:rPr>
      </w:pPr>
      <w:r>
        <w:rPr>
          <w:rFonts w:ascii="Times New Roman" w:cs="Times New Roman" w:eastAsia="Times New Roman" w:hAnsi="Times New Roman"/>
          <w:sz w:val="18"/>
          <w:szCs w:val="18"/>
          <w:color w:val="auto"/>
        </w:rPr>
        <w:t>In addition, in January 2023 our oxybate products began to face competition from an AG version of high-sodium oxybate pursuant to a settlement agreement we entered into with an abbreviated new drug application, or ANDA, filer. In July 2023, a volume-limited ANDA filer launched an AG version of high-sodium oxybate. These AG products have negatively impacted and are expected to continue to negatively impact Xyrem and Xywav sales for patients with narcolepsy. Specifically, a wholly</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owned subsidiary of Hikma Pharmaceuticals PLC, or Hikma, launched its AG version of sodium oxybate in January 2023 and Amneal Pharmaceuticals LLC, or Amneal, launched its AG version of sodium oxybate in July 2023. Hikma has elected to continue to sell the Hikma AG product, with royalties to be paid to us, for a total of up to four years beginning in January 2024, which election may be terminated by Hikma in accordance with the notice provisions in the agreements between the parties. We have the right to receive a meaningful royalty from Hikma on net sales of the Hikma AG product; the royalty rate was fixed for the second half of 2023. There was a substantial increase in the royalty rate beginning in January 2024, which will remain fixed for the duration of the agreement's term. We are also paid for supply of the Hikma AG product and reimbursed by Hikma for a portion of the services costs associated with the operation of the Xywav and Xyrem risk evaluation and mitigation strategy, or REMS, and distribution of the Hikma AG product. We also granted Hikma a license to launch its own generic sodium oxybate product, but if it elects to launch its own generic product, Hikma will no longer have the right to sell the Hikma AG product. In addition, Hikma would need to set up its own REMS, which must be open to any other company seeking to commercialize a sodium oxybate product. In our settlements with Amneal, Lupin Inc., or Lupin, and Par Pharmaceutical, Inc., or Par, we granted each party the right to sell a limited volume of an AG product in the U.S. beginning on July 1, 2023 and ending on December 31, 2025, with royalties to be paid to us. Amneal launched its AG version of sodium oxybate in July 2023. At this time, Amneal has rights to sell a low-single-digit percentage of historical Xyrem sales over each 6-month sales period. At this time, Lupin and Par have elected not to launch an AG product. AG products will be distributed through the same REMS, as Xywav and Xyrem. We also granted each of Amneal, Lupin and Par a license to launch its own generic sodium oxybate product under its ANDA on or after December 31, 2025, or earlier under certain circumstances, including the circumstance where Hikma elects to launch its own generic product. If Amneal, Lupin or Par elects to launch its own generic product under such circumstance, it will no longer have the right to sell an AG product. In addition, any company commercializing a generic version of high-sodium oxybate would need to establish its own REMS, or join an existing REMS operated by another company.</w:t>
      </w:r>
    </w:p>
    <w:p>
      <w:pPr>
        <w:spacing w:after="0" w:line="90" w:lineRule="exact"/>
        <w:rPr>
          <w:sz w:val="20"/>
          <w:szCs w:val="20"/>
          <w:color w:val="auto"/>
        </w:rPr>
      </w:pPr>
    </w:p>
    <w:p>
      <w:pPr>
        <w:ind w:right="40" w:firstLine="439"/>
        <w:spacing w:after="0" w:line="250" w:lineRule="auto"/>
        <w:rPr>
          <w:sz w:val="20"/>
          <w:szCs w:val="20"/>
          <w:color w:val="auto"/>
        </w:rPr>
      </w:pPr>
      <w:r>
        <w:rPr>
          <w:rFonts w:ascii="Times New Roman" w:cs="Times New Roman" w:eastAsia="Times New Roman" w:hAnsi="Times New Roman"/>
          <w:sz w:val="18"/>
          <w:szCs w:val="18"/>
          <w:color w:val="auto"/>
        </w:rPr>
        <w:t>In the future, we expect our oxybate products to continue to face competition from generic versions of high-sodium oxybate pursuant to settlement agreements we entered into with multiple ANDA filers. In addition, we received notices in June 2021 and February 2023, that Lupin and Teva, respectively, filed ANDAs for generic versions of Xywav. On October 13, 2023, Lupin announced that it has received tentative approval for its application to market a generic version of Xywav. Generic competition can decrease the net prices at which branded products, such as Xywav and Xyrem are sold. In addition, we have increasingly experienced pressure from third party payors to agree to discounts, rebates or restrictive pricing terms, and we cannot guarantee we will be able to agree to commercially reasonable terms with PBMs, or similar organizations and other third party payors, or that we will be able to ensure patient access and acceptance on formularies. Entering into agreements with PBMs or similar organizations and payors to ensure patient access has and will likely continue to result in higher gross to net deductions. Moreover, generic or AG high-sodium oxybate products or branded high-sodium oxybate entrants in narcolepsy, such as Avadel’s Lumryz, have had and may continue to have the effect of changing payor or formulary coverage of Xywav or Xyrem in favor of other products, and indirectly adversely affect sales of Xywav and Xyrem.</w:t>
      </w:r>
    </w:p>
    <w:p>
      <w:pPr>
        <w:spacing w:after="0" w:line="80" w:lineRule="exact"/>
        <w:rPr>
          <w:sz w:val="20"/>
          <w:szCs w:val="20"/>
          <w:color w:val="auto"/>
        </w:rPr>
      </w:pPr>
    </w:p>
    <w:p>
      <w:pPr>
        <w:ind w:firstLine="439"/>
        <w:spacing w:after="0" w:line="265" w:lineRule="auto"/>
        <w:rPr>
          <w:sz w:val="20"/>
          <w:szCs w:val="20"/>
          <w:color w:val="auto"/>
        </w:rPr>
      </w:pPr>
      <w:r>
        <w:rPr>
          <w:rFonts w:ascii="Times New Roman" w:cs="Times New Roman" w:eastAsia="Times New Roman" w:hAnsi="Times New Roman"/>
          <w:sz w:val="17"/>
          <w:szCs w:val="17"/>
          <w:color w:val="auto"/>
        </w:rPr>
        <w:t>Our financial condition, results of operations and growth prospects are also dependent on our ability to maintain or increase sales of Epidiolex/Epidyolex in the U.S. and Europe, which is subject to many risks and there is no guarantee that we will be able to continue to successfully commercialize Epidiolex/Epidyolex for its approved indications. The commercial success of Epidiolex/Epidyolex depends on the extent to which patients and physicians accept and adopt Epidiolex/Epidyolex as a treatment for seizures associated with LGS, DS and TSC, and we do not know whether our or others’ estimates in this regard will be accurate. Physicians may not prescribe Epidiolex and patients may be unwilling to use Epidiolex/Epidyolex if coverage is not provided or reimbursement is inadequate to cover a significant portion of the cost. Additionally, any negative development for Epidiolex/Epidyolex in the market, in clinical development for additional indications, or in regulatory processes in other jurisdictions, may adversely impact the commercial results and potential of Epidiolex/Epidyolex. Moreover, we expect that Epidiolex will face competition from generic products in the future. For example, in November and December 2022, we received notices from ten ANDA filers that they have each filed with FDA an ANDA for a generic version of Epidiolex. In addition, there are non-FDA approved cannabidiol preparations being made available from companies through the state-enabled medical marijuana industry, which might attempt to compete with Epidiolex. Thus, significant uncertainty remains regarding the commercial potential of Epidiolex/Epidyolex.</w:t>
      </w:r>
    </w:p>
    <w:p>
      <w:pPr>
        <w:spacing w:after="0" w:line="75" w:lineRule="exact"/>
        <w:rPr>
          <w:sz w:val="20"/>
          <w:szCs w:val="20"/>
          <w:color w:val="auto"/>
        </w:rPr>
      </w:pPr>
    </w:p>
    <w:p>
      <w:pPr>
        <w:ind w:right="40" w:firstLine="439"/>
        <w:spacing w:after="0" w:line="256" w:lineRule="auto"/>
        <w:rPr>
          <w:sz w:val="20"/>
          <w:szCs w:val="20"/>
          <w:color w:val="auto"/>
        </w:rPr>
      </w:pPr>
      <w:r>
        <w:rPr>
          <w:rFonts w:ascii="Times New Roman" w:cs="Times New Roman" w:eastAsia="Times New Roman" w:hAnsi="Times New Roman"/>
          <w:sz w:val="18"/>
          <w:szCs w:val="18"/>
          <w:color w:val="auto"/>
        </w:rPr>
        <w:t>In addition to our neuroscience products and product candidates, we are commercializing a portfolio of oncology products, including Rylaze, Zepzelca, Defitelio and Vyxeos. An inability to effectively commercialize Rylaze, Zepzelca, Defitelio and Vyxeos and to maximize their potential where possible through successful research and development activities could have a material adverse effect on our business, financial condition, results of operations and growth prospects.</w:t>
      </w:r>
    </w:p>
    <w:p>
      <w:pPr>
        <w:spacing w:after="0" w:line="75" w:lineRule="exact"/>
        <w:rPr>
          <w:sz w:val="20"/>
          <w:szCs w:val="20"/>
          <w:color w:val="auto"/>
        </w:rPr>
      </w:pPr>
    </w:p>
    <w:p>
      <w:pPr>
        <w:ind w:right="20" w:firstLine="439"/>
        <w:spacing w:after="0" w:line="256" w:lineRule="auto"/>
        <w:rPr>
          <w:sz w:val="20"/>
          <w:szCs w:val="20"/>
          <w:color w:val="auto"/>
        </w:rPr>
      </w:pPr>
      <w:r>
        <w:rPr>
          <w:rFonts w:ascii="Times New Roman" w:cs="Times New Roman" w:eastAsia="Times New Roman" w:hAnsi="Times New Roman"/>
          <w:sz w:val="18"/>
          <w:szCs w:val="18"/>
          <w:color w:val="auto"/>
        </w:rPr>
        <w:t>A key aspect of our growth strategy is our continued investment in our evolving and expanding R&amp;D activities. If we are not successful in the clinical development of our product candidates, if we are unable to obtain regulatory approval for our product candidates in a timely manner, or at all, or if sales of an approved product do not reach the levels we expect, our anticipated revenue from our product candidates would be negatively affected, which could have a material adverse effect on our business, financial condition, results of operations and growth prospects.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40" w:firstLine="439"/>
        <w:spacing w:after="0" w:line="272" w:lineRule="auto"/>
        <w:rPr>
          <w:sz w:val="20"/>
          <w:szCs w:val="20"/>
          <w:color w:val="auto"/>
        </w:rPr>
      </w:pPr>
      <w:r>
        <w:rPr>
          <w:rFonts w:ascii="Times New Roman" w:cs="Times New Roman" w:eastAsia="Times New Roman" w:hAnsi="Times New Roman"/>
          <w:sz w:val="17"/>
          <w:szCs w:val="17"/>
          <w:color w:val="auto"/>
        </w:rPr>
        <w:t>In addition to continued investment in our R&amp;D pipeline, we intend to continue to grow our business by acquiring or in-licensing, and developing, including with collaboration partners, additional products and product candidates that we believe are highly differentiated and have significant commercial potential. Failure to identify and acquire, in-license or develop additional products or product candidates, successfully manage the risks associated with integrating any products or product candidates into our portfolio or the risks arising from anticipated and unanticipated problems in connection with an acquisition or in-licensing, such as the GW Acquisition, could have a material adverse effect on our business, results of operations and financial condition.</w:t>
      </w:r>
    </w:p>
    <w:p>
      <w:pPr>
        <w:spacing w:after="0" w:line="64" w:lineRule="exact"/>
        <w:rPr>
          <w:sz w:val="20"/>
          <w:szCs w:val="20"/>
          <w:color w:val="auto"/>
        </w:rPr>
      </w:pPr>
    </w:p>
    <w:p>
      <w:pPr>
        <w:ind w:right="40" w:firstLine="439"/>
        <w:spacing w:after="0" w:line="270" w:lineRule="auto"/>
        <w:rPr>
          <w:sz w:val="20"/>
          <w:szCs w:val="20"/>
          <w:color w:val="auto"/>
        </w:rPr>
      </w:pPr>
      <w:r>
        <w:rPr>
          <w:rFonts w:ascii="Times New Roman" w:cs="Times New Roman" w:eastAsia="Times New Roman" w:hAnsi="Times New Roman"/>
          <w:sz w:val="17"/>
          <w:szCs w:val="17"/>
          <w:color w:val="auto"/>
        </w:rPr>
        <w:t>The success of the GW Acquisition will depend, in part, on our ability to realize the anticipated benefits from the combination of our and GW’s historical businesses. Nonetheless, Epidiolex and the other products and technologies acquired may not be successful or continue to grow at the same rate as if our companies operated independently or they may require significantly greater resources and investments than originally anticipated. For example, in the third quarter of 2022, we recorded a $133.6 million asset impairment charge as a result of the decision to discontinue the nabiximols program. As a result, the anticipated benefits of the GW Acquisition may not be realized at the expected level, within the expected timeframe or at all or may take longer to realize or cost more than expected, which could materially and adversely affect our business, financial condition, results of operations and growth prospects.</w:t>
      </w:r>
    </w:p>
    <w:p>
      <w:pPr>
        <w:spacing w:after="0" w:line="65" w:lineRule="exact"/>
        <w:rPr>
          <w:sz w:val="20"/>
          <w:szCs w:val="20"/>
          <w:color w:val="auto"/>
        </w:rPr>
      </w:pPr>
    </w:p>
    <w:p>
      <w:pPr>
        <w:ind w:firstLine="439"/>
        <w:spacing w:after="0" w:line="249" w:lineRule="auto"/>
        <w:rPr>
          <w:sz w:val="20"/>
          <w:szCs w:val="20"/>
          <w:color w:val="auto"/>
        </w:rPr>
      </w:pPr>
      <w:r>
        <w:rPr>
          <w:rFonts w:ascii="Times New Roman" w:cs="Times New Roman" w:eastAsia="Times New Roman" w:hAnsi="Times New Roman"/>
          <w:sz w:val="18"/>
          <w:szCs w:val="18"/>
          <w:color w:val="auto"/>
        </w:rPr>
        <w:t>Our industry has been, and is expected to continue to be, subject to healthcare cost containment and drug pricing scrutiny by regulatory agencies in the U.S. and internationally. If new healthcare policies or reforms intended to curb healthcare costs are adopted or if we experience negative publicity with respect to pricing of our products or the pricing of pharmaceutical drugs generally, the prices that we charge for our products may be affected, our commercial opportunity may be limited and/or our revenues from sales of our products may be negatively impacted. For example, the Inflation Reduction Act of 2022 among other things, requires the U.S. Department of Health and Human Services Secretary to negotiate, with respect to Medicare units and subject to a specified cap, the price of a set number of certain high Medicare spend drugs and biologicals per year starting in 2026, penalizes manufacturers of certain Medicare Parts B and D drugs for price increases above inflation, and makes several changes to the Medicare Part D benefit, including a limit on annual out-of-pocket costs, and a change in manufacturer liability under the program, that could negatively affect our business and financial condition. In addition, under the Medicaid Drug Rebate Program, rebates owed by manufacturers are no longer subject to a cap on the rebate amount, which could adversely affect our rebate liability. We are also subject to increasing pricing pressure and restrictions on reimbursement imposed by payors. If we fail to obtain and maintain adequate formulary positions and institutional access for our current products and future approved products, we will not be able to achieve a return on our investment and our business, financial condition, results of operations and growth prospects would be materially adversely affected.</w:t>
      </w:r>
    </w:p>
    <w:p>
      <w:pPr>
        <w:spacing w:after="0" w:line="85" w:lineRule="exact"/>
        <w:rPr>
          <w:sz w:val="20"/>
          <w:szCs w:val="20"/>
          <w:color w:val="auto"/>
        </w:rPr>
      </w:pPr>
    </w:p>
    <w:p>
      <w:pPr>
        <w:ind w:right="60" w:firstLine="439"/>
        <w:spacing w:after="0" w:line="270" w:lineRule="auto"/>
        <w:rPr>
          <w:sz w:val="20"/>
          <w:szCs w:val="20"/>
          <w:color w:val="auto"/>
        </w:rPr>
      </w:pPr>
      <w:r>
        <w:rPr>
          <w:rFonts w:ascii="Times New Roman" w:cs="Times New Roman" w:eastAsia="Times New Roman" w:hAnsi="Times New Roman"/>
          <w:sz w:val="17"/>
          <w:szCs w:val="17"/>
          <w:color w:val="auto"/>
        </w:rPr>
        <w:t>While certain preparations of cannabis remain Schedule I controlled substances, if such products are approved by FDA for medical use in the U.S. they are rescheduled to Schedules II-V, since approval by FDA satisfies the “accepted medical use” requirement; or such products may be removed from control under the Controlled Substances Act entirely. If any of our product candidates receive FDA approval, the Department of Health and Human Services and the U.S. Drug Enforcement Administration will make a scheduling determination. U.S. or foreign regulatory agencies may request additional information regarding the abuse potential of our products which may require us to generate more clinical or other data than we currently anticipate to establish whether or to what extent the substance has an abuse potential, which could increase the cost, delay the approval and/or delay the launch of that product.</w:t>
      </w:r>
    </w:p>
    <w:p>
      <w:pPr>
        <w:spacing w:after="0" w:line="65" w:lineRule="exact"/>
        <w:rPr>
          <w:sz w:val="20"/>
          <w:szCs w:val="20"/>
          <w:color w:val="auto"/>
        </w:rPr>
      </w:pPr>
    </w:p>
    <w:p>
      <w:pPr>
        <w:ind w:right="40" w:firstLine="439"/>
        <w:spacing w:after="0" w:line="214" w:lineRule="exact"/>
        <w:rPr>
          <w:sz w:val="20"/>
          <w:szCs w:val="20"/>
          <w:color w:val="auto"/>
        </w:rPr>
      </w:pPr>
      <w:r>
        <w:rPr>
          <w:rFonts w:ascii="Times New Roman" w:cs="Times New Roman" w:eastAsia="Times New Roman" w:hAnsi="Times New Roman"/>
          <w:sz w:val="18"/>
          <w:szCs w:val="18"/>
          <w:color w:val="auto"/>
        </w:rPr>
        <w:t>Finally, business practices by pharmaceutical companies, including product formulation improvements, patent litigation settlements, and REMS programs, have increasingly drawn public scrutiny from legislators and regulatory agencies, with allegations that such programs are used as a means of improperly blocking or delaying competition. Government investigations with respect to our business practices, including as they relate to the Xywav and Xyrem REMS, the launch of Xywav, our Xyrem patent litigation settlement agreements or otherwise, could cause us to incur significant monetary charges to resolve these matters and could distract us from the operation of our business and execution of our strategy. For example, in July 2022, we received a subpoena from the U.S. Attorney’s Office for the District of Massachusetts requesting documents related to Xyrem and U.S. Patent No. 8,772,306 (“Method of Administration of Gamma Hydroxybutyrate with Monocarboxylate Transporters”), product labeling changes for Xyrem, communications with FDA and the U.S. Patent and Trademark Office, pricing of Xyrem, and other related documents. We may also become subject to similar investigations by other state or federal governmental agencies. The investigation by the U.S. Attorney’s Office and any additional investigations or litigation related to the subject matter of this investigation may result in damages, fines, penalties, financial charges to resolve the matter or administrative sanctions against us, negative publicity or other negative actions that could harm our reputation, reduce demand for Xyrem and/or reduce coverage of Xyrem, including by federal health care programs and state health care programs. In addition, from June 2020 to May 2022, a number of lawsuits were filed on behalf of purported direct and indirect Xyrem purchasers, alleging that the patent litigation settlement agreements we entered with certain generic companies violate state and federal antitrust and consumer protection laws. For additional information on these lawsuits and other legal matters, see Note 14, Commitments and Contingencies-Legal Proceedings of the Notes to Consolidated Financial Statements, included in Part IV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It is possible that additional lawsuits will be filed against us making similar or related</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allegations. We cannot predict the outcome of these or potential additional lawsuits; however, if the plaintiffs were to be successful in their claims against us, they may be entitled to injunctive relief or we may be required to pay significant monetary damages. Moreover, we are, and expect to continue to be, the subject of various claims, legal proceedings, and government investigations apart from those set forth above that have arisen in the ordinary course of business that have not yet been fully resolved and that could adversely affect our business and the execution of our strategy. Any of the foregoing risks and uncertainties could have a material adverse effect on our business, financial condition, results of operations and growth prospects.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our revenues and expenses for the years ended December 31, 2023, 2022 and 2021 (in thousands except percentages):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170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8"/>
                <w:szCs w:val="18"/>
                <w:color w:val="auto"/>
              </w:rPr>
            </w:pPr>
          </w:p>
        </w:tc>
        <w:tc>
          <w:tcPr>
            <w:tcW w:w="1660" w:type="dxa"/>
            <w:vAlign w:val="bottom"/>
            <w:gridSpan w:val="3"/>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r>
              <w:rPr>
                <w:rFonts w:ascii="Times New Roman" w:cs="Times New Roman" w:eastAsia="Times New Roman" w:hAnsi="Times New Roman"/>
                <w:sz w:val="18"/>
                <w:szCs w:val="18"/>
                <w:b w:val="1"/>
                <w:bCs w:val="1"/>
                <w:color w:val="auto"/>
                <w:vertAlign w:val="superscript"/>
              </w:rPr>
              <w:t>(1)</w:t>
            </w:r>
          </w:p>
        </w:tc>
      </w:tr>
      <w:tr>
        <w:trPr>
          <w:trHeight w:val="220"/>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 net</w:t>
            </w: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3,736,943</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3,641,429</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3,079,001</w:t>
            </w:r>
          </w:p>
        </w:tc>
      </w:tr>
      <w:tr>
        <w:trPr>
          <w:trHeight w:val="22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Royalties and contract revenues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97,261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17,945</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15,237</w:t>
            </w:r>
          </w:p>
        </w:tc>
      </w:tr>
      <w:tr>
        <w:trPr>
          <w:trHeight w:val="173"/>
        </w:trPr>
        <w:tc>
          <w:tcPr>
            <w:tcW w:w="454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Cost of product sales (excluding amortization of acquired</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technologies)</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435,577</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540,517</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440,760</w:t>
            </w:r>
          </w:p>
        </w:tc>
      </w:tr>
      <w:tr>
        <w:trPr>
          <w:trHeight w:val="22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1,343,105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1,416,967</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1,451,683</w:t>
            </w:r>
          </w:p>
        </w:tc>
      </w:tr>
      <w:tr>
        <w:trPr>
          <w:trHeight w:val="226"/>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849,658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590,453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505,748</w:t>
            </w:r>
          </w:p>
        </w:tc>
      </w:tr>
      <w:tr>
        <w:trPr>
          <w:trHeight w:val="22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608,284</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599,169</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525,769</w:t>
            </w:r>
          </w:p>
        </w:tc>
      </w:tr>
      <w:tr>
        <w:trPr>
          <w:trHeight w:val="226"/>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 impairment charge</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N/A(2)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133,648</w:t>
            </w:r>
          </w:p>
        </w:tc>
        <w:tc>
          <w:tcPr>
            <w:tcW w:w="10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N/A(2)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444,148</w:t>
            </w:r>
          </w:p>
        </w:tc>
        <w:tc>
          <w:tcPr>
            <w:tcW w:w="100" w:type="dxa"/>
            <w:vAlign w:val="bottom"/>
          </w:tcPr>
          <w:p>
            <w:pPr>
              <w:spacing w:after="0"/>
              <w:rPr>
                <w:sz w:val="19"/>
                <w:szCs w:val="19"/>
                <w:color w:val="auto"/>
              </w:rPr>
            </w:pPr>
          </w:p>
        </w:tc>
        <w:tc>
          <w:tcPr>
            <w:tcW w:w="1660" w:type="dxa"/>
            <w:vAlign w:val="bottom"/>
            <w:gridSpan w:val="3"/>
          </w:tcPr>
          <w:p>
            <w:pPr>
              <w:jc w:val="right"/>
              <w:ind w:right="291"/>
              <w:spacing w:after="0"/>
              <w:rPr>
                <w:sz w:val="20"/>
                <w:szCs w:val="20"/>
                <w:color w:val="auto"/>
              </w:rPr>
            </w:pPr>
            <w:r>
              <w:rPr>
                <w:rFonts w:ascii="Times New Roman" w:cs="Times New Roman" w:eastAsia="Times New Roman" w:hAnsi="Times New Roman"/>
                <w:sz w:val="18"/>
                <w:szCs w:val="18"/>
                <w:color w:val="auto"/>
              </w:rPr>
              <w:t>N/A(2)</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289,438</w:t>
            </w:r>
          </w:p>
        </w:tc>
        <w:tc>
          <w:tcPr>
            <w:tcW w:w="100" w:type="dxa"/>
            <w:vAlign w:val="bottom"/>
            <w:shd w:val="clear" w:color="auto" w:fill="CCEEFF"/>
          </w:tcPr>
          <w:p>
            <w:pPr>
              <w:spacing w:after="0"/>
              <w:rPr>
                <w:sz w:val="19"/>
                <w:szCs w:val="19"/>
                <w:color w:val="auto"/>
              </w:rPr>
            </w:pPr>
          </w:p>
        </w:tc>
        <w:tc>
          <w:tcPr>
            <w:tcW w:w="1700" w:type="dxa"/>
            <w:vAlign w:val="bottom"/>
            <w:gridSpan w:val="3"/>
            <w:shd w:val="clear" w:color="auto" w:fill="CCEEFF"/>
          </w:tcPr>
          <w:p>
            <w:pPr>
              <w:jc w:val="right"/>
              <w:ind w:right="53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288,242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278,766</w:t>
            </w:r>
          </w:p>
        </w:tc>
      </w:tr>
      <w:tr>
        <w:trPr>
          <w:trHeight w:val="22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19,014</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w:t>
            </w:r>
          </w:p>
        </w:tc>
      </w:tr>
      <w:tr>
        <w:trPr>
          <w:trHeight w:val="226"/>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(119,912)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(158,645)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216,116</w:t>
            </w:r>
          </w:p>
        </w:tc>
      </w:tr>
      <w:tr>
        <w:trPr>
          <w:trHeight w:val="232"/>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loss of investees</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100" w:type="dxa"/>
            <w:vAlign w:val="bottom"/>
          </w:tcPr>
          <w:p>
            <w:pPr>
              <w:spacing w:after="0"/>
              <w:rPr>
                <w:sz w:val="20"/>
                <w:szCs w:val="20"/>
                <w:color w:val="auto"/>
              </w:rPr>
            </w:pPr>
          </w:p>
        </w:tc>
        <w:tc>
          <w:tcPr>
            <w:tcW w:w="17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N/A(2)</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9,921</w:t>
            </w:r>
          </w:p>
        </w:tc>
        <w:tc>
          <w:tcPr>
            <w:tcW w:w="100" w:type="dxa"/>
            <w:vAlign w:val="bottom"/>
          </w:tcPr>
          <w:p>
            <w:pPr>
              <w:spacing w:after="0"/>
              <w:rPr>
                <w:sz w:val="20"/>
                <w:szCs w:val="20"/>
                <w:color w:val="auto"/>
              </w:rPr>
            </w:pPr>
          </w:p>
        </w:tc>
        <w:tc>
          <w:tcPr>
            <w:tcW w:w="1660" w:type="dxa"/>
            <w:vAlign w:val="bottom"/>
            <w:gridSpan w:val="3"/>
          </w:tcPr>
          <w:p>
            <w:pPr>
              <w:jc w:val="right"/>
              <w:ind w:right="291"/>
              <w:spacing w:after="0"/>
              <w:rPr>
                <w:sz w:val="20"/>
                <w:szCs w:val="20"/>
                <w:color w:val="auto"/>
              </w:rPr>
            </w:pPr>
            <w:r>
              <w:rPr>
                <w:rFonts w:ascii="Times New Roman" w:cs="Times New Roman" w:eastAsia="Times New Roman" w:hAnsi="Times New Roman"/>
                <w:sz w:val="18"/>
                <w:szCs w:val="18"/>
                <w:color w:val="auto"/>
              </w:rPr>
              <w:t>N/A(2)</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r>
    </w:tbl>
    <w:p>
      <w:pPr>
        <w:spacing w:after="0" w:line="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5" w:lineRule="exact"/>
        <w:rPr>
          <w:sz w:val="20"/>
          <w:szCs w:val="20"/>
          <w:color w:val="auto"/>
        </w:rPr>
      </w:pPr>
    </w:p>
    <w:p>
      <w:pPr>
        <w:ind w:left="560" w:hanging="314"/>
        <w:spacing w:after="0"/>
        <w:tabs>
          <w:tab w:leader="none" w:pos="5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operations of the GW business have been included from the closing of the GW Acquisition on May 5, 2021.</w:t>
      </w:r>
    </w:p>
    <w:p>
      <w:pPr>
        <w:spacing w:after="0" w:line="6" w:lineRule="exact"/>
        <w:rPr>
          <w:rFonts w:ascii="Times New Roman" w:cs="Times New Roman" w:eastAsia="Times New Roman" w:hAnsi="Times New Roman"/>
          <w:sz w:val="18"/>
          <w:szCs w:val="18"/>
          <w:color w:val="auto"/>
        </w:rPr>
      </w:pPr>
    </w:p>
    <w:p>
      <w:pPr>
        <w:ind w:left="560" w:hanging="314"/>
        <w:spacing w:after="0"/>
        <w:tabs>
          <w:tab w:leader="none" w:pos="5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Comparison to prior period is not meaningful.</w:t>
      </w: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4" w:lineRule="exact"/>
        <w:rPr>
          <w:sz w:val="20"/>
          <w:szCs w:val="20"/>
          <w:color w:val="auto"/>
        </w:rPr>
      </w:pPr>
    </w:p>
    <w:p>
      <w:pPr>
        <w:ind w:right="120" w:firstLine="439"/>
        <w:spacing w:after="0" w:line="276" w:lineRule="auto"/>
        <w:rPr>
          <w:sz w:val="20"/>
          <w:szCs w:val="20"/>
          <w:color w:val="auto"/>
        </w:rPr>
      </w:pPr>
      <w:r>
        <w:rPr>
          <w:rFonts w:ascii="Times New Roman" w:cs="Times New Roman" w:eastAsia="Times New Roman" w:hAnsi="Times New Roman"/>
          <w:sz w:val="18"/>
          <w:szCs w:val="18"/>
          <w:color w:val="auto"/>
        </w:rPr>
        <w:t>The following table presents product sales, royalties and contract revenues, and total revenues for the years ended December 31, 2023, 2022 and 2021 (in thousands except percentages):</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140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8"/>
                <w:szCs w:val="18"/>
                <w:color w:val="auto"/>
              </w:rPr>
            </w:pPr>
          </w:p>
        </w:tc>
        <w:tc>
          <w:tcPr>
            <w:tcW w:w="9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8"/>
                <w:szCs w:val="18"/>
                <w:color w:val="auto"/>
              </w:rPr>
            </w:pPr>
          </w:p>
        </w:tc>
        <w:tc>
          <w:tcPr>
            <w:tcW w:w="14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8"/>
                <w:szCs w:val="18"/>
                <w:color w:val="auto"/>
              </w:rPr>
            </w:pPr>
          </w:p>
        </w:tc>
        <w:tc>
          <w:tcPr>
            <w:tcW w:w="9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2021</w:t>
            </w:r>
            <w:r>
              <w:rPr>
                <w:rFonts w:ascii="Times New Roman" w:cs="Times New Roman" w:eastAsia="Times New Roman" w:hAnsi="Times New Roman"/>
                <w:sz w:val="18"/>
                <w:szCs w:val="18"/>
                <w:b w:val="1"/>
                <w:bCs w:val="1"/>
                <w:color w:val="auto"/>
                <w:vertAlign w:val="superscript"/>
              </w:rPr>
              <w:t>(1)</w:t>
            </w:r>
          </w:p>
        </w:tc>
      </w:tr>
      <w:tr>
        <w:trPr>
          <w:trHeight w:val="220"/>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Xywav</w:t>
            </w: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1,272,977</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958,425</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535,297</w:t>
            </w:r>
          </w:p>
        </w:tc>
      </w:tr>
      <w:tr>
        <w:trPr>
          <w:trHeight w:val="226"/>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Xyrem</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569,730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1,020,453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1,265,830</w:t>
            </w:r>
          </w:p>
        </w:tc>
      </w:tr>
      <w:tr>
        <w:trPr>
          <w:trHeight w:val="22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Epidiolex/Epidyolex</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845,468</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736,398</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463,645</w:t>
            </w:r>
          </w:p>
        </w:tc>
      </w:tr>
      <w:tr>
        <w:trPr>
          <w:trHeight w:val="226"/>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Sativex</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12,707</w:t>
            </w:r>
          </w:p>
        </w:tc>
      </w:tr>
      <w:tr>
        <w:trPr>
          <w:trHeight w:val="226"/>
        </w:trPr>
        <w:tc>
          <w:tcPr>
            <w:tcW w:w="458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Sunosi</w:t>
            </w:r>
            <w:r>
              <w:rPr>
                <w:rFonts w:ascii="Times New Roman" w:cs="Times New Roman" w:eastAsia="Times New Roman" w:hAnsi="Times New Roman"/>
                <w:sz w:val="23"/>
                <w:szCs w:val="23"/>
                <w:color w:val="auto"/>
                <w:vertAlign w:val="superscript"/>
              </w:rPr>
              <w:t>3</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N/A(2)</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28,844</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57,914</w:t>
            </w:r>
          </w:p>
        </w:tc>
      </w:tr>
      <w:tr>
        <w:trPr>
          <w:trHeight w:val="220"/>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Neuroscience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2,707,843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2,760,945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2,335,393</w:t>
            </w:r>
          </w:p>
        </w:tc>
      </w:tr>
      <w:tr>
        <w:trPr>
          <w:trHeight w:val="22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Rylaze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394,226</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281,659</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85,629</w:t>
            </w:r>
          </w:p>
        </w:tc>
      </w:tr>
      <w:tr>
        <w:trPr>
          <w:trHeight w:val="226"/>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Zepzelca</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289,533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269,912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246,808</w:t>
            </w:r>
          </w:p>
        </w:tc>
      </w:tr>
      <w:tr>
        <w:trPr>
          <w:trHeight w:val="22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Defitelio/defibrotide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184,000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194,290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197,931</w:t>
            </w:r>
          </w:p>
        </w:tc>
      </w:tr>
      <w:tr>
        <w:trPr>
          <w:trHeight w:val="226"/>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Vyxeos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147,495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127,980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134,060</w:t>
            </w:r>
          </w:p>
        </w:tc>
      </w:tr>
      <w:tr>
        <w:trPr>
          <w:trHeight w:val="22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Erwinaze/Erwinase</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N/A(2)</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69,382</w:t>
            </w:r>
          </w:p>
        </w:tc>
      </w:tr>
      <w:tr>
        <w:trPr>
          <w:trHeight w:val="220"/>
        </w:trPr>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Oncology</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1,015,254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873,841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733,810</w:t>
            </w:r>
          </w:p>
        </w:tc>
      </w:tr>
      <w:tr>
        <w:trPr>
          <w:trHeight w:val="22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13,846</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6,643</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9,798</w:t>
            </w:r>
          </w:p>
        </w:tc>
      </w:tr>
      <w:tr>
        <w:trPr>
          <w:trHeight w:val="220"/>
        </w:trPr>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sales, net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3,736,943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3,641,429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3,079,001</w:t>
            </w:r>
          </w:p>
        </w:tc>
      </w:tr>
      <w:tr>
        <w:trPr>
          <w:trHeight w:val="22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High-sodium oxybate AG royalty revenue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75,918</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N/A(2)</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royalty and contract revenues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21,343</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17,945</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15,237</w:t>
            </w:r>
          </w:p>
        </w:tc>
      </w:tr>
      <w:tr>
        <w:trPr>
          <w:trHeight w:val="245"/>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3,834,204</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3,659,374</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3,094,238</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5" w:lineRule="exact"/>
        <w:rPr>
          <w:sz w:val="20"/>
          <w:szCs w:val="20"/>
          <w:color w:val="auto"/>
        </w:rPr>
      </w:pPr>
    </w:p>
    <w:p>
      <w:pPr>
        <w:ind w:left="560" w:hanging="314"/>
        <w:spacing w:after="0"/>
        <w:tabs>
          <w:tab w:leader="none" w:pos="5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operations of the GW business have been included from the closing of the acquisition of GW on May 5, 2021.</w:t>
      </w:r>
    </w:p>
    <w:p>
      <w:pPr>
        <w:spacing w:after="0" w:line="6" w:lineRule="exact"/>
        <w:rPr>
          <w:rFonts w:ascii="Times New Roman" w:cs="Times New Roman" w:eastAsia="Times New Roman" w:hAnsi="Times New Roman"/>
          <w:sz w:val="18"/>
          <w:szCs w:val="18"/>
          <w:color w:val="auto"/>
        </w:rPr>
      </w:pPr>
    </w:p>
    <w:p>
      <w:pPr>
        <w:ind w:left="560" w:hanging="314"/>
        <w:spacing w:after="0"/>
        <w:tabs>
          <w:tab w:leader="none" w:pos="5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Comparison to prior period is not meaningful.</w:t>
      </w:r>
    </w:p>
    <w:p>
      <w:pPr>
        <w:spacing w:after="0" w:line="6" w:lineRule="exact"/>
        <w:rPr>
          <w:rFonts w:ascii="Times New Roman" w:cs="Times New Roman" w:eastAsia="Times New Roman" w:hAnsi="Times New Roman"/>
          <w:sz w:val="18"/>
          <w:szCs w:val="18"/>
          <w:color w:val="auto"/>
        </w:rPr>
      </w:pPr>
    </w:p>
    <w:p>
      <w:pPr>
        <w:ind w:left="560" w:hanging="314"/>
        <w:spacing w:after="0"/>
        <w:tabs>
          <w:tab w:leader="none" w:pos="5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product sales of Sunosi U.S. are included until the date of divestment to Axsome of May 9, 2022.</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 Net</w:t>
      </w:r>
    </w:p>
    <w:p>
      <w:pPr>
        <w:spacing w:after="0" w:line="114" w:lineRule="exact"/>
        <w:rPr>
          <w:sz w:val="20"/>
          <w:szCs w:val="20"/>
          <w:color w:val="auto"/>
        </w:rPr>
      </w:pPr>
    </w:p>
    <w:p>
      <w:pPr>
        <w:ind w:right="20" w:firstLine="439"/>
        <w:spacing w:after="0" w:line="249" w:lineRule="auto"/>
        <w:rPr>
          <w:sz w:val="20"/>
          <w:szCs w:val="20"/>
          <w:color w:val="auto"/>
        </w:rPr>
      </w:pPr>
      <w:r>
        <w:rPr>
          <w:rFonts w:ascii="Times New Roman" w:cs="Times New Roman" w:eastAsia="Times New Roman" w:hAnsi="Times New Roman"/>
          <w:sz w:val="18"/>
          <w:szCs w:val="18"/>
          <w:color w:val="auto"/>
        </w:rPr>
        <w:t>Xywav product sales increased in 2023 compared to 2022, primarily due to increased sales volumes of 28% and, to a lesser extent, a higher selling price. Xywav product sales were positively impacted by Xywav for IH as we see continued growth of new prescribers since its launch in late 2021 and by educational initiatives around the benefit of lowering sodium intake. Exiting 2023, there were 9,525 patients taking Xywav for narcolepsy and 2,775 taking Xywav for IH, an increase of approximately 11% and 59%, respectively, compared to 2022. Xywav product sales increased in 2022 compared to 2021, primarily due to increased sales volumes of 76% due to the positive impact of the launch of Xywav for IH in late 2021 and strong adoption in narcolepsy. Xyrem product sales decreased in 2023 compared to 2022, primarily due to decreased sales volumes of 49%, reflecting the strong adoption of Xywav by existing Xyrem patients and the impact of high-sodium oxybate competition, offset by a higher selling price and lower gross to net deductions. Xyrem product sales decreased in 2022 compared to 2021, primarily due to a decrease in sales volume of 23% reflecting adoption of Xywav by existing Xyrem patients, partially offset by a higher selling price. Epidiolex/Epidyolex product sales increased by 15% in 2023 compared to 2022, primarily due to increased sales volumes of 15% due to increased demand and expansion in European markets and, to a lesser extent, a higher selling price, partially offset by higher gross to net deductions. Epidiolex/Epidyolex product sales increased by 59% in 2022 compared to 2021, which included product sales from the closing of the GW Acquisition on May 5, 2021 to December 31, 2021. On a pro forma basis, Epidiolex/Epidyolex product sales increased by 12% in 2022 compared to 2021, primarily due to an increase in sales volumes of 16% and, to a lesser extent, a higher selling price, partially offset by higher gross to net deductions. Sunosi product sales decreased in 2022 as compared to 2021 as we completed the U.S. divestment of Sunosi in May 2022.</w:t>
      </w:r>
    </w:p>
    <w:p>
      <w:pPr>
        <w:spacing w:after="0" w:line="82" w:lineRule="exact"/>
        <w:rPr>
          <w:sz w:val="20"/>
          <w:szCs w:val="20"/>
          <w:color w:val="auto"/>
        </w:rPr>
      </w:pPr>
    </w:p>
    <w:p>
      <w:pPr>
        <w:ind w:firstLine="439"/>
        <w:spacing w:after="0" w:line="252" w:lineRule="auto"/>
        <w:rPr>
          <w:sz w:val="20"/>
          <w:szCs w:val="20"/>
          <w:color w:val="auto"/>
        </w:rPr>
      </w:pPr>
      <w:r>
        <w:rPr>
          <w:rFonts w:ascii="Times New Roman" w:cs="Times New Roman" w:eastAsia="Times New Roman" w:hAnsi="Times New Roman"/>
          <w:sz w:val="18"/>
          <w:szCs w:val="18"/>
          <w:color w:val="auto"/>
        </w:rPr>
        <w:t>Rylaze product sales increased in 2023 compared to 2022, primarily due to increased sales volumes of 37% and, to a lesser extent, a higher selling price, offset by higher gross to net deductions. The increased sales volumes reflect the significant unmet patient need for a high-quality, reliable supply of Erwinia asparaginase for patients with ALL. Rylaze product sales increased in 2022 compared to 2021, primarily due to increased sales volumes following its launch in the U.S. in July 2021. Zepzelca product sales increased by 7% in 2023 compared to 2022, primarily due to a higher selling price and increased sales volumes, offset by higher gross to net deductions. Zepzelca product sales increased by 9% in 2022 compared to 2021, primarily due to a higher selling price and higher sales volumes. Defitelio/defibrotide product sales decreased by 5% in 2023</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compared to 2022, primarily due to a decrease in sales volumes, partially offset by a higher selling price. Defitelio/defibrotide product sales in 2022 decreased by 2% compared to 2021 as the impact of a higher selling price and increased sales volumes were offset by the negative impact of foreign exchange rates. Vyxeos product sales increased by 15% in 2023 compared to 2022, primarily due to increased sales volumes and to a lesser extent, a higher selling price, partially offset by higher gross to net deductions. Vyxeos product sales decreased by 5% in 2022 compared to 2021, primarily due to higher gross to net deductions, driven by a reduction in the returns provision in 2021, due to lower than estimated actual returns, and the negative impact of foreign exchange rates, partially offset by higher sales volume.</w:t>
      </w:r>
    </w:p>
    <w:p>
      <w:pPr>
        <w:spacing w:after="0" w:line="80" w:lineRule="exact"/>
        <w:rPr>
          <w:sz w:val="20"/>
          <w:szCs w:val="20"/>
          <w:color w:val="auto"/>
        </w:rPr>
      </w:pPr>
    </w:p>
    <w:p>
      <w:pPr>
        <w:ind w:right="340" w:firstLine="439"/>
        <w:spacing w:after="0" w:line="261" w:lineRule="auto"/>
        <w:rPr>
          <w:sz w:val="20"/>
          <w:szCs w:val="20"/>
          <w:color w:val="auto"/>
        </w:rPr>
      </w:pPr>
      <w:r>
        <w:rPr>
          <w:rFonts w:ascii="Times New Roman" w:cs="Times New Roman" w:eastAsia="Times New Roman" w:hAnsi="Times New Roman"/>
          <w:sz w:val="18"/>
          <w:szCs w:val="18"/>
          <w:color w:val="auto"/>
        </w:rPr>
        <w:t>We expect product sales, net will increase in 2024 over 2023, primarily due to our key growth drivers; Xywav, through continued growth in the IH market and in new prescribers, Epidiolex through growth in current markets and meaningful expansion into new markets and in Rylaze through strong demand, offset by a decrease in sales of Xyrem due to the impact of high-sodium oxybate competition.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Royalties and Contract Revenues</w:t>
      </w:r>
    </w:p>
    <w:p>
      <w:pPr>
        <w:spacing w:after="0" w:line="114" w:lineRule="exact"/>
        <w:rPr>
          <w:sz w:val="20"/>
          <w:szCs w:val="20"/>
          <w:color w:val="auto"/>
        </w:rPr>
      </w:pPr>
    </w:p>
    <w:p>
      <w:pPr>
        <w:jc w:val="both"/>
        <w:ind w:right="60" w:firstLine="439"/>
        <w:spacing w:after="0" w:line="256" w:lineRule="auto"/>
        <w:rPr>
          <w:sz w:val="20"/>
          <w:szCs w:val="20"/>
          <w:color w:val="auto"/>
        </w:rPr>
      </w:pPr>
      <w:r>
        <w:rPr>
          <w:rFonts w:ascii="Times New Roman" w:cs="Times New Roman" w:eastAsia="Times New Roman" w:hAnsi="Times New Roman"/>
          <w:sz w:val="18"/>
          <w:szCs w:val="18"/>
          <w:color w:val="auto"/>
        </w:rPr>
        <w:t>Royalties and contract revenues increased in 2023 compared to 2022 primarily due to royalty revenue received from Hikma on net sales of their high-sodium oxybate AG. Royalties and contract revenues increased in 2022 compared to 2021, primarily due to higher royalty revenues. We expect royalties and contract revenues to increase significantly in 2024 compared to 2023, primarily due to increased royalty revenues from high-sodium oxybate AG, reflecting the significant increase in the fixed-rate royalty structure of the Hikma AG agreement.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Product Sales</w:t>
      </w:r>
    </w:p>
    <w:p>
      <w:pPr>
        <w:spacing w:after="0" w:line="114" w:lineRule="exact"/>
        <w:rPr>
          <w:sz w:val="20"/>
          <w:szCs w:val="20"/>
          <w:color w:val="auto"/>
        </w:rPr>
      </w:pPr>
    </w:p>
    <w:p>
      <w:pPr>
        <w:ind w:right="120" w:firstLine="439"/>
        <w:spacing w:after="0" w:line="250" w:lineRule="auto"/>
        <w:rPr>
          <w:sz w:val="20"/>
          <w:szCs w:val="20"/>
          <w:color w:val="auto"/>
        </w:rPr>
      </w:pPr>
      <w:r>
        <w:rPr>
          <w:rFonts w:ascii="Times New Roman" w:cs="Times New Roman" w:eastAsia="Times New Roman" w:hAnsi="Times New Roman"/>
          <w:sz w:val="18"/>
          <w:szCs w:val="18"/>
          <w:color w:val="auto"/>
        </w:rPr>
        <w:t>Cost of product sales decreased in 2023 compared to 2022, primarily due to a reduction in the acquisition accounting inventory fair value step-up expense, or fair value step-up expense, of $121.9 million and the impact of an expense for past royalties recorded in 2022 in connection with the Otsuka Pharmaceutical Co., Ltd, or Otsuka, settlement agreement, partially offset by changes in product mix. Cost of product sales increased in 2022 compared to 2021, primarily due to an increase in the fair value step-up expense of $50.3 million, driven by the inclusion of a full year expense in 2022 and the Otsuka royalty expense. Gross margin as a percentage of net product sales was 88.3%, 85.2% and 85.7% in 2023, 2022 and 2021, respectively. The increase in our gross margin percentage in 2023 compared to 2022 was primarily due to the decrease in the fair value step-up expense in 2023 and the impact of the Otsuka royalty expense in 2022. The decrease in our gross margin percentage in 2022 compared to 2021 was primarily due to the increase in the fair value step-up expense and the Otsuka royalty expense. We expect our cost of product sales to increase in 2024 compared to 2023, primarily driven by a change in product mix.</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4" w:lineRule="exact"/>
        <w:rPr>
          <w:sz w:val="20"/>
          <w:szCs w:val="20"/>
          <w:color w:val="auto"/>
        </w:rPr>
      </w:pPr>
    </w:p>
    <w:p>
      <w:pPr>
        <w:ind w:firstLine="439"/>
        <w:spacing w:after="0" w:line="250" w:lineRule="auto"/>
        <w:rPr>
          <w:sz w:val="20"/>
          <w:szCs w:val="20"/>
          <w:color w:val="auto"/>
        </w:rPr>
      </w:pPr>
      <w:r>
        <w:rPr>
          <w:rFonts w:ascii="Times New Roman" w:cs="Times New Roman" w:eastAsia="Times New Roman" w:hAnsi="Times New Roman"/>
          <w:sz w:val="18"/>
          <w:szCs w:val="18"/>
          <w:color w:val="auto"/>
        </w:rPr>
        <w:t>Selling, general and administrative expenses decreased in 2023 compared to 2022, primarily due to the loss on disposal of Sunosi of $40.8 million, restructuring costs of $22.1 million and GW related integration costs of $21.1 million incurred in 2022, together with a reduction in costs related to program terminations of $19.1 million and in compensation related expenses, partially offset by an impairment of facility assets of $61.7 million in 2023. Selling, general and administrative expenses decreased in 2022 compared to 2021, primarily due to lower GW related integration expenses of $207.9 million and lower Sunosi related costs, partially offset by restructuring costs of $22.1 million and costs related to program terminations of $42.6 million, the loss on disposal of Sunosi of $40.8 million, an increase in compensation related expenses driven by the inclusion of GW related headcount costs for the full period in 2022, and increased investment in sales and marketing spend relating to Xywav and Epidiolex. We expect selling, general and administrative expenses in 2024 to increase compared to 2023, primarily due to continued investment in our key growth drivers, such as Xywav in IH, Epidiolex and Rylaze along with increased employee expenses.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4" w:lineRule="exact"/>
        <w:rPr>
          <w:sz w:val="20"/>
          <w:szCs w:val="20"/>
          <w:color w:val="auto"/>
        </w:rPr>
      </w:pPr>
    </w:p>
    <w:p>
      <w:pPr>
        <w:ind w:firstLine="439"/>
        <w:spacing w:after="0" w:line="250"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related to clinical studies and outside services, personnel expenses, milestone expenses and other research and development costs. Clinical study and outside services costs relate primarily to services performed by clinical research organizations, materials and supplies, and other third party fees. Personnel expenses relate primarily to salaries, benefits and share-based compensation. Other research and development expenses primarily include overhead allocations consisting of various support and facilities-related costs. We do not track fully-burdened research and development expenses on a project-by-project basis. We manage our research and development expenses by identifying the research and development activities that we anticipate will be performed during a given period and then prioritizing efforts based on our assessment of which development activities are important to our business and have a reasonable probability of success, and by dynamically allocating resources accordingly. We also continually review our development pipeline projects and the status of their development and, as necessary, reallocate resources among our development pipeline projects that we believe will best support the future growth of our business.</w:t>
      </w: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provides a breakout of our research and development expenses by major categories of expense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5"/>
        </w:trPr>
        <w:tc>
          <w:tcPr>
            <w:tcW w:w="63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63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studies and outside services</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501,181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234,462</w:t>
            </w:r>
          </w:p>
        </w:tc>
      </w:tr>
      <w:tr>
        <w:trPr>
          <w:trHeight w:val="226"/>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Personnel expenses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193,716</w:t>
            </w:r>
          </w:p>
        </w:tc>
      </w:tr>
      <w:tr>
        <w:trPr>
          <w:trHeight w:val="22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Milestone expense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26"/>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expenses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84,674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80,308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62,570</w:t>
            </w:r>
          </w:p>
        </w:tc>
      </w:tr>
      <w:tr>
        <w:trPr>
          <w:trHeight w:val="22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849,658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590,453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505,748</w:t>
            </w:r>
          </w:p>
        </w:tc>
      </w:tr>
      <w:tr>
        <w:trPr>
          <w:trHeight w:val="20"/>
        </w:trPr>
        <w:tc>
          <w:tcPr>
            <w:tcW w:w="6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right="60" w:firstLine="439"/>
        <w:spacing w:after="0" w:line="252" w:lineRule="auto"/>
        <w:rPr>
          <w:sz w:val="20"/>
          <w:szCs w:val="20"/>
          <w:color w:val="auto"/>
        </w:rPr>
      </w:pPr>
      <w:r>
        <w:rPr>
          <w:rFonts w:ascii="Times New Roman" w:cs="Times New Roman" w:eastAsia="Times New Roman" w:hAnsi="Times New Roman"/>
          <w:sz w:val="18"/>
          <w:szCs w:val="18"/>
          <w:color w:val="auto"/>
        </w:rPr>
        <w:t>Research and development expenses increased by $259.2 million in 2023 compared to 2022. Clinical studies and outside services costs increased in 2023 compared to 2022, primarily due to the addition of costs related to clinical programs for zanidatamab, and, to a lesser extent, JZP385 and JZP441, partially offset by a reduction in costs related to JZP458 (Rylaze). Personnel expenses increased by $34.7 million in 2023 compared to 2022, primarily due to increased headcount in support of our development programs. Milestone expenses of $5.5 million in 2023 primarily related to a milestone payment of</w:t>
      </w:r>
    </w:p>
    <w:p>
      <w:pPr>
        <w:spacing w:after="0" w:line="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$5.0 million under our collaboration and license agreement with Werewolf. Research and development expenses increased by $84.7 million in 2022 compared to 2021. Clinical studies and outside services costs increased in 2022 compared to 2021, primarily due to the addition of costs related to clinical programs for zanidatamab, JZP898 and JZP441, and increased costs for JZP150, offset by a reduction in costs related to JZP458 (Rylaze). Personnel expenses increased by $29.9 million in 2022 compared to 2021, primarily due to increased compensation related expenses driven by the inclusion of GW related headcount costs for the full period in 2022. We incurred restructuring costs of $10.3 million in 2022. Milestone expenses of $6.3 million in 2022 primarily related to a milestone expense of $5.0 million made under our asset purchase and collaboration agreements with Redx.</w:t>
      </w:r>
    </w:p>
    <w:p>
      <w:pPr>
        <w:spacing w:after="0" w:line="82" w:lineRule="exact"/>
        <w:rPr>
          <w:sz w:val="20"/>
          <w:szCs w:val="20"/>
          <w:color w:val="auto"/>
        </w:rPr>
      </w:pPr>
    </w:p>
    <w:p>
      <w:pPr>
        <w:ind w:right="40" w:firstLine="439"/>
        <w:spacing w:after="0" w:line="276" w:lineRule="auto"/>
        <w:rPr>
          <w:sz w:val="20"/>
          <w:szCs w:val="20"/>
          <w:color w:val="auto"/>
        </w:rPr>
      </w:pPr>
      <w:r>
        <w:rPr>
          <w:rFonts w:ascii="Times New Roman" w:cs="Times New Roman" w:eastAsia="Times New Roman" w:hAnsi="Times New Roman"/>
          <w:sz w:val="18"/>
          <w:szCs w:val="18"/>
          <w:color w:val="auto"/>
        </w:rPr>
        <w:t>For 2024, we expect that our research and development expenses will continue to increase from previous levels as we prepare for anticipated data read-outs from clinical trials, initiate and undertake additional clinical trials and related development work primarily relating to zanidatamab.</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 Amortization</w:t>
      </w:r>
    </w:p>
    <w:p>
      <w:pPr>
        <w:spacing w:after="0" w:line="114" w:lineRule="exact"/>
        <w:rPr>
          <w:sz w:val="20"/>
          <w:szCs w:val="20"/>
          <w:color w:val="auto"/>
        </w:rPr>
      </w:pPr>
    </w:p>
    <w:p>
      <w:pPr>
        <w:ind w:right="180" w:firstLine="439"/>
        <w:spacing w:after="0" w:line="256" w:lineRule="auto"/>
        <w:rPr>
          <w:sz w:val="20"/>
          <w:szCs w:val="20"/>
          <w:color w:val="auto"/>
        </w:rPr>
      </w:pPr>
      <w:r>
        <w:rPr>
          <w:rFonts w:ascii="Times New Roman" w:cs="Times New Roman" w:eastAsia="Times New Roman" w:hAnsi="Times New Roman"/>
          <w:sz w:val="18"/>
          <w:szCs w:val="18"/>
          <w:color w:val="auto"/>
        </w:rPr>
        <w:t>Intangible asset amortization for 2023 was in line with 2022. Intangible asset amortization increased by $73.4 million in 2022 compared to 2021, primarily due to the inclusion of the amortization for the full period in 2022, of the intangible assets arising from the acquisition of GW, primarily related to Epidiolex, offset by a decrease relating to the Erwinaze intangible asset that was fully amortized in June 2021. Intangible asset amortization in 2024 is not expected to change materially from 2023.</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Acquired In-Process Research and Development</w:t>
      </w:r>
    </w:p>
    <w:p>
      <w:pPr>
        <w:spacing w:after="0" w:line="114" w:lineRule="exact"/>
        <w:rPr>
          <w:sz w:val="20"/>
          <w:szCs w:val="20"/>
          <w:color w:val="auto"/>
        </w:rPr>
      </w:pPr>
    </w:p>
    <w:p>
      <w:pPr>
        <w:ind w:firstLine="439"/>
        <w:spacing w:after="0" w:line="256" w:lineRule="auto"/>
        <w:rPr>
          <w:sz w:val="20"/>
          <w:szCs w:val="20"/>
          <w:color w:val="auto"/>
        </w:rPr>
      </w:pPr>
      <w:r>
        <w:rPr>
          <w:rFonts w:ascii="Times New Roman" w:cs="Times New Roman" w:eastAsia="Times New Roman" w:hAnsi="Times New Roman"/>
          <w:sz w:val="18"/>
          <w:szCs w:val="18"/>
          <w:color w:val="auto"/>
        </w:rPr>
        <w:t>Acquired in-process research and development, or IPR&amp;D, expense in 2023 primarily related to the upfront payment made in connection with our licensing and collaboration agreement with Autifony Therapeutics Limited, or Autifony, of $18.0 million. Acquired IPR&amp;D expense in 2022 primarily related to the upfront payments made in connection with our licensing and collaboration agreements with Zymeworks and Werewolf of $375.0 million and $15.0 million, respectively, and our licensing agreement with Sumitomo of $50.0 million.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 Impairment Charge</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 2022, we recorded an acquired IPR&amp;D asset impairment charge of $133.6 million as a result of the decision to discontinue our nabiximols program.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14" w:lineRule="exact"/>
        <w:rPr>
          <w:sz w:val="20"/>
          <w:szCs w:val="20"/>
          <w:color w:val="auto"/>
        </w:rPr>
      </w:pPr>
    </w:p>
    <w:p>
      <w:pPr>
        <w:ind w:right="20" w:firstLine="439"/>
        <w:spacing w:after="0" w:line="250" w:lineRule="auto"/>
        <w:rPr>
          <w:sz w:val="20"/>
          <w:szCs w:val="20"/>
          <w:color w:val="auto"/>
        </w:rPr>
      </w:pPr>
      <w:r>
        <w:rPr>
          <w:rFonts w:ascii="Times New Roman" w:cs="Times New Roman" w:eastAsia="Times New Roman" w:hAnsi="Times New Roman"/>
          <w:sz w:val="18"/>
          <w:szCs w:val="18"/>
          <w:color w:val="auto"/>
        </w:rPr>
        <w:t>Interest expense, net increased by $1.2 million in 2023 compared to 2022, primarily driven by higher interest rates on our outstanding term loan borrowings, partially offset by higher interest income on investments and the inclusion of interest expense on the now repaid seven-year €625.0 million term loan B facility, or the Euro Term Loan, in 2022. Interest expense, net increased by $9.5 million in 2022 compared to 2021, primarily due to the inclusion of interest expense for the full period in 2022, on the $1.5 billion in aggregate principal amount of 4.375% senior secured notes, due 2029, or the Secured Notes, and the seven-year $3.1 billion term loan B facility, or the Dollar Term Loan, which were used, in part, to finance the cash portion of the GW Acquisition, and higher interest rates on the Dollar Term Loan in 2022, offset by a decrease in non-cash interest expense relating to the 1.50% exchangeable senior notes due 2024, or the 2024 Notes, and our 2.00% exchangeable senior notes due 2026, or the 2026 Notes, collectively known as the Exchangeable Senior Notes, following the adoption of ASU No. 2020-06, “Debt—Debt with Conversion and Other Options (Subtopic 470-20) and Derivatives and Hedging— Contracts in</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8"/>
          <w:szCs w:val="18"/>
          <w:color w:val="auto"/>
        </w:rPr>
        <w:t>Entity’s Own Equity (Subtopic 815-40): Accounting for Convertible Instruments and Contracts in an Entity’s Own Equity”, or ASU 2020-06, on January 1, 2022.</w:t>
      </w:r>
    </w:p>
    <w:p>
      <w:pPr>
        <w:spacing w:after="0" w:line="56" w:lineRule="exact"/>
        <w:rPr>
          <w:sz w:val="20"/>
          <w:szCs w:val="20"/>
          <w:color w:val="auto"/>
        </w:rPr>
      </w:pPr>
    </w:p>
    <w:p>
      <w:pPr>
        <w:ind w:right="400" w:firstLine="439"/>
        <w:spacing w:after="0" w:line="261" w:lineRule="auto"/>
        <w:rPr>
          <w:sz w:val="20"/>
          <w:szCs w:val="20"/>
          <w:color w:val="auto"/>
        </w:rPr>
      </w:pPr>
      <w:r>
        <w:rPr>
          <w:rFonts w:ascii="Times New Roman" w:cs="Times New Roman" w:eastAsia="Times New Roman" w:hAnsi="Times New Roman"/>
          <w:sz w:val="18"/>
          <w:szCs w:val="18"/>
          <w:color w:val="auto"/>
        </w:rPr>
        <w:t>We expect interest expense, net to increase in 2024 compared to 2023 primarily due to reduced interest income due to lower interest rates partially offset by lower interest expense following the repricing of our Dollar Term Loan, for further information on this please refer to Liquidity and Capital Resources.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(Gain) Loss</w:t>
      </w:r>
    </w:p>
    <w:p>
      <w:pPr>
        <w:spacing w:after="0" w:line="114" w:lineRule="exact"/>
        <w:rPr>
          <w:sz w:val="20"/>
          <w:szCs w:val="20"/>
          <w:color w:val="auto"/>
        </w:rPr>
      </w:pPr>
    </w:p>
    <w:p>
      <w:pPr>
        <w:ind w:right="80" w:firstLine="439"/>
        <w:spacing w:after="0" w:line="261" w:lineRule="auto"/>
        <w:rPr>
          <w:sz w:val="20"/>
          <w:szCs w:val="20"/>
          <w:color w:val="auto"/>
        </w:rPr>
      </w:pPr>
      <w:r>
        <w:rPr>
          <w:rFonts w:ascii="Times New Roman" w:cs="Times New Roman" w:eastAsia="Times New Roman" w:hAnsi="Times New Roman"/>
          <w:sz w:val="18"/>
          <w:szCs w:val="18"/>
          <w:color w:val="auto"/>
        </w:rPr>
        <w:t>The foreign exchange (gain) loss is primarily related to the translation of sterling and euro-denominated net monetary liabilities, primarily intercompany balances, held by subsidiaries with a U.S. dollar functional currency and related foreign exchange forward contracts not designated as hedging instruments.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 (Benefit)</w:t>
      </w:r>
    </w:p>
    <w:p>
      <w:pPr>
        <w:spacing w:after="0" w:line="114" w:lineRule="exact"/>
        <w:rPr>
          <w:sz w:val="20"/>
          <w:szCs w:val="20"/>
          <w:color w:val="auto"/>
        </w:rPr>
      </w:pPr>
    </w:p>
    <w:p>
      <w:pPr>
        <w:ind w:right="20" w:firstLine="439"/>
        <w:spacing w:after="0" w:line="266" w:lineRule="auto"/>
        <w:rPr>
          <w:sz w:val="20"/>
          <w:szCs w:val="20"/>
          <w:color w:val="auto"/>
        </w:rPr>
      </w:pPr>
      <w:r>
        <w:rPr>
          <w:rFonts w:ascii="Times New Roman" w:cs="Times New Roman" w:eastAsia="Times New Roman" w:hAnsi="Times New Roman"/>
          <w:sz w:val="17"/>
          <w:szCs w:val="17"/>
          <w:color w:val="auto"/>
        </w:rPr>
        <w:t>Our income tax benefit was $119.9 million and $158.6 million in 2023 and 2022, respectively, and our income tax expense was $216.1 million in 2021, relating to tax arising on income or losses in Ireland, the U.K., the U.S. and certain other foreign jurisdictions, offset by deductions on subsidiary equity, foreign derived intangible income benefits, and originating tax credits. Our income tax benefit in 2023 decreased compared to 2022 primarily due to payments for acquired IPR&amp;D made in 2022 and the impact of the 2022 impairment of our acquired IPR&amp;D asset as a result of the decision to discontinue our nabiximols program, partially offset by the change in income mix across jurisdictions. Our income tax expense in 2021 included an expense of</w:t>
      </w:r>
    </w:p>
    <w:p>
      <w:pPr>
        <w:spacing w:after="0" w:line="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$259.9 million arising on the remeasurement of our U.K. net deferred tax liability, which arose primarily in relation to the GW Acquisition, due to a change in the statutory tax rate in the U.K. following enactment of the U.K. Finance Act 2021.</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 Loss of Investees</w:t>
      </w:r>
    </w:p>
    <w:p>
      <w:pPr>
        <w:spacing w:after="0" w:line="114" w:lineRule="exact"/>
        <w:rPr>
          <w:sz w:val="20"/>
          <w:szCs w:val="20"/>
          <w:color w:val="auto"/>
        </w:rPr>
      </w:pPr>
    </w:p>
    <w:p>
      <w:pPr>
        <w:ind w:right="100" w:firstLine="439"/>
        <w:spacing w:after="0" w:line="276" w:lineRule="auto"/>
        <w:rPr>
          <w:sz w:val="20"/>
          <w:szCs w:val="20"/>
          <w:color w:val="auto"/>
        </w:rPr>
      </w:pPr>
      <w:r>
        <w:rPr>
          <w:rFonts w:ascii="Times New Roman" w:cs="Times New Roman" w:eastAsia="Times New Roman" w:hAnsi="Times New Roman"/>
          <w:sz w:val="18"/>
          <w:szCs w:val="18"/>
          <w:color w:val="auto"/>
        </w:rPr>
        <w:t>Equity in loss of investees relates to our share in the net loss of companies in which we have made investments accounted for under the equity method of accounting.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4" w:lineRule="exact"/>
        <w:rPr>
          <w:sz w:val="20"/>
          <w:szCs w:val="20"/>
          <w:color w:val="auto"/>
        </w:rPr>
      </w:pPr>
    </w:p>
    <w:p>
      <w:pPr>
        <w:ind w:right="140" w:firstLine="439"/>
        <w:spacing w:after="0" w:line="252" w:lineRule="auto"/>
        <w:rPr>
          <w:sz w:val="20"/>
          <w:szCs w:val="20"/>
          <w:color w:val="auto"/>
        </w:rPr>
      </w:pPr>
      <w:r>
        <w:rPr>
          <w:rFonts w:ascii="Times New Roman" w:cs="Times New Roman" w:eastAsia="Times New Roman" w:hAnsi="Times New Roman"/>
          <w:sz w:val="18"/>
          <w:szCs w:val="18"/>
          <w:color w:val="auto"/>
        </w:rPr>
        <w:t>As of December 31, 2023, we had cash, cash equivalents and investments of $1.6 billion, borrowing available under our five-year $500.0 million revolving credit facility, or the Revolving Credit Facility, of $500.0 million and a long-term debt principal balance of $5.8 billion. Our long-term debt included $2.7 billion aggregate principal amount Dollar Term Loan, $1.5 billion principal amount of the Secured Notes, $1.0 billion principal amount of the 2026 Notes and $575.0 million principal amount of the 2024 Notes. During 2023, 2022 and 2021, we generated cash flows from operations of</w:t>
      </w:r>
    </w:p>
    <w:p>
      <w:pPr>
        <w:spacing w:after="0" w:line="2" w:lineRule="exact"/>
        <w:rPr>
          <w:sz w:val="20"/>
          <w:szCs w:val="20"/>
          <w:color w:val="auto"/>
        </w:rPr>
      </w:pPr>
    </w:p>
    <w:p>
      <w:pPr>
        <w:ind w:right="440"/>
        <w:spacing w:after="0" w:line="253" w:lineRule="auto"/>
        <w:rPr>
          <w:sz w:val="20"/>
          <w:szCs w:val="20"/>
          <w:color w:val="auto"/>
        </w:rPr>
      </w:pPr>
      <w:r>
        <w:rPr>
          <w:rFonts w:ascii="Times New Roman" w:cs="Times New Roman" w:eastAsia="Times New Roman" w:hAnsi="Times New Roman"/>
          <w:sz w:val="18"/>
          <w:szCs w:val="18"/>
          <w:color w:val="auto"/>
        </w:rPr>
        <w:t>$1,092.0 million, $1,272.0 million and $778.5 million, respectively, and we expect to continue to generate positive cash flow from operations which we expect will enable us to operate our business and de-lever our balance sheet over time.</w:t>
      </w:r>
    </w:p>
    <w:p>
      <w:pPr>
        <w:spacing w:after="0" w:line="77" w:lineRule="exact"/>
        <w:rPr>
          <w:sz w:val="20"/>
          <w:szCs w:val="20"/>
          <w:color w:val="auto"/>
        </w:rPr>
      </w:pPr>
    </w:p>
    <w:p>
      <w:pPr>
        <w:ind w:right="580" w:firstLine="439"/>
        <w:spacing w:after="0" w:line="276" w:lineRule="auto"/>
        <w:rPr>
          <w:sz w:val="20"/>
          <w:szCs w:val="20"/>
          <w:color w:val="auto"/>
        </w:rPr>
      </w:pPr>
      <w:r>
        <w:rPr>
          <w:rFonts w:ascii="Times New Roman" w:cs="Times New Roman" w:eastAsia="Times New Roman" w:hAnsi="Times New Roman"/>
          <w:sz w:val="18"/>
          <w:szCs w:val="18"/>
          <w:color w:val="auto"/>
        </w:rPr>
        <w:t>Since the closing of the acquisition of GW in May 2021, we have fully repaid our Euro Term Loan €625.0 million, or $753.0 million, and made voluntary and mandatory repayments of $300.0 million and $77.5 million, respectively, relating to the Dollar Term Loan.</w:t>
      </w:r>
    </w:p>
    <w:p>
      <w:pPr>
        <w:spacing w:after="0" w:line="56" w:lineRule="exact"/>
        <w:rPr>
          <w:sz w:val="20"/>
          <w:szCs w:val="20"/>
          <w:color w:val="auto"/>
        </w:rPr>
      </w:pPr>
    </w:p>
    <w:p>
      <w:pPr>
        <w:ind w:firstLine="439"/>
        <w:spacing w:after="0" w:line="216" w:lineRule="exact"/>
        <w:rPr>
          <w:sz w:val="20"/>
          <w:szCs w:val="20"/>
          <w:color w:val="auto"/>
        </w:rPr>
      </w:pPr>
      <w:r>
        <w:rPr>
          <w:rFonts w:ascii="Times New Roman" w:cs="Times New Roman" w:eastAsia="Times New Roman" w:hAnsi="Times New Roman"/>
          <w:sz w:val="18"/>
          <w:szCs w:val="18"/>
          <w:color w:val="auto"/>
        </w:rPr>
        <w:t>We have a significant amount of debt outstanding on a consolidated basis. For a more detailed description of our debt arrangements, including information relating to our scheduled maturities with respect to our long-term debt see Note 12, Debt, of the Notes to Consolidated Financial Statements, included in Part IV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This substantial level of debt could have important consequences to our business, including, but not limited to the factors set forth in in Part I, Item 1A “Risk Factors”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under the heading “We have incurred substantial debt, which could impair our flexibility and access to capital and adversely affect our financial position, and our business would be adversely affected if we are unable to service our debt obligations.”</w:t>
      </w:r>
    </w:p>
    <w:p>
      <w:pPr>
        <w:spacing w:after="0" w:line="91" w:lineRule="exact"/>
        <w:rPr>
          <w:sz w:val="20"/>
          <w:szCs w:val="20"/>
          <w:color w:val="auto"/>
        </w:rPr>
      </w:pPr>
    </w:p>
    <w:p>
      <w:pPr>
        <w:ind w:firstLine="439"/>
        <w:spacing w:after="0" w:line="215" w:lineRule="exact"/>
        <w:rPr>
          <w:sz w:val="20"/>
          <w:szCs w:val="20"/>
          <w:color w:val="auto"/>
        </w:rPr>
      </w:pPr>
      <w:r>
        <w:rPr>
          <w:rFonts w:ascii="Times New Roman" w:cs="Times New Roman" w:eastAsia="Times New Roman" w:hAnsi="Times New Roman"/>
          <w:sz w:val="18"/>
          <w:szCs w:val="18"/>
          <w:color w:val="auto"/>
        </w:rPr>
        <w:t>We believe that our existing cash, cash equivalents and investments balances, cash we expect to generate from operations and funds available under our revolving credit facility will be sufficient to fund our operations and to meet our existing obligations for the foreseeable future. The adequacy of our cash resources depends on many assumptions, including primarily our assumptions with respect to product sales and expenses, as well as the other factors set forth in “Risk Factors” in Part I, Item 1A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K under the headings “Risks Related to our Lead Products and Product Candidates” and </w:t>
      </w:r>
      <w:r>
        <w:rPr>
          <w:rFonts w:ascii="Times New Roman" w:cs="Times New Roman" w:eastAsia="Times New Roman" w:hAnsi="Times New Roman"/>
          <w:sz w:val="18"/>
          <w:szCs w:val="18"/>
          <w:i w:val="1"/>
          <w:iCs w:val="1"/>
          <w:color w:val="auto"/>
        </w:rPr>
        <w:t>“To continue to grow our business, we will need to commit substantial resources, which could result in future losses or otherwise limit our opportunities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or affect our ability to operate and grow our business.” </w:t>
      </w:r>
      <w:r>
        <w:rPr>
          <w:rFonts w:ascii="Times New Roman" w:cs="Times New Roman" w:eastAsia="Times New Roman" w:hAnsi="Times New Roman"/>
          <w:sz w:val="18"/>
          <w:szCs w:val="18"/>
          <w:color w:val="auto"/>
        </w:rPr>
        <w:t>Our assumptions may prove to be wrong or other factors may adversely affect our business, and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we could exhaust or significantly decrease our available cash resources, and we may not be able to generate sufficient cash to service our debt obligations which could, among other things, force us to raise additional funds and/or force us to reduce our expenses, either of which could have a material adverse effect on our business.</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firstLine="439"/>
        <w:spacing w:after="0" w:line="264" w:lineRule="auto"/>
        <w:rPr>
          <w:sz w:val="20"/>
          <w:szCs w:val="20"/>
          <w:color w:val="auto"/>
        </w:rPr>
      </w:pPr>
      <w:r>
        <w:rPr>
          <w:rFonts w:ascii="Times New Roman" w:cs="Times New Roman" w:eastAsia="Times New Roman" w:hAnsi="Times New Roman"/>
          <w:sz w:val="17"/>
          <w:szCs w:val="17"/>
          <w:color w:val="auto"/>
        </w:rPr>
        <w:t>To continue to grow our business over the longer term, we plan to commit substantial resources to product acquisition and in-licensing, product development, clinical trials of product candidates and expansion of our commercial, development, manufacturing and other operations. In this regard, we have evaluated and expect to continue to evaluate a wide array of strategic transactions as part of our strategy to acquire or in-license and develop additional products and product candidates. Acquisition opportunities that we pursue could materially affect our liquidity and capital resources and may require us to incur additional indebtedness, seek equity capital or both. We regularly evaluate the performance of our products and product candidates to ensure fit within our portfolio and support efficient allocation of capital. In addition, we may pursue new operations or continue the expansion of our existing operations. Accordingly, we expect to continue to opportunistically seek access to additional capital to license or acquire additional products, product candidates or companies to expand our operations or for general corporate purposes. Raising additional capital could be accomplished through one or more public or private debt or equity financings, collaborations or partnering arrangements. However, our ability to raise additional capital may be adversely impacted by worsening global economic conditions and the recent disruptions to, and volatility in, the credit and financial markets in the U.S. and worldwide resulting from the effects of inflationary pressures, potential future bank failures, or otherwise. Accordingly, we could experience an inability to access additional capital or our liquidity could otherwise be impacted, which could in the future negatively affect our capacity for certain corporate development transactions or our ability to make other important, opportunistic investments. In addition, under Irish law we must have authority from our shareholders to issue any ordinary shares, including ordinary shares that are part of our authorized but unissued share capital, and we currently have such authorization. Moreover, as a matter of Irish law, when an Irish public limited company issues ordinary shares to new shareholders for cash, the company must first offer those shares on the same or more favorable terms to existing shareholders on a pro rata basis, unless this statutory pre-emption obligation is dis-applied, or opted-out of, by approval of its shareholders. At our annual general meeting of shareholders in August 2023, our shareholders voted to approve our proposal to dis-apply the statutory pre-emption obligation on terms that are substantially more limited than our general pre-emption opt-out authority that had been in effect prior to</w:t>
      </w:r>
    </w:p>
    <w:p>
      <w:pPr>
        <w:spacing w:after="0" w:line="3"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August 4, 2021. This current pre-emption opt-out authority is due to expire in February 2025. If we are unable to obtain further pre-emption authorities from our shareholders in the future, or otherwise continue to be limited by the terms of new pre-emption authorities approved by our shareholders in the future, our ability to use our unissued share capital to fund in-licensing, acquisition or other business opportunities, or to otherwise raise capital could be adversely affected. In any event, an inability to borrow or raise additional capital in a timely manner and on attractive terms could prevent us from expanding our business or taking advantage of acquisition opportunities, and could otherwise have a material adverse effect on our business and growth prospects. In addition, if we use a substantial amount of our funds to acquire or in-license products or product candidates, we may not have sufficient additional funds to conduct all of our operations in the manner we would otherwise choose. Furthermore, any equity financing would be dilutive to our shareholders, and could require the consent of the lenders under the Credit Agreement and the indenture for the Secured Notes for certain financings.</w:t>
      </w:r>
    </w:p>
    <w:p>
      <w:pPr>
        <w:spacing w:after="0" w:line="79" w:lineRule="exact"/>
        <w:rPr>
          <w:sz w:val="20"/>
          <w:szCs w:val="20"/>
          <w:color w:val="auto"/>
        </w:rPr>
      </w:pPr>
    </w:p>
    <w:p>
      <w:pPr>
        <w:ind w:right="80" w:firstLine="439"/>
        <w:spacing w:after="0" w:line="251" w:lineRule="auto"/>
        <w:rPr>
          <w:sz w:val="20"/>
          <w:szCs w:val="20"/>
          <w:color w:val="auto"/>
        </w:rPr>
      </w:pPr>
      <w:r>
        <w:rPr>
          <w:rFonts w:ascii="Times New Roman" w:cs="Times New Roman" w:eastAsia="Times New Roman" w:hAnsi="Times New Roman"/>
          <w:sz w:val="18"/>
          <w:szCs w:val="18"/>
          <w:color w:val="auto"/>
        </w:rPr>
        <w:t>In November 2016, our board of directors authorized a share repurchase program and as of December 31, 2023 had authorized the repurchase of up to $1.5 billion, exclusive of any brokerage commissions. Under this program, which has no expiration date, we may repurchase ordinary shares from time to time on the open market. The timing and amount of repurchases will depend on a variety of factors, including the price of our ordinary shares, alternative investment opportunities, restrictions under the amended credit agreement, corporate and regulatory requirements and market conditions. The share repurchase program may be modified, suspended or discontinued at any time without prior notice. In 2023, we spent a total of $269.8 million to purchase 2.1 million of our ordinary shares at a total purchase price, including brokerage commissions, of $126.65 per share. In 2022, we spent a total of $0.1 million to purchase 338 of our ordinary shares at a total purchase price, including brokerage commissions, of $160.70 per share. As of December 31, 2023, the remaining amount authorized under the share repurchase program was $161.4 million.</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periods indicated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5"/>
        </w:trPr>
        <w:tc>
          <w:tcPr>
            <w:tcW w:w="60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6"/>
        </w:trPr>
        <w:tc>
          <w:tcPr>
            <w:tcW w:w="60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1,092,007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1,271,977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778,507</w:t>
            </w:r>
          </w:p>
        </w:tc>
      </w:tr>
      <w:tr>
        <w:trPr>
          <w:trHeight w:val="226"/>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(163,062)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(446,230)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(5,212,143)</w:t>
            </w:r>
          </w:p>
        </w:tc>
      </w:tr>
      <w:tr>
        <w:trPr>
          <w:trHeight w:val="22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(305,254)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(529,491)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3,970,522</w:t>
            </w:r>
          </w:p>
        </w:tc>
      </w:tr>
      <w:tr>
        <w:trPr>
          <w:trHeight w:val="226"/>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(3,207)</w:t>
            </w:r>
          </w:p>
        </w:tc>
      </w:tr>
      <w:tr>
        <w:trPr>
          <w:trHeight w:val="245"/>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624,828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290,034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(466,321)</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4" w:lineRule="exact"/>
        <w:rPr>
          <w:sz w:val="20"/>
          <w:szCs w:val="20"/>
          <w:color w:val="auto"/>
        </w:rPr>
      </w:pPr>
    </w:p>
    <w:p>
      <w:pPr>
        <w:jc w:val="both"/>
        <w:ind w:right="660" w:firstLine="439"/>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decreased by $180.0 million in 2023 compared to 2022, primarily due to an increase in research and development expenses primarily related to zanidatamab, increased prepaid income taxes and increased interest expense on our outstanding term loan borrowings.</w:t>
      </w:r>
    </w:p>
    <w:p>
      <w:pPr>
        <w:spacing w:after="0" w:line="70" w:lineRule="exact"/>
        <w:rPr>
          <w:sz w:val="20"/>
          <w:szCs w:val="20"/>
          <w:color w:val="auto"/>
        </w:rPr>
      </w:pPr>
    </w:p>
    <w:p>
      <w:pPr>
        <w:ind w:firstLine="439"/>
        <w:spacing w:after="0" w:line="276" w:lineRule="auto"/>
        <w:rPr>
          <w:sz w:val="20"/>
          <w:szCs w:val="20"/>
          <w:color w:val="auto"/>
        </w:rPr>
      </w:pPr>
      <w:r>
        <w:rPr>
          <w:rFonts w:ascii="Times New Roman" w:cs="Times New Roman" w:eastAsia="Times New Roman" w:hAnsi="Times New Roman"/>
          <w:sz w:val="18"/>
          <w:szCs w:val="18"/>
          <w:color w:val="auto"/>
        </w:rPr>
        <w:t>Net cash provided by operating activities increased by $493.5 million in 2022 compared to 2021, primarily due to cash received from increased sales of our products and decreased transaction and integration-related costs associated with the GW Acquisition.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Net cash used in investing activities decreased by $283.2 million in 2023 compared to 2022, primarily due to the following:</w:t>
      </w:r>
    </w:p>
    <w:p>
      <w:pPr>
        <w:spacing w:after="0" w:line="112" w:lineRule="exact"/>
        <w:rPr>
          <w:sz w:val="20"/>
          <w:szCs w:val="20"/>
          <w:color w:val="auto"/>
        </w:rPr>
      </w:pPr>
    </w:p>
    <w:p>
      <w:pPr>
        <w:ind w:left="640" w:right="60" w:hanging="314"/>
        <w:spacing w:after="0" w:line="306" w:lineRule="auto"/>
        <w:tabs>
          <w:tab w:leader="none" w:pos="63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$425.1 million decrease in upfront payments for acquired IPR&amp;D primarily driven by the $375.0 million, $50.0 million and $15.0 million payments to Zymeworks, Sumitomo and Werewolf, respectively, in 2022, partially offset by the $18.0 million payment to Autifony in 2023; offset by</w:t>
      </w:r>
    </w:p>
    <w:p>
      <w:pPr>
        <w:spacing w:after="0" w:line="33" w:lineRule="exact"/>
        <w:rPr>
          <w:rFonts w:ascii="Times New Roman" w:cs="Times New Roman" w:eastAsia="Times New Roman" w:hAnsi="Times New Roman"/>
          <w:sz w:val="17"/>
          <w:szCs w:val="17"/>
          <w:color w:val="auto"/>
        </w:rPr>
      </w:pPr>
    </w:p>
    <w:p>
      <w:pPr>
        <w:ind w:left="640" w:hanging="314"/>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$119.1 million net increase in the acquisition of investments, primarily time deposits; and</w:t>
      </w:r>
    </w:p>
    <w:p>
      <w:pPr>
        <w:spacing w:after="0" w:line="11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$53.0 million upfront payment from Axsome in 2022 relating to the Sunosi U.S. disposition.</w:t>
      </w:r>
    </w:p>
    <w:p>
      <w:pPr>
        <w:spacing w:after="0" w:line="1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Net cash used in investing activities decreased by $4,765.9 million in 2022 compared to 2021, primarily due to the following:</w:t>
      </w:r>
    </w:p>
    <w:p>
      <w:pPr>
        <w:spacing w:after="0" w:line="112" w:lineRule="exact"/>
        <w:rPr>
          <w:sz w:val="20"/>
          <w:szCs w:val="20"/>
          <w:color w:val="auto"/>
        </w:rPr>
      </w:pPr>
    </w:p>
    <w:p>
      <w:pPr>
        <w:ind w:left="640" w:hanging="314"/>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$6,234.8 million outflow in 2021 related to the net cash paid for the GW Acquisition; and</w:t>
      </w:r>
    </w:p>
    <w:p>
      <w:pPr>
        <w:spacing w:after="0" w:line="11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$53.0 million upfront payment from Axsome in 2022 relating to the Sunosi U.S. disposition; offset by</w:t>
      </w:r>
    </w:p>
    <w:p>
      <w:pPr>
        <w:spacing w:after="0" w:line="11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$1,069.2 million decrease in net proceeds from maturity of investments, primarily time deposits; and</w:t>
      </w:r>
    </w:p>
    <w:p>
      <w:pPr>
        <w:spacing w:after="0" w:line="112" w:lineRule="exact"/>
        <w:rPr>
          <w:rFonts w:ascii="Times New Roman" w:cs="Times New Roman" w:eastAsia="Times New Roman" w:hAnsi="Times New Roman"/>
          <w:sz w:val="18"/>
          <w:szCs w:val="18"/>
          <w:color w:val="auto"/>
        </w:rPr>
      </w:pPr>
    </w:p>
    <w:p>
      <w:pPr>
        <w:ind w:left="640" w:right="140" w:hanging="314"/>
        <w:spacing w:after="0" w:line="276" w:lineRule="auto"/>
        <w:tabs>
          <w:tab w:leader="none" w:pos="6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$444.1 million in upfront payments in 2022 for acquired IPR&amp;D primarily driven by the $375.0 million, $50.0 million and $15.0 million payments to Zymeworks, Sumitomo and Werewolf,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Net cash used in financing activities decreased by $224.2 million in 2023 compared to 2022, primarily due to:</w:t>
      </w:r>
    </w:p>
    <w:p>
      <w:pPr>
        <w:spacing w:after="0" w:line="112" w:lineRule="exact"/>
        <w:rPr>
          <w:sz w:val="20"/>
          <w:szCs w:val="20"/>
          <w:color w:val="auto"/>
        </w:rPr>
      </w:pPr>
    </w:p>
    <w:p>
      <w:pPr>
        <w:ind w:left="640" w:hanging="314"/>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Repayments of long-term debt of $31.0 million in 2023, compared to $582.0 million in 2022; offset by</w:t>
      </w:r>
    </w:p>
    <w:p>
      <w:pPr>
        <w:spacing w:after="0" w:line="11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repurchases of $269.8 million in 2023; and</w:t>
      </w:r>
    </w:p>
    <w:p>
      <w:pPr>
        <w:spacing w:after="0" w:line="11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$51.6 million in proceeds from employee equity incentive and purchase plans.</w:t>
      </w:r>
    </w:p>
    <w:p>
      <w:pPr>
        <w:spacing w:after="0" w:line="1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Net cash (used in) provided by financing activities decreased by $4,500.0 million in 2022 compared to 2021, primarily due to:</w:t>
      </w:r>
    </w:p>
    <w:p>
      <w:pPr>
        <w:spacing w:after="0" w:line="112" w:lineRule="exact"/>
        <w:rPr>
          <w:sz w:val="20"/>
          <w:szCs w:val="20"/>
          <w:color w:val="auto"/>
        </w:rPr>
      </w:pPr>
    </w:p>
    <w:p>
      <w:pPr>
        <w:ind w:left="640" w:right="180" w:hanging="314"/>
        <w:spacing w:after="0" w:line="276" w:lineRule="auto"/>
        <w:tabs>
          <w:tab w:leader="none" w:pos="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proceeds from issuance of borrowings under the Credit Agreement of $3,719.9 million and the Secured Notes of $1,471.5 million in 2021 that were used to fund, in part, the cash consideration payable in connection with the GW Acquisition; offset by</w:t>
      </w:r>
    </w:p>
    <w:p>
      <w:pPr>
        <w:spacing w:after="0" w:line="56"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Repayments of long-term debt of $582.0 million in 2022, compared to $1,320.6 million in 2021.</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114" w:lineRule="exact"/>
        <w:rPr>
          <w:sz w:val="20"/>
          <w:szCs w:val="20"/>
          <w:color w:val="auto"/>
        </w:rPr>
      </w:pPr>
    </w:p>
    <w:p>
      <w:pPr>
        <w:ind w:right="80" w:firstLine="439"/>
        <w:spacing w:after="0" w:line="254" w:lineRule="auto"/>
        <w:rPr>
          <w:sz w:val="20"/>
          <w:szCs w:val="20"/>
          <w:color w:val="auto"/>
        </w:rPr>
      </w:pPr>
      <w:r>
        <w:rPr>
          <w:rFonts w:ascii="Times New Roman" w:cs="Times New Roman" w:eastAsia="Times New Roman" w:hAnsi="Times New Roman"/>
          <w:sz w:val="18"/>
          <w:szCs w:val="18"/>
          <w:color w:val="auto"/>
        </w:rPr>
        <w:t>On May 5, 2021, the Company, Jazz Financing Lux S.à.r.l., or Jazz Lux, and certain of our other subsidiaries, as borrowers, or, collectively with the Company and Jazz Lux, the “Borrowers”, entered into the Credit Agreement by and among the Borrowers, the lenders and issuing banks from time to time party thereto, Bank of America, N.A., as administrative agent and U.S. Bank Trust Company, National Association, as collateral trustee, or the Credit Agreement, that provided for (i) the Dollar Term Loan which was drawn by Jazz Lux on the Closing Date in U.S. dollars (ii) the Euro Term Loan which was drawn by Jazz Lux on the Closing Date in Euros and (iii) the Revolving Credit Facility.</w:t>
      </w:r>
    </w:p>
    <w:p>
      <w:pPr>
        <w:spacing w:after="0" w:line="76" w:lineRule="exact"/>
        <w:rPr>
          <w:sz w:val="20"/>
          <w:szCs w:val="20"/>
          <w:color w:val="auto"/>
        </w:rPr>
      </w:pPr>
    </w:p>
    <w:p>
      <w:pPr>
        <w:ind w:right="120" w:firstLine="439"/>
        <w:spacing w:after="0" w:line="269" w:lineRule="auto"/>
        <w:rPr>
          <w:sz w:val="20"/>
          <w:szCs w:val="20"/>
          <w:color w:val="auto"/>
        </w:rPr>
      </w:pPr>
      <w:r>
        <w:rPr>
          <w:rFonts w:ascii="Times New Roman" w:cs="Times New Roman" w:eastAsia="Times New Roman" w:hAnsi="Times New Roman"/>
          <w:sz w:val="17"/>
          <w:szCs w:val="17"/>
          <w:color w:val="auto"/>
        </w:rPr>
        <w:t>We used the proceeds from the Term Loan (i) to repay in full $575.9 million under that certain credit agreement, dated as of June 18, 2015 (as amended) among the Company, and certain of our other subsidiaries as borrowers, the lenders party thereto and Bank of America, N.A., as administrative agent and collateral agent, or the Existing Credit Agreement, (ii) to fund, in part, the cash consideration payable in connection with the GW Acquisition and</w:t>
      </w:r>
    </w:p>
    <w:p>
      <w:pPr>
        <w:spacing w:after="0" w:line="1" w:lineRule="exact"/>
        <w:rPr>
          <w:sz w:val="20"/>
          <w:szCs w:val="20"/>
          <w:color w:val="auto"/>
        </w:rPr>
      </w:pPr>
    </w:p>
    <w:p>
      <w:pPr>
        <w:ind w:firstLine="6"/>
        <w:spacing w:after="0" w:line="253" w:lineRule="auto"/>
        <w:tabs>
          <w:tab w:leader="none" w:pos="31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related fees and expenses. Upon the repayment in full of loans under the Existing Credit Agreement, it was terminated and all guarantees and liens thereunder were released.</w:t>
      </w:r>
    </w:p>
    <w:p>
      <w:pPr>
        <w:spacing w:after="0" w:line="77" w:lineRule="exact"/>
        <w:rPr>
          <w:sz w:val="20"/>
          <w:szCs w:val="20"/>
          <w:color w:val="auto"/>
        </w:rPr>
      </w:pPr>
    </w:p>
    <w:p>
      <w:pPr>
        <w:ind w:right="100" w:firstLine="439"/>
        <w:spacing w:after="0" w:line="256" w:lineRule="auto"/>
        <w:rPr>
          <w:sz w:val="20"/>
          <w:szCs w:val="20"/>
          <w:color w:val="auto"/>
        </w:rPr>
      </w:pPr>
      <w:r>
        <w:rPr>
          <w:rFonts w:ascii="Times New Roman" w:cs="Times New Roman" w:eastAsia="Times New Roman" w:hAnsi="Times New Roman"/>
          <w:sz w:val="18"/>
          <w:szCs w:val="18"/>
          <w:color w:val="auto"/>
        </w:rPr>
        <w:t>In 2021, we made voluntary prepayments on the Euro Term Loan totaling €416.7 million, or $502.0 million, and in March 2022 we repaid the remaining outstanding principal of €208.3 million, or $251.0 million. The Euro Term Loan bore interest at the Euro Inter-Bank Offered Rate, or EURIBOR, plus an applicable margin. The applicable margin for the Euro Term Loan was 3.50%. During the term of the Euro Term Loan, the interest rate and effective interest rate were 4.43% and 4.93%, respectively.</w:t>
      </w:r>
    </w:p>
    <w:p>
      <w:pPr>
        <w:spacing w:after="0" w:line="75" w:lineRule="exact"/>
        <w:rPr>
          <w:sz w:val="20"/>
          <w:szCs w:val="20"/>
          <w:color w:val="auto"/>
        </w:rPr>
      </w:pPr>
    </w:p>
    <w:p>
      <w:pPr>
        <w:ind w:firstLine="439"/>
        <w:spacing w:after="0" w:line="264" w:lineRule="auto"/>
        <w:rPr>
          <w:sz w:val="20"/>
          <w:szCs w:val="20"/>
          <w:color w:val="auto"/>
        </w:rPr>
      </w:pPr>
      <w:r>
        <w:rPr>
          <w:rFonts w:ascii="Times New Roman" w:cs="Times New Roman" w:eastAsia="Times New Roman" w:hAnsi="Times New Roman"/>
          <w:sz w:val="17"/>
          <w:szCs w:val="17"/>
          <w:color w:val="auto"/>
        </w:rPr>
        <w:t>In January 2024, Jazz Lux entered into an amendment, or Repricing Amendment, to the Credit Agreement. Upon entry into the Repricing Amendment, certain existing lenders converted outstanding Dollar Term Loans into a new tranche of U.S. dollar term loans, or the Tranche B-1 Dollar Term Loans, and Jazz Lux borrowed $201.9 million aggregate principal amount of additional Tranche B-1 Dollar Term Loans, the proceeds of which were used to repay the outstanding Dollar Term Loans that were not converted. The Tranche B-1 Dollar Term Loans are a separate class of term loans under the Credit Agreement with the same material terms (including with respect to maturity, prepayment, security, covenants and events of default) as the previously outstanding Dollar Term Loans, with the interest rate amended as described below. The principal amount of Dollar Term Loans outstanding immediately prior to the Repricing Amendment and the outstanding principal amount of Tranche B-1 Dollar Term Loans immediately following the Repricing Amendment, each totaled $2.723 billion. The Tranche B-1 Dollar Term Loans bear interest at a rate equal to either (a) U.S dollar Secured Overnight Financing Rate, or Term SOFR, or (b) the prime lending rate, in each case, plus an applicable margin. The applicable margin for the Tranche B-1 Dollar Term Loans is 3.00% (in the case of Term SOFR borrowings) and 2.00% (in the case of borrowings at the prime lending rate), a decrease of 50 basis points from the applicable margin on the Initial Dollar Term Loans. The Tranche B-1 Dollar Term Loans are subject to a Term SOFR floor of 0.50%. The applicable margin for the Revolving Credit Facility ranges from 3.25% to 2.75% (in the case of Term SOFR borrowings) and 2.25% to 1.75% (in the case of borrowings at the prime lending rate), depending on our first lien secured net leverage ratio level. The Tranche B-1 Dollar Term Loan is subject to a Term SOFR floor of 0.50% and loans under the Revolving Credit Facility are not subject to a floor. The Revolving Credit Facility has a commitment fee payable on the undrawn amount ranging from 0.50% to 0.40% per annum based upon our first lien secured net leverage ratio. As of December 31, 2023, the interest rate and effective interest rate on the Dollar Term Loan were 8.97% and 4.56%, respectively. Pursuant to the Repricing Amendment the interest rate and effective interest rate on the Tranche B-1 Dollar Term Loans are 8.90% and 9.50%, respectively. As of December 31, 2023, we had an undrawn Revolving Credit Facility totaling $500.0 million.</w:t>
      </w:r>
    </w:p>
    <w:p>
      <w:pPr>
        <w:spacing w:after="0" w:line="72" w:lineRule="exact"/>
        <w:rPr>
          <w:sz w:val="20"/>
          <w:szCs w:val="20"/>
          <w:color w:val="auto"/>
        </w:rPr>
      </w:pPr>
    </w:p>
    <w:p>
      <w:pPr>
        <w:ind w:right="160" w:firstLine="439"/>
        <w:spacing w:after="0" w:line="250" w:lineRule="auto"/>
        <w:rPr>
          <w:sz w:val="20"/>
          <w:szCs w:val="20"/>
          <w:color w:val="auto"/>
        </w:rPr>
      </w:pPr>
      <w:r>
        <w:rPr>
          <w:rFonts w:ascii="Times New Roman" w:cs="Times New Roman" w:eastAsia="Times New Roman" w:hAnsi="Times New Roman"/>
          <w:sz w:val="18"/>
          <w:szCs w:val="18"/>
          <w:color w:val="auto"/>
        </w:rPr>
        <w:t>We may make voluntary prepayments at any time without payment of a premium or penalty, subject to certain exceptions, and are required to make certain mandatory prepayments of outstanding indebtedness under the Credit Agreement in certain circumstances. Principal repayments of the Dollar Term Loan, which were due quarterly, began in September 2021 and were equal to 1.0% per annum of the original principal amount of $3.1 billion with any remaining balance payable on the maturity date. In September 2022, we made a voluntary repayment on the Dollar Term Loan totaling $300.0 million</w:t>
      </w:r>
      <w:r>
        <w:rPr>
          <w:rFonts w:ascii="Calibri" w:cs="Calibri" w:eastAsia="Calibri" w:hAnsi="Calibri"/>
          <w:sz w:val="21"/>
          <w:szCs w:val="21"/>
          <w:color w:val="auto"/>
        </w:rPr>
        <w:t>.</w:t>
      </w:r>
      <w:r>
        <w:rPr>
          <w:rFonts w:ascii="Times New Roman" w:cs="Times New Roman" w:eastAsia="Times New Roman" w:hAnsi="Times New Roman"/>
          <w:sz w:val="18"/>
          <w:szCs w:val="18"/>
          <w:color w:val="auto"/>
        </w:rPr>
        <w:t xml:space="preserve"> The Tranche B-1 Dollar Term Loans will amortize in quarterly installments equal to 0.284664830% of the initial principal amount thereof, with the remaining balance payable on May 5, 2028.</w:t>
      </w:r>
    </w:p>
    <w:p>
      <w:pPr>
        <w:spacing w:after="0" w:line="79" w:lineRule="exact"/>
        <w:rPr>
          <w:sz w:val="20"/>
          <w:szCs w:val="20"/>
          <w:color w:val="auto"/>
        </w:rPr>
      </w:pPr>
    </w:p>
    <w:p>
      <w:pPr>
        <w:ind w:right="120" w:firstLine="439"/>
        <w:spacing w:after="0" w:line="261" w:lineRule="auto"/>
        <w:rPr>
          <w:sz w:val="20"/>
          <w:szCs w:val="20"/>
          <w:color w:val="auto"/>
        </w:rPr>
      </w:pPr>
      <w:r>
        <w:rPr>
          <w:rFonts w:ascii="Times New Roman" w:cs="Times New Roman" w:eastAsia="Times New Roman" w:hAnsi="Times New Roman"/>
          <w:sz w:val="18"/>
          <w:szCs w:val="18"/>
          <w:color w:val="auto"/>
        </w:rPr>
        <w:t>The Borrowers’ obligations under the Credit Agreement and any hedging or cash management obligations entered into with any lender thereunder are guaranteed by the Company, the other borrowers, and each of the Company’s other existing or subsequently acquired or organized direct and indirect subsidiaries (subject to certain exceptions), or the Guarantors. We refer to the Borrowers and the Guarantors collectively as the “Loan Parties”.</w:t>
      </w:r>
    </w:p>
    <w:p>
      <w:pPr>
        <w:spacing w:after="0" w:line="70" w:lineRule="exact"/>
        <w:rPr>
          <w:sz w:val="20"/>
          <w:szCs w:val="20"/>
          <w:color w:val="auto"/>
        </w:rPr>
      </w:pPr>
    </w:p>
    <w:p>
      <w:pPr>
        <w:jc w:val="both"/>
        <w:ind w:firstLine="439"/>
        <w:spacing w:after="0" w:line="261" w:lineRule="auto"/>
        <w:rPr>
          <w:sz w:val="20"/>
          <w:szCs w:val="20"/>
          <w:color w:val="auto"/>
        </w:rPr>
      </w:pPr>
      <w:r>
        <w:rPr>
          <w:rFonts w:ascii="Times New Roman" w:cs="Times New Roman" w:eastAsia="Times New Roman" w:hAnsi="Times New Roman"/>
          <w:sz w:val="18"/>
          <w:szCs w:val="18"/>
          <w:color w:val="auto"/>
        </w:rPr>
        <w:t>The Loan Parties’ obligations under the Credit Agreement are secured, subject to customary permitted liens and other exceptions, by a security interest in (a) all tangible and intangible assets of the Loan Parties, except for certain excluded assets, and (b) all of the equity interests of the subsidiaries of the Loan Parties held by the Loan Parties.</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firstLine="439"/>
        <w:spacing w:after="0" w:line="251" w:lineRule="auto"/>
        <w:rPr>
          <w:sz w:val="20"/>
          <w:szCs w:val="20"/>
          <w:color w:val="auto"/>
        </w:rPr>
      </w:pPr>
      <w:r>
        <w:rPr>
          <w:rFonts w:ascii="Times New Roman" w:cs="Times New Roman" w:eastAsia="Times New Roman" w:hAnsi="Times New Roman"/>
          <w:sz w:val="18"/>
          <w:szCs w:val="18"/>
          <w:color w:val="auto"/>
        </w:rPr>
        <w:t>The Credit Agreement contains customary representations and warranties and customary affirmative and negative covenants applicable to the Company and its restricted subsidiaries, including, among other things, restrictions on indebtedness, liens, investments, mergers, dispositions, prepayment of junior indebtedness and dividends and other distributions. The Credit Agreement contains financial covenants that require the Company and its restricted subsidiaries to (a) not exceed a maximum first lien secured net leverage ratio and (b) not fall below a minimum interest coverage ratio, provided that such covenants apply only to the Revolving Credit Facility and are applicable only if amounts are drawn (or non-cash collateralized letters of credit in excess of $50 million are outstanding) under the Revolving Credit Facility. The Credit Agreement also contains customary events of default relating to, among other things, failure to make payments, breach of covenants and breach of representations.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2029 Senior Secured Notes</w:t>
      </w:r>
    </w:p>
    <w:p>
      <w:pPr>
        <w:spacing w:after="0" w:line="112" w:lineRule="exact"/>
        <w:rPr>
          <w:sz w:val="20"/>
          <w:szCs w:val="20"/>
          <w:color w:val="auto"/>
        </w:rPr>
      </w:pPr>
    </w:p>
    <w:p>
      <w:pPr>
        <w:jc w:val="both"/>
        <w:ind w:right="520" w:firstLine="439"/>
        <w:spacing w:after="0" w:line="262" w:lineRule="auto"/>
        <w:rPr>
          <w:sz w:val="20"/>
          <w:szCs w:val="20"/>
          <w:color w:val="auto"/>
        </w:rPr>
      </w:pPr>
      <w:r>
        <w:rPr>
          <w:rFonts w:ascii="Times New Roman" w:cs="Times New Roman" w:eastAsia="Times New Roman" w:hAnsi="Times New Roman"/>
          <w:sz w:val="18"/>
          <w:szCs w:val="18"/>
          <w:i w:val="1"/>
          <w:iCs w:val="1"/>
          <w:color w:val="auto"/>
        </w:rPr>
        <w:t>2029 Notes</w:t>
      </w:r>
      <w:r>
        <w:rPr>
          <w:rFonts w:ascii="Times New Roman" w:cs="Times New Roman" w:eastAsia="Times New Roman" w:hAnsi="Times New Roman"/>
          <w:sz w:val="18"/>
          <w:szCs w:val="18"/>
          <w:color w:val="auto"/>
        </w:rPr>
        <w:t>. On April 29, 2021, Jazz Securities Designated Activity Company, or Jazz Securities, our direct wholly owned subsidiary, closed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 of the Secured Notes in a private placement. We used the proceeds from the Secured Notes to fund, in part, the cash consideration payable in connection with the GW Acquisition.</w:t>
      </w:r>
    </w:p>
    <w:p>
      <w:pPr>
        <w:spacing w:after="0" w:line="70" w:lineRule="exact"/>
        <w:rPr>
          <w:sz w:val="20"/>
          <w:szCs w:val="20"/>
          <w:color w:val="auto"/>
        </w:rPr>
      </w:pPr>
    </w:p>
    <w:p>
      <w:pPr>
        <w:ind w:right="240" w:firstLine="439"/>
        <w:spacing w:after="0" w:line="276" w:lineRule="auto"/>
        <w:rPr>
          <w:sz w:val="20"/>
          <w:szCs w:val="20"/>
          <w:color w:val="auto"/>
        </w:rPr>
      </w:pPr>
      <w:r>
        <w:rPr>
          <w:rFonts w:ascii="Times New Roman" w:cs="Times New Roman" w:eastAsia="Times New Roman" w:hAnsi="Times New Roman"/>
          <w:sz w:val="18"/>
          <w:szCs w:val="18"/>
          <w:color w:val="auto"/>
        </w:rPr>
        <w:t>Interest on the Secured Notes is payable semi-annually in arrears on January 15 and July 15 of each year, beginning on January 15, 2022, at a rate of 4.375% per year. The Secured Notes mature on January 15, 2029.</w:t>
      </w:r>
    </w:p>
    <w:p>
      <w:pPr>
        <w:spacing w:after="0" w:line="56" w:lineRule="exact"/>
        <w:rPr>
          <w:sz w:val="20"/>
          <w:szCs w:val="20"/>
          <w:color w:val="auto"/>
        </w:rPr>
      </w:pPr>
    </w:p>
    <w:p>
      <w:pPr>
        <w:ind w:right="120" w:firstLine="439"/>
        <w:spacing w:after="0" w:line="261" w:lineRule="auto"/>
        <w:rPr>
          <w:sz w:val="20"/>
          <w:szCs w:val="20"/>
          <w:color w:val="auto"/>
        </w:rPr>
      </w:pPr>
      <w:r>
        <w:rPr>
          <w:rFonts w:ascii="Times New Roman" w:cs="Times New Roman" w:eastAsia="Times New Roman" w:hAnsi="Times New Roman"/>
          <w:sz w:val="18"/>
          <w:szCs w:val="18"/>
          <w:color w:val="auto"/>
        </w:rPr>
        <w:t>The Secured Notes are jointly and severally guaranteed by us and each of our restricted subsidiaries, other than Jazz Securities, that is a borrower, or a guarantor, under the Credit Agreement. The Secured Notes and related guarantees are secured by a first priority lien (subject to permitted liens and certain other exceptions), equally and ratably with the Credit Agreement, on the collateral securing the Credit Agreement.</w:t>
      </w:r>
    </w:p>
    <w:p>
      <w:pPr>
        <w:spacing w:after="0" w:line="70" w:lineRule="exact"/>
        <w:rPr>
          <w:sz w:val="20"/>
          <w:szCs w:val="20"/>
          <w:color w:val="auto"/>
        </w:rPr>
      </w:pPr>
    </w:p>
    <w:p>
      <w:pPr>
        <w:ind w:right="40" w:firstLine="439"/>
        <w:spacing w:after="0" w:line="250" w:lineRule="auto"/>
        <w:rPr>
          <w:sz w:val="20"/>
          <w:szCs w:val="20"/>
          <w:color w:val="auto"/>
        </w:rPr>
      </w:pPr>
      <w:r>
        <w:rPr>
          <w:rFonts w:ascii="Times New Roman" w:cs="Times New Roman" w:eastAsia="Times New Roman" w:hAnsi="Times New Roman"/>
          <w:sz w:val="18"/>
          <w:szCs w:val="18"/>
          <w:color w:val="auto"/>
        </w:rPr>
        <w:t>Except as described below, the Secured Notes may not be optionally redeemed before July 15, 2024. Thereafter, some or all of the Secured Notes, may be redeemed at any time and from time to time at a specified redemption prices, plus accrued and unpaid interest, if any, to, but excluding, to the redemption date. Jazz Securities may redeem all but not part of the Secured Notes at its option at any time in connection with certain tax-related events and may redeem some or all of the Secured Notes at any time and from time to time prior to July 15, 2024 at a price equal to 100% of the principal amount of the Secured Notes to be redeemed plus a “make whole” premium, plus accrued and unpaid interest, if any, to, but excluding, the redemption date. In addition, Jazz Securities may redeem up to 40% of the aggregate principal amount of the Secured Notes at any time and from time to time prior to July 15, 2024, with the net proceeds of certain equity offerings at a price of 104.375% of the principal amount of such Secured Notes, plus accrued and unpaid interest, if any, to, but excluding, the redemption date. In addition, during each of the three consecutive twelve-month periods commencing on the issue date of the Secured Notes, Jazz Securities may redeem up to 10% of the original aggregate initial principal amount of the Secured Notes at a redemption price of 103% of the principal amount of such Secured Notes, plus accrued and unpaid interest, if any, to, but excluding, the redemption date.</w:t>
      </w:r>
    </w:p>
    <w:p>
      <w:pPr>
        <w:spacing w:after="0" w:line="80" w:lineRule="exact"/>
        <w:rPr>
          <w:sz w:val="20"/>
          <w:szCs w:val="20"/>
          <w:color w:val="auto"/>
        </w:rPr>
      </w:pPr>
    </w:p>
    <w:p>
      <w:pPr>
        <w:ind w:firstLine="439"/>
        <w:spacing w:after="0" w:line="306" w:lineRule="auto"/>
        <w:rPr>
          <w:sz w:val="20"/>
          <w:szCs w:val="20"/>
          <w:color w:val="auto"/>
        </w:rPr>
      </w:pPr>
      <w:r>
        <w:rPr>
          <w:rFonts w:ascii="Times New Roman" w:cs="Times New Roman" w:eastAsia="Times New Roman" w:hAnsi="Times New Roman"/>
          <w:sz w:val="17"/>
          <w:szCs w:val="17"/>
          <w:color w:val="auto"/>
        </w:rPr>
        <w:t>If we undergo a change of control, Jazz Securities will be required to make an offer to purchase all of the Secured Notes at a purchase price in cash equal to 101% of the principal amount thereof, plus accrued and unpaid interest, if any, to, but excluding, the date of repurchase, subject to certain exceptions.</w:t>
      </w:r>
    </w:p>
    <w:p>
      <w:pPr>
        <w:spacing w:after="0" w:line="34" w:lineRule="exact"/>
        <w:rPr>
          <w:sz w:val="20"/>
          <w:szCs w:val="20"/>
          <w:color w:val="auto"/>
        </w:rPr>
      </w:pPr>
    </w:p>
    <w:p>
      <w:pPr>
        <w:ind w:right="20" w:firstLine="439"/>
        <w:spacing w:after="0" w:line="254" w:lineRule="auto"/>
        <w:rPr>
          <w:sz w:val="20"/>
          <w:szCs w:val="20"/>
          <w:color w:val="auto"/>
        </w:rPr>
      </w:pPr>
      <w:r>
        <w:rPr>
          <w:rFonts w:ascii="Times New Roman" w:cs="Times New Roman" w:eastAsia="Times New Roman" w:hAnsi="Times New Roman"/>
          <w:sz w:val="18"/>
          <w:szCs w:val="18"/>
          <w:color w:val="auto"/>
        </w:rPr>
        <w:t>The indenture governing the Secured Notes contains customary affirmative covenants and negative covenants applicable to us and our restricted subsidiaries, including, among other things, restrictions on indebtedness, liens, investments, mergers, dispositions, prepayment of junior indebtedness and dividends and other distributions. If Jazz Securities or our restricted subsidiaries engage in certain asset sales, Jazz Securities will be required under certain circumstances to make an offer to purchase the Secured Notes at 100% of the principal amount, plus accrued and unpaid interest, if any, to, but excluding, the repurchase date.</w:t>
      </w:r>
    </w:p>
    <w:p>
      <w:pPr>
        <w:spacing w:after="0" w:line="76" w:lineRule="exact"/>
        <w:rPr>
          <w:sz w:val="20"/>
          <w:szCs w:val="20"/>
          <w:color w:val="auto"/>
        </w:rPr>
      </w:pPr>
    </w:p>
    <w:p>
      <w:pPr>
        <w:ind w:right="1600" w:firstLine="439"/>
        <w:spacing w:after="0" w:line="369" w:lineRule="auto"/>
        <w:rPr>
          <w:sz w:val="20"/>
          <w:szCs w:val="20"/>
          <w:color w:val="auto"/>
        </w:rPr>
      </w:pPr>
      <w:r>
        <w:rPr>
          <w:rFonts w:ascii="Times New Roman" w:cs="Times New Roman" w:eastAsia="Times New Roman" w:hAnsi="Times New Roman"/>
          <w:sz w:val="18"/>
          <w:szCs w:val="18"/>
          <w:color w:val="auto"/>
        </w:rPr>
        <w:t xml:space="preserve">As of December 31, 2023, the interest rate and effective interest rate on the Secured Notes were 4.375% and 4.64%, respectively. </w:t>
      </w:r>
      <w:r>
        <w:rPr>
          <w:rFonts w:ascii="Times New Roman" w:cs="Times New Roman" w:eastAsia="Times New Roman" w:hAnsi="Times New Roman"/>
          <w:sz w:val="18"/>
          <w:szCs w:val="18"/>
          <w:b w:val="1"/>
          <w:bCs w:val="1"/>
          <w:color w:val="auto"/>
        </w:rPr>
        <w:t>Exchangeable Senior Notes</w:t>
      </w:r>
    </w:p>
    <w:p>
      <w:pPr>
        <w:ind w:right="40" w:firstLine="439"/>
        <w:spacing w:after="0" w:line="270" w:lineRule="auto"/>
        <w:rPr>
          <w:sz w:val="20"/>
          <w:szCs w:val="20"/>
          <w:color w:val="auto"/>
        </w:rPr>
      </w:pPr>
      <w:r>
        <w:rPr>
          <w:rFonts w:ascii="Times New Roman" w:cs="Times New Roman" w:eastAsia="Times New Roman" w:hAnsi="Times New Roman"/>
          <w:sz w:val="17"/>
          <w:szCs w:val="17"/>
          <w:i w:val="1"/>
          <w:iCs w:val="1"/>
          <w:color w:val="auto"/>
        </w:rPr>
        <w:t>2026 Notes</w:t>
      </w:r>
      <w:r>
        <w:rPr>
          <w:rFonts w:ascii="Times New Roman" w:cs="Times New Roman" w:eastAsia="Times New Roman" w:hAnsi="Times New Roman"/>
          <w:sz w:val="17"/>
          <w:szCs w:val="17"/>
          <w:color w:val="auto"/>
        </w:rPr>
        <w:t>. In the second quarter of 2020, Jazz Investments I Limited, our wholly owned subsidiary, completed a private placement of $1.0 billion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principal amount of the 2026 Notes. We used a portion of the net proceeds from this offering to repurchase for cash $332.9 million aggregate principal amount of the 1.875% exchangeable senior notes due 2021, or the 2021 Notes, through privately-negotiated transactions concurrently with the offering of the 2026 Notes. Interest on the 2026 Notes is payable semi-annually in cash in arrears on June 15 and December 15 of each year, beginning on December 15, 2020, at a rate of 2.00% per year. In certain circumstances, we may be required to pay additional amounts as a result of any applicable tax withholding or deductions required in respect of payments on the 2026 Notes. The 2026 Notes mature on June 15, 2026, unless earlier exchanged, repurchased or redeemed.</w:t>
      </w:r>
    </w:p>
    <w:p>
      <w:pPr>
        <w:spacing w:after="0" w:line="67" w:lineRule="exact"/>
        <w:rPr>
          <w:sz w:val="20"/>
          <w:szCs w:val="20"/>
          <w:color w:val="auto"/>
        </w:rPr>
      </w:pPr>
    </w:p>
    <w:p>
      <w:pPr>
        <w:jc w:val="both"/>
        <w:ind w:right="160" w:firstLine="439"/>
        <w:spacing w:after="0" w:line="261" w:lineRule="auto"/>
        <w:rPr>
          <w:sz w:val="20"/>
          <w:szCs w:val="20"/>
          <w:color w:val="auto"/>
        </w:rPr>
      </w:pPr>
      <w:r>
        <w:rPr>
          <w:rFonts w:ascii="Times New Roman" w:cs="Times New Roman" w:eastAsia="Times New Roman" w:hAnsi="Times New Roman"/>
          <w:sz w:val="18"/>
          <w:szCs w:val="18"/>
          <w:color w:val="auto"/>
        </w:rPr>
        <w:t>The holders of the 2026 Notes have the ability to require us to repurchase all or a portion of their 2026 Notes for cash in the event we undergo certain fundamental changes, such as specified change of control transactions, our liquidation or dissolution or the delisting of our ordinary shares from any of The New York Stock Exchange, The Nasdaq Global Market, The</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Nasdaq Global Select Market or The Nasdaq Capital Market (or any of their respective successors). Additionally, the terms and covenants in the indenture related to the 2026 Notes include certain events of default after which the 2026 Notes may be due and payable immediately. Prior to June 15, 2026, we may redeem the 2026 Notes, in whole but not in part, subject to compliance with certain conditions, if we have, or on the next interest payment date would, become obligated to pay to the holder of any 2026 Notes additional amounts as a result of certain tax-related events. We also may redeem the 2026 Notes on or after June 20, 2023 and prior to March 15, 2026, in whole or in part, if the last reported sale price per ordinary share has been at least 130% of the exchange price then in effect for at least 20 trading days (whether or not consecutive) during any 30 consecutive trading day period ending on, and including, the trading day immediately preceding the date on which we provide the notice of redemption.</w:t>
      </w:r>
    </w:p>
    <w:p>
      <w:pPr>
        <w:spacing w:after="0" w:line="82" w:lineRule="exact"/>
        <w:rPr>
          <w:sz w:val="20"/>
          <w:szCs w:val="20"/>
          <w:color w:val="auto"/>
        </w:rPr>
      </w:pPr>
    </w:p>
    <w:p>
      <w:pPr>
        <w:ind w:right="20" w:firstLine="439"/>
        <w:spacing w:after="0" w:line="250" w:lineRule="auto"/>
        <w:rPr>
          <w:sz w:val="20"/>
          <w:szCs w:val="20"/>
          <w:color w:val="auto"/>
        </w:rPr>
      </w:pPr>
      <w:r>
        <w:rPr>
          <w:rFonts w:ascii="Times New Roman" w:cs="Times New Roman" w:eastAsia="Times New Roman" w:hAnsi="Times New Roman"/>
          <w:sz w:val="18"/>
          <w:szCs w:val="18"/>
          <w:color w:val="auto"/>
        </w:rPr>
        <w:t>The 2026 Notes are exchangeable at an initial exchange rate of 6.4182 ordinary shares per $1,000 principal amount of 2026 Notes, which is equivalent to an initial exchange price of approximately $155.81 per ordinary share. Upon exchange, the 2026 Notes may be settled in cash, ordinary shares or a combination of cash and ordinary shares, at our election. Our intent and policy is to settle the principal amount of the 2026 Notes in cash upon exchange. The exchange rate will be subject to adjustment in some events but will not be adjusted for any accrued and unpaid interest. In addition, following certain make-whole fundamental changes occurring prior to the maturity date of the 2026 Notes or upon our issuance of a notice of redemption, we will in certain circumstances increase the exchange rate for holders of the 2026 Notes who elect to exchange their 2026 Notes in connection with that make-whole fundamental change or during the related redemption period. Prior to March 15, 2026, the 2026 Notes will be exchangeable only upon satisfaction of certain conditions and during certain periods, and thereafter, at any time until the close of business on the second scheduled trading day immediately preceding the maturity date.</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2024 Notes. </w:t>
      </w:r>
      <w:r>
        <w:rPr>
          <w:rFonts w:ascii="Times New Roman" w:cs="Times New Roman" w:eastAsia="Times New Roman" w:hAnsi="Times New Roman"/>
          <w:sz w:val="18"/>
          <w:szCs w:val="18"/>
          <w:color w:val="auto"/>
        </w:rPr>
        <w:t>In 2017, our wholly owned subsidiary Jazz Investments I Limited, completed a private placement of $575.0 million principal amount of</w:t>
      </w:r>
    </w:p>
    <w:p>
      <w:pPr>
        <w:spacing w:after="0" w:line="2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2024 Notes. We used the net proceeds from this offering to repay $500.0 million in outstanding loans under the revolving credit facility under the amended credit agreement and to pay related fees and expenses. We used the remainder of the net proceeds for general corporate purposes. The 2024 Notes are senior unsecured obligations of Jazz Investments I Limited and are fully and unconditionally guaranteed on a senior unsecured basis by Jazz Pharmaceuticals plc and will rank pari passu in right of payment with the existing 2021 Notes. Interest on the 2024 Notes is payable semi-annually in cash in arrears on February 15 and August 15 of each year, beginning on February 15, 2018, at a rate of 1.50% per year. In certain circumstances, we may be required to pay additional amounts as a result of any applicable tax withholding or deductions required in respect of payments on the 2024 Notes. The 2024 Notes mature on August 15, 2024, unless earlier exchanged, repurchased or redeemed.</w:t>
      </w:r>
    </w:p>
    <w:p>
      <w:pPr>
        <w:spacing w:after="0" w:line="81" w:lineRule="exact"/>
        <w:rPr>
          <w:sz w:val="20"/>
          <w:szCs w:val="20"/>
          <w:color w:val="auto"/>
        </w:rPr>
      </w:pPr>
    </w:p>
    <w:p>
      <w:pPr>
        <w:ind w:right="20" w:firstLine="439"/>
        <w:spacing w:after="0" w:line="251" w:lineRule="auto"/>
        <w:rPr>
          <w:sz w:val="20"/>
          <w:szCs w:val="20"/>
          <w:color w:val="auto"/>
        </w:rPr>
      </w:pPr>
      <w:r>
        <w:rPr>
          <w:rFonts w:ascii="Times New Roman" w:cs="Times New Roman" w:eastAsia="Times New Roman" w:hAnsi="Times New Roman"/>
          <w:sz w:val="18"/>
          <w:szCs w:val="18"/>
          <w:color w:val="auto"/>
        </w:rPr>
        <w:t>The holders of the 2024 Notes have the ability to require us to repurchase all or a portion of their 2024 Notes for cash in the event we undergo certain fundamental changes, such as specified change of control transactions, our liquidation or dissolution or the delisting of our ordinary shares from The Nasdaq Global Select Market. Prior to August 15, 2024, we may redeem the 2024 Notes, in whole but not in part, subject to compliance with certain conditions, if we have, or on the next interest payment date would, become obligated to pay to the holder of any 2024 Notes additional amounts as a result of certain tax-related events. We also may redeem the 2024 Notes on or after August 20, 2021, in whole or in part, if the last reported sale price per ordinary share has been at least 130% of the exchange price then in effect for at least 20 trading days (whether or not consecutive) during any 30 consecutive trading day period ending on, and including, the trading day immediately preceding the date on which we provide the notice of redemption.</w:t>
      </w:r>
    </w:p>
    <w:p>
      <w:pPr>
        <w:spacing w:after="0" w:line="82" w:lineRule="exact"/>
        <w:rPr>
          <w:sz w:val="20"/>
          <w:szCs w:val="20"/>
          <w:color w:val="auto"/>
        </w:rPr>
      </w:pPr>
    </w:p>
    <w:p>
      <w:pPr>
        <w:ind w:firstLine="439"/>
        <w:spacing w:after="0" w:line="250" w:lineRule="auto"/>
        <w:rPr>
          <w:sz w:val="20"/>
          <w:szCs w:val="20"/>
          <w:color w:val="auto"/>
        </w:rPr>
      </w:pPr>
      <w:r>
        <w:rPr>
          <w:rFonts w:ascii="Times New Roman" w:cs="Times New Roman" w:eastAsia="Times New Roman" w:hAnsi="Times New Roman"/>
          <w:sz w:val="18"/>
          <w:szCs w:val="18"/>
          <w:color w:val="auto"/>
        </w:rPr>
        <w:t>The 2024 Notes are exchangeable at an initial exchange rate of 4.5659 ordinary shares per $1,000 principal amount of 2024 Notes, which is equivalent to an initial exchange price of approximately $219.02 per ordinary share. In August 2023, we made an irrevocable election to fix the settlement method for exchanges of the 2024 Notes to a combination of cash and our ordinary shares with a specified cash amount per $1,000 principal amount of the 2024 Notes of $1,000. The exchange rate will be subject to adjustment in some events but will not be adjusted for any accrued and unpaid interest. In addition, following certain make-whole fundamental changes occurring prior to the maturity date of the 2024 Notes or upon our issuance of a notice of redemption, we will in certain circumstances increase the exchange rate for holders of the 2024 Notes who elect to exchange their 2024 Notes in connection with that make-whole fundamental change or during the related redemption period. Prior to May 15, 2024, the 2024 Notes will be exchangeable only upon satisfaction of certain conditions and during certain periods, and thereafter, at any time until the close of business on the second scheduled trading day immediately preceding the maturity date.</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14" w:lineRule="exact"/>
        <w:rPr>
          <w:sz w:val="20"/>
          <w:szCs w:val="20"/>
          <w:color w:val="auto"/>
        </w:rPr>
      </w:pPr>
    </w:p>
    <w:p>
      <w:pPr>
        <w:ind w:right="120" w:firstLine="439"/>
        <w:spacing w:after="0" w:line="217" w:lineRule="exact"/>
        <w:rPr>
          <w:sz w:val="20"/>
          <w:szCs w:val="20"/>
          <w:color w:val="auto"/>
        </w:rPr>
      </w:pPr>
      <w:r>
        <w:rPr>
          <w:rFonts w:ascii="Times New Roman" w:cs="Times New Roman" w:eastAsia="Times New Roman" w:hAnsi="Times New Roman"/>
          <w:sz w:val="17"/>
          <w:szCs w:val="17"/>
          <w:color w:val="auto"/>
        </w:rPr>
        <w:t>Our primary contractual obligations relate to our outstanding indebtedness, as described above. We also have obligations under lease agreements and third-party manufacturing agreements. For information relating to our scheduled maturities with respect to our long-term debt and our lease liabilities see Note 12 Debt and Note 13 Leases, respectively, and for information relating to our noncancelable purchase commitments due within one year see Note 14 Commitments and Contingencies, included in the Notes to Consolidated Financial Statements, included in Part IV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Our long-term noncancelable purchase commitments were $36.7 million at December 31, 2023, primarily related to agreements with third party manufactures.</w:t>
      </w:r>
    </w:p>
    <w:p>
      <w:pPr>
        <w:spacing w:after="0" w:line="88" w:lineRule="exact"/>
        <w:rPr>
          <w:sz w:val="20"/>
          <w:szCs w:val="20"/>
          <w:color w:val="auto"/>
        </w:rPr>
      </w:pPr>
    </w:p>
    <w:p>
      <w:pPr>
        <w:ind w:right="20" w:firstLine="439"/>
        <w:spacing w:after="0" w:line="267" w:lineRule="auto"/>
        <w:rPr>
          <w:sz w:val="20"/>
          <w:szCs w:val="20"/>
          <w:color w:val="auto"/>
        </w:rPr>
      </w:pPr>
      <w:r>
        <w:rPr>
          <w:rFonts w:ascii="Times New Roman" w:cs="Times New Roman" w:eastAsia="Times New Roman" w:hAnsi="Times New Roman"/>
          <w:sz w:val="17"/>
          <w:szCs w:val="17"/>
          <w:color w:val="auto"/>
        </w:rPr>
        <w:t>We also have potential future milestone payments or royalty obligations to third parties under asset purchase, product development, license and other agreements as the timing and likelihood of such milestone payments are not known, and, in the case of royalty obligations, as the amount of such obligations are not estimable. Our contingent obligations to third parties, in the form of development, regulatory and sales-based milestone payments, as of December 31, 2023 included $1,387.5 million under our license and collaboration agreement with Zymeworks, $1,255.0 million under our global license and collaboration agreement with Werewolf, $1,090.0 million under our license agreement with Sumitomo, $752.5 million under our license and collaboration agreement with Autifony, $681.0 million under our amended license agreement with PharmaMar, $595.0 million under asset purchase and collaboration agreements with Redx, $375.0 million under the asset purchase and exclusive license agreement with SpringWorks Therapeutics, Inc., $260.0 million in connection with our acquisition of Cavion, $155.5 million under our license agreement with Ligand, and $494.9 million related to other agreements.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Estimates</w:t>
      </w:r>
    </w:p>
    <w:p>
      <w:pPr>
        <w:spacing w:after="0" w:line="114" w:lineRule="exact"/>
        <w:rPr>
          <w:sz w:val="20"/>
          <w:szCs w:val="20"/>
          <w:color w:val="auto"/>
        </w:rPr>
      </w:pPr>
    </w:p>
    <w:p>
      <w:pPr>
        <w:ind w:right="20" w:firstLine="439"/>
        <w:spacing w:after="0" w:line="224" w:lineRule="exact"/>
        <w:rPr>
          <w:sz w:val="20"/>
          <w:szCs w:val="20"/>
          <w:color w:val="auto"/>
        </w:rPr>
      </w:pPr>
      <w:r>
        <w:rPr>
          <w:rFonts w:ascii="Times New Roman" w:cs="Times New Roman" w:eastAsia="Times New Roman" w:hAnsi="Times New Roman"/>
          <w:sz w:val="17"/>
          <w:szCs w:val="17"/>
          <w:color w:val="auto"/>
        </w:rPr>
        <w:t>A critical accounting policy is one that is both important to the portrayal of our financial condition and results of operations and requires management’s most difficult, subjective or complex judgments, often as a result of the need to make estimates about the effect of matters that are inherently uncertain. While our significant accounting policies are described in more detail in Note 2, Summary of Significant Accounting Policies, of the Notes to Consolidated Financial Statements included in Part IV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we believe the following accounting estimates and policies to be critical.</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6" w:lineRule="exact"/>
        <w:rPr>
          <w:sz w:val="20"/>
          <w:szCs w:val="20"/>
          <w:color w:val="auto"/>
        </w:rPr>
      </w:pPr>
    </w:p>
    <w:p>
      <w:pPr>
        <w:ind w:firstLine="439"/>
        <w:spacing w:after="0" w:line="276" w:lineRule="auto"/>
        <w:rPr>
          <w:sz w:val="20"/>
          <w:szCs w:val="20"/>
          <w:color w:val="auto"/>
        </w:rPr>
      </w:pPr>
      <w:r>
        <w:rPr>
          <w:rFonts w:ascii="Times New Roman" w:cs="Times New Roman" w:eastAsia="Times New Roman" w:hAnsi="Times New Roman"/>
          <w:sz w:val="18"/>
          <w:szCs w:val="18"/>
          <w:color w:val="auto"/>
        </w:rPr>
        <w:t>Revenues are recognized when control of the promised goods or services is transferred to our customers, in an amount that reflects the consideration we expect to be entitled to in exchange for those goods or services.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 Net</w:t>
      </w:r>
    </w:p>
    <w:p>
      <w:pPr>
        <w:spacing w:after="0" w:line="114" w:lineRule="exact"/>
        <w:rPr>
          <w:sz w:val="20"/>
          <w:szCs w:val="20"/>
          <w:color w:val="auto"/>
        </w:rPr>
      </w:pPr>
    </w:p>
    <w:p>
      <w:pPr>
        <w:jc w:val="both"/>
        <w:ind w:right="140" w:firstLine="439"/>
        <w:spacing w:after="0" w:line="261" w:lineRule="auto"/>
        <w:rPr>
          <w:sz w:val="20"/>
          <w:szCs w:val="20"/>
          <w:color w:val="auto"/>
        </w:rPr>
      </w:pPr>
      <w:r>
        <w:rPr>
          <w:rFonts w:ascii="Times New Roman" w:cs="Times New Roman" w:eastAsia="Times New Roman" w:hAnsi="Times New Roman"/>
          <w:sz w:val="18"/>
          <w:szCs w:val="18"/>
          <w:color w:val="auto"/>
        </w:rPr>
        <w:t>Product sales revenue is recognized when control has transferred to the customer, which occurs at a point in time, which is typically on delivery to the customer or, in the case of products that are subject to consignment agreements, when the customer removes product from our consigned inventory location for shipment directly to a patient.</w:t>
      </w:r>
    </w:p>
    <w:p>
      <w:pPr>
        <w:spacing w:after="0" w:line="68" w:lineRule="exact"/>
        <w:rPr>
          <w:sz w:val="20"/>
          <w:szCs w:val="20"/>
          <w:color w:val="auto"/>
        </w:rPr>
      </w:pPr>
    </w:p>
    <w:p>
      <w:pPr>
        <w:ind w:right="40" w:firstLine="439"/>
        <w:spacing w:after="0" w:line="269" w:lineRule="auto"/>
        <w:rPr>
          <w:sz w:val="20"/>
          <w:szCs w:val="20"/>
          <w:color w:val="auto"/>
        </w:rPr>
      </w:pPr>
      <w:r>
        <w:rPr>
          <w:rFonts w:ascii="Times New Roman" w:cs="Times New Roman" w:eastAsia="Times New Roman" w:hAnsi="Times New Roman"/>
          <w:sz w:val="17"/>
          <w:szCs w:val="17"/>
          <w:i w:val="1"/>
          <w:iCs w:val="1"/>
          <w:color w:val="auto"/>
        </w:rPr>
        <w:t>Items Deducted from Gross Product Sales</w:t>
      </w:r>
      <w:r>
        <w:rPr>
          <w:rFonts w:ascii="Times New Roman" w:cs="Times New Roman" w:eastAsia="Times New Roman" w:hAnsi="Times New Roman"/>
          <w:sz w:val="17"/>
          <w:szCs w:val="17"/>
          <w:color w:val="auto"/>
        </w:rPr>
        <w:t>. Revenues from sales of products are recorded net of government rebates and rebates under managed care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plans and commercial payor contracts, estimated allowances for sales returns, government chargebacks, prompt payment discounts, patient coupon programs, and specialty distributor and wholesaler fees. Calculating certain of these items involves estimates and judgments based on sales or invoice data, contractual terms, historical utilization rates, new information regarding changes in applicable regulations and guidelines that would impact the amount of the actual rebates, our expectations regarding future utilization rates and channel inventory data. We review the adequacy of our provisions for sales deductions on a quarterly basis. Amounts accrued for sales deductions are adjusted when trends or significant events indicate that adjustment is appropriate and to reflect actual experience. The most significant items deducted from gross product sales where we exercise judgment are rebates, sales returns and chargebacks.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the activity and ending balances for our sales-related accruals and allowances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Rebates Payable</w:t>
            </w:r>
          </w:p>
        </w:tc>
        <w:tc>
          <w:tcPr>
            <w:tcW w:w="18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Sales Returns</w:t>
            </w:r>
          </w:p>
        </w:tc>
        <w:tc>
          <w:tcPr>
            <w:tcW w:w="200" w:type="dxa"/>
            <w:vAlign w:val="bottom"/>
          </w:tcPr>
          <w:p>
            <w:pPr>
              <w:spacing w:after="0"/>
              <w:rPr>
                <w:sz w:val="13"/>
                <w:szCs w:val="13"/>
                <w:color w:val="auto"/>
              </w:rPr>
            </w:pPr>
          </w:p>
        </w:tc>
        <w:tc>
          <w:tcPr>
            <w:tcW w:w="12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Chargebacks</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Discounts and</w:t>
            </w:r>
          </w:p>
        </w:tc>
        <w:tc>
          <w:tcPr>
            <w:tcW w:w="300" w:type="dxa"/>
            <w:vAlign w:val="bottom"/>
          </w:tcPr>
          <w:p>
            <w:pPr>
              <w:spacing w:after="0"/>
              <w:rPr>
                <w:sz w:val="13"/>
                <w:szCs w:val="13"/>
                <w:color w:val="auto"/>
              </w:rPr>
            </w:pPr>
          </w:p>
        </w:tc>
        <w:tc>
          <w:tcPr>
            <w:tcW w:w="106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Distributor Fees</w:t>
            </w: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110,885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16,793</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151,339</w:t>
            </w:r>
          </w:p>
        </w:tc>
        <w:tc>
          <w:tcPr>
            <w:tcW w:w="0" w:type="dxa"/>
            <w:vAlign w:val="bottom"/>
          </w:tcPr>
          <w:p>
            <w:pPr>
              <w:spacing w:after="0"/>
              <w:rPr>
                <w:sz w:val="1"/>
                <w:szCs w:val="1"/>
                <w:color w:val="auto"/>
              </w:rPr>
            </w:pPr>
          </w:p>
        </w:tc>
      </w:tr>
      <w:tr>
        <w:trPr>
          <w:trHeight w:val="226"/>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GW Acquisition</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58,459</w:t>
            </w:r>
          </w:p>
        </w:tc>
        <w:tc>
          <w:tcPr>
            <w:tcW w:w="0" w:type="dxa"/>
            <w:vAlign w:val="bottom"/>
          </w:tcPr>
          <w:p>
            <w:pPr>
              <w:spacing w:after="0"/>
              <w:rPr>
                <w:sz w:val="1"/>
                <w:szCs w:val="1"/>
                <w:color w:val="auto"/>
              </w:rPr>
            </w:pPr>
          </w:p>
        </w:tc>
      </w:tr>
      <w:tr>
        <w:trPr>
          <w:trHeight w:val="22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net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656,295</w:t>
            </w:r>
          </w:p>
        </w:tc>
        <w:tc>
          <w:tcPr>
            <w:tcW w:w="0" w:type="dxa"/>
            <w:vAlign w:val="bottom"/>
          </w:tcPr>
          <w:p>
            <w:pPr>
              <w:spacing w:after="0"/>
              <w:rPr>
                <w:sz w:val="1"/>
                <w:szCs w:val="1"/>
                <w:color w:val="auto"/>
              </w:rPr>
            </w:pPr>
          </w:p>
        </w:tc>
      </w:tr>
      <w:tr>
        <w:trPr>
          <w:trHeight w:val="226"/>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Payments/credits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(409,818)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(86,651)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(124,104)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(621,367)</w:t>
            </w:r>
          </w:p>
        </w:tc>
        <w:tc>
          <w:tcPr>
            <w:tcW w:w="0" w:type="dxa"/>
            <w:vAlign w:val="bottom"/>
          </w:tcPr>
          <w:p>
            <w:pPr>
              <w:spacing w:after="0"/>
              <w:rPr>
                <w:sz w:val="1"/>
                <w:szCs w:val="1"/>
                <w:color w:val="auto"/>
              </w:rPr>
            </w:pPr>
          </w:p>
        </w:tc>
      </w:tr>
      <w:tr>
        <w:trPr>
          <w:trHeight w:val="22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244,726</w:t>
            </w:r>
          </w:p>
        </w:tc>
        <w:tc>
          <w:tcPr>
            <w:tcW w:w="0" w:type="dxa"/>
            <w:vAlign w:val="bottom"/>
          </w:tcPr>
          <w:p>
            <w:pPr>
              <w:spacing w:after="0"/>
              <w:rPr>
                <w:sz w:val="1"/>
                <w:szCs w:val="1"/>
                <w:color w:val="auto"/>
              </w:rPr>
            </w:pPr>
          </w:p>
        </w:tc>
      </w:tr>
      <w:tr>
        <w:trPr>
          <w:trHeight w:val="226"/>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net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630,295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186,609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965,980</w:t>
            </w:r>
          </w:p>
        </w:tc>
        <w:tc>
          <w:tcPr>
            <w:tcW w:w="0" w:type="dxa"/>
            <w:vAlign w:val="bottom"/>
          </w:tcPr>
          <w:p>
            <w:pPr>
              <w:spacing w:after="0"/>
              <w:rPr>
                <w:sz w:val="1"/>
                <w:szCs w:val="1"/>
                <w:color w:val="auto"/>
              </w:rPr>
            </w:pPr>
          </w:p>
        </w:tc>
      </w:tr>
      <w:tr>
        <w:trPr>
          <w:trHeight w:val="22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Payments/credits</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(528,209)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(132,622)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(190,062)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(853,765)</w:t>
            </w:r>
          </w:p>
        </w:tc>
        <w:tc>
          <w:tcPr>
            <w:tcW w:w="0" w:type="dxa"/>
            <w:vAlign w:val="bottom"/>
          </w:tcPr>
          <w:p>
            <w:pPr>
              <w:spacing w:after="0"/>
              <w:rPr>
                <w:sz w:val="1"/>
                <w:szCs w:val="1"/>
                <w:color w:val="auto"/>
              </w:rPr>
            </w:pPr>
          </w:p>
        </w:tc>
      </w:tr>
      <w:tr>
        <w:trPr>
          <w:trHeight w:val="22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356,941</w:t>
            </w:r>
          </w:p>
        </w:tc>
        <w:tc>
          <w:tcPr>
            <w:tcW w:w="0" w:type="dxa"/>
            <w:vAlign w:val="bottom"/>
          </w:tcPr>
          <w:p>
            <w:pPr>
              <w:spacing w:after="0"/>
              <w:rPr>
                <w:sz w:val="1"/>
                <w:szCs w:val="1"/>
                <w:color w:val="auto"/>
              </w:rPr>
            </w:pPr>
          </w:p>
        </w:tc>
      </w:tr>
      <w:tr>
        <w:trPr>
          <w:trHeight w:val="22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net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651,209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1,019,268</w:t>
            </w:r>
          </w:p>
        </w:tc>
        <w:tc>
          <w:tcPr>
            <w:tcW w:w="0" w:type="dxa"/>
            <w:vAlign w:val="bottom"/>
          </w:tcPr>
          <w:p>
            <w:pPr>
              <w:spacing w:after="0"/>
              <w:rPr>
                <w:sz w:val="1"/>
                <w:szCs w:val="1"/>
                <w:color w:val="auto"/>
              </w:rPr>
            </w:pPr>
          </w:p>
        </w:tc>
      </w:tr>
      <w:tr>
        <w:trPr>
          <w:trHeight w:val="226"/>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Payments/credits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(640,566)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(185,575)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(174,814)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(1,009,169)</w:t>
            </w:r>
          </w:p>
        </w:tc>
        <w:tc>
          <w:tcPr>
            <w:tcW w:w="0" w:type="dxa"/>
            <w:vAlign w:val="bottom"/>
          </w:tcPr>
          <w:p>
            <w:pPr>
              <w:spacing w:after="0"/>
              <w:rPr>
                <w:sz w:val="1"/>
                <w:szCs w:val="1"/>
                <w:color w:val="auto"/>
              </w:rPr>
            </w:pPr>
          </w:p>
        </w:tc>
      </w:tr>
      <w:tr>
        <w:trPr>
          <w:trHeight w:val="245"/>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308,444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367,040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right="80" w:firstLine="439"/>
        <w:spacing w:after="0" w:line="261" w:lineRule="auto"/>
        <w:rPr>
          <w:sz w:val="20"/>
          <w:szCs w:val="20"/>
          <w:color w:val="auto"/>
        </w:rPr>
      </w:pPr>
      <w:r>
        <w:rPr>
          <w:rFonts w:ascii="Times New Roman" w:cs="Times New Roman" w:eastAsia="Times New Roman" w:hAnsi="Times New Roman"/>
          <w:sz w:val="18"/>
          <w:szCs w:val="18"/>
          <w:color w:val="auto"/>
        </w:rPr>
        <w:t>Total items deducted from gross product sales were $1,019.3 million, $966.0 million and $656.3 million, or 21.4%, 21.0% and 17.6% as a percentage of gross product sales, in 2023, 2022 and 2021, respectively. Included in these amounts are immaterial adjustments related to prior-year sales due to changes in estimates.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Rebates</w:t>
      </w:r>
    </w:p>
    <w:p>
      <w:pPr>
        <w:spacing w:after="0" w:line="114" w:lineRule="exact"/>
        <w:rPr>
          <w:sz w:val="20"/>
          <w:szCs w:val="20"/>
          <w:color w:val="auto"/>
        </w:rPr>
      </w:pPr>
    </w:p>
    <w:p>
      <w:pPr>
        <w:ind w:firstLine="439"/>
        <w:spacing w:after="0" w:line="249" w:lineRule="auto"/>
        <w:rPr>
          <w:sz w:val="20"/>
          <w:szCs w:val="20"/>
          <w:color w:val="auto"/>
        </w:rPr>
      </w:pPr>
      <w:r>
        <w:rPr>
          <w:rFonts w:ascii="Times New Roman" w:cs="Times New Roman" w:eastAsia="Times New Roman" w:hAnsi="Times New Roman"/>
          <w:sz w:val="18"/>
          <w:szCs w:val="18"/>
          <w:color w:val="auto"/>
        </w:rPr>
        <w:t>We are subject to rebates on sales made under governmental and managed-care pricing programs and commercial payor contracts in the U.S. The largest of these rebates is associated with sales covered by Medicaid. We participate in state government-managed Medicaid programs as well as certain other qualifying federal and state government programs under the terms of which discounts and rebates are provided to participating government entities. We offer rebates and discounts to managed health care organizations and commercial payors in the U.S. In estimating our provisions for rebates, we consider relevant statutes with respect to governmental pricing programs and contractual sales terms with managed-care providers, commercial payors and group purchasing organizations. We estimate the rebate provision based on historical utilization rates, historical payment experience, new information regarding changes in regulations and guidelines that would impact the amount of the actual rebates, our expectations regarding future utilization rates and channel inventory data obtained from our major distributors in accordance with our inventory management agreements. Estimating these rebates is complex, in part due to the time delay between the date of sale and the actual settlement of the liability. We believe that the methodology we use to estimate rebates on product sales made under governmental and managed-care pricing programs is reasonable and appropriate given current facts and circumstances. However, estimates may vary from actual experience.</w:t>
      </w:r>
    </w:p>
    <w:p>
      <w:pPr>
        <w:spacing w:after="0" w:line="87" w:lineRule="exact"/>
        <w:rPr>
          <w:sz w:val="20"/>
          <w:szCs w:val="20"/>
          <w:color w:val="auto"/>
        </w:rPr>
      </w:pPr>
    </w:p>
    <w:p>
      <w:pPr>
        <w:jc w:val="both"/>
        <w:ind w:right="20" w:firstLine="439"/>
        <w:spacing w:after="0" w:line="269" w:lineRule="auto"/>
        <w:rPr>
          <w:sz w:val="20"/>
          <w:szCs w:val="20"/>
          <w:color w:val="auto"/>
        </w:rPr>
      </w:pPr>
      <w:r>
        <w:rPr>
          <w:rFonts w:ascii="Times New Roman" w:cs="Times New Roman" w:eastAsia="Times New Roman" w:hAnsi="Times New Roman"/>
          <w:sz w:val="17"/>
          <w:szCs w:val="17"/>
          <w:color w:val="auto"/>
        </w:rPr>
        <w:t>Rebates were $651.2 million, $630.3 million and $440.8 million, or 13.7%, 13.7% and 11.8% as a percentage of gross product sales, in 2023, 2022 and 2021, respectively. Rebates as a percentage of gross product sales in 2023 were in line with 2022. Rebates as a percentage of gross product sales increased in 2022 compared to 2021, primarily due to the entry into additional contracts with commercial payors and a full year of Epidiolex in our product portfolio.</w:t>
      </w:r>
    </w:p>
    <w:p>
      <w:pPr>
        <w:spacing w:after="0" w:line="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Rebates as a percentage of gross product sales are expected to increase in 2024 compared to 2023, primarily due to rebate rate increases and new government rebates.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returns</w:t>
      </w:r>
    </w:p>
    <w:p>
      <w:pPr>
        <w:spacing w:after="0" w:line="114" w:lineRule="exact"/>
        <w:rPr>
          <w:sz w:val="20"/>
          <w:szCs w:val="20"/>
          <w:color w:val="auto"/>
        </w:rPr>
      </w:pPr>
    </w:p>
    <w:p>
      <w:pPr>
        <w:ind w:right="100" w:firstLine="439"/>
        <w:spacing w:after="0" w:line="254" w:lineRule="auto"/>
        <w:rPr>
          <w:sz w:val="20"/>
          <w:szCs w:val="20"/>
          <w:color w:val="auto"/>
        </w:rPr>
      </w:pPr>
      <w:r>
        <w:rPr>
          <w:rFonts w:ascii="Times New Roman" w:cs="Times New Roman" w:eastAsia="Times New Roman" w:hAnsi="Times New Roman"/>
          <w:sz w:val="18"/>
          <w:szCs w:val="18"/>
          <w:color w:val="auto"/>
        </w:rPr>
        <w:t>For certain products, we allow customers to return product within a specified period before and after the applicable expiration date and issue credits which may be applied against existing or future invoices. We account for sales returns as a reduction in net revenue at the time a sale is recognized by establishing an accrual in an amount equal to the estimated value of products expected to be returned. The sales return accrual is estimated principally based on historical experience, the level and estimated shelf life of inventory in the distribution channel, our return policy and expected market events including generic competition.</w:t>
      </w:r>
    </w:p>
    <w:p>
      <w:pPr>
        <w:spacing w:after="0" w:line="76" w:lineRule="exact"/>
        <w:rPr>
          <w:sz w:val="20"/>
          <w:szCs w:val="20"/>
          <w:color w:val="auto"/>
        </w:rPr>
      </w:pPr>
    </w:p>
    <w:p>
      <w:pPr>
        <w:ind w:right="180" w:firstLine="439"/>
        <w:spacing w:after="0" w:line="276" w:lineRule="auto"/>
        <w:rPr>
          <w:sz w:val="20"/>
          <w:szCs w:val="20"/>
          <w:color w:val="auto"/>
        </w:rPr>
      </w:pPr>
      <w:r>
        <w:rPr>
          <w:rFonts w:ascii="Times New Roman" w:cs="Times New Roman" w:eastAsia="Times New Roman" w:hAnsi="Times New Roman"/>
          <w:sz w:val="18"/>
          <w:szCs w:val="18"/>
          <w:color w:val="auto"/>
        </w:rPr>
        <w:t>Sales returns were $2.5 million, $13.2 million and $(1.8) million, or 0.1%, 0.3% and (0.1)% as a percentage of gross product sales in 2023, 2022 and 2021, respectively. Sales returns as a percentage of gross product sales are not expected to change materially in 2024 compared to 2023.</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Chargebacks</w:t>
      </w:r>
    </w:p>
    <w:p>
      <w:pPr>
        <w:spacing w:after="0" w:line="114" w:lineRule="exact"/>
        <w:rPr>
          <w:sz w:val="20"/>
          <w:szCs w:val="20"/>
          <w:color w:val="auto"/>
        </w:rPr>
      </w:pPr>
    </w:p>
    <w:p>
      <w:pPr>
        <w:ind w:right="320" w:firstLine="439"/>
        <w:spacing w:after="0" w:line="276" w:lineRule="auto"/>
        <w:rPr>
          <w:sz w:val="20"/>
          <w:szCs w:val="20"/>
          <w:color w:val="auto"/>
        </w:rPr>
      </w:pPr>
      <w:r>
        <w:rPr>
          <w:rFonts w:ascii="Times New Roman" w:cs="Times New Roman" w:eastAsia="Times New Roman" w:hAnsi="Times New Roman"/>
          <w:sz w:val="18"/>
          <w:szCs w:val="18"/>
          <w:color w:val="auto"/>
        </w:rPr>
        <w:t>We participate in chargeback programs with a number of entities, principally Federal Supply Schedule, Group Purchasing Organizations, and other public parties, under which pricing on products below wholesalers’ list prices is provided to</w:t>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participating entities. These entities purchase product through wholesalers at the contract price and the wholesalers charge back to us the difference between their acquisition cost and the lower negotiated price. We record the difference as allowances against accounts receivable. We determine our estimate of the chargebacks provision primarily based on historical experience on a product and program basis, current contract prices under the chargeback programs and channel inventory data.</w:t>
      </w:r>
    </w:p>
    <w:p>
      <w:pPr>
        <w:spacing w:after="0" w:line="75" w:lineRule="exact"/>
        <w:rPr>
          <w:sz w:val="20"/>
          <w:szCs w:val="20"/>
          <w:color w:val="auto"/>
        </w:rPr>
      </w:pPr>
    </w:p>
    <w:p>
      <w:pPr>
        <w:ind w:right="60" w:firstLine="439"/>
        <w:spacing w:after="0" w:line="276" w:lineRule="auto"/>
        <w:rPr>
          <w:sz w:val="20"/>
          <w:szCs w:val="20"/>
          <w:color w:val="auto"/>
        </w:rPr>
      </w:pPr>
      <w:r>
        <w:rPr>
          <w:rFonts w:ascii="Times New Roman" w:cs="Times New Roman" w:eastAsia="Times New Roman" w:hAnsi="Times New Roman"/>
          <w:sz w:val="17"/>
          <w:szCs w:val="17"/>
          <w:color w:val="auto"/>
        </w:rPr>
        <w:t>Chargebacks were $185.9 million, $135.9 million and $91.4 million, or 3.9%, 2.9% and 2.4% as a percentage of gross product sales in 2023, 2022 and 2021, respectively. Chargebacks as a percentage of gross product sales increased in 2023 compared to 2022 primarily due to higher chargeback utilization. Chargebacks as a percentage of gross product sales increased in 2022 compared to 2021 primarily due to higher chargeback utilization and a full year of Epidiolex in our product portfolio. Chargebacks as a percentage of gross product sales are not expected to change materially in 2024 compared to 2023.</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Discounts and distributor fees</w:t>
      </w:r>
    </w:p>
    <w:p>
      <w:pPr>
        <w:spacing w:after="0" w:line="114" w:lineRule="exact"/>
        <w:rPr>
          <w:sz w:val="20"/>
          <w:szCs w:val="20"/>
          <w:color w:val="auto"/>
        </w:rPr>
      </w:pPr>
    </w:p>
    <w:p>
      <w:pPr>
        <w:ind w:right="100" w:firstLine="439"/>
        <w:spacing w:after="0" w:line="251" w:lineRule="auto"/>
        <w:rPr>
          <w:sz w:val="20"/>
          <w:szCs w:val="20"/>
          <w:color w:val="auto"/>
        </w:rPr>
      </w:pPr>
      <w:r>
        <w:rPr>
          <w:rFonts w:ascii="Times New Roman" w:cs="Times New Roman" w:eastAsia="Times New Roman" w:hAnsi="Times New Roman"/>
          <w:sz w:val="18"/>
          <w:szCs w:val="18"/>
          <w:color w:val="auto"/>
        </w:rPr>
        <w:t>Discounts and distributor fees comprise prompt payment discounts, patient coupon programs and specialty distributor and wholesaler fees. We offer customers a cash discount on gross product sales as an incentive for prompt payment. We estimate provisions for prompt pay discounts based on contractual sales terms with customers and historical payment experience. To help patients afford our products, we have various programs to assist them, including patient assistance programs, a free product voucher program and co-pay coupon programs for certain products. We estimate provisions for these programs primarily based on expected program utilization, adjusted as necessary to reflect our actual experience on a product and program basis. Specialty distributor and wholesaler fees comprise fees for distribution of our products. We estimate provisions for distributor and wholesaler fees primarily based on sales volumes and contractual terms with our distributors.</w:t>
      </w:r>
    </w:p>
    <w:p>
      <w:pPr>
        <w:spacing w:after="0" w:line="82" w:lineRule="exact"/>
        <w:rPr>
          <w:sz w:val="20"/>
          <w:szCs w:val="20"/>
          <w:color w:val="auto"/>
        </w:rPr>
      </w:pPr>
    </w:p>
    <w:p>
      <w:pPr>
        <w:ind w:right="40" w:firstLine="439"/>
        <w:spacing w:after="0" w:line="256" w:lineRule="auto"/>
        <w:rPr>
          <w:sz w:val="20"/>
          <w:szCs w:val="20"/>
          <w:color w:val="auto"/>
        </w:rPr>
      </w:pPr>
      <w:r>
        <w:rPr>
          <w:rFonts w:ascii="Times New Roman" w:cs="Times New Roman" w:eastAsia="Times New Roman" w:hAnsi="Times New Roman"/>
          <w:sz w:val="18"/>
          <w:szCs w:val="18"/>
          <w:color w:val="auto"/>
        </w:rPr>
        <w:t>Discounts and distributor fees were $179.7 million, $186.6 million and $125.9 million, or 3.8%, 4.1% and 3.4% as a percentage of gross product sales in 2023, 2022 and 2021, respectively. Discounts and distributor fees as a percentage of gross product sales in 2023 were broadly in line with 2022. Discounts and distributor fees as a percentage of gross product sales increased in 2022 compared to 2021, primarily due to a full year of Epidiolex in our product portfolio. Discounts and distributor fees as a percentage of gross product sales are not expected to change materially in 2024 compared to 2023.</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and Valuation of Intangibles</w:t>
      </w:r>
    </w:p>
    <w:p>
      <w:pPr>
        <w:spacing w:after="0" w:line="116" w:lineRule="exact"/>
        <w:rPr>
          <w:sz w:val="20"/>
          <w:szCs w:val="20"/>
          <w:color w:val="auto"/>
        </w:rPr>
      </w:pPr>
    </w:p>
    <w:p>
      <w:pPr>
        <w:ind w:right="80" w:firstLine="439"/>
        <w:spacing w:after="0" w:line="254" w:lineRule="auto"/>
        <w:rPr>
          <w:sz w:val="20"/>
          <w:szCs w:val="20"/>
          <w:color w:val="auto"/>
        </w:rPr>
      </w:pPr>
      <w:r>
        <w:rPr>
          <w:rFonts w:ascii="Times New Roman" w:cs="Times New Roman" w:eastAsia="Times New Roman" w:hAnsi="Times New Roman"/>
          <w:sz w:val="18"/>
          <w:szCs w:val="18"/>
          <w:color w:val="auto"/>
        </w:rPr>
        <w:t>We make certain judgments to determine whether transactions should be accounted for as acquisitions of assets or as business combinations. If it is determined that substantially all of the fair value of gross assets acquired in a transaction is concentrated in a single asset (or a group of similar assets), the transaction is treated as an acquisition of assets. We evaluate the inputs, processes, and outputs associated with the acquired set of activities. If the assets in a transaction include an input and a substantive process that together significantly contribute to the ability to create outputs, the transaction is treated as an acquisition of a business.</w:t>
      </w:r>
    </w:p>
    <w:p>
      <w:pPr>
        <w:spacing w:after="0" w:line="76" w:lineRule="exact"/>
        <w:rPr>
          <w:sz w:val="20"/>
          <w:szCs w:val="20"/>
          <w:color w:val="auto"/>
        </w:rPr>
      </w:pPr>
    </w:p>
    <w:p>
      <w:pPr>
        <w:ind w:firstLine="439"/>
        <w:spacing w:after="0" w:line="249" w:lineRule="auto"/>
        <w:rPr>
          <w:sz w:val="20"/>
          <w:szCs w:val="20"/>
          <w:color w:val="auto"/>
        </w:rPr>
      </w:pPr>
      <w:r>
        <w:rPr>
          <w:rFonts w:ascii="Times New Roman" w:cs="Times New Roman" w:eastAsia="Times New Roman" w:hAnsi="Times New Roman"/>
          <w:sz w:val="18"/>
          <w:szCs w:val="18"/>
          <w:color w:val="auto"/>
        </w:rPr>
        <w:t>We account for business combinations using the acquisition method of accounting, which requires that assets acquired and liabilities assumed generally be recorded at their fair values as of the acquisition date. Goodwill represents the excess of the acquisition consideration over the fair value of assets acquired and liabilities assumed. We test goodwill for impairment annually in October and when events or changes in circumstances indicate that the carrying value may not be recoverable. We have determined that we operate in a single segment and have a single reporting unit associated with the development and commercialization of pharmaceutical products. In performing the annual impairment test, the fair value of the reporting unit is compared to its corresponding carrying value, including goodwill. If the carrying value exceeds the fair value of the reporting unit an impairment loss will be recognized for the amount by which the reporting unit’s carrying amount exceeds its fair value, not to exceed the carrying amount of goodwill. We have determined the fair value of our single reporting unit to be equal to our market capitalization, as determined by our traded share price, plus a control premium. The control premium used was based on a review of such premiums identified in recent acquisitions of companies of similar size and in similar industries. We performed our annual goodwill impairment test in October 2023 and concluded that goodwill was not impaired as the fair value of the reporting unit significantly exceeded its carrying amount, including goodwill. As of December 31, 2023, we had $1.8 billion of goodwill resulting from acquisitions accounted for as business combinations.</w:t>
      </w:r>
    </w:p>
    <w:p>
      <w:pPr>
        <w:spacing w:after="0" w:line="85" w:lineRule="exact"/>
        <w:rPr>
          <w:sz w:val="20"/>
          <w:szCs w:val="20"/>
          <w:color w:val="auto"/>
        </w:rPr>
      </w:pPr>
    </w:p>
    <w:p>
      <w:pPr>
        <w:jc w:val="both"/>
        <w:ind w:right="220" w:firstLine="439"/>
        <w:spacing w:after="0" w:line="256" w:lineRule="auto"/>
        <w:rPr>
          <w:sz w:val="20"/>
          <w:szCs w:val="20"/>
          <w:color w:val="auto"/>
        </w:rPr>
      </w:pPr>
      <w:r>
        <w:rPr>
          <w:rFonts w:ascii="Times New Roman" w:cs="Times New Roman" w:eastAsia="Times New Roman" w:hAnsi="Times New Roman"/>
          <w:sz w:val="18"/>
          <w:szCs w:val="18"/>
          <w:color w:val="auto"/>
        </w:rPr>
        <w:t>In transactions accounted for as acquisitions of assets, no goodwill is recorded and contingent consideration such as payments upon achievement of various developmental, regulatory and commercial milestones generally is not recognized at the acquisition date. In an asset acquisition, upfront payments allocated to IPR&amp;D projects at the acquisition date are expensed unless there is an alternative future use. In addition, product development milestones are expensed upon achievement.</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Intangible Assets</w:t>
      </w:r>
    </w:p>
    <w:p>
      <w:pPr>
        <w:spacing w:after="0" w:line="114" w:lineRule="exact"/>
        <w:rPr>
          <w:sz w:val="20"/>
          <w:szCs w:val="20"/>
          <w:color w:val="auto"/>
        </w:rPr>
      </w:pPr>
    </w:p>
    <w:p>
      <w:pPr>
        <w:ind w:right="40" w:firstLine="439"/>
        <w:spacing w:after="0" w:line="256" w:lineRule="auto"/>
        <w:rPr>
          <w:sz w:val="20"/>
          <w:szCs w:val="20"/>
          <w:color w:val="auto"/>
        </w:rPr>
      </w:pPr>
      <w:r>
        <w:rPr>
          <w:rFonts w:ascii="Times New Roman" w:cs="Times New Roman" w:eastAsia="Times New Roman" w:hAnsi="Times New Roman"/>
          <w:sz w:val="18"/>
          <w:szCs w:val="18"/>
          <w:color w:val="auto"/>
        </w:rPr>
        <w:t>We have acquired, and expect to continue to acquire, intangible assets through asset acquisitions or business combinations. When significant identifiable intangible assets are acquired, we engage an independent third party valuation firm to assist in determining the fair values of these assets as of the acquisition date. Discounted cash flow models are typically used in these valuations, which require the use of significant estimates and assumptions, including but not limited to:</w:t>
      </w:r>
    </w:p>
    <w:p>
      <w:pPr>
        <w:spacing w:after="0" w:line="75" w:lineRule="exact"/>
        <w:rPr>
          <w:sz w:val="20"/>
          <w:szCs w:val="20"/>
          <w:color w:val="auto"/>
        </w:rPr>
      </w:pPr>
    </w:p>
    <w:p>
      <w:pPr>
        <w:ind w:left="560" w:hanging="314"/>
        <w:spacing w:after="0"/>
        <w:tabs>
          <w:tab w:leader="none" w:pos="5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estimating the timing of and expected costs to complete the in-process projects;</w:t>
      </w:r>
    </w:p>
    <w:p>
      <w:pPr>
        <w:spacing w:after="0" w:line="112" w:lineRule="exact"/>
        <w:rPr>
          <w:rFonts w:ascii="Times New Roman" w:cs="Times New Roman" w:eastAsia="Times New Roman" w:hAnsi="Times New Roman"/>
          <w:sz w:val="18"/>
          <w:szCs w:val="18"/>
          <w:color w:val="auto"/>
        </w:rPr>
      </w:pPr>
    </w:p>
    <w:p>
      <w:pPr>
        <w:ind w:left="560" w:hanging="314"/>
        <w:spacing w:after="0"/>
        <w:tabs>
          <w:tab w:leader="none" w:pos="5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projecting regulatory approvals;</w:t>
      </w:r>
    </w:p>
    <w:p>
      <w:pPr>
        <w:spacing w:after="0" w:line="112" w:lineRule="exact"/>
        <w:rPr>
          <w:rFonts w:ascii="Times New Roman" w:cs="Times New Roman" w:eastAsia="Times New Roman" w:hAnsi="Times New Roman"/>
          <w:sz w:val="18"/>
          <w:szCs w:val="18"/>
          <w:color w:val="auto"/>
        </w:rPr>
      </w:pPr>
    </w:p>
    <w:p>
      <w:pPr>
        <w:ind w:left="560" w:hanging="314"/>
        <w:spacing w:after="0"/>
        <w:tabs>
          <w:tab w:leader="none" w:pos="5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estimating future cash flows including revenues and operating profits resulting from completed products and in-process projects; and</w:t>
      </w:r>
    </w:p>
    <w:p>
      <w:pPr>
        <w:spacing w:after="0" w:line="112" w:lineRule="exact"/>
        <w:rPr>
          <w:rFonts w:ascii="Times New Roman" w:cs="Times New Roman" w:eastAsia="Times New Roman" w:hAnsi="Times New Roman"/>
          <w:sz w:val="18"/>
          <w:szCs w:val="18"/>
          <w:color w:val="auto"/>
        </w:rPr>
      </w:pPr>
    </w:p>
    <w:p>
      <w:pPr>
        <w:ind w:left="560" w:hanging="314"/>
        <w:spacing w:after="0"/>
        <w:tabs>
          <w:tab w:leader="none" w:pos="5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appropriate discount rates and probability rates by project.</w:t>
      </w:r>
    </w:p>
    <w:p>
      <w:pPr>
        <w:spacing w:after="0" w:line="112" w:lineRule="exact"/>
        <w:rPr>
          <w:sz w:val="20"/>
          <w:szCs w:val="20"/>
          <w:color w:val="auto"/>
        </w:rPr>
      </w:pPr>
    </w:p>
    <w:p>
      <w:pPr>
        <w:ind w:right="40" w:firstLine="439"/>
        <w:spacing w:after="0" w:line="256" w:lineRule="auto"/>
        <w:rPr>
          <w:sz w:val="20"/>
          <w:szCs w:val="20"/>
          <w:color w:val="auto"/>
        </w:rPr>
      </w:pPr>
      <w:r>
        <w:rPr>
          <w:rFonts w:ascii="Times New Roman" w:cs="Times New Roman" w:eastAsia="Times New Roman" w:hAnsi="Times New Roman"/>
          <w:sz w:val="18"/>
          <w:szCs w:val="18"/>
          <w:color w:val="auto"/>
        </w:rPr>
        <w:t>We believe the fair values that we assign to the intangible assets acquired are based upon reasonable estimates and assumptions given available facts and circumstances as of the acquisition dates. No assurance can be given, however, that the underlying assumptions used to estimate expected cash flows will transpire as estimated. In addition, we are required to estimate the period of time over which to amortize the intangible assets, which requires significant judgment.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Intangible Assets</w:t>
      </w:r>
    </w:p>
    <w:p>
      <w:pPr>
        <w:spacing w:after="0" w:line="114" w:lineRule="exact"/>
        <w:rPr>
          <w:sz w:val="20"/>
          <w:szCs w:val="20"/>
          <w:color w:val="auto"/>
        </w:rPr>
      </w:pPr>
    </w:p>
    <w:p>
      <w:pPr>
        <w:ind w:right="40" w:firstLine="439"/>
        <w:spacing w:after="0" w:line="267" w:lineRule="auto"/>
        <w:rPr>
          <w:sz w:val="20"/>
          <w:szCs w:val="20"/>
          <w:color w:val="auto"/>
        </w:rPr>
      </w:pPr>
      <w:r>
        <w:rPr>
          <w:rFonts w:ascii="Times New Roman" w:cs="Times New Roman" w:eastAsia="Times New Roman" w:hAnsi="Times New Roman"/>
          <w:sz w:val="17"/>
          <w:szCs w:val="17"/>
          <w:color w:val="auto"/>
        </w:rPr>
        <w:t>Finite-lived intangible assets consist primarily of purchased developed technology and are amortized on a straight-line basis over their estimated useful lives, which range from seven to sixteen years. The estimated useful lives associated with intangible assets are consistent with the estimated lives of the products and may be modified when circumstances warrant. Intangible assets with finite lives are reviewed for impairment whenever events or circumstances indicate that the carrying value of an asset may not be recoverable. Events giving rise to impairment are an inherent risk in the pharmaceutical industry and cannot be predicted. Factors that we consider in deciding when to perform an impairment review include significant under-performance of a product in relation to expectations, significant negative industry or economic trends, and significant changes or planned changes in our use of the assets. An impairment loss would be recognized when estimated undiscounted future cash flows expected to result from the use of the asset and its eventual disposition are less than its carrying amount. Estimating future cash flows related to an intangible asset involves estimates and assumptions. If our assumptions are not correct, there could be an impairment loss or, in the case of a change in the estimated useful life of the asset, a change in amortization expense.</w:t>
      </w:r>
    </w:p>
    <w:p>
      <w:pPr>
        <w:spacing w:after="0" w:line="66" w:lineRule="exact"/>
        <w:rPr>
          <w:sz w:val="20"/>
          <w:szCs w:val="20"/>
          <w:color w:val="auto"/>
        </w:rPr>
      </w:pPr>
    </w:p>
    <w:p>
      <w:pPr>
        <w:ind w:right="220" w:firstLine="439"/>
        <w:spacing w:after="0" w:line="276" w:lineRule="auto"/>
        <w:rPr>
          <w:sz w:val="20"/>
          <w:szCs w:val="20"/>
          <w:color w:val="auto"/>
        </w:rPr>
      </w:pPr>
      <w:r>
        <w:rPr>
          <w:rFonts w:ascii="Times New Roman" w:cs="Times New Roman" w:eastAsia="Times New Roman" w:hAnsi="Times New Roman"/>
          <w:sz w:val="18"/>
          <w:szCs w:val="18"/>
          <w:color w:val="auto"/>
        </w:rPr>
        <w:t>IPR&amp;D is not amortized but is tested for impairment annually or when events or circumstances indicate that the fair value may be below the carrying value of the asset. If the carrying value of the assets is not expected to be recovered, the assets are written down to their estimated fair values.</w:t>
      </w:r>
    </w:p>
    <w:p>
      <w:pPr>
        <w:spacing w:after="0" w:line="56" w:lineRule="exact"/>
        <w:rPr>
          <w:sz w:val="20"/>
          <w:szCs w:val="20"/>
          <w:color w:val="auto"/>
        </w:rPr>
      </w:pPr>
    </w:p>
    <w:p>
      <w:pPr>
        <w:ind w:right="120" w:firstLine="439"/>
        <w:spacing w:after="0" w:line="272" w:lineRule="auto"/>
        <w:rPr>
          <w:sz w:val="20"/>
          <w:szCs w:val="20"/>
          <w:color w:val="auto"/>
        </w:rPr>
      </w:pPr>
      <w:r>
        <w:rPr>
          <w:rFonts w:ascii="Times New Roman" w:cs="Times New Roman" w:eastAsia="Times New Roman" w:hAnsi="Times New Roman"/>
          <w:sz w:val="17"/>
          <w:szCs w:val="17"/>
          <w:color w:val="auto"/>
        </w:rPr>
        <w:t>As of December 31, 2023, we had $5.4 billion of finite-lived intangible assets, of which $3.8 billion related to the Epidiolex intangible asset which we acquired in the GW Acquisition and $1.1 billion related to the Vyxeos intangible asset which we acquired in the Celator Acquisition. As part of our annual impairment assessment, we reviewed these intangible assets as of December 31, 2023 and determined the carrying value is recoverable. Cash flow models used in our assessment are based on our commercial experience to date and require the use of significant estimates, which include, but are not limited to, patient-related assumptions, including patient population and segmentation, patient growth and treatment rates, and long-range pricing expectations.</w:t>
      </w:r>
    </w:p>
    <w:p>
      <w:pPr>
        <w:spacing w:after="0" w:line="64" w:lineRule="exact"/>
        <w:rPr>
          <w:sz w:val="20"/>
          <w:szCs w:val="20"/>
          <w:color w:val="auto"/>
        </w:rPr>
      </w:pPr>
    </w:p>
    <w:p>
      <w:pPr>
        <w:ind w:right="20" w:firstLine="439"/>
        <w:spacing w:after="0" w:line="276" w:lineRule="auto"/>
        <w:rPr>
          <w:sz w:val="20"/>
          <w:szCs w:val="20"/>
          <w:color w:val="auto"/>
        </w:rPr>
      </w:pPr>
      <w:r>
        <w:rPr>
          <w:rFonts w:ascii="Times New Roman" w:cs="Times New Roman" w:eastAsia="Times New Roman" w:hAnsi="Times New Roman"/>
          <w:sz w:val="18"/>
          <w:szCs w:val="18"/>
          <w:color w:val="auto"/>
        </w:rPr>
        <w:t>We did not recognize an impairment charge related to our intangible assets in 2023 or 2021. In 2022, we recorded an acquired IPR&amp;D asset impairment charge of $133.6 million as a result of the decision to discontinue our nabiximols program.</w:t>
      </w:r>
    </w:p>
    <w:p>
      <w:pPr>
        <w:spacing w:after="0" w:line="56" w:lineRule="exact"/>
        <w:rPr>
          <w:sz w:val="20"/>
          <w:szCs w:val="20"/>
          <w:color w:val="auto"/>
        </w:rPr>
      </w:pPr>
    </w:p>
    <w:p>
      <w:pPr>
        <w:ind w:firstLine="439"/>
        <w:spacing w:after="0" w:line="236" w:lineRule="exact"/>
        <w:rPr>
          <w:sz w:val="20"/>
          <w:szCs w:val="20"/>
          <w:color w:val="auto"/>
        </w:rPr>
      </w:pPr>
      <w:r>
        <w:rPr>
          <w:rFonts w:ascii="Times New Roman" w:cs="Times New Roman" w:eastAsia="Times New Roman" w:hAnsi="Times New Roman"/>
          <w:sz w:val="17"/>
          <w:szCs w:val="17"/>
          <w:color w:val="auto"/>
        </w:rPr>
        <w:t>Please refer to Note 10, Goodwill and Intangible Assets, of the Notes to Consolidated Financial Statements included in Part IV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for further information about our intangible assets and the remaining useful lives of our finite-lived intangible assets as of December 31, 2023.</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6" w:lineRule="exact"/>
        <w:rPr>
          <w:sz w:val="20"/>
          <w:szCs w:val="20"/>
          <w:color w:val="auto"/>
        </w:rPr>
      </w:pPr>
    </w:p>
    <w:p>
      <w:pPr>
        <w:ind w:right="160" w:firstLine="439"/>
        <w:spacing w:after="0" w:line="256" w:lineRule="auto"/>
        <w:rPr>
          <w:sz w:val="20"/>
          <w:szCs w:val="20"/>
          <w:color w:val="auto"/>
        </w:rPr>
      </w:pPr>
      <w:r>
        <w:rPr>
          <w:rFonts w:ascii="Times New Roman" w:cs="Times New Roman" w:eastAsia="Times New Roman" w:hAnsi="Times New Roman"/>
          <w:sz w:val="18"/>
          <w:szCs w:val="18"/>
          <w:color w:val="auto"/>
        </w:rPr>
        <w:t>We use the asset and liability method of accounting for income taxes. Under this method, deferred tax assets and liabilities are determined based on differences between the financial statement carrying amount and the tax basis of assets and liabilities and are measured using enacted tax rates and laws that will be in effect when the differences are expected to reverse. We provide a valuation allowance when it is more-likely-than-not that deferred tax assets will not be realized.</w:t>
      </w:r>
    </w:p>
    <w:p>
      <w:pPr>
        <w:spacing w:after="0" w:line="75" w:lineRule="exact"/>
        <w:rPr>
          <w:sz w:val="20"/>
          <w:szCs w:val="20"/>
          <w:color w:val="auto"/>
        </w:rPr>
      </w:pPr>
    </w:p>
    <w:p>
      <w:pPr>
        <w:ind w:right="20" w:firstLine="439"/>
        <w:spacing w:after="0" w:line="256" w:lineRule="auto"/>
        <w:rPr>
          <w:sz w:val="20"/>
          <w:szCs w:val="20"/>
          <w:color w:val="auto"/>
        </w:rPr>
      </w:pPr>
      <w:r>
        <w:rPr>
          <w:rFonts w:ascii="Times New Roman" w:cs="Times New Roman" w:eastAsia="Times New Roman" w:hAnsi="Times New Roman"/>
          <w:sz w:val="18"/>
          <w:szCs w:val="18"/>
          <w:color w:val="auto"/>
        </w:rPr>
        <w:t>Our most significant tax jurisdictions are Ireland, the U.K. and the U.S. Certain estimates are required in determining our expense for income taxes. Some of these estimates are based on management’s interpretations of jurisdiction-specific tax laws or regulations and the likelihood of settlement related to tax audit issues. Various internal and external factors may have favorable or unfavorable effects on our future effective income tax rate. These factors include, but are not limited to, changes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tax laws, regulations and/or rates, changing interpretations of existing tax laws or regulations, changes in estimates of prior years’ items, the impact of accounting for share-based compensation, changes in our international organization, likelihood of settlement, and changes in overall levels of income before taxes.</w:t>
      </w:r>
    </w:p>
    <w:p>
      <w:pPr>
        <w:spacing w:after="0" w:line="70" w:lineRule="exact"/>
        <w:rPr>
          <w:sz w:val="20"/>
          <w:szCs w:val="20"/>
          <w:color w:val="auto"/>
        </w:rPr>
      </w:pPr>
    </w:p>
    <w:p>
      <w:pPr>
        <w:ind w:firstLine="439"/>
        <w:spacing w:after="0" w:line="251" w:lineRule="auto"/>
        <w:rPr>
          <w:sz w:val="20"/>
          <w:szCs w:val="20"/>
          <w:color w:val="auto"/>
        </w:rPr>
      </w:pPr>
      <w:r>
        <w:rPr>
          <w:rFonts w:ascii="Times New Roman" w:cs="Times New Roman" w:eastAsia="Times New Roman" w:hAnsi="Times New Roman"/>
          <w:sz w:val="18"/>
          <w:szCs w:val="18"/>
          <w:color w:val="auto"/>
        </w:rPr>
        <w:t>Realization of our deferred tax assets is dependent upon the generation of future taxable income, the amount and timing of which are uncertain. In evaluating our ability to recover our deferred tax assets, we consider all available positive and negative evidence, including cumulative income in recent fiscal years, our forecast of future taxable income exclusive of certain reversing temporary differences and significant risks and uncertainties related to our business. In determining future taxable income, we are responsible for assumptions utilized including the amount of state, federal and international pre-tax operating income, the reversal of certain temporary differences and the implementation of feasible and prudent tax planning strategies. These assumptions require significant judgment about the forecasts of future taxable income in applicable tax jurisdictions, which are based on our commercial experience to date and are consistent with the plans and estimates that we are using to manage our underlying business.</w:t>
      </w:r>
    </w:p>
    <w:p>
      <w:pPr>
        <w:spacing w:after="0" w:line="82" w:lineRule="exact"/>
        <w:rPr>
          <w:sz w:val="20"/>
          <w:szCs w:val="20"/>
          <w:color w:val="auto"/>
        </w:rPr>
      </w:pPr>
    </w:p>
    <w:p>
      <w:pPr>
        <w:ind w:right="20" w:firstLine="439"/>
        <w:spacing w:after="0" w:line="252" w:lineRule="auto"/>
        <w:rPr>
          <w:sz w:val="20"/>
          <w:szCs w:val="20"/>
          <w:color w:val="auto"/>
        </w:rPr>
      </w:pPr>
      <w:r>
        <w:rPr>
          <w:rFonts w:ascii="Times New Roman" w:cs="Times New Roman" w:eastAsia="Times New Roman" w:hAnsi="Times New Roman"/>
          <w:sz w:val="18"/>
          <w:szCs w:val="18"/>
          <w:color w:val="auto"/>
        </w:rPr>
        <w:t>We maintain a valuation allowance against certain other deferred tax assets where realizability is not certain. We periodically evaluate the likelihood of the realization of deferred tax assets and reduce the carrying amount of these deferred tax assets by a valuation allowance to the extent we believe a portion will not be realized. This determination depends on a variety of factors, some of which are subjective, including our recent cumulative earnings experience by taxing jurisdiction, expectations of future taxable income, carryforward periods available to us for tax reporting purposes, various income tax strategies and other relevant factors. If we determine that the deferred tax assets are not realizable in a future period, we would record material changes to income tax expense in that period.</w:t>
      </w:r>
    </w:p>
    <w:p>
      <w:pPr>
        <w:spacing w:after="0" w:line="80" w:lineRule="exact"/>
        <w:rPr>
          <w:sz w:val="20"/>
          <w:szCs w:val="20"/>
          <w:color w:val="auto"/>
        </w:rPr>
      </w:pPr>
    </w:p>
    <w:p>
      <w:pPr>
        <w:ind w:right="40" w:firstLine="439"/>
        <w:spacing w:after="0" w:line="267" w:lineRule="auto"/>
        <w:rPr>
          <w:sz w:val="20"/>
          <w:szCs w:val="20"/>
          <w:color w:val="auto"/>
        </w:rPr>
      </w:pPr>
      <w:r>
        <w:rPr>
          <w:rFonts w:ascii="Times New Roman" w:cs="Times New Roman" w:eastAsia="Times New Roman" w:hAnsi="Times New Roman"/>
          <w:sz w:val="17"/>
          <w:szCs w:val="17"/>
          <w:color w:val="auto"/>
        </w:rPr>
        <w:t>We have also provided for unrecognized tax benefits that we believe are not more-likely-than-not to be sustained upon examination by tax authorities. The evaluation of unrecognized tax benefits is based on factors that include, but are not limited to, changes in tax law, the measurement of tax positions taken or expected to be taken in tax returns, the effective settlement of matters subject to audit, new audit activity and changes in facts or circumstances related to a tax position. We evaluate unrecognized tax benefits on a quarterly basis and adjust the level of the liability to reflect any subsequent changes in the relevant facts surrounding the uncertain positions. Our liabilities for unrecognized tax benefits can be relieved only if the contingency becomes legally extinguished through either payment to the taxing authority or the expiration of the statute of limitations, the recognition of the benefits associated with the position meet the more-likely-than-not threshold or the liability becomes effectively settled through the examination process. We consider matters to be effectively settled once the taxing authority has completed all of its required or expected examination procedures, including all appeals and administrative reviews. We also accrue for potential interest and penalties related to unrecognized tax benefits in income tax expense (benefit).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4" w:lineRule="exact"/>
        <w:rPr>
          <w:sz w:val="20"/>
          <w:szCs w:val="20"/>
          <w:color w:val="auto"/>
        </w:rPr>
      </w:pPr>
    </w:p>
    <w:p>
      <w:pPr>
        <w:ind w:right="220" w:firstLine="439"/>
        <w:spacing w:after="0" w:line="236" w:lineRule="exact"/>
        <w:rPr>
          <w:sz w:val="20"/>
          <w:szCs w:val="20"/>
          <w:color w:val="auto"/>
        </w:rPr>
      </w:pPr>
      <w:r>
        <w:rPr>
          <w:rFonts w:ascii="Times New Roman" w:cs="Times New Roman" w:eastAsia="Times New Roman" w:hAnsi="Times New Roman"/>
          <w:sz w:val="18"/>
          <w:szCs w:val="18"/>
          <w:color w:val="auto"/>
        </w:rPr>
        <w:t>For a discussion of recent accounting pronouncements, please see Note 2, Summary of Significant Accounting Policies, of the Notes to Consolidated Financial Statements included in Part IV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200" w:lineRule="exact"/>
        <w:rPr>
          <w:sz w:val="20"/>
          <w:szCs w:val="20"/>
          <w:color w:val="auto"/>
        </w:rPr>
      </w:pPr>
    </w:p>
    <w:p>
      <w:pPr>
        <w:spacing w:after="0" w:line="20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12" w:lineRule="exact"/>
        <w:rPr>
          <w:sz w:val="20"/>
          <w:szCs w:val="20"/>
          <w:color w:val="auto"/>
        </w:rPr>
      </w:pPr>
    </w:p>
    <w:p>
      <w:pPr>
        <w:ind w:right="40" w:firstLine="439"/>
        <w:spacing w:after="0" w:line="251" w:lineRule="auto"/>
        <w:rPr>
          <w:sz w:val="20"/>
          <w:szCs w:val="20"/>
          <w:color w:val="auto"/>
        </w:rPr>
      </w:pPr>
      <w:r>
        <w:rPr>
          <w:rFonts w:ascii="Times New Roman" w:cs="Times New Roman" w:eastAsia="Times New Roman" w:hAnsi="Times New Roman"/>
          <w:sz w:val="18"/>
          <w:szCs w:val="18"/>
          <w:i w:val="1"/>
          <w:iCs w:val="1"/>
          <w:color w:val="auto"/>
        </w:rPr>
        <w:t>Interest Rate Risk</w:t>
      </w:r>
      <w:r>
        <w:rPr>
          <w:rFonts w:ascii="Times New Roman" w:cs="Times New Roman" w:eastAsia="Times New Roman" w:hAnsi="Times New Roman"/>
          <w:sz w:val="18"/>
          <w:szCs w:val="18"/>
          <w:color w:val="auto"/>
        </w:rPr>
        <w:t>. The primary objectives of our investment policy, in order of priority, are as follows: safety and preservation of principal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diversification of risk; liquidity of investments sufficient to meet cash flow requirements; and competitive yield. Although our investments are subject to market risk, our investment policy specifies credit quality standards for our investments and limits the amount of credit exposure from any single issue, issuer or certain types of investment. Our investment policy allows us to maintain a portfolio of cash equivalents and short-term investments in a variety of securities, including U.S. federal government and federal agency securities, corporate bonds or commercial paper issued by U.S. corporations, money market instruments, certain qualifying money market mutual funds, certain repurchase agreements, and tax-exempt obligations of states, agencies and municipalities in the U.S. Our cash equivalents and investments as of December 31, 2023 consisted of money market funds and time deposits which are not subject to significant interest rate risk.</w:t>
      </w:r>
    </w:p>
    <w:p>
      <w:pPr>
        <w:spacing w:after="0" w:line="81" w:lineRule="exact"/>
        <w:rPr>
          <w:sz w:val="20"/>
          <w:szCs w:val="20"/>
          <w:color w:val="auto"/>
        </w:rPr>
      </w:pPr>
    </w:p>
    <w:p>
      <w:pPr>
        <w:ind w:firstLine="439"/>
        <w:spacing w:after="0" w:line="251" w:lineRule="auto"/>
        <w:rPr>
          <w:sz w:val="20"/>
          <w:szCs w:val="20"/>
          <w:color w:val="auto"/>
        </w:rPr>
      </w:pPr>
      <w:r>
        <w:rPr>
          <w:rFonts w:ascii="Times New Roman" w:cs="Times New Roman" w:eastAsia="Times New Roman" w:hAnsi="Times New Roman"/>
          <w:sz w:val="18"/>
          <w:szCs w:val="18"/>
          <w:color w:val="auto"/>
        </w:rPr>
        <w:t>We are exposed to risks associated with changes in interest rates in connection with our term loan borrowings. In May 2021 we entered into a credit agreement, or the Credit Agreement, that provides for (i) a seven-year $3.1 billion term loan B facility, or the Dollar Term Loan, (ii) a seven-year €625.0 million term loan B facility, or the Euro Term Loan and, together with the Dollar Term Loan, collectively known as the Term Loan and (iii) a five-year $500.0 million revolving credit facility, or the Revolving Credit Facility. There were no borrowings outstanding under the Revolving Credit Facility or the Euro Term Loan as of December 31, 2023. Dollar Term Loan borrowings of $2.7 billion were outstanding as of December 31, 2023 and subject to a U.S. dollar Secured Overnight Financing Rate, or Term SOFR, floor of 0.50%. In January 2024 we completed a repricing of the Dollar Term Loan, at par, which resulted in a 50-basis point margin reduction. The applicable margin for the Dollar Term Loan is now 3.00% (in the case of Term SOFR) and 2.00% (in the case of borrowings at the prime lending rate).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To achieve a desired mix of floating and fixed interest rates on our Dollar Term Loan, we entered into interest rate swap agreements in April 2023. The interest rate swap agreements have a notional amount of $500.0 million and are effective until April 2026. As a result of these agreements, the interest rate on a portion of our term loan borrowings is fixed at 3.9086%, plus the borrowing spread, until April 30, 2026. The net asset fair value of outstanding interest rate swap contracts was $0.4 million as of December 31, 2023. The impact of a hypothetical increase or decrease in interest rates on the fair value of the interest rate swap contracts would be offset by a change in the value of the underlying liability. If interest rates were to increase or decrease by 1%, interest expense for 2024 would increase or decrease by approximately $22.1 million, based on the unhedged portion of our outstanding variable rate borrowings.</w:t>
      </w:r>
    </w:p>
    <w:p>
      <w:pPr>
        <w:spacing w:after="0" w:line="65" w:lineRule="exact"/>
        <w:rPr>
          <w:sz w:val="20"/>
          <w:szCs w:val="20"/>
          <w:color w:val="auto"/>
        </w:rPr>
      </w:pPr>
    </w:p>
    <w:p>
      <w:pPr>
        <w:ind w:right="220" w:firstLine="439"/>
        <w:spacing w:after="0" w:line="261" w:lineRule="auto"/>
        <w:rPr>
          <w:sz w:val="20"/>
          <w:szCs w:val="20"/>
          <w:color w:val="auto"/>
        </w:rPr>
      </w:pPr>
      <w:r>
        <w:rPr>
          <w:rFonts w:ascii="Times New Roman" w:cs="Times New Roman" w:eastAsia="Times New Roman" w:hAnsi="Times New Roman"/>
          <w:sz w:val="18"/>
          <w:szCs w:val="18"/>
          <w:color w:val="auto"/>
        </w:rPr>
        <w:t>In April 2021, we issued $1.5 billion in aggregate principal amount of 4.375% senior secured notes, due 2029, or the Secured Notes. In 2017, we completed a private placement of $575.0 million aggregate principal amount of 1.50% exchangeable senior notes due 2024, or the 2024 Notes, and in June 2020, we completed a private offering of $1.0 billion aggregate principal amount of 2.00% exchangeable senior notes due 2026, or the 2026 Notes.</w:t>
      </w:r>
    </w:p>
    <w:p>
      <w:pPr>
        <w:spacing w:after="0" w:line="70" w:lineRule="exact"/>
        <w:rPr>
          <w:sz w:val="20"/>
          <w:szCs w:val="20"/>
          <w:color w:val="auto"/>
        </w:rPr>
      </w:pPr>
    </w:p>
    <w:p>
      <w:pPr>
        <w:ind w:firstLine="439"/>
        <w:spacing w:after="0" w:line="252" w:lineRule="auto"/>
        <w:rPr>
          <w:sz w:val="20"/>
          <w:szCs w:val="20"/>
          <w:color w:val="auto"/>
        </w:rPr>
      </w:pPr>
      <w:r>
        <w:rPr>
          <w:rFonts w:ascii="Times New Roman" w:cs="Times New Roman" w:eastAsia="Times New Roman" w:hAnsi="Times New Roman"/>
          <w:sz w:val="18"/>
          <w:szCs w:val="18"/>
          <w:color w:val="auto"/>
        </w:rPr>
        <w:t>The Secured Notes, the 2024 Notes and the 2026 Notes have fixed annual interest rates of 4.375%, 1.50% and 2.00%, respectively, and we therefore do not have economic interest rate exposure on the Secured Notes, the 2024 Notes and the 2026 Notes. However, the fair values of the Secured Notes, the 2024 Notes and the 2026 Notes are exposed to interest rate risk. Generally, the fair values of the Secured Notes, the 2024 Notes and the 2026 Notes will increase as interest rates fall and decrease as interest rates rise. The fair values of the 2024 Notes and the 2026 Notes are also affected by volatility in our ordinary share price. As of December 31, 2023 the fair values of the Secured Notes, the 2024 Notes and the 2026 Notes were estimated to be approximately $1.4 billion, $559.0 million and $1.0 billion, respectively.</w:t>
      </w:r>
    </w:p>
    <w:p>
      <w:pPr>
        <w:spacing w:after="0" w:line="78" w:lineRule="exact"/>
        <w:rPr>
          <w:sz w:val="20"/>
          <w:szCs w:val="20"/>
          <w:color w:val="auto"/>
        </w:rPr>
      </w:pPr>
    </w:p>
    <w:p>
      <w:pPr>
        <w:ind w:right="60" w:firstLine="439"/>
        <w:spacing w:after="0" w:line="250" w:lineRule="auto"/>
        <w:rPr>
          <w:sz w:val="20"/>
          <w:szCs w:val="20"/>
          <w:color w:val="auto"/>
        </w:rPr>
      </w:pPr>
      <w:r>
        <w:rPr>
          <w:rFonts w:ascii="Times New Roman" w:cs="Times New Roman" w:eastAsia="Times New Roman" w:hAnsi="Times New Roman"/>
          <w:sz w:val="18"/>
          <w:szCs w:val="18"/>
          <w:i w:val="1"/>
          <w:iCs w:val="1"/>
          <w:color w:val="auto"/>
        </w:rPr>
        <w:t>Foreign Currency Exchange Rate Risk</w:t>
      </w:r>
      <w:r>
        <w:rPr>
          <w:rFonts w:ascii="Times New Roman" w:cs="Times New Roman" w:eastAsia="Times New Roman" w:hAnsi="Times New Roman"/>
          <w:sz w:val="18"/>
          <w:szCs w:val="18"/>
          <w:color w:val="auto"/>
        </w:rPr>
        <w:t>. We have significant operations in Europe as well as in the U.S. The functional currency of each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is generally the local currency. We are exposed to foreign currency exchange risk as the functional currency financial statements of foreign subsidiaries are translated to U.S. dollars. The assets and liabilities of our foreign subsidiaries having a functional currency other than the U.S. dollar are translated into U.S. dollars at the exchange rate prevailing at the balance sheet date, and at the average exchange rate for the reporting period for revenue and expense accounts. The cumulative foreign currency translation adjustment is recorded as a component of accumulated other comprehensive loss in shareholders’ equity. The reported results of our foreign subsidiaries will be influenced by their translation into U.S. dollars by currency movements against the U.S. dollar. Our primary currency translation exposure is related to our subsidiaries that have functional currencies denominated in sterling and euro. A hypothetical 10% strengthening or weakening in the rates used to translate the results of our foreign subsidiaries that have functional currencies denominated in sterling and euro would have increased or decreased net income for the year ended December 31, 2023 by approximately $86.8 million and $4.6 million, respectively.</w:t>
      </w:r>
    </w:p>
    <w:p>
      <w:pPr>
        <w:spacing w:after="0" w:line="82" w:lineRule="exact"/>
        <w:rPr>
          <w:sz w:val="20"/>
          <w:szCs w:val="20"/>
          <w:color w:val="auto"/>
        </w:rPr>
      </w:pPr>
    </w:p>
    <w:p>
      <w:pPr>
        <w:ind w:right="60" w:firstLine="439"/>
        <w:spacing w:after="0" w:line="271" w:lineRule="auto"/>
        <w:rPr>
          <w:sz w:val="20"/>
          <w:szCs w:val="20"/>
          <w:color w:val="auto"/>
        </w:rPr>
      </w:pPr>
      <w:r>
        <w:rPr>
          <w:rFonts w:ascii="Times New Roman" w:cs="Times New Roman" w:eastAsia="Times New Roman" w:hAnsi="Times New Roman"/>
          <w:sz w:val="17"/>
          <w:szCs w:val="17"/>
          <w:color w:val="auto"/>
        </w:rPr>
        <w:t>Transactional exposure arises where transactions occur in currencies other than the functional currency. Transactions in foreign currencies are recorded at the exchange rate prevailing at the date of the transaction. The resulting monetary assets and liabilities are translated into the appropriate functional currency at exchange rates prevailing at the balance sheet date and the resulting gains and losses are reported in foreign exchange gain (loss) in the consolidated statements of income (loss). As of December 31, 2023, our exposure to transaction risk primarily related to sterling and euro denominated net monetary liabilities, including intercompany loans, held by subsidiaries with a U.S. dollar functional currency. We have entered into foreign exchange</w:t>
      </w:r>
    </w:p>
    <w:p>
      <w:pPr>
        <w:spacing w:after="0" w:line="1" w:lineRule="exact"/>
        <w:rPr>
          <w:sz w:val="20"/>
          <w:szCs w:val="20"/>
          <w:color w:val="auto"/>
        </w:rPr>
      </w:pPr>
    </w:p>
    <w:p>
      <w:pPr>
        <w:jc w:val="both"/>
        <w:ind w:right="140"/>
        <w:spacing w:after="0" w:line="252" w:lineRule="auto"/>
        <w:rPr>
          <w:sz w:val="20"/>
          <w:szCs w:val="20"/>
          <w:color w:val="auto"/>
        </w:rPr>
      </w:pPr>
      <w:r>
        <w:rPr>
          <w:rFonts w:ascii="Times New Roman" w:cs="Times New Roman" w:eastAsia="Times New Roman" w:hAnsi="Times New Roman"/>
          <w:sz w:val="18"/>
          <w:szCs w:val="18"/>
          <w:color w:val="auto"/>
        </w:rPr>
        <w:t>forward contracts to manage this currency risk. These foreign exchange forward contracts are not designated as hedges; gains and losses on these derivative instruments are designed to offset gains and losses on the underlying balance sheet exposures. As of December 31, 2023, we held foreign exchange forward contracts with notional amounts totaling $511.7 million. The net asset fair value of outstanding foreign exchange forward contracts was $17.4 million as of December 31, 2023. Based on our foreign currency exchange rate exposures as of December 31, 2023, a hypothetical 10% adverse fluctuation in exchange rates would decrease the fair value of our foreign exchange forward contracts by approximately $38.9 million. The resulting loss on these forward contracts would be offset by a positive impact on the underlying monetary assets and liabilities.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07"/>
        </w:trPr>
        <w:tc>
          <w:tcPr>
            <w:tcW w:w="10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6"/>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98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Supplementary Data</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0640" w:type="dxa"/>
            <w:vAlign w:val="bottom"/>
            <w:gridSpan w:val="3"/>
          </w:tcPr>
          <w:p>
            <w:pPr>
              <w:ind w:left="440"/>
              <w:spacing w:after="0" w:line="207" w:lineRule="exact"/>
              <w:rPr>
                <w:sz w:val="20"/>
                <w:szCs w:val="20"/>
                <w:color w:val="auto"/>
              </w:rPr>
            </w:pPr>
            <w:r>
              <w:rPr>
                <w:rFonts w:ascii="Times New Roman" w:cs="Times New Roman" w:eastAsia="Times New Roman" w:hAnsi="Times New Roman"/>
                <w:sz w:val="18"/>
                <w:szCs w:val="18"/>
                <w:color w:val="auto"/>
              </w:rPr>
              <w:t>Our consolidated financial statements as listed below are included in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as pages F-1 through F-44.</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8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380" w:type="dxa"/>
            <w:vAlign w:val="bottom"/>
          </w:tcPr>
          <w:p>
            <w:pPr>
              <w:spacing w:after="0"/>
              <w:rPr>
                <w:sz w:val="23"/>
                <w:szCs w:val="23"/>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5"/>
        </w:trPr>
        <w:tc>
          <w:tcPr>
            <w:tcW w:w="106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Jazz Pharmaceuticals plc</w:t>
            </w: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0640" w:type="dxa"/>
            <w:vAlign w:val="bottom"/>
            <w:gridSpan w:val="3"/>
            <w:vMerge w:val="continue"/>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0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(KPMG, Dublin, Ireland, Auditor Firm ID: 1116)</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226"/>
        </w:trPr>
        <w:tc>
          <w:tcPr>
            <w:tcW w:w="10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226"/>
        </w:trPr>
        <w:tc>
          <w:tcPr>
            <w:tcW w:w="10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Consolidated Statements of Income (Loss)</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26"/>
        </w:trPr>
        <w:tc>
          <w:tcPr>
            <w:tcW w:w="10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Consolidated Statements of Comprehensive Income (Loss)</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26"/>
        </w:trPr>
        <w:tc>
          <w:tcPr>
            <w:tcW w:w="10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Consolidated Statements of Shareholders’ Equity</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226"/>
        </w:trPr>
        <w:tc>
          <w:tcPr>
            <w:tcW w:w="10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232"/>
        </w:trPr>
        <w:tc>
          <w:tcPr>
            <w:tcW w:w="10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F-10</w:t>
            </w:r>
          </w:p>
        </w:tc>
        <w:tc>
          <w:tcPr>
            <w:tcW w:w="0" w:type="dxa"/>
            <w:vAlign w:val="bottom"/>
          </w:tcPr>
          <w:p>
            <w:pPr>
              <w:spacing w:after="0"/>
              <w:rPr>
                <w:sz w:val="1"/>
                <w:szCs w:val="1"/>
                <w:color w:val="auto"/>
              </w:rPr>
            </w:pPr>
          </w:p>
        </w:tc>
      </w:tr>
      <w:tr>
        <w:trPr>
          <w:trHeight w:val="666"/>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98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Changes in and Disagreements with Accountants on Accounting and Financial Disclosure</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2" w:lineRule="exact"/>
        <w:rPr>
          <w:sz w:val="20"/>
          <w:szCs w:val="20"/>
          <w:color w:val="auto"/>
        </w:rPr>
      </w:pPr>
    </w:p>
    <w:p>
      <w:pPr>
        <w:ind w:right="80" w:firstLine="439"/>
        <w:spacing w:after="0" w:line="218" w:lineRule="exact"/>
        <w:rPr>
          <w:sz w:val="20"/>
          <w:szCs w:val="20"/>
          <w:color w:val="auto"/>
        </w:rPr>
      </w:pPr>
      <w:r>
        <w:rPr>
          <w:rFonts w:ascii="Times New Roman" w:cs="Times New Roman" w:eastAsia="Times New Roman" w:hAnsi="Times New Roman"/>
          <w:sz w:val="17"/>
          <w:szCs w:val="17"/>
          <w:i w:val="1"/>
          <w:iCs w:val="1"/>
          <w:color w:val="auto"/>
        </w:rPr>
        <w:t>Evaluation of Disclosure Controls and Procedures</w:t>
      </w:r>
      <w:r>
        <w:rPr>
          <w:rFonts w:ascii="Times New Roman" w:cs="Times New Roman" w:eastAsia="Times New Roman" w:hAnsi="Times New Roman"/>
          <w:sz w:val="17"/>
          <w:szCs w:val="17"/>
          <w:color w:val="auto"/>
        </w:rPr>
        <w:t>. We have carried out an evaluation under the supervision and with the participation of management,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including our principal executive officer and interim principal financial officer, of our disclosure controls and procedures (as defined in Rule 13a-15(e) and 15d-15(e) of the Exchange Act) as of the end of the period covered by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Based on their evaluation, our principal executive officer and interim principal financial officer concluded that our disclosure controls and procedures were effective as of December 31, 2023.</w:t>
      </w:r>
    </w:p>
    <w:p>
      <w:pPr>
        <w:spacing w:after="0" w:line="89" w:lineRule="exact"/>
        <w:rPr>
          <w:sz w:val="20"/>
          <w:szCs w:val="20"/>
          <w:color w:val="auto"/>
        </w:rPr>
      </w:pPr>
    </w:p>
    <w:p>
      <w:pPr>
        <w:ind w:right="80" w:firstLine="439"/>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Limitations on the Effectiveness of Controls. </w:t>
      </w:r>
      <w:r>
        <w:rPr>
          <w:rFonts w:ascii="Times New Roman" w:cs="Times New Roman" w:eastAsia="Times New Roman" w:hAnsi="Times New Roman"/>
          <w:sz w:val="17"/>
          <w:szCs w:val="17"/>
          <w:color w:val="auto"/>
        </w:rPr>
        <w:t>A control system, no matter how well conceived and operated, can provide only reasonable, not absolute,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 and, as set forth above, our principal executive officer and interim principal financial officer have concluded, based on their evaluation as of the end of the period covered by this report, that our disclosure controls and procedures were effective to provide reasonable assurance that the objectives of our disclosure control system were met.</w:t>
      </w:r>
    </w:p>
    <w:p>
      <w:pPr>
        <w:spacing w:after="0" w:line="65" w:lineRule="exact"/>
        <w:rPr>
          <w:sz w:val="20"/>
          <w:szCs w:val="20"/>
          <w:color w:val="auto"/>
        </w:rPr>
      </w:pPr>
    </w:p>
    <w:p>
      <w:pPr>
        <w:ind w:right="320" w:firstLine="439"/>
        <w:spacing w:after="0" w:line="278"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During the quarter ended December 31, 2023, there were no changes to our internal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financial reporting that have materially affected, or are reasonably likely to materially affect, our internal control over financial reporting.</w:t>
      </w:r>
    </w:p>
    <w:p>
      <w:pPr>
        <w:spacing w:after="0" w:line="53" w:lineRule="exact"/>
        <w:rPr>
          <w:sz w:val="20"/>
          <w:szCs w:val="20"/>
          <w:color w:val="auto"/>
        </w:rPr>
      </w:pPr>
    </w:p>
    <w:p>
      <w:pPr>
        <w:ind w:right="40" w:firstLine="439"/>
        <w:spacing w:after="0" w:line="278" w:lineRule="auto"/>
        <w:rPr>
          <w:sz w:val="20"/>
          <w:szCs w:val="20"/>
          <w:color w:val="auto"/>
        </w:rPr>
      </w:pPr>
      <w:r>
        <w:rPr>
          <w:rFonts w:ascii="Times New Roman" w:cs="Times New Roman" w:eastAsia="Times New Roman" w:hAnsi="Times New Roman"/>
          <w:sz w:val="18"/>
          <w:szCs w:val="18"/>
          <w:i w:val="1"/>
          <w:iCs w:val="1"/>
          <w:color w:val="auto"/>
        </w:rPr>
        <w:t xml:space="preserve">Management’s Report on Internal Control over Financial Reporting. </w:t>
      </w:r>
      <w:r>
        <w:rPr>
          <w:rFonts w:ascii="Times New Roman" w:cs="Times New Roman" w:eastAsia="Times New Roman" w:hAnsi="Times New Roman"/>
          <w:sz w:val="18"/>
          <w:szCs w:val="18"/>
          <w:color w:val="auto"/>
        </w:rPr>
        <w:t>The following report is provided by management in respect of our internal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financial reporting (as defined in Rule 13a-15(f) and 15d-15(f) of the Exchange Act):</w:t>
      </w:r>
    </w:p>
    <w:p>
      <w:pPr>
        <w:spacing w:after="0" w:line="55" w:lineRule="exact"/>
        <w:rPr>
          <w:sz w:val="20"/>
          <w:szCs w:val="20"/>
          <w:color w:val="auto"/>
        </w:rPr>
      </w:pPr>
    </w:p>
    <w:p>
      <w:pPr>
        <w:ind w:left="800" w:hanging="314"/>
        <w:spacing w:after="0"/>
        <w:tabs>
          <w:tab w:leader="none" w:pos="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w:t>
      </w:r>
    </w:p>
    <w:p>
      <w:pPr>
        <w:spacing w:after="0" w:line="112" w:lineRule="exact"/>
        <w:rPr>
          <w:rFonts w:ascii="Times New Roman" w:cs="Times New Roman" w:eastAsia="Times New Roman" w:hAnsi="Times New Roman"/>
          <w:sz w:val="18"/>
          <w:szCs w:val="18"/>
          <w:color w:val="auto"/>
        </w:rPr>
      </w:pPr>
    </w:p>
    <w:p>
      <w:pPr>
        <w:ind w:left="800" w:hanging="314"/>
        <w:spacing w:after="0" w:line="252" w:lineRule="auto"/>
        <w:tabs>
          <w:tab w:leader="none" w:pos="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used the Committee of Sponsoring Organizations of the Treadway Commission Internal Control - Integrated Framework (2013), or the COSO framework, to evaluate the effectiveness of internal control over financial reporting. Management believes that the COSO framework is a suitable framework for its evaluation of financial reporting because it is free from bias, permits reasonably consistent qualitative and quantitative measurements of our internal control over financial reporting, is sufficiently complete so that those relevant factors that would alter a conclusion about the effectiveness of our internal control over financial reporting are not omitted and is relevant to an evaluation of internal control over financial reporting.</w:t>
      </w:r>
    </w:p>
    <w:p>
      <w:pPr>
        <w:spacing w:after="0" w:line="80" w:lineRule="exact"/>
        <w:rPr>
          <w:rFonts w:ascii="Times New Roman" w:cs="Times New Roman" w:eastAsia="Times New Roman" w:hAnsi="Times New Roman"/>
          <w:sz w:val="18"/>
          <w:szCs w:val="18"/>
          <w:color w:val="auto"/>
        </w:rPr>
      </w:pPr>
    </w:p>
    <w:p>
      <w:pPr>
        <w:ind w:left="800" w:right="60" w:hanging="314"/>
        <w:spacing w:after="0" w:line="261" w:lineRule="auto"/>
        <w:tabs>
          <w:tab w:leader="none" w:pos="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has assessed the effectiveness of our internal control over financial reporting as of December 31, 2023 and has concluded that such internal control over financial reporting was effective. There were no material weaknesses in internal control over financial reporting identified by management.</w:t>
      </w:r>
    </w:p>
    <w:p>
      <w:pPr>
        <w:spacing w:after="0" w:line="70" w:lineRule="exact"/>
        <w:rPr>
          <w:rFonts w:ascii="Times New Roman" w:cs="Times New Roman" w:eastAsia="Times New Roman" w:hAnsi="Times New Roman"/>
          <w:sz w:val="18"/>
          <w:szCs w:val="18"/>
          <w:color w:val="auto"/>
        </w:rPr>
      </w:pPr>
    </w:p>
    <w:p>
      <w:pPr>
        <w:ind w:left="800" w:right="40" w:hanging="314"/>
        <w:spacing w:after="0" w:line="261" w:lineRule="auto"/>
        <w:tabs>
          <w:tab w:leader="none" w:pos="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KPMG, our independent registered public accounting firm, has audited the consolidated financial statements of Jazz Pharmaceuticals plc as of and for the year ended December 31, 2023, included herein, and has issued an audit report on our internal control over financial reporting, which is included below.</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Jazz Pharmaceuticals plc: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114"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 xml:space="preserve">We have audited Jazz Pharmaceuticals plc and subsidiaries’ (the Company) internal control over financial reporting as of December 31, 2023,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w:t>
      </w:r>
    </w:p>
    <w:p>
      <w:pPr>
        <w:spacing w:after="0" w:line="59"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2023 and 2022, the related consolidated statements of income (loss), comprehensive income (loss), shareholders’ equity, and cash flows for each of the years in the three-year period ended December 31, 2023, and the related notes and financial statement schedules at item 15(a)2 (collectively, ‘the consolidated financial statements’), and our report dated February 28, 2024 expressed an unqualified opinion on those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1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Dublin, Ireland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2024</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Insider Trading Arrangements</w:t>
      </w:r>
    </w:p>
    <w:p>
      <w:pPr>
        <w:spacing w:after="0" w:line="114" w:lineRule="exact"/>
        <w:rPr>
          <w:sz w:val="20"/>
          <w:szCs w:val="20"/>
          <w:color w:val="auto"/>
        </w:rPr>
      </w:pPr>
    </w:p>
    <w:p>
      <w:pPr>
        <w:ind w:right="280" w:firstLine="439"/>
        <w:spacing w:after="0" w:line="276" w:lineRule="auto"/>
        <w:rPr>
          <w:sz w:val="20"/>
          <w:szCs w:val="20"/>
          <w:color w:val="auto"/>
        </w:rPr>
      </w:pPr>
      <w:r>
        <w:rPr>
          <w:rFonts w:ascii="Times New Roman" w:cs="Times New Roman" w:eastAsia="Times New Roman" w:hAnsi="Times New Roman"/>
          <w:sz w:val="18"/>
          <w:szCs w:val="18"/>
          <w:color w:val="auto"/>
        </w:rPr>
        <w:t>During the quarter ended December 31, 2023, no director or Section 16 officer adopted or terminated any Rule 10b5-1 trading arrangements or non-Rule 10b5-1 trading arrangements.</w:t>
      </w:r>
    </w:p>
    <w:p>
      <w:pPr>
        <w:spacing w:after="0" w:line="29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76" w:lineRule="exact"/>
        <w:rPr>
          <w:sz w:val="20"/>
          <w:szCs w:val="20"/>
          <w:color w:val="auto"/>
        </w:rPr>
      </w:pPr>
    </w:p>
    <w:p>
      <w:pPr>
        <w:ind w:right="60" w:firstLine="439"/>
        <w:spacing w:after="0" w:line="225" w:lineRule="exact"/>
        <w:rPr>
          <w:sz w:val="20"/>
          <w:szCs w:val="20"/>
          <w:color w:val="auto"/>
        </w:rPr>
      </w:pPr>
      <w:r>
        <w:rPr>
          <w:rFonts w:ascii="Times New Roman" w:cs="Times New Roman" w:eastAsia="Times New Roman" w:hAnsi="Times New Roman"/>
          <w:sz w:val="18"/>
          <w:szCs w:val="18"/>
          <w:color w:val="auto"/>
        </w:rPr>
        <w:t>Certain information required by Part III is omitted from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incorporated by reference to our definitive proxy statement for our 2024 annual general meeting of shareholders, or our 2024 Proxy Statement, to be filed pursuant to Regulation 14A of the Securities Exchange Act of 1934, as amended, or Exchange Act. If our 2024 Proxy Statement is not filed within 120 days after the end of the fiscal year covered by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the omitted information will be included in an amendment to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filed not later than the end of such 120-day period.</w:t>
      </w:r>
    </w:p>
    <w:p>
      <w:pPr>
        <w:spacing w:after="0" w:line="200" w:lineRule="exact"/>
        <w:rPr>
          <w:sz w:val="20"/>
          <w:szCs w:val="20"/>
          <w:color w:val="auto"/>
        </w:rPr>
      </w:pPr>
    </w:p>
    <w:p>
      <w:pPr>
        <w:spacing w:after="0" w:line="23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required by this item is to be included in our 2024 Proxy Statement as follows and is incorporated by reference:</w:t>
      </w:r>
    </w:p>
    <w:p>
      <w:pPr>
        <w:spacing w:after="0" w:line="112" w:lineRule="exact"/>
        <w:rPr>
          <w:sz w:val="20"/>
          <w:szCs w:val="20"/>
          <w:color w:val="auto"/>
        </w:rPr>
      </w:pPr>
    </w:p>
    <w:p>
      <w:pPr>
        <w:ind w:left="720" w:hanging="314"/>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relating to our directors and nominees for director is to be included in the section entitled “Proposal 1—Election of Directors;”</w:t>
      </w:r>
    </w:p>
    <w:p>
      <w:pPr>
        <w:spacing w:after="0" w:line="112" w:lineRule="exact"/>
        <w:rPr>
          <w:rFonts w:ascii="Times New Roman" w:cs="Times New Roman" w:eastAsia="Times New Roman" w:hAnsi="Times New Roman"/>
          <w:sz w:val="18"/>
          <w:szCs w:val="18"/>
          <w:color w:val="auto"/>
        </w:rPr>
      </w:pPr>
    </w:p>
    <w:p>
      <w:pPr>
        <w:ind w:left="720" w:hanging="314"/>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relating to our executive officers is to be included in the section entitled “Executive Officers;”</w:t>
      </w:r>
    </w:p>
    <w:p>
      <w:pPr>
        <w:spacing w:after="0" w:line="112" w:lineRule="exact"/>
        <w:rPr>
          <w:rFonts w:ascii="Times New Roman" w:cs="Times New Roman" w:eastAsia="Times New Roman" w:hAnsi="Times New Roman"/>
          <w:sz w:val="18"/>
          <w:szCs w:val="18"/>
          <w:color w:val="auto"/>
        </w:rPr>
      </w:pPr>
    </w:p>
    <w:p>
      <w:pPr>
        <w:ind w:left="720" w:right="20" w:hanging="314"/>
        <w:spacing w:after="0" w:line="276" w:lineRule="auto"/>
        <w:tabs>
          <w:tab w:leader="none" w:pos="7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relating to our audit committee, audit committee financial expert and procedures by which shareholders may recommend nominees to our board of directors is to be included in the section entitled “Corporate Governance and Board Matters;” and</w:t>
      </w:r>
    </w:p>
    <w:p>
      <w:pPr>
        <w:spacing w:after="0" w:line="56" w:lineRule="exact"/>
        <w:rPr>
          <w:rFonts w:ascii="Times New Roman" w:cs="Times New Roman" w:eastAsia="Times New Roman" w:hAnsi="Times New Roman"/>
          <w:sz w:val="18"/>
          <w:szCs w:val="18"/>
          <w:color w:val="auto"/>
        </w:rPr>
      </w:pPr>
    </w:p>
    <w:p>
      <w:pPr>
        <w:ind w:left="720" w:right="440" w:hanging="314"/>
        <w:spacing w:after="0" w:line="276" w:lineRule="auto"/>
        <w:tabs>
          <w:tab w:leader="none" w:pos="7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the information regarding compliance with Section 16(a) of the Exchange Act is to be included in the section entitled “Delinquent Section 16(a) Reports.”</w:t>
      </w:r>
    </w:p>
    <w:p>
      <w:pPr>
        <w:spacing w:after="0" w:line="56" w:lineRule="exact"/>
        <w:rPr>
          <w:sz w:val="20"/>
          <w:szCs w:val="20"/>
          <w:color w:val="auto"/>
        </w:rPr>
      </w:pPr>
    </w:p>
    <w:p>
      <w:pPr>
        <w:ind w:right="440" w:firstLine="439"/>
        <w:spacing w:after="0" w:line="228" w:lineRule="exact"/>
        <w:rPr>
          <w:sz w:val="20"/>
          <w:szCs w:val="20"/>
          <w:color w:val="auto"/>
        </w:rPr>
      </w:pPr>
      <w:r>
        <w:rPr>
          <w:rFonts w:ascii="Times New Roman" w:cs="Times New Roman" w:eastAsia="Times New Roman" w:hAnsi="Times New Roman"/>
          <w:sz w:val="18"/>
          <w:szCs w:val="18"/>
          <w:color w:val="auto"/>
        </w:rPr>
        <w:t>Such information is incorporated herein by reference to our 2024 Proxy Statement, provided that if the 2024 Proxy Statement is not filed within 120 days after the end of the fiscal year covered by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the omitted information will be included in an amendment to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filed not later than the end of such 120-day period.</w:t>
      </w:r>
    </w:p>
    <w:p>
      <w:pPr>
        <w:spacing w:after="0" w:line="62" w:lineRule="exact"/>
        <w:rPr>
          <w:sz w:val="20"/>
          <w:szCs w:val="20"/>
          <w:color w:val="auto"/>
        </w:rPr>
      </w:pPr>
    </w:p>
    <w:p>
      <w:pPr>
        <w:ind w:firstLine="439"/>
        <w:spacing w:after="0" w:line="254" w:lineRule="auto"/>
        <w:rPr>
          <w:sz w:val="20"/>
          <w:szCs w:val="20"/>
          <w:color w:val="auto"/>
        </w:rPr>
      </w:pPr>
      <w:r>
        <w:rPr>
          <w:rFonts w:ascii="Times New Roman" w:cs="Times New Roman" w:eastAsia="Times New Roman" w:hAnsi="Times New Roman"/>
          <w:sz w:val="18"/>
          <w:szCs w:val="18"/>
          <w:color w:val="auto"/>
        </w:rPr>
        <w:t xml:space="preserve">Our Code of Conduct applies to all of our employees, directors and officers, including our principal executive officer, interim principal financial officer, principal accounting officer or controller, or persons performing similar functions, and those of our subsidiaries. The Code of Conduct is available on our website at </w:t>
      </w:r>
      <w:r>
        <w:rPr>
          <w:rFonts w:ascii="Times New Roman" w:cs="Times New Roman" w:eastAsia="Times New Roman" w:hAnsi="Times New Roman"/>
          <w:sz w:val="18"/>
          <w:szCs w:val="18"/>
          <w:i w:val="1"/>
          <w:iCs w:val="1"/>
          <w:color w:val="auto"/>
        </w:rPr>
        <w:t>www.jazzpharmaceuticals.com</w:t>
      </w:r>
      <w:r>
        <w:rPr>
          <w:rFonts w:ascii="Times New Roman" w:cs="Times New Roman" w:eastAsia="Times New Roman" w:hAnsi="Times New Roman"/>
          <w:sz w:val="18"/>
          <w:szCs w:val="18"/>
          <w:color w:val="auto"/>
        </w:rPr>
        <w:t xml:space="preserve"> under the section entitled “Our Purpose” under “Ethical Standards.” We intend to satisfy the disclosure requirements under Item 5.05 of the SEC Form 8-K regarding an amendment to, or waiver from, a provision of our Code of Conduct by posting such information on our website at the website address and location specified above.</w:t>
      </w:r>
    </w:p>
    <w:p>
      <w:pPr>
        <w:spacing w:after="0" w:line="200" w:lineRule="exact"/>
        <w:rPr>
          <w:sz w:val="20"/>
          <w:szCs w:val="20"/>
          <w:color w:val="auto"/>
        </w:rPr>
      </w:pPr>
    </w:p>
    <w:p>
      <w:pPr>
        <w:spacing w:after="0" w:line="22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5" w:lineRule="exact"/>
        <w:rPr>
          <w:sz w:val="20"/>
          <w:szCs w:val="20"/>
          <w:color w:val="auto"/>
        </w:rPr>
      </w:pPr>
    </w:p>
    <w:p>
      <w:pPr>
        <w:ind w:right="80" w:firstLine="439"/>
        <w:spacing w:after="0" w:line="231" w:lineRule="auto"/>
        <w:rPr>
          <w:sz w:val="20"/>
          <w:szCs w:val="20"/>
          <w:color w:val="auto"/>
        </w:rPr>
      </w:pPr>
      <w:r>
        <w:rPr>
          <w:rFonts w:ascii="Times New Roman" w:cs="Times New Roman" w:eastAsia="Times New Roman" w:hAnsi="Times New Roman"/>
          <w:sz w:val="18"/>
          <w:szCs w:val="18"/>
          <w:color w:val="auto"/>
        </w:rPr>
        <w:t>The information required by this item is to be included in our 2024 Proxy Statement under the sections entitled “Executive Compensation,” “Director Compensation,” “Corporate Governance and Board Matters—Compensation Committee Interlocks and Insider Participation” and “Corporate Governance and Board Matters—Compensation Committee Report” and is incorporated herein by reference, provided that if the 2024 Proxy Statement is not filed within 120 days after the end of the fiscal year covered by this Annual Report on Form 10-K, the omitted information will be included in an amendment to this Annual Report on Form 10-K filed not later than the end of such 120-day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114" w:lineRule="exact"/>
        <w:rPr>
          <w:sz w:val="20"/>
          <w:szCs w:val="20"/>
          <w:color w:val="auto"/>
        </w:rPr>
      </w:pPr>
    </w:p>
    <w:p>
      <w:pPr>
        <w:ind w:right="60" w:firstLine="439"/>
        <w:spacing w:after="0" w:line="252" w:lineRule="auto"/>
        <w:rPr>
          <w:sz w:val="20"/>
          <w:szCs w:val="20"/>
          <w:color w:val="auto"/>
        </w:rPr>
      </w:pPr>
      <w:r>
        <w:rPr>
          <w:rFonts w:ascii="Times New Roman" w:cs="Times New Roman" w:eastAsia="Times New Roman" w:hAnsi="Times New Roman"/>
          <w:sz w:val="18"/>
          <w:szCs w:val="18"/>
          <w:color w:val="auto"/>
        </w:rPr>
        <w:t>The information required by this item with respect to equity compensation plans is to be included in our 2024 Proxy Statement under the section entitled “Equity Compensation Plan Information” and the information required by this item with respect to security ownership of certain beneficial owners and management is to be included in our 2024 Proxy Statement under the section entitled “Security Ownership of Certain Beneficial Owners and Management” and in each case is incorporated herein by reference, provided that if the 2024 Proxy Statement is not filed within 120 days after the end of the fiscal year covered by this Annual Report on Form 10-K, the omitted information will be included in an amendment to this Annual Report on Form 10-K filed not later than the end of such 120-day period.</w:t>
      </w:r>
    </w:p>
    <w:p>
      <w:pPr>
        <w:spacing w:after="0" w:line="200" w:lineRule="exact"/>
        <w:rPr>
          <w:sz w:val="20"/>
          <w:szCs w:val="20"/>
          <w:color w:val="auto"/>
        </w:rPr>
      </w:pPr>
    </w:p>
    <w:p>
      <w:pPr>
        <w:spacing w:after="0" w:line="22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14" w:lineRule="exact"/>
        <w:rPr>
          <w:sz w:val="20"/>
          <w:szCs w:val="20"/>
          <w:color w:val="auto"/>
        </w:rPr>
      </w:pPr>
    </w:p>
    <w:p>
      <w:pPr>
        <w:ind w:right="360" w:firstLine="439"/>
        <w:spacing w:after="0" w:line="276" w:lineRule="auto"/>
        <w:rPr>
          <w:sz w:val="20"/>
          <w:szCs w:val="20"/>
          <w:color w:val="auto"/>
        </w:rPr>
      </w:pPr>
      <w:r>
        <w:rPr>
          <w:rFonts w:ascii="Times New Roman" w:cs="Times New Roman" w:eastAsia="Times New Roman" w:hAnsi="Times New Roman"/>
          <w:sz w:val="17"/>
          <w:szCs w:val="17"/>
          <w:color w:val="auto"/>
        </w:rPr>
        <w:t>The information required by this item is to be included in our 2024 Proxy Statement under the sections entitled “Certain Relationships and Related Party Transactions” and “Corporate Governance and Board Matters—Independence of the Board of Directors” and is incorporated herein by reference, provided that if the 2024 Proxy Statement is not filed within 120 days after the end of the fiscal year covered by this Annual Report on Form 10-K, the omitted information will be included in an amendment to this Annual Report on Form 10-K filed not later than the end of such 120-day period.</w:t>
      </w:r>
    </w:p>
    <w:p>
      <w:pPr>
        <w:spacing w:after="0" w:line="200" w:lineRule="exact"/>
        <w:rPr>
          <w:sz w:val="20"/>
          <w:szCs w:val="20"/>
          <w:color w:val="auto"/>
        </w:rPr>
      </w:pPr>
    </w:p>
    <w:p>
      <w:pPr>
        <w:spacing w:after="0" w:line="20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14" w:lineRule="exact"/>
        <w:rPr>
          <w:sz w:val="20"/>
          <w:szCs w:val="20"/>
          <w:color w:val="auto"/>
        </w:rPr>
      </w:pPr>
    </w:p>
    <w:p>
      <w:pPr>
        <w:ind w:firstLine="439"/>
        <w:spacing w:after="0" w:line="254" w:lineRule="auto"/>
        <w:rPr>
          <w:sz w:val="20"/>
          <w:szCs w:val="20"/>
          <w:color w:val="auto"/>
        </w:rPr>
      </w:pPr>
      <w:r>
        <w:rPr>
          <w:rFonts w:ascii="Times New Roman" w:cs="Times New Roman" w:eastAsia="Times New Roman" w:hAnsi="Times New Roman"/>
          <w:sz w:val="18"/>
          <w:szCs w:val="18"/>
          <w:color w:val="auto"/>
        </w:rPr>
        <w:t>The information required by this item is to be included in our 2024 Proxy Statement under the section entitled “Proposal 2—On a Non-Binding Advisory Basis, Ratify Appointment of Independent Registered Accounting Firm and, On a Binding Basis, Authorize the Board of Directors, Acting Through the Audit Committee, to Determine the Independent Auditors’ Remuneration” and is incorporated herein by reference, provided that if the 2024 Proxy Statement is not filed within 120 days after the end of the fiscal year covered by this Annual Report on Form 10-K, the omitted information will be included in an amendment to this Annual Report on Form 10-K filed not later than the end of such 120-day period.</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76" w:lineRule="exact"/>
        <w:rPr>
          <w:sz w:val="20"/>
          <w:szCs w:val="20"/>
          <w:color w:val="auto"/>
        </w:rPr>
      </w:pPr>
    </w:p>
    <w:p>
      <w:pPr>
        <w:ind w:left="700" w:hanging="254"/>
        <w:spacing w:after="0" w:line="207" w:lineRule="exact"/>
        <w:tabs>
          <w:tab w:leader="none" w:pos="700" w:val="left"/>
        </w:tabs>
        <w:numPr>
          <w:ilvl w:val="1"/>
          <w:numId w:val="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following documents are filed as part of this Annual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K:</w:t>
      </w:r>
    </w:p>
    <w:p>
      <w:pPr>
        <w:spacing w:after="0" w:line="149" w:lineRule="exact"/>
        <w:rPr>
          <w:rFonts w:ascii="Times New Roman" w:cs="Times New Roman" w:eastAsia="Times New Roman" w:hAnsi="Times New Roman"/>
          <w:sz w:val="18"/>
          <w:szCs w:val="18"/>
          <w:i w:val="1"/>
          <w:iCs w:val="1"/>
          <w:color w:val="auto"/>
        </w:rPr>
      </w:pPr>
    </w:p>
    <w:p>
      <w:pPr>
        <w:ind w:left="400" w:hanging="394"/>
        <w:spacing w:after="0"/>
        <w:tabs>
          <w:tab w:leader="none" w:pos="400"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Statements:</w:t>
      </w:r>
    </w:p>
    <w:p>
      <w:pPr>
        <w:spacing w:after="0" w:line="76"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See Consolidated Financial Statements in Part II, Item 8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49" w:lineRule="exact"/>
        <w:rPr>
          <w:sz w:val="20"/>
          <w:szCs w:val="20"/>
          <w:color w:val="auto"/>
        </w:rPr>
      </w:pPr>
    </w:p>
    <w:p>
      <w:pPr>
        <w:ind w:left="400" w:hanging="394"/>
        <w:spacing w:after="0"/>
        <w:tabs>
          <w:tab w:leader="none" w:pos="400" w:val="left"/>
        </w:tabs>
        <w:numPr>
          <w:ilvl w:val="0"/>
          <w:numId w:val="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Statement Schedules:</w:t>
      </w:r>
    </w:p>
    <w:p>
      <w:pPr>
        <w:spacing w:after="0" w:line="76" w:lineRule="exact"/>
        <w:rPr>
          <w:sz w:val="20"/>
          <w:szCs w:val="20"/>
          <w:color w:val="auto"/>
        </w:rPr>
      </w:pPr>
    </w:p>
    <w:p>
      <w:pPr>
        <w:ind w:firstLine="439"/>
        <w:spacing w:after="0" w:line="242" w:lineRule="exact"/>
        <w:rPr>
          <w:sz w:val="20"/>
          <w:szCs w:val="20"/>
          <w:color w:val="auto"/>
        </w:rPr>
      </w:pPr>
      <w:r>
        <w:rPr>
          <w:rFonts w:ascii="Times New Roman" w:cs="Times New Roman" w:eastAsia="Times New Roman" w:hAnsi="Times New Roman"/>
          <w:sz w:val="18"/>
          <w:szCs w:val="18"/>
          <w:color w:val="auto"/>
        </w:rPr>
        <w:t>The following financial statement schedule of Jazz Pharmaceuticals plc is filed as part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on page F-51 and should be read in conjunction with the consolidated financial statements of Jazz Pharmaceuticals plc.</w:t>
      </w:r>
    </w:p>
    <w:p>
      <w:pPr>
        <w:spacing w:after="0" w:line="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Schedule II: Valuation and Qualifying Accounts</w:t>
      </w:r>
    </w:p>
    <w:p>
      <w:pPr>
        <w:spacing w:after="0" w:line="112" w:lineRule="exact"/>
        <w:rPr>
          <w:sz w:val="20"/>
          <w:szCs w:val="20"/>
          <w:color w:val="auto"/>
        </w:rPr>
      </w:pPr>
    </w:p>
    <w:p>
      <w:pPr>
        <w:ind w:right="540" w:firstLine="439"/>
        <w:spacing w:after="0" w:line="276" w:lineRule="auto"/>
        <w:rPr>
          <w:sz w:val="20"/>
          <w:szCs w:val="20"/>
          <w:color w:val="auto"/>
        </w:rPr>
      </w:pPr>
      <w:r>
        <w:rPr>
          <w:rFonts w:ascii="Times New Roman" w:cs="Times New Roman" w:eastAsia="Times New Roman" w:hAnsi="Times New Roman"/>
          <w:sz w:val="18"/>
          <w:szCs w:val="18"/>
          <w:color w:val="auto"/>
        </w:rPr>
        <w:t>All other schedules are omitted because they are not applicable, not required under the instructions, or the requested information is shown in the consolidated financial statements or related notes thereto.</w:t>
      </w:r>
    </w:p>
    <w:p>
      <w:pPr>
        <w:spacing w:after="0" w:line="200" w:lineRule="exact"/>
        <w:rPr>
          <w:sz w:val="20"/>
          <w:szCs w:val="20"/>
          <w:color w:val="auto"/>
        </w:rPr>
      </w:pPr>
    </w:p>
    <w:p>
      <w:pPr>
        <w:spacing w:after="0" w:line="2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(b) Exhibits—The following exhibits are included herein or incorporated herein by reference:</w:t>
      </w:r>
    </w:p>
    <w:p>
      <w:pPr>
        <w:sectPr>
          <w:pgSz w:w="11900" w:h="16838" w:orient="portrait"/>
          <w:cols w:equalWidth="0" w:num="1">
            <w:col w:w="11220"/>
          </w:cols>
          <w:pgMar w:left="320" w:top="121" w:right="359" w:bottom="1440" w:gutter="0" w:footer="0" w:header="0"/>
        </w:sectPr>
      </w:pP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Exhibit</w:t>
      </w: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 of Document</w:t>
      </w:r>
    </w:p>
    <w:p>
      <w:pPr>
        <w:spacing w:after="0" w:line="45" w:lineRule="exact"/>
        <w:rPr>
          <w:sz w:val="20"/>
          <w:szCs w:val="20"/>
          <w:color w:val="auto"/>
        </w:rPr>
      </w:pPr>
    </w:p>
    <w:p>
      <w:pPr>
        <w:ind w:right="800"/>
        <w:spacing w:after="0" w:line="233" w:lineRule="auto"/>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Agreement and Plan of Merger and Reorganization, dated as of September 19, 2011, by and among Azur Pharma Limited (now</w:t>
        </w:r>
      </w:hyperlink>
      <w:r>
        <w:rPr>
          <w:rFonts w:ascii="Times New Roman" w:cs="Times New Roman" w:eastAsia="Times New Roman" w:hAnsi="Times New Roman"/>
          <w:sz w:val="18"/>
          <w:szCs w:val="18"/>
          <w:u w:val="single" w:color="auto"/>
          <w:color w:val="0000FF"/>
        </w:rPr>
        <w:t xml:space="preserve"> </w:t>
      </w:r>
      <w:hyperlink r:id="rId115">
        <w:r>
          <w:rPr>
            <w:rFonts w:ascii="Times New Roman" w:cs="Times New Roman" w:eastAsia="Times New Roman" w:hAnsi="Times New Roman"/>
            <w:sz w:val="18"/>
            <w:szCs w:val="18"/>
            <w:u w:val="single" w:color="auto"/>
            <w:color w:val="0000FF"/>
          </w:rPr>
          <w:t>Jazz Pharmaceuticals plc), Jaguar Merger Sub Inc., Jazz Pharmaceuticals, Inc. and Seamus Mulligan, solely in his capacity as</w:t>
        </w:r>
      </w:hyperlink>
      <w:r>
        <w:rPr>
          <w:rFonts w:ascii="Times New Roman" w:cs="Times New Roman" w:eastAsia="Times New Roman" w:hAnsi="Times New Roman"/>
          <w:sz w:val="18"/>
          <w:szCs w:val="18"/>
          <w:u w:val="single" w:color="auto"/>
          <w:color w:val="0000FF"/>
        </w:rPr>
        <w:t xml:space="preserve"> </w:t>
      </w:r>
      <w:hyperlink r:id="rId115">
        <w:r>
          <w:rPr>
            <w:rFonts w:ascii="Times New Roman" w:cs="Times New Roman" w:eastAsia="Times New Roman" w:hAnsi="Times New Roman"/>
            <w:sz w:val="18"/>
            <w:szCs w:val="18"/>
            <w:u w:val="single" w:color="auto"/>
            <w:color w:val="0000FF"/>
          </w:rPr>
          <w:t>the Indemnitors’ Representative (incorporated herein by reference to Exhibit 2.1 in Jazz Pharmaceuticals, Inc.’s Current Report</w:t>
        </w:r>
      </w:hyperlink>
      <w:r>
        <w:rPr>
          <w:rFonts w:ascii="Times New Roman" w:cs="Times New Roman" w:eastAsia="Times New Roman" w:hAnsi="Times New Roman"/>
          <w:sz w:val="18"/>
          <w:szCs w:val="18"/>
          <w:u w:val="single" w:color="auto"/>
          <w:color w:val="0000FF"/>
        </w:rPr>
        <w:t xml:space="preserve"> </w:t>
      </w:r>
      <w:hyperlink r:id="rId115">
        <w:r>
          <w:rPr>
            <w:rFonts w:ascii="Times New Roman" w:cs="Times New Roman" w:eastAsia="Times New Roman" w:hAnsi="Times New Roman"/>
            <w:sz w:val="18"/>
            <w:szCs w:val="18"/>
            <w:u w:val="single" w:color="auto"/>
            <w:color w:val="0000FF"/>
          </w:rPr>
          <w:t>on Form 8-K (File No. 001-33500) filed with the SEC on September 19, 2011).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-871855</wp:posOffset>
            </wp:positionH>
            <wp:positionV relativeFrom="paragraph">
              <wp:posOffset>-506730</wp:posOffset>
            </wp:positionV>
            <wp:extent cx="6703060" cy="515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6703060" cy="515620"/>
                    </a:xfrm>
                    <a:prstGeom prst="rect">
                      <a:avLst/>
                    </a:prstGeom>
                    <a:noFill/>
                  </pic:spPr>
                </pic:pic>
              </a:graphicData>
            </a:graphic>
          </wp:anchor>
        </w:drawing>
      </w:r>
    </w:p>
    <w:p>
      <w:pPr>
        <w:jc w:val="both"/>
        <w:ind w:right="840"/>
        <w:spacing w:after="0" w:line="238" w:lineRule="auto"/>
        <w:rPr>
          <w:rFonts w:ascii="Times New Roman" w:cs="Times New Roman" w:eastAsia="Times New Roman" w:hAnsi="Times New Roman"/>
          <w:sz w:val="18"/>
          <w:szCs w:val="18"/>
          <w:u w:val="single" w:color="auto"/>
          <w:color w:val="0000FF"/>
        </w:rPr>
      </w:pPr>
      <w:hyperlink r:id="rId117">
        <w:r>
          <w:rPr>
            <w:rFonts w:ascii="Times New Roman" w:cs="Times New Roman" w:eastAsia="Times New Roman" w:hAnsi="Times New Roman"/>
            <w:sz w:val="18"/>
            <w:szCs w:val="18"/>
            <w:u w:val="single" w:color="auto"/>
            <w:color w:val="0000FF"/>
          </w:rPr>
          <w:t>Agreement and Plan of Merger, dated as of May 27, 2016, by and among Jazz Pharmaceuticals plc, Plex Merger Sub, Inc., and</w:t>
        </w:r>
      </w:hyperlink>
      <w:r>
        <w:rPr>
          <w:rFonts w:ascii="Times New Roman" w:cs="Times New Roman" w:eastAsia="Times New Roman" w:hAnsi="Times New Roman"/>
          <w:sz w:val="18"/>
          <w:szCs w:val="18"/>
          <w:u w:val="single" w:color="auto"/>
          <w:color w:val="0000FF"/>
        </w:rPr>
        <w:t xml:space="preserve"> </w:t>
      </w:r>
      <w:hyperlink r:id="rId117">
        <w:r>
          <w:rPr>
            <w:rFonts w:ascii="Times New Roman" w:cs="Times New Roman" w:eastAsia="Times New Roman" w:hAnsi="Times New Roman"/>
            <w:sz w:val="18"/>
            <w:szCs w:val="18"/>
            <w:u w:val="single" w:color="auto"/>
            <w:color w:val="0000FF"/>
          </w:rPr>
          <w:t>Celator Pharmaceuticals, Inc. (incorporated herein by reference to Exhibit 2.1 in Jazz Pharmaceuticals plc’s Current Report on</w:t>
        </w:r>
      </w:hyperlink>
      <w:r>
        <w:rPr>
          <w:rFonts w:ascii="Times New Roman" w:cs="Times New Roman" w:eastAsia="Times New Roman" w:hAnsi="Times New Roman"/>
          <w:sz w:val="18"/>
          <w:szCs w:val="18"/>
          <w:u w:val="single" w:color="auto"/>
          <w:color w:val="0000FF"/>
        </w:rPr>
        <w:t xml:space="preserve"> </w:t>
      </w:r>
      <w:hyperlink r:id="rId117">
        <w:r>
          <w:rPr>
            <w:rFonts w:ascii="Times New Roman" w:cs="Times New Roman" w:eastAsia="Times New Roman" w:hAnsi="Times New Roman"/>
            <w:sz w:val="18"/>
            <w:szCs w:val="18"/>
            <w:u w:val="single" w:color="auto"/>
            <w:color w:val="0000FF"/>
          </w:rPr>
          <w:t>Form 8-K (File No. 001-33500), as filed with the SEC on May 31, 2016).</w:t>
        </w:r>
      </w:hyperlink>
    </w:p>
    <w:p>
      <w:pPr>
        <w:spacing w:after="0" w:line="20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60" w:space="720"/>
            <w:col w:w="9840"/>
          </w:cols>
          <w:pgMar w:left="320" w:top="121" w:right="359" w:bottom="1440" w:gutter="0" w:footer="0" w:header="0"/>
          <w:type w:val="continuous"/>
        </w:sectPr>
      </w:pPr>
    </w:p>
    <w:p>
      <w:pPr>
        <w:spacing w:after="0" w:line="200" w:lineRule="exact"/>
        <w:rPr>
          <w:rFonts w:ascii="Times New Roman" w:cs="Times New Roman" w:eastAsia="Times New Roman" w:hAnsi="Times New Roman"/>
          <w:sz w:val="18"/>
          <w:szCs w:val="18"/>
          <w:u w:val="single" w:color="auto"/>
          <w:color w:val="0000FF"/>
        </w:rPr>
      </w:pPr>
    </w:p>
    <w:p>
      <w:pPr>
        <w:spacing w:after="0" w:line="236" w:lineRule="exact"/>
        <w:rPr>
          <w:rFonts w:ascii="Times New Roman" w:cs="Times New Roman" w:eastAsia="Times New Roman" w:hAnsi="Times New Roman"/>
          <w:sz w:val="18"/>
          <w:szCs w:val="18"/>
          <w:u w:val="single" w:color="auto"/>
          <w:color w:val="0000FF"/>
        </w:rPr>
      </w:pPr>
    </w:p>
    <w:p>
      <w:pPr>
        <w:jc w:val="center"/>
        <w:ind w:right="-39"/>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-8255</wp:posOffset>
            </wp:positionH>
            <wp:positionV relativeFrom="paragraph">
              <wp:posOffset>77470</wp:posOffset>
            </wp:positionV>
            <wp:extent cx="715962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02" w:name="page103"/>
    <w:bookmarkEnd w:id="102"/>
    <w:tbl>
      <w:tblPr>
        <w:tblLayout w:type="fixed"/>
        <w:tblInd w:w="0" w:type="dxa"/>
        <w:tblCellMar>
          <w:top w:w="0" w:type="dxa"/>
          <w:left w:w="0" w:type="dxa"/>
          <w:bottom w:w="0" w:type="dxa"/>
          <w:right w:w="0" w:type="dxa"/>
        </w:tblCellMar>
      </w:tblPr>
      <w:tr>
        <w:trPr>
          <w:trHeight w:val="207"/>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Table of Contents</w:t>
            </w:r>
          </w:p>
        </w:tc>
        <w:tc>
          <w:tcPr>
            <w:tcW w:w="1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2"/>
        </w:trPr>
        <w:tc>
          <w:tcPr>
            <w:tcW w:w="20" w:type="dxa"/>
            <w:vAlign w:val="bottom"/>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4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6"/>
                <w:szCs w:val="16"/>
                <w:color w:val="auto"/>
              </w:rPr>
            </w:pPr>
          </w:p>
        </w:tc>
        <w:tc>
          <w:tcPr>
            <w:tcW w:w="9240" w:type="dxa"/>
            <w:vAlign w:val="bottom"/>
            <w:gridSpan w:val="41"/>
            <w:shd w:val="clear" w:color="auto" w:fill="CCEEFF"/>
          </w:tcPr>
          <w:p>
            <w:pPr>
              <w:spacing w:after="0" w:line="187"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Transaction Agreement, dated as of February 3, 2021, by and among Jazz Pharmaceuticals UK Holdings Limited, Jazz</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440" w:type="dxa"/>
            <w:vAlign w:val="bottom"/>
            <w:tcBorders>
              <w:top w:val="single" w:sz="8" w:color="0000FF"/>
            </w:tcBorders>
            <w:gridSpan w:val="16"/>
            <w:shd w:val="clear" w:color="auto" w:fill="CCEEFF"/>
          </w:tcPr>
          <w:p>
            <w:pPr>
              <w:spacing w:after="0" w:line="166" w:lineRule="exact"/>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Pharmaceuticals Public Limited Company and GW Pharmaceuticals PLC (incorporated herein by reference to Exhibit</w:t>
              </w:r>
            </w:hyperlink>
          </w:p>
        </w:tc>
        <w:tc>
          <w:tcPr>
            <w:tcW w:w="800" w:type="dxa"/>
            <w:vAlign w:val="bottom"/>
            <w:tcBorders>
              <w:top w:val="single" w:sz="8" w:color="CCEEFF"/>
            </w:tcBorders>
            <w:gridSpan w:val="25"/>
            <w:shd w:val="clear" w:color="auto" w:fill="CCEEFF"/>
          </w:tcPr>
          <w:p>
            <w:pPr>
              <w:spacing w:after="0" w:line="16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2.1 in</w:t>
              </w:r>
            </w:hyperlink>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720" w:type="dxa"/>
            <w:vAlign w:val="bottom"/>
            <w:tcBorders>
              <w:top w:val="single" w:sz="8" w:color="0000FF"/>
              <w:bottom w:val="single" w:sz="8" w:color="0000FF"/>
            </w:tcBorders>
            <w:gridSpan w:val="19"/>
            <w:shd w:val="clear" w:color="auto" w:fill="CCEEFF"/>
          </w:tcPr>
          <w:p>
            <w:pPr>
              <w:spacing w:after="0" w:line="180" w:lineRule="exact"/>
              <w:rPr>
                <w:rFonts w:ascii="Times New Roman" w:cs="Times New Roman" w:eastAsia="Times New Roman" w:hAnsi="Times New Roman"/>
                <w:sz w:val="18"/>
                <w:szCs w:val="18"/>
                <w:color w:val="0000FF"/>
                <w:w w:val="98"/>
              </w:rPr>
            </w:pPr>
            <w:hyperlink r:id="rId119">
              <w:r>
                <w:rPr>
                  <w:rFonts w:ascii="Times New Roman" w:cs="Times New Roman" w:eastAsia="Times New Roman" w:hAnsi="Times New Roman"/>
                  <w:sz w:val="18"/>
                  <w:szCs w:val="18"/>
                  <w:color w:val="0000FF"/>
                  <w:w w:val="98"/>
                </w:rPr>
                <w:t>Jazz Pharmaceuticals plc’s Current Report on Form 8-K (File No. 001-33500), as filed with the SEC on February 4, 2021).</w:t>
              </w:r>
            </w:hyperlink>
          </w:p>
        </w:tc>
        <w:tc>
          <w:tcPr>
            <w:tcW w:w="120" w:type="dxa"/>
            <w:vAlign w:val="bottom"/>
            <w:tcBorders>
              <w:top w:val="single" w:sz="8" w:color="0000FF"/>
              <w:bottom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4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6"/>
                <w:szCs w:val="16"/>
                <w:color w:val="auto"/>
              </w:rPr>
            </w:pPr>
          </w:p>
        </w:tc>
        <w:tc>
          <w:tcPr>
            <w:tcW w:w="9240" w:type="dxa"/>
            <w:vAlign w:val="bottom"/>
            <w:gridSpan w:val="41"/>
          </w:tcPr>
          <w:p>
            <w:pPr>
              <w:spacing w:after="0" w:line="187"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License and Collaboration Agreement, dated October 18, 2022, between Jazz Pharmaceuticals Ireland Limited and Zymeworks</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20" w:type="dxa"/>
            <w:vAlign w:val="bottom"/>
            <w:tcBorders>
              <w:top w:val="single" w:sz="8" w:color="0000FF"/>
            </w:tcBorders>
            <w:gridSpan w:val="40"/>
          </w:tcPr>
          <w:p>
            <w:pPr>
              <w:spacing w:after="0" w:line="16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BC Inc. (incorporated herein by reference to Exhibit 2.1 in Jazz Pharmaceuticals plc’s Current Report on Form 8-K (File No.</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80" w:type="dxa"/>
            <w:vAlign w:val="bottom"/>
            <w:tcBorders>
              <w:top w:val="single" w:sz="8" w:color="0000FF"/>
            </w:tcBorders>
            <w:gridSpan w:val="23"/>
          </w:tcPr>
          <w:p>
            <w:pPr>
              <w:spacing w:after="0" w:line="180"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001-033500), as filed with the SEC on December 5, 2022).</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continue"/>
          </w:tcPr>
          <w:p>
            <w:pPr>
              <w:spacing w:after="0"/>
              <w:rPr>
                <w:sz w:val="16"/>
                <w:szCs w:val="16"/>
                <w:color w:val="auto"/>
              </w:rPr>
            </w:pPr>
          </w:p>
        </w:tc>
        <w:tc>
          <w:tcPr>
            <w:tcW w:w="124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6"/>
                <w:szCs w:val="16"/>
                <w:color w:val="auto"/>
              </w:rPr>
            </w:pPr>
          </w:p>
        </w:tc>
        <w:tc>
          <w:tcPr>
            <w:tcW w:w="9240" w:type="dxa"/>
            <w:vAlign w:val="bottom"/>
            <w:gridSpan w:val="41"/>
            <w:shd w:val="clear" w:color="auto" w:fill="CCEEFF"/>
          </w:tcPr>
          <w:p>
            <w:pPr>
              <w:spacing w:after="0" w:line="187"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Amended and Restated Memorandum and Articles of Association of Jazz Pharmaceuticals plc, as amended on August 4, 2016</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080" w:type="dxa"/>
            <w:vAlign w:val="bottom"/>
            <w:tcBorders>
              <w:top w:val="single" w:sz="8" w:color="0000FF"/>
            </w:tcBorders>
            <w:gridSpan w:val="33"/>
            <w:shd w:val="clear" w:color="auto" w:fill="CCEEFF"/>
          </w:tcPr>
          <w:p>
            <w:pPr>
              <w:spacing w:after="0" w:line="16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(incorporated herein by reference to Exhibit 3.1 in Jazz Pharmaceuticals plc’s Quarterly Report on Form 10-Q (File No. 001-</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80" w:type="dxa"/>
            <w:vAlign w:val="bottom"/>
            <w:tcBorders>
              <w:top w:val="single" w:sz="8" w:color="0000FF"/>
              <w:bottom w:val="single" w:sz="8" w:color="0000FF"/>
            </w:tcBorders>
            <w:gridSpan w:val="8"/>
            <w:shd w:val="clear" w:color="auto" w:fill="CCEEFF"/>
          </w:tcPr>
          <w:p>
            <w:pPr>
              <w:spacing w:after="0" w:line="180" w:lineRule="exact"/>
              <w:rPr>
                <w:rFonts w:ascii="Times New Roman" w:cs="Times New Roman" w:eastAsia="Times New Roman" w:hAnsi="Times New Roman"/>
                <w:sz w:val="18"/>
                <w:szCs w:val="18"/>
                <w:color w:val="0000FF"/>
                <w:w w:val="98"/>
              </w:rPr>
            </w:pPr>
            <w:hyperlink r:id="rId121">
              <w:r>
                <w:rPr>
                  <w:rFonts w:ascii="Times New Roman" w:cs="Times New Roman" w:eastAsia="Times New Roman" w:hAnsi="Times New Roman"/>
                  <w:sz w:val="18"/>
                  <w:szCs w:val="18"/>
                  <w:color w:val="0000FF"/>
                  <w:w w:val="98"/>
                </w:rPr>
                <w:t>33500) for the period ended June 30, 2016, as filed with the SEC on August 9, 2016).</w:t>
              </w:r>
            </w:hyperlink>
          </w:p>
        </w:tc>
        <w:tc>
          <w:tcPr>
            <w:tcW w:w="2780" w:type="dxa"/>
            <w:vAlign w:val="bottom"/>
            <w:tcBorders>
              <w:top w:val="single" w:sz="8" w:color="0000FF"/>
              <w:bottom w:val="single" w:sz="8" w:color="CCEEFF"/>
            </w:tcBorders>
            <w:gridSpan w:val="14"/>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4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6"/>
                <w:szCs w:val="16"/>
                <w:color w:val="auto"/>
              </w:rPr>
            </w:pPr>
          </w:p>
        </w:tc>
        <w:tc>
          <w:tcPr>
            <w:tcW w:w="9240" w:type="dxa"/>
            <w:vAlign w:val="bottom"/>
            <w:gridSpan w:val="41"/>
          </w:tcPr>
          <w:p>
            <w:pPr>
              <w:spacing w:after="0" w:line="187"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Reference is made to Exhibit 3.1.</w:t>
              </w:r>
            </w:hyperlink>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24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4.2A</w:t>
            </w:r>
          </w:p>
        </w:tc>
        <w:tc>
          <w:tcPr>
            <w:tcW w:w="120" w:type="dxa"/>
            <w:vAlign w:val="bottom"/>
            <w:shd w:val="clear" w:color="auto" w:fill="CCEEFF"/>
          </w:tcPr>
          <w:p>
            <w:pPr>
              <w:spacing w:after="0"/>
              <w:rPr>
                <w:sz w:val="16"/>
                <w:szCs w:val="16"/>
                <w:color w:val="auto"/>
              </w:rPr>
            </w:pPr>
          </w:p>
        </w:tc>
        <w:tc>
          <w:tcPr>
            <w:tcW w:w="9240" w:type="dxa"/>
            <w:vAlign w:val="bottom"/>
            <w:gridSpan w:val="41"/>
            <w:shd w:val="clear" w:color="auto" w:fill="CCEEFF"/>
          </w:tcPr>
          <w:p>
            <w:pPr>
              <w:spacing w:after="0" w:line="187"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Investor Rights Agreement, dated July 7, 2009 by and between Jazz Pharmaceuticals, Inc. and the other parties named therein</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040" w:type="dxa"/>
            <w:vAlign w:val="bottom"/>
            <w:tcBorders>
              <w:top w:val="single" w:sz="8" w:color="0000FF"/>
            </w:tcBorders>
            <w:gridSpan w:val="31"/>
            <w:shd w:val="clear" w:color="auto" w:fill="CCEEFF"/>
          </w:tcPr>
          <w:p>
            <w:pPr>
              <w:spacing w:after="0" w:line="166" w:lineRule="exact"/>
              <w:rPr>
                <w:rFonts w:ascii="Times New Roman" w:cs="Times New Roman" w:eastAsia="Times New Roman" w:hAnsi="Times New Roman"/>
                <w:sz w:val="18"/>
                <w:szCs w:val="18"/>
                <w:color w:val="0000FF"/>
                <w:w w:val="99"/>
              </w:rPr>
            </w:pPr>
            <w:hyperlink r:id="rId122">
              <w:r>
                <w:rPr>
                  <w:rFonts w:ascii="Times New Roman" w:cs="Times New Roman" w:eastAsia="Times New Roman" w:hAnsi="Times New Roman"/>
                  <w:sz w:val="18"/>
                  <w:szCs w:val="18"/>
                  <w:color w:val="0000FF"/>
                  <w:w w:val="99"/>
                </w:rPr>
                <w:t>(incorporated herein by reference to Exhibit 10.88 in Jazz Pharmaceuticals, Inc.’s Current Report on Form 8-K (File No. 001-</w:t>
              </w:r>
            </w:hyperlink>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980" w:type="dxa"/>
            <w:vAlign w:val="bottom"/>
            <w:tcBorders>
              <w:top w:val="single" w:sz="8" w:color="0000FF"/>
            </w:tcBorders>
            <w:gridSpan w:val="28"/>
            <w:shd w:val="clear" w:color="auto" w:fill="CCEEFF"/>
          </w:tcPr>
          <w:p>
            <w:pPr>
              <w:spacing w:after="0" w:line="180"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33500)</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as filed with the SEC on July 7, 2009).</w:t>
              </w:r>
            </w:hyperlink>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96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24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4.2B</w:t>
            </w:r>
          </w:p>
        </w:tc>
        <w:tc>
          <w:tcPr>
            <w:tcW w:w="120" w:type="dxa"/>
            <w:vAlign w:val="bottom"/>
          </w:tcPr>
          <w:p>
            <w:pPr>
              <w:spacing w:after="0"/>
              <w:rPr>
                <w:sz w:val="16"/>
                <w:szCs w:val="16"/>
                <w:color w:val="auto"/>
              </w:rPr>
            </w:pPr>
          </w:p>
        </w:tc>
        <w:tc>
          <w:tcPr>
            <w:tcW w:w="9240" w:type="dxa"/>
            <w:vAlign w:val="bottom"/>
            <w:gridSpan w:val="41"/>
          </w:tcPr>
          <w:p>
            <w:pPr>
              <w:spacing w:after="0" w:line="187"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Assignment, Assumption and Amendment Agreement, dated as of January 18, 2012, by and among Jazz Pharmaceuticals, Inc.,</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160" w:type="dxa"/>
            <w:vAlign w:val="bottom"/>
            <w:tcBorders>
              <w:top w:val="single" w:sz="8" w:color="0000FF"/>
            </w:tcBorders>
            <w:gridSpan w:val="37"/>
          </w:tcPr>
          <w:p>
            <w:pPr>
              <w:spacing w:after="0" w:line="16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Jazz Pharmaceuticals plc and the other parties named therein (incorporated herein by reference to Exhibit 4.7B in the Annual</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900" w:type="dxa"/>
            <w:vAlign w:val="bottom"/>
            <w:tcBorders>
              <w:top w:val="single" w:sz="8" w:color="0000FF"/>
              <w:bottom w:val="single" w:sz="8" w:color="0000FF"/>
            </w:tcBorders>
            <w:gridSpan w:val="24"/>
          </w:tcPr>
          <w:p>
            <w:pPr>
              <w:spacing w:after="0" w:line="180" w:lineRule="exact"/>
              <w:rPr>
                <w:rFonts w:ascii="Times New Roman" w:cs="Times New Roman" w:eastAsia="Times New Roman" w:hAnsi="Times New Roman"/>
                <w:sz w:val="18"/>
                <w:szCs w:val="18"/>
                <w:color w:val="0000FF"/>
                <w:w w:val="98"/>
              </w:rPr>
            </w:pPr>
            <w:hyperlink r:id="rId123">
              <w:r>
                <w:rPr>
                  <w:rFonts w:ascii="Times New Roman" w:cs="Times New Roman" w:eastAsia="Times New Roman" w:hAnsi="Times New Roman"/>
                  <w:sz w:val="18"/>
                  <w:szCs w:val="18"/>
                  <w:color w:val="0000FF"/>
                  <w:w w:val="98"/>
                </w:rPr>
                <w:t>Report on Form 10-K (File No. 001-33500) for the period ended December 31, 2011, as filed by Jazz Pharmaceuticals plc on</w:t>
              </w:r>
            </w:hyperlink>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920" w:type="dxa"/>
            <w:vAlign w:val="bottom"/>
            <w:gridSpan w:val="25"/>
          </w:tcPr>
          <w:p>
            <w:pPr>
              <w:spacing w:after="0" w:line="16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behalf of and as successor to Jazz Pharmaceuticals, Inc. with the SEC on February 28, 2012).</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13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24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4.3A</w:t>
            </w:r>
          </w:p>
        </w:tc>
        <w:tc>
          <w:tcPr>
            <w:tcW w:w="120" w:type="dxa"/>
            <w:vAlign w:val="bottom"/>
            <w:shd w:val="clear" w:color="auto" w:fill="CCEEFF"/>
          </w:tcPr>
          <w:p>
            <w:pPr>
              <w:spacing w:after="0"/>
              <w:rPr>
                <w:sz w:val="16"/>
                <w:szCs w:val="16"/>
                <w:color w:val="auto"/>
              </w:rPr>
            </w:pPr>
          </w:p>
        </w:tc>
        <w:tc>
          <w:tcPr>
            <w:tcW w:w="9240" w:type="dxa"/>
            <w:vAlign w:val="bottom"/>
            <w:gridSpan w:val="41"/>
            <w:shd w:val="clear" w:color="auto" w:fill="CCEEFF"/>
          </w:tcPr>
          <w:p>
            <w:pPr>
              <w:spacing w:after="0" w:line="187"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Indenture, dated as of August 23, 2017, among Jazz Pharmaceuticals Public Limited Company, Jazz Investments I Limited and</w:t>
              </w:r>
            </w:hyperlink>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140" w:type="dxa"/>
            <w:vAlign w:val="bottom"/>
            <w:tcBorders>
              <w:top w:val="single" w:sz="8" w:color="0000FF"/>
            </w:tcBorders>
            <w:gridSpan w:val="36"/>
            <w:shd w:val="clear" w:color="auto" w:fill="CCEEFF"/>
          </w:tcPr>
          <w:p>
            <w:pPr>
              <w:spacing w:after="0" w:line="153" w:lineRule="exact"/>
              <w:rPr>
                <w:rFonts w:ascii="Times New Roman" w:cs="Times New Roman" w:eastAsia="Times New Roman" w:hAnsi="Times New Roman"/>
                <w:sz w:val="17"/>
                <w:szCs w:val="17"/>
                <w:color w:val="0000FF"/>
              </w:rPr>
            </w:pPr>
            <w:hyperlink r:id="rId124">
              <w:r>
                <w:rPr>
                  <w:rFonts w:ascii="Times New Roman" w:cs="Times New Roman" w:eastAsia="Times New Roman" w:hAnsi="Times New Roman"/>
                  <w:sz w:val="17"/>
                  <w:szCs w:val="17"/>
                  <w:color w:val="0000FF"/>
                </w:rPr>
                <w:t>U.S. Bank National Association (incorporated herein by reference to Exhibit 4.1 in Jazz Pharmaceuticals plc’s Current Report</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060" w:type="dxa"/>
            <w:vAlign w:val="bottom"/>
            <w:tcBorders>
              <w:top w:val="single" w:sz="8" w:color="0000FF"/>
            </w:tcBorders>
            <w:gridSpan w:val="32"/>
            <w:shd w:val="clear" w:color="auto" w:fill="CCEEFF"/>
          </w:tcPr>
          <w:p>
            <w:pPr>
              <w:spacing w:after="0" w:line="16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on Form 8-K (File No. 001-33500), as filed with the SEC on August 23, 2017).</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96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3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24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4.3B</w:t>
            </w:r>
          </w:p>
        </w:tc>
        <w:tc>
          <w:tcPr>
            <w:tcW w:w="120" w:type="dxa"/>
            <w:vAlign w:val="bottom"/>
          </w:tcPr>
          <w:p>
            <w:pPr>
              <w:spacing w:after="0"/>
              <w:rPr>
                <w:sz w:val="16"/>
                <w:szCs w:val="16"/>
                <w:color w:val="auto"/>
              </w:rPr>
            </w:pPr>
          </w:p>
        </w:tc>
        <w:tc>
          <w:tcPr>
            <w:tcW w:w="9240" w:type="dxa"/>
            <w:vAlign w:val="bottom"/>
            <w:gridSpan w:val="41"/>
          </w:tcPr>
          <w:p>
            <w:pPr>
              <w:spacing w:after="0" w:line="187"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Form of 1.50% Exchangeable Senior Note due 2024 (incorporated herein by reference to Exhibit 4.1 in Jazz Pharmaceuticals</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940" w:type="dxa"/>
            <w:vAlign w:val="bottom"/>
            <w:tcBorders>
              <w:top w:val="single" w:sz="8" w:color="0000FF"/>
            </w:tcBorders>
            <w:gridSpan w:val="26"/>
          </w:tcPr>
          <w:p>
            <w:pPr>
              <w:spacing w:after="0" w:line="16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plc’s Current Report on Form 8-K (File No. 001-33500), as filed with the SEC on August 23, 2017).</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3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4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4.4A</w:t>
            </w:r>
          </w:p>
        </w:tc>
        <w:tc>
          <w:tcPr>
            <w:tcW w:w="120" w:type="dxa"/>
            <w:vAlign w:val="bottom"/>
            <w:shd w:val="clear" w:color="auto" w:fill="CCEEFF"/>
          </w:tcPr>
          <w:p>
            <w:pPr>
              <w:spacing w:after="0"/>
              <w:rPr>
                <w:sz w:val="16"/>
                <w:szCs w:val="16"/>
                <w:color w:val="auto"/>
              </w:rPr>
            </w:pPr>
          </w:p>
        </w:tc>
        <w:tc>
          <w:tcPr>
            <w:tcW w:w="9240" w:type="dxa"/>
            <w:vAlign w:val="bottom"/>
            <w:gridSpan w:val="41"/>
            <w:shd w:val="clear" w:color="auto" w:fill="CCEEFF"/>
          </w:tcPr>
          <w:p>
            <w:pPr>
              <w:spacing w:after="0" w:line="187"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Indenture, dated as of June 11, 2020 among Jazz Pharmaceuticals Public Limited Company, Jazz Investments I Limited and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80" w:type="dxa"/>
            <w:vAlign w:val="bottom"/>
            <w:gridSpan w:val="7"/>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gridSpan w:val="4"/>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40" w:type="dxa"/>
            <w:vAlign w:val="bottom"/>
            <w:gridSpan w:val="41"/>
            <w:shd w:val="clear" w:color="auto" w:fill="CCEEFF"/>
          </w:tcPr>
          <w:p>
            <w:pPr>
              <w:spacing w:after="0" w:line="16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U.S. Bank National Association (incorporated herein by reference to Exhibit 4.1 in Jazz Pharmaceuticals plc’s Current Report</w:t>
              </w:r>
            </w:hyperlink>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060" w:type="dxa"/>
            <w:vAlign w:val="bottom"/>
            <w:tcBorders>
              <w:top w:val="single" w:sz="8" w:color="0000FF"/>
            </w:tcBorders>
            <w:gridSpan w:val="32"/>
            <w:shd w:val="clear" w:color="auto" w:fill="CCEEFF"/>
          </w:tcPr>
          <w:p>
            <w:pPr>
              <w:spacing w:after="0" w:line="180"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on Form 8-K (File No. 001-033500), as filed with the SEC on June 11, 2020).</w:t>
              </w:r>
            </w:hyperlink>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96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13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24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4.4B</w:t>
            </w:r>
          </w:p>
        </w:tc>
        <w:tc>
          <w:tcPr>
            <w:tcW w:w="120" w:type="dxa"/>
            <w:vAlign w:val="bottom"/>
          </w:tcPr>
          <w:p>
            <w:pPr>
              <w:spacing w:after="0"/>
              <w:rPr>
                <w:sz w:val="16"/>
                <w:szCs w:val="16"/>
                <w:color w:val="auto"/>
              </w:rPr>
            </w:pPr>
          </w:p>
        </w:tc>
        <w:tc>
          <w:tcPr>
            <w:tcW w:w="9240" w:type="dxa"/>
            <w:vAlign w:val="bottom"/>
            <w:gridSpan w:val="41"/>
          </w:tcPr>
          <w:p>
            <w:pPr>
              <w:spacing w:after="0" w:line="187"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Form of 2.000% Exchangeable Senior Note due 2026 (incorporated herein by reference to Exhibit 4.2 in Jazz Pharmaceuticals</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120" w:type="dxa"/>
            <w:vAlign w:val="bottom"/>
            <w:tcBorders>
              <w:top w:val="single" w:sz="8" w:color="0000FF"/>
            </w:tcBorders>
            <w:gridSpan w:val="35"/>
          </w:tcPr>
          <w:p>
            <w:pPr>
              <w:spacing w:after="0" w:line="16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plc’s Current Report on Form 8-K (File No. 001-033500), as filed with the SEC on June 11, 2020).</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3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4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4.5A</w:t>
            </w:r>
          </w:p>
        </w:tc>
        <w:tc>
          <w:tcPr>
            <w:tcW w:w="120" w:type="dxa"/>
            <w:vAlign w:val="bottom"/>
            <w:shd w:val="clear" w:color="auto" w:fill="CCEEFF"/>
          </w:tcPr>
          <w:p>
            <w:pPr>
              <w:spacing w:after="0"/>
              <w:rPr>
                <w:sz w:val="16"/>
                <w:szCs w:val="16"/>
                <w:color w:val="auto"/>
              </w:rPr>
            </w:pPr>
          </w:p>
        </w:tc>
        <w:tc>
          <w:tcPr>
            <w:tcW w:w="9240" w:type="dxa"/>
            <w:vAlign w:val="bottom"/>
            <w:gridSpan w:val="41"/>
            <w:shd w:val="clear" w:color="auto" w:fill="CCEEFF"/>
          </w:tcPr>
          <w:p>
            <w:pPr>
              <w:spacing w:after="0" w:line="187"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Indenture, dated as of April 29, 2021, among Jazz Securities Designated Activity Company, the guarantors party thereto, U.S.</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020" w:type="dxa"/>
            <w:vAlign w:val="bottom"/>
            <w:tcBorders>
              <w:top w:val="single" w:sz="8" w:color="0000FF"/>
            </w:tcBorders>
            <w:gridSpan w:val="30"/>
            <w:shd w:val="clear" w:color="auto" w:fill="CCEEFF"/>
          </w:tcPr>
          <w:p>
            <w:pPr>
              <w:spacing w:after="0" w:line="16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Bank National Association, as trustee and acknowledged by U.S. Bank National Association, as collateral trustee.</w:t>
              </w:r>
            </w:hyperlink>
          </w:p>
        </w:tc>
        <w:tc>
          <w:tcPr>
            <w:tcW w:w="80" w:type="dxa"/>
            <w:vAlign w:val="bottom"/>
            <w:tcBorders>
              <w:top w:val="single" w:sz="8" w:color="CCEEFF"/>
            </w:tcBorders>
            <w:gridSpan w:val="4"/>
            <w:shd w:val="clear" w:color="auto" w:fill="CCEEFF"/>
          </w:tcPr>
          <w:p>
            <w:pPr>
              <w:spacing w:after="0"/>
              <w:rPr>
                <w:sz w:val="14"/>
                <w:szCs w:val="14"/>
                <w:color w:val="auto"/>
              </w:rPr>
            </w:pPr>
          </w:p>
        </w:tc>
        <w:tc>
          <w:tcPr>
            <w:tcW w:w="80" w:type="dxa"/>
            <w:vAlign w:val="bottom"/>
            <w:tcBorders>
              <w:top w:val="single" w:sz="8" w:color="CCEEFF"/>
            </w:tcBorders>
            <w:gridSpan w:val="4"/>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80" w:type="dxa"/>
            <w:vAlign w:val="bottom"/>
            <w:tcBorders>
              <w:top w:val="single" w:sz="8" w:color="0000FF"/>
            </w:tcBorders>
            <w:gridSpan w:val="14"/>
            <w:shd w:val="clear" w:color="auto" w:fill="CCEEFF"/>
          </w:tcPr>
          <w:p>
            <w:pPr>
              <w:spacing w:after="0" w:line="180" w:lineRule="exact"/>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(incorporated herein by reference to Exhibit 4.1 in Jazz Pharmaceuticals plc’s Current Report on Form 8-K (File</w:t>
              </w:r>
            </w:hyperlink>
          </w:p>
        </w:tc>
        <w:tc>
          <w:tcPr>
            <w:tcW w:w="1160" w:type="dxa"/>
            <w:vAlign w:val="bottom"/>
            <w:tcBorders>
              <w:top w:val="single" w:sz="8" w:color="CCEEFF"/>
            </w:tcBorders>
            <w:gridSpan w:val="27"/>
            <w:shd w:val="clear" w:color="auto" w:fill="CCEEFF"/>
          </w:tcPr>
          <w:p>
            <w:pPr>
              <w:spacing w:after="0" w:line="180"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No. 001-</w:t>
              </w:r>
            </w:hyperlink>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2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600" w:type="dxa"/>
            <w:vAlign w:val="bottom"/>
            <w:tcBorders>
              <w:top w:val="single" w:sz="8" w:color="0000FF"/>
              <w:bottom w:val="single" w:sz="8" w:color="0000FF"/>
            </w:tcBorders>
            <w:gridSpan w:val="4"/>
            <w:shd w:val="clear" w:color="auto" w:fill="CCEEFF"/>
          </w:tcPr>
          <w:p>
            <w:pPr>
              <w:spacing w:after="0" w:line="166" w:lineRule="exact"/>
              <w:rPr>
                <w:rFonts w:ascii="Times New Roman" w:cs="Times New Roman" w:eastAsia="Times New Roman" w:hAnsi="Times New Roman"/>
                <w:sz w:val="18"/>
                <w:szCs w:val="18"/>
                <w:color w:val="0000FF"/>
                <w:w w:val="98"/>
              </w:rPr>
            </w:pPr>
            <w:hyperlink r:id="rId126">
              <w:r>
                <w:rPr>
                  <w:rFonts w:ascii="Times New Roman" w:cs="Times New Roman" w:eastAsia="Times New Roman" w:hAnsi="Times New Roman"/>
                  <w:sz w:val="18"/>
                  <w:szCs w:val="18"/>
                  <w:color w:val="0000FF"/>
                  <w:w w:val="98"/>
                </w:rPr>
                <w:t>033500)</w:t>
              </w:r>
              <w:r>
                <w:rPr>
                  <w:rFonts w:ascii="Times New Roman" w:cs="Times New Roman" w:eastAsia="Times New Roman" w:hAnsi="Times New Roman"/>
                  <w:sz w:val="18"/>
                  <w:szCs w:val="18"/>
                  <w:u w:val="single" w:color="auto"/>
                  <w:color w:val="0000FF"/>
                  <w:w w:val="98"/>
                </w:rPr>
                <w:t>,</w:t>
              </w:r>
              <w:r>
                <w:rPr>
                  <w:rFonts w:ascii="Times New Roman" w:cs="Times New Roman" w:eastAsia="Times New Roman" w:hAnsi="Times New Roman"/>
                  <w:sz w:val="18"/>
                  <w:szCs w:val="18"/>
                  <w:color w:val="0000FF"/>
                  <w:w w:val="98"/>
                </w:rPr>
                <w:t xml:space="preserve"> as filed with the SEC on April 29, 2021).</w:t>
              </w:r>
            </w:hyperlink>
          </w:p>
        </w:tc>
        <w:tc>
          <w:tcPr>
            <w:tcW w:w="5040" w:type="dxa"/>
            <w:vAlign w:val="bottom"/>
            <w:tcBorders>
              <w:top w:val="single" w:sz="8" w:color="0000FF"/>
              <w:bottom w:val="single" w:sz="8" w:color="CCEEFF"/>
            </w:tcBorders>
            <w:gridSpan w:val="14"/>
            <w:shd w:val="clear" w:color="auto" w:fill="CCEEFF"/>
          </w:tcPr>
          <w:p>
            <w:pPr>
              <w:spacing w:after="0"/>
              <w:rPr>
                <w:sz w:val="17"/>
                <w:szCs w:val="17"/>
                <w:color w:val="auto"/>
              </w:rPr>
            </w:pPr>
          </w:p>
        </w:tc>
        <w:tc>
          <w:tcPr>
            <w:tcW w:w="320" w:type="dxa"/>
            <w:vAlign w:val="bottom"/>
            <w:tcBorders>
              <w:top w:val="single" w:sz="8" w:color="CCEEFF"/>
              <w:bottom w:val="single" w:sz="8" w:color="CCEEFF"/>
            </w:tcBorders>
            <w:gridSpan w:val="9"/>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00" w:type="dxa"/>
            <w:vAlign w:val="bottom"/>
            <w:tcBorders>
              <w:top w:val="single" w:sz="8" w:color="CCEEFF"/>
              <w:bottom w:val="single" w:sz="8" w:color="CCEEFF"/>
            </w:tcBorders>
            <w:gridSpan w:val="5"/>
            <w:shd w:val="clear" w:color="auto" w:fill="CCEEFF"/>
          </w:tcPr>
          <w:p>
            <w:pPr>
              <w:spacing w:after="0"/>
              <w:rPr>
                <w:sz w:val="17"/>
                <w:szCs w:val="17"/>
                <w:color w:val="auto"/>
              </w:rPr>
            </w:pPr>
          </w:p>
        </w:tc>
        <w:tc>
          <w:tcPr>
            <w:tcW w:w="80" w:type="dxa"/>
            <w:vAlign w:val="bottom"/>
            <w:tcBorders>
              <w:top w:val="single" w:sz="8" w:color="CCEEFF"/>
              <w:bottom w:val="single" w:sz="8" w:color="CCEEFF"/>
            </w:tcBorders>
            <w:gridSpan w:val="4"/>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4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4.5B</w:t>
            </w:r>
          </w:p>
        </w:tc>
        <w:tc>
          <w:tcPr>
            <w:tcW w:w="120" w:type="dxa"/>
            <w:vAlign w:val="bottom"/>
          </w:tcPr>
          <w:p>
            <w:pPr>
              <w:spacing w:after="0"/>
              <w:rPr>
                <w:sz w:val="16"/>
                <w:szCs w:val="16"/>
                <w:color w:val="auto"/>
              </w:rPr>
            </w:pPr>
          </w:p>
        </w:tc>
        <w:tc>
          <w:tcPr>
            <w:tcW w:w="9240" w:type="dxa"/>
            <w:vAlign w:val="bottom"/>
            <w:gridSpan w:val="41"/>
          </w:tcPr>
          <w:p>
            <w:pPr>
              <w:spacing w:after="0" w:line="187"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Form of 4.375% Senior Notes due 2029 (incorporated herein by reference to Exhibit 4.2 in Jazz Pharmaceuticals plc’s Current</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100" w:type="dxa"/>
            <w:vAlign w:val="bottom"/>
            <w:tcBorders>
              <w:top w:val="single" w:sz="8" w:color="0000FF"/>
            </w:tcBorders>
            <w:gridSpan w:val="34"/>
          </w:tcPr>
          <w:p>
            <w:pPr>
              <w:spacing w:after="0" w:line="16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Report on Form 8-K (File No. 001-033500), as filed with the SEC on April 29, 2021).</w:t>
              </w:r>
            </w:hyperlink>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3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4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4.5C</w:t>
            </w:r>
          </w:p>
        </w:tc>
        <w:tc>
          <w:tcPr>
            <w:tcW w:w="120" w:type="dxa"/>
            <w:vAlign w:val="bottom"/>
            <w:shd w:val="clear" w:color="auto" w:fill="CCEEFF"/>
          </w:tcPr>
          <w:p>
            <w:pPr>
              <w:spacing w:after="0"/>
              <w:rPr>
                <w:sz w:val="16"/>
                <w:szCs w:val="16"/>
                <w:color w:val="auto"/>
              </w:rPr>
            </w:pPr>
          </w:p>
        </w:tc>
        <w:tc>
          <w:tcPr>
            <w:tcW w:w="9240" w:type="dxa"/>
            <w:vAlign w:val="bottom"/>
            <w:gridSpan w:val="41"/>
            <w:shd w:val="clear" w:color="auto" w:fill="CCEEFF"/>
          </w:tcPr>
          <w:p>
            <w:pPr>
              <w:spacing w:after="0" w:line="187"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First Supplemental Indenture, dated as of July 21, 2021, among GW Pharmaceuticals Limited, GW Global Services</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220" w:type="dxa"/>
            <w:vAlign w:val="bottom"/>
            <w:tcBorders>
              <w:top w:val="single" w:sz="8" w:color="0000FF"/>
            </w:tcBorders>
            <w:gridSpan w:val="15"/>
            <w:shd w:val="clear" w:color="auto" w:fill="CCEEFF"/>
          </w:tcPr>
          <w:p>
            <w:pPr>
              <w:spacing w:after="0" w:line="16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(International) Limited, GW Pharma Limited, GW Research Limited, GW UK Services Limited and Greenwich</w:t>
              </w:r>
            </w:hyperlink>
          </w:p>
        </w:tc>
        <w:tc>
          <w:tcPr>
            <w:tcW w:w="1020" w:type="dxa"/>
            <w:vAlign w:val="bottom"/>
            <w:tcBorders>
              <w:top w:val="single" w:sz="8" w:color="CCEEFF"/>
            </w:tcBorders>
            <w:gridSpan w:val="26"/>
            <w:shd w:val="clear" w:color="auto" w:fill="CCEEFF"/>
          </w:tcPr>
          <w:p>
            <w:pPr>
              <w:spacing w:after="0" w:line="16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Biosciences,</w:t>
              </w:r>
            </w:hyperlink>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8960" w:type="dxa"/>
            <w:vAlign w:val="bottom"/>
            <w:tcBorders>
              <w:top w:val="single" w:sz="8" w:color="0000FF"/>
              <w:bottom w:val="single" w:sz="8" w:color="0000FF"/>
            </w:tcBorders>
            <w:gridSpan w:val="27"/>
            <w:shd w:val="clear" w:color="auto" w:fill="CCEEFF"/>
          </w:tcPr>
          <w:p>
            <w:pPr>
              <w:spacing w:after="0" w:line="180" w:lineRule="exact"/>
              <w:rPr>
                <w:rFonts w:ascii="Times New Roman" w:cs="Times New Roman" w:eastAsia="Times New Roman" w:hAnsi="Times New Roman"/>
                <w:sz w:val="18"/>
                <w:szCs w:val="18"/>
                <w:color w:val="0000FF"/>
                <w:w w:val="98"/>
              </w:rPr>
            </w:pPr>
            <w:hyperlink r:id="rId127">
              <w:r>
                <w:rPr>
                  <w:rFonts w:ascii="Times New Roman" w:cs="Times New Roman" w:eastAsia="Times New Roman" w:hAnsi="Times New Roman"/>
                  <w:sz w:val="18"/>
                  <w:szCs w:val="18"/>
                  <w:color w:val="0000FF"/>
                  <w:w w:val="98"/>
                </w:rPr>
                <w:t>Inc., Jazz Securities Designated Activity Company, and U.S. Bank National Association, as trustee under the Indenture, dated</w:t>
              </w:r>
            </w:hyperlink>
          </w:p>
        </w:tc>
        <w:tc>
          <w:tcPr>
            <w:tcW w:w="40" w:type="dxa"/>
            <w:vAlign w:val="bottom"/>
            <w:tcBorders>
              <w:top w:val="single" w:sz="8" w:color="CCEEFF"/>
              <w:bottom w:val="single" w:sz="8" w:color="0000FF"/>
            </w:tcBorders>
            <w:gridSpan w:val="2"/>
            <w:shd w:val="clear" w:color="auto" w:fill="CCEEFF"/>
          </w:tcPr>
          <w:p>
            <w:pPr>
              <w:spacing w:after="0"/>
              <w:rPr>
                <w:sz w:val="15"/>
                <w:szCs w:val="15"/>
                <w:color w:val="auto"/>
              </w:rPr>
            </w:pPr>
          </w:p>
        </w:tc>
        <w:tc>
          <w:tcPr>
            <w:tcW w:w="180" w:type="dxa"/>
            <w:vAlign w:val="bottom"/>
            <w:tcBorders>
              <w:top w:val="single" w:sz="8" w:color="CCEEFF"/>
              <w:bottom w:val="single" w:sz="8" w:color="CCEEFF"/>
            </w:tcBorders>
            <w:gridSpan w:val="9"/>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40" w:type="dxa"/>
            <w:vAlign w:val="bottom"/>
            <w:gridSpan w:val="41"/>
            <w:shd w:val="clear" w:color="auto" w:fill="CCEEFF"/>
          </w:tcPr>
          <w:p>
            <w:pPr>
              <w:spacing w:after="0" w:line="16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as of April 29, 2021 (incorporated herein by reference to Exhibit 4.5C in Jazz Pharmaceuticals, plc’s Quarterly Report on Form</w:t>
              </w:r>
            </w:hyperlink>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2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500" w:type="dxa"/>
            <w:vAlign w:val="bottom"/>
            <w:tcBorders>
              <w:top w:val="single" w:sz="8" w:color="0000FF"/>
              <w:bottom w:val="single" w:sz="8" w:color="0000FF"/>
            </w:tcBorders>
            <w:gridSpan w:val="13"/>
            <w:shd w:val="clear" w:color="auto" w:fill="CCEEFF"/>
          </w:tcPr>
          <w:p>
            <w:pPr>
              <w:spacing w:after="0" w:line="166" w:lineRule="exact"/>
              <w:rPr>
                <w:rFonts w:ascii="Times New Roman" w:cs="Times New Roman" w:eastAsia="Times New Roman" w:hAnsi="Times New Roman"/>
                <w:sz w:val="18"/>
                <w:szCs w:val="18"/>
                <w:color w:val="0000FF"/>
                <w:w w:val="98"/>
              </w:rPr>
            </w:pPr>
            <w:hyperlink r:id="rId127">
              <w:r>
                <w:rPr>
                  <w:rFonts w:ascii="Times New Roman" w:cs="Times New Roman" w:eastAsia="Times New Roman" w:hAnsi="Times New Roman"/>
                  <w:sz w:val="18"/>
                  <w:szCs w:val="18"/>
                  <w:color w:val="0000FF"/>
                  <w:w w:val="98"/>
                </w:rPr>
                <w:t>10-Q (File No. 001-33500) for the period ended June 30, 2021, as filed with the SEC on August 3, 2021).</w:t>
              </w:r>
            </w:hyperlink>
          </w:p>
        </w:tc>
        <w:tc>
          <w:tcPr>
            <w:tcW w:w="1700" w:type="dxa"/>
            <w:vAlign w:val="bottom"/>
            <w:tcBorders>
              <w:top w:val="single" w:sz="8" w:color="0000FF"/>
              <w:bottom w:val="single" w:sz="8" w:color="CCEEFF"/>
            </w:tcBorders>
            <w:gridSpan w:val="26"/>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4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6"/>
                <w:szCs w:val="16"/>
                <w:color w:val="auto"/>
              </w:rPr>
            </w:pPr>
          </w:p>
        </w:tc>
        <w:tc>
          <w:tcPr>
            <w:tcW w:w="2080" w:type="dxa"/>
            <w:vAlign w:val="bottom"/>
            <w:tcBorders>
              <w:bottom w:val="single" w:sz="8" w:color="0000FF"/>
            </w:tcBorders>
          </w:tcPr>
          <w:p>
            <w:pPr>
              <w:spacing w:after="0" w:line="187" w:lineRule="exact"/>
              <w:rPr>
                <w:sz w:val="20"/>
                <w:szCs w:val="20"/>
                <w:color w:val="auto"/>
              </w:rPr>
            </w:pPr>
            <w:r>
              <w:rPr>
                <w:rFonts w:ascii="Times New Roman" w:cs="Times New Roman" w:eastAsia="Times New Roman" w:hAnsi="Times New Roman"/>
                <w:sz w:val="18"/>
                <w:szCs w:val="18"/>
                <w:color w:val="0000FF"/>
                <w:w w:val="98"/>
              </w:rPr>
              <w:t>Description of Share Capital.</w:t>
            </w:r>
          </w:p>
        </w:tc>
        <w:tc>
          <w:tcPr>
            <w:tcW w:w="7160" w:type="dxa"/>
            <w:vAlign w:val="bottom"/>
            <w:gridSpan w:val="40"/>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10.1A</w:t>
            </w:r>
          </w:p>
        </w:tc>
        <w:tc>
          <w:tcPr>
            <w:tcW w:w="120" w:type="dxa"/>
            <w:vAlign w:val="bottom"/>
          </w:tcPr>
          <w:p>
            <w:pPr>
              <w:spacing w:after="0"/>
              <w:rPr>
                <w:sz w:val="19"/>
                <w:szCs w:val="19"/>
                <w:color w:val="auto"/>
              </w:rPr>
            </w:pPr>
          </w:p>
        </w:tc>
        <w:tc>
          <w:tcPr>
            <w:tcW w:w="9240" w:type="dxa"/>
            <w:vAlign w:val="bottom"/>
            <w:gridSpan w:val="41"/>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Credit Agreement, dated as of May 5, 2021, by and among Jazz Pharmaceuticals Public Limited Company, the other borrowers</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580" w:type="dxa"/>
            <w:vAlign w:val="bottom"/>
            <w:tcBorders>
              <w:top w:val="single" w:sz="8" w:color="0000FF"/>
              <w:bottom w:val="single" w:sz="8" w:color="0000FF"/>
            </w:tcBorders>
            <w:gridSpan w:val="17"/>
          </w:tcPr>
          <w:p>
            <w:pPr>
              <w:spacing w:after="0" w:line="166" w:lineRule="exact"/>
              <w:rPr>
                <w:rFonts w:ascii="Times New Roman" w:cs="Times New Roman" w:eastAsia="Times New Roman" w:hAnsi="Times New Roman"/>
                <w:sz w:val="18"/>
                <w:szCs w:val="18"/>
                <w:color w:val="0000FF"/>
                <w:w w:val="98"/>
              </w:rPr>
            </w:pPr>
            <w:hyperlink r:id="rId128">
              <w:r>
                <w:rPr>
                  <w:rFonts w:ascii="Times New Roman" w:cs="Times New Roman" w:eastAsia="Times New Roman" w:hAnsi="Times New Roman"/>
                  <w:sz w:val="18"/>
                  <w:szCs w:val="18"/>
                  <w:color w:val="0000FF"/>
                  <w:w w:val="98"/>
                </w:rPr>
                <w:t>from time to time party thereto, the lenders and issuing banks from time to time party thereto, Bank of America, N.A., as</w:t>
              </w:r>
            </w:hyperlink>
          </w:p>
        </w:tc>
        <w:tc>
          <w:tcPr>
            <w:tcW w:w="600" w:type="dxa"/>
            <w:vAlign w:val="bottom"/>
            <w:tcBorders>
              <w:top w:val="single" w:sz="8" w:color="0000FF"/>
            </w:tcBorders>
            <w:gridSpan w:val="21"/>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-244475</wp:posOffset>
            </wp:positionV>
            <wp:extent cx="6703060" cy="515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9">
                      <a:extLst>
                        <a:ext uri="{28A0092B-C50C-407E-A947-70E740481C1C}"/>
                      </a:extLst>
                    </a:blip>
                    <a:srcRect/>
                    <a:stretch>
                      <a:fillRect/>
                    </a:stretch>
                  </pic:blipFill>
                  <pic:spPr bwMode="auto">
                    <a:xfrm>
                      <a:off x="0" y="0"/>
                      <a:ext cx="6703060" cy="515620"/>
                    </a:xfrm>
                    <a:prstGeom prst="rect">
                      <a:avLst/>
                    </a:prstGeom>
                    <a:noFill/>
                  </pic:spPr>
                </pic:pic>
              </a:graphicData>
            </a:graphic>
          </wp:anchor>
        </w:drawing>
      </w:r>
    </w:p>
    <w:p>
      <w:pPr>
        <w:ind w:left="1380" w:right="160"/>
        <w:spacing w:after="0" w:line="267" w:lineRule="auto"/>
        <w:rPr>
          <w:rFonts w:ascii="Times New Roman" w:cs="Times New Roman" w:eastAsia="Times New Roman" w:hAnsi="Times New Roman"/>
          <w:sz w:val="17"/>
          <w:szCs w:val="17"/>
          <w:u w:val="single" w:color="auto"/>
          <w:color w:val="0000FF"/>
        </w:rPr>
      </w:pPr>
      <w:hyperlink r:id="rId128">
        <w:r>
          <w:rPr>
            <w:rFonts w:ascii="Times New Roman" w:cs="Times New Roman" w:eastAsia="Times New Roman" w:hAnsi="Times New Roman"/>
            <w:sz w:val="17"/>
            <w:szCs w:val="17"/>
            <w:u w:val="single" w:color="auto"/>
            <w:color w:val="0000FF"/>
          </w:rPr>
          <w:t>administrative agent, and U.S. Bank National Association, as collateral trustee (incorporated herein by reference to Exhibit</w:t>
        </w:r>
      </w:hyperlink>
      <w:r>
        <w:rPr>
          <w:rFonts w:ascii="Times New Roman" w:cs="Times New Roman" w:eastAsia="Times New Roman" w:hAnsi="Times New Roman"/>
          <w:sz w:val="17"/>
          <w:szCs w:val="17"/>
          <w:u w:val="single" w:color="auto"/>
          <w:color w:val="0000FF"/>
        </w:rPr>
        <w:t xml:space="preserve"> </w:t>
      </w:r>
      <w:hyperlink r:id="rId128">
        <w:r>
          <w:rPr>
            <w:rFonts w:ascii="Times New Roman" w:cs="Times New Roman" w:eastAsia="Times New Roman" w:hAnsi="Times New Roman"/>
            <w:sz w:val="17"/>
            <w:szCs w:val="17"/>
            <w:u w:val="single" w:color="auto"/>
            <w:color w:val="0000FF"/>
          </w:rPr>
          <w:t>10.1 in Jazz Pharmaceuticals plc’s Current Report on Form 8-K (File No. 001-033500), as filed with the SEC on May 5, 2021).</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560"/>
          </w:cols>
          <w:pgMar w:left="320" w:top="106" w:right="101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07"/>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Table of Contents</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9"/>
        </w:trPr>
        <w:tc>
          <w:tcPr>
            <w:tcW w:w="20" w:type="dxa"/>
            <w:vAlign w:val="bottom"/>
          </w:tcPr>
          <w:p>
            <w:pPr>
              <w:spacing w:after="0"/>
              <w:rPr>
                <w:sz w:val="24"/>
                <w:szCs w:val="24"/>
                <w:color w:val="auto"/>
              </w:rPr>
            </w:pPr>
          </w:p>
        </w:tc>
        <w:tc>
          <w:tcPr>
            <w:tcW w:w="12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10.1B</w:t>
            </w:r>
          </w:p>
        </w:tc>
        <w:tc>
          <w:tcPr>
            <w:tcW w:w="120" w:type="dxa"/>
            <w:vAlign w:val="bottom"/>
          </w:tcPr>
          <w:p>
            <w:pPr>
              <w:spacing w:after="0"/>
              <w:rPr>
                <w:sz w:val="24"/>
                <w:szCs w:val="24"/>
                <w:color w:val="auto"/>
              </w:rPr>
            </w:pPr>
          </w:p>
        </w:tc>
        <w:tc>
          <w:tcPr>
            <w:tcW w:w="9180" w:type="dxa"/>
            <w:vAlign w:val="bottom"/>
            <w:gridSpan w:val="46"/>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Conforming Changes Amendment, dated as of June 7, 2023, entered into by Bank of America, N.A. as administrative agent to</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0" w:type="dxa"/>
            <w:vAlign w:val="bottom"/>
            <w:tcBorders>
              <w:top w:val="single" w:sz="8" w:color="0000FF"/>
              <w:bottom w:val="single" w:sz="8" w:color="0000FF"/>
            </w:tcBorders>
            <w:gridSpan w:val="38"/>
          </w:tcPr>
          <w:p>
            <w:pPr>
              <w:spacing w:after="0" w:line="166" w:lineRule="exact"/>
              <w:rPr>
                <w:rFonts w:ascii="Times New Roman" w:cs="Times New Roman" w:eastAsia="Times New Roman" w:hAnsi="Times New Roman"/>
                <w:sz w:val="18"/>
                <w:szCs w:val="18"/>
                <w:color w:val="0000FF"/>
                <w:w w:val="97"/>
              </w:rPr>
            </w:pPr>
            <w:hyperlink r:id="rId131">
              <w:r>
                <w:rPr>
                  <w:rFonts w:ascii="Times New Roman" w:cs="Times New Roman" w:eastAsia="Times New Roman" w:hAnsi="Times New Roman"/>
                  <w:sz w:val="18"/>
                  <w:szCs w:val="18"/>
                  <w:color w:val="0000FF"/>
                  <w:w w:val="97"/>
                </w:rPr>
                <w:t>Credit Agreement, dated as of May 5, 2021, by and among Jazz Pharmaceuticals Public Limited Company, the other borrowers</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80" w:type="dxa"/>
            <w:vAlign w:val="bottom"/>
            <w:tcBorders>
              <w:bottom w:val="single" w:sz="8" w:color="0000FF"/>
            </w:tcBorders>
            <w:gridSpan w:val="17"/>
          </w:tcPr>
          <w:p>
            <w:pPr>
              <w:spacing w:after="0" w:line="180" w:lineRule="exact"/>
              <w:rPr>
                <w:rFonts w:ascii="Times New Roman" w:cs="Times New Roman" w:eastAsia="Times New Roman" w:hAnsi="Times New Roman"/>
                <w:sz w:val="18"/>
                <w:szCs w:val="18"/>
                <w:color w:val="0000FF"/>
                <w:w w:val="98"/>
              </w:rPr>
            </w:pPr>
            <w:hyperlink r:id="rId131">
              <w:r>
                <w:rPr>
                  <w:rFonts w:ascii="Times New Roman" w:cs="Times New Roman" w:eastAsia="Times New Roman" w:hAnsi="Times New Roman"/>
                  <w:sz w:val="18"/>
                  <w:szCs w:val="18"/>
                  <w:color w:val="0000FF"/>
                  <w:w w:val="98"/>
                </w:rPr>
                <w:t>from time to time party thereto, the lenders and issuing banks from time to time party thereto, Bank of America, N.A., as</w:t>
              </w:r>
            </w:hyperlink>
          </w:p>
        </w:tc>
        <w:tc>
          <w:tcPr>
            <w:tcW w:w="560" w:type="dxa"/>
            <w:vAlign w:val="bottom"/>
            <w:gridSpan w:val="28"/>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740" w:type="dxa"/>
            <w:vAlign w:val="bottom"/>
            <w:tcBorders>
              <w:bottom w:val="single" w:sz="8" w:color="0000FF"/>
            </w:tcBorders>
            <w:gridSpan w:val="25"/>
          </w:tcPr>
          <w:p>
            <w:pPr>
              <w:spacing w:after="0" w:line="166" w:lineRule="exact"/>
              <w:rPr>
                <w:rFonts w:ascii="Times New Roman" w:cs="Times New Roman" w:eastAsia="Times New Roman" w:hAnsi="Times New Roman"/>
                <w:sz w:val="18"/>
                <w:szCs w:val="18"/>
                <w:color w:val="0000FF"/>
                <w:w w:val="98"/>
              </w:rPr>
            </w:pPr>
            <w:hyperlink r:id="rId131">
              <w:r>
                <w:rPr>
                  <w:rFonts w:ascii="Times New Roman" w:cs="Times New Roman" w:eastAsia="Times New Roman" w:hAnsi="Times New Roman"/>
                  <w:sz w:val="18"/>
                  <w:szCs w:val="18"/>
                  <w:color w:val="0000FF"/>
                  <w:w w:val="98"/>
                </w:rPr>
                <w:t>administrative agent, and U.S. Bank National Association, as collateral trustee (incorporated herein by reference to Exhibit</w:t>
              </w:r>
            </w:hyperlink>
          </w:p>
        </w:tc>
        <w:tc>
          <w:tcPr>
            <w:tcW w:w="440" w:type="dxa"/>
            <w:vAlign w:val="bottom"/>
            <w:gridSpan w:val="21"/>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180" w:type="dxa"/>
            <w:vAlign w:val="bottom"/>
            <w:gridSpan w:val="46"/>
          </w:tcPr>
          <w:p>
            <w:pPr>
              <w:spacing w:after="0" w:line="16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in Jazz Pharmaceuticals, plc’s Quarterly Report on Form 10-Q (File No. 001-33500) for the period ended June 30, 2023,</w:t>
              </w:r>
            </w:hyperlink>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780" w:type="dxa"/>
            <w:vAlign w:val="bottom"/>
            <w:tcBorders>
              <w:top w:val="single" w:sz="8" w:color="0000FF"/>
            </w:tcBorders>
            <w:gridSpan w:val="27"/>
          </w:tcPr>
          <w:p>
            <w:pPr>
              <w:spacing w:after="0" w:line="146" w:lineRule="exact"/>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as filed with the SEC on August 9, 2023).</w:t>
              </w:r>
            </w:hyperlink>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4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540" w:type="dxa"/>
            <w:vAlign w:val="bottom"/>
          </w:tcPr>
          <w:p>
            <w:pPr>
              <w:spacing w:after="0"/>
              <w:rPr>
                <w:sz w:val="4"/>
                <w:szCs w:val="4"/>
                <w:color w:val="auto"/>
              </w:rPr>
            </w:pPr>
          </w:p>
        </w:tc>
        <w:tc>
          <w:tcPr>
            <w:tcW w:w="35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4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10.1C</w:t>
            </w:r>
          </w:p>
        </w:tc>
        <w:tc>
          <w:tcPr>
            <w:tcW w:w="120" w:type="dxa"/>
            <w:vAlign w:val="bottom"/>
            <w:shd w:val="clear" w:color="auto" w:fill="CCEEFF"/>
          </w:tcPr>
          <w:p>
            <w:pPr>
              <w:spacing w:after="0"/>
              <w:rPr>
                <w:sz w:val="16"/>
                <w:szCs w:val="16"/>
                <w:color w:val="auto"/>
              </w:rPr>
            </w:pPr>
          </w:p>
        </w:tc>
        <w:tc>
          <w:tcPr>
            <w:tcW w:w="9180" w:type="dxa"/>
            <w:vAlign w:val="bottom"/>
            <w:gridSpan w:val="46"/>
            <w:shd w:val="clear" w:color="auto" w:fill="CCEEFF"/>
          </w:tcPr>
          <w:p>
            <w:pPr>
              <w:spacing w:after="0" w:line="187"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Amendment No. 1, dated as of January 19, 2024, by and among Jazz Pharmaceuticals Public Limited Company, the other</w:t>
              </w:r>
            </w:hyperlink>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640" w:type="dxa"/>
            <w:vAlign w:val="bottom"/>
            <w:tcBorders>
              <w:top w:val="single" w:sz="8" w:color="0000FF"/>
              <w:bottom w:val="single" w:sz="8" w:color="0000FF"/>
            </w:tcBorders>
            <w:gridSpan w:val="20"/>
            <w:shd w:val="clear" w:color="auto" w:fill="CCEEFF"/>
          </w:tcPr>
          <w:p>
            <w:pPr>
              <w:spacing w:after="0" w:line="153" w:lineRule="exact"/>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borrowers from time to time party thereto, the lenders and issuing banks from time to time party thereto, Bank of America,</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180" w:type="dxa"/>
            <w:vAlign w:val="bottom"/>
            <w:gridSpan w:val="46"/>
            <w:shd w:val="clear" w:color="auto" w:fill="CCEEFF"/>
          </w:tcPr>
          <w:p>
            <w:pPr>
              <w:spacing w:after="0" w:line="16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N.A., as administrative agent, and U.S. Bank Trust Company, National Association, as collateral trustee. (incorporated herein</w:t>
              </w:r>
            </w:hyperlink>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920" w:type="dxa"/>
            <w:vAlign w:val="bottom"/>
            <w:tcBorders>
              <w:top w:val="single" w:sz="8" w:color="0000FF"/>
            </w:tcBorders>
            <w:gridSpan w:val="34"/>
            <w:shd w:val="clear" w:color="auto" w:fill="CCEEFF"/>
          </w:tcPr>
          <w:p>
            <w:pPr>
              <w:spacing w:after="0" w:line="153" w:lineRule="exact"/>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by reference to Exhibit 10.1 in Jazz Pharmaceuticals plc’s Current Report on Form 8-K (File No. 001-033500), as filed with</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180" w:type="dxa"/>
            <w:vAlign w:val="bottom"/>
            <w:tcBorders>
              <w:top w:val="single" w:sz="8" w:color="0000FF"/>
              <w:bottom w:val="single" w:sz="8" w:color="0000FF"/>
            </w:tcBorders>
            <w:gridSpan w:val="4"/>
            <w:shd w:val="clear" w:color="auto" w:fill="CCEEFF"/>
          </w:tcPr>
          <w:p>
            <w:pPr>
              <w:spacing w:after="0" w:line="153" w:lineRule="exact"/>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the SEC on January 25, 2024).</w:t>
              </w:r>
            </w:hyperlink>
          </w:p>
        </w:tc>
        <w:tc>
          <w:tcPr>
            <w:tcW w:w="6620" w:type="dxa"/>
            <w:vAlign w:val="bottom"/>
            <w:tcBorders>
              <w:top w:val="single" w:sz="8" w:color="0000FF"/>
              <w:bottom w:val="single" w:sz="8" w:color="CCEEFF"/>
            </w:tcBorders>
            <w:gridSpan w:val="24"/>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4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10.2A#</w:t>
            </w:r>
          </w:p>
        </w:tc>
        <w:tc>
          <w:tcPr>
            <w:tcW w:w="120" w:type="dxa"/>
            <w:vAlign w:val="bottom"/>
          </w:tcPr>
          <w:p>
            <w:pPr>
              <w:spacing w:after="0"/>
              <w:rPr>
                <w:sz w:val="16"/>
                <w:szCs w:val="16"/>
                <w:color w:val="auto"/>
              </w:rPr>
            </w:pPr>
          </w:p>
        </w:tc>
        <w:tc>
          <w:tcPr>
            <w:tcW w:w="9180" w:type="dxa"/>
            <w:vAlign w:val="bottom"/>
            <w:gridSpan w:val="46"/>
          </w:tcPr>
          <w:p>
            <w:pPr>
              <w:spacing w:after="0" w:line="187"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Settlement Agreement, dated as of April 5, 2017, by and between Jazz Pharmaceuticals, Inc. and Jazz Pharmaceuticals Ireland</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20" w:type="dxa"/>
            <w:vAlign w:val="bottom"/>
            <w:tcBorders>
              <w:top w:val="single" w:sz="8" w:color="0000FF"/>
            </w:tcBorders>
            <w:gridSpan w:val="39"/>
          </w:tcPr>
          <w:p>
            <w:pPr>
              <w:spacing w:after="0" w:line="16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Limited, and Roxane Laboratories, Inc., West-Ward Pharmaceuticals Corp., Eurohealth (USA), Inc., and Hikma</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940" w:type="dxa"/>
            <w:vAlign w:val="bottom"/>
            <w:tcBorders>
              <w:top w:val="single" w:sz="8" w:color="0000FF"/>
            </w:tcBorders>
            <w:gridSpan w:val="12"/>
          </w:tcPr>
          <w:p>
            <w:pPr>
              <w:spacing w:after="0" w:line="180" w:lineRule="exact"/>
              <w:rPr>
                <w:rFonts w:ascii="Times New Roman" w:cs="Times New Roman" w:eastAsia="Times New Roman" w:hAnsi="Times New Roman"/>
                <w:sz w:val="18"/>
                <w:szCs w:val="18"/>
                <w:color w:val="0000FF"/>
                <w:w w:val="98"/>
              </w:rPr>
            </w:pPr>
            <w:hyperlink r:id="rId133">
              <w:r>
                <w:rPr>
                  <w:rFonts w:ascii="Times New Roman" w:cs="Times New Roman" w:eastAsia="Times New Roman" w:hAnsi="Times New Roman"/>
                  <w:sz w:val="18"/>
                  <w:szCs w:val="18"/>
                  <w:color w:val="0000FF"/>
                  <w:w w:val="98"/>
                </w:rPr>
                <w:t>Pharmaceuticals PLC (incorporated herein by reference to Exhibit 10.1 in Jazz Pharmaceuticals plc’s Quarterly</w:t>
              </w:r>
            </w:hyperlink>
          </w:p>
        </w:tc>
        <w:tc>
          <w:tcPr>
            <w:tcW w:w="1240" w:type="dxa"/>
            <w:vAlign w:val="bottom"/>
            <w:gridSpan w:val="34"/>
          </w:tcPr>
          <w:p>
            <w:pPr>
              <w:spacing w:after="0" w:line="180"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Report on</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60" w:type="dxa"/>
            <w:vAlign w:val="bottom"/>
            <w:tcBorders>
              <w:top w:val="single" w:sz="8" w:color="0000FF"/>
            </w:tcBorders>
            <w:gridSpan w:val="21"/>
          </w:tcPr>
          <w:p>
            <w:pPr>
              <w:spacing w:after="0" w:line="166"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Form 10-Q (File No. 001-33500) for the period ended September 30, 2022, as filed with the SEC on November 9, 2022).</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4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354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240" w:type="dxa"/>
            <w:vAlign w:val="bottom"/>
            <w:tcBorders>
              <w:bottom w:val="single" w:sz="8" w:color="CCEEFF"/>
            </w:tcBorders>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10.2B</w:t>
            </w:r>
          </w:p>
        </w:tc>
        <w:tc>
          <w:tcPr>
            <w:tcW w:w="120" w:type="dxa"/>
            <w:vAlign w:val="bottom"/>
            <w:tcBorders>
              <w:bottom w:val="single" w:sz="8" w:color="CCEEFF"/>
            </w:tcBorders>
            <w:shd w:val="clear" w:color="auto" w:fill="CCEEFF"/>
          </w:tcPr>
          <w:p>
            <w:pPr>
              <w:spacing w:after="0"/>
              <w:rPr>
                <w:sz w:val="16"/>
                <w:szCs w:val="16"/>
                <w:color w:val="auto"/>
              </w:rPr>
            </w:pPr>
          </w:p>
        </w:tc>
        <w:tc>
          <w:tcPr>
            <w:tcW w:w="8760" w:type="dxa"/>
            <w:vAlign w:val="bottom"/>
            <w:tcBorders>
              <w:bottom w:val="single" w:sz="8" w:color="0000FF"/>
            </w:tcBorders>
            <w:gridSpan w:val="26"/>
            <w:shd w:val="clear" w:color="auto" w:fill="CCEEFF"/>
          </w:tcPr>
          <w:p>
            <w:pPr>
              <w:spacing w:after="0" w:line="187" w:lineRule="exact"/>
              <w:rPr>
                <w:rFonts w:ascii="Times New Roman" w:cs="Times New Roman" w:eastAsia="Times New Roman" w:hAnsi="Times New Roman"/>
                <w:sz w:val="18"/>
                <w:szCs w:val="18"/>
                <w:color w:val="0000FF"/>
                <w:w w:val="98"/>
              </w:rPr>
            </w:pPr>
            <w:hyperlink r:id="rId134">
              <w:r>
                <w:rPr>
                  <w:rFonts w:ascii="Times New Roman" w:cs="Times New Roman" w:eastAsia="Times New Roman" w:hAnsi="Times New Roman"/>
                  <w:sz w:val="18"/>
                  <w:szCs w:val="18"/>
                  <w:color w:val="0000FF"/>
                  <w:w w:val="98"/>
                </w:rPr>
                <w:t>Settlement Agreement, dated as of April 4, 2019, by and among United States of America, acting through the United States</w:t>
              </w:r>
            </w:hyperlink>
          </w:p>
        </w:tc>
        <w:tc>
          <w:tcPr>
            <w:tcW w:w="420" w:type="dxa"/>
            <w:vAlign w:val="bottom"/>
            <w:tcBorders>
              <w:bottom w:val="single" w:sz="8" w:color="CCEEFF"/>
            </w:tcBorders>
            <w:gridSpan w:val="20"/>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180" w:type="dxa"/>
            <w:vAlign w:val="bottom"/>
            <w:gridSpan w:val="46"/>
            <w:shd w:val="clear" w:color="auto" w:fill="CCEEFF"/>
          </w:tcPr>
          <w:p>
            <w:pPr>
              <w:spacing w:after="0" w:line="16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Department of Justice and on behalf of the Office of Inspector General of the Department of Health and Human Services, Jazz</w:t>
              </w:r>
            </w:hyperlink>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040" w:type="dxa"/>
            <w:vAlign w:val="bottom"/>
            <w:tcBorders>
              <w:top w:val="single" w:sz="8" w:color="0000FF"/>
            </w:tcBorders>
            <w:gridSpan w:val="40"/>
            <w:shd w:val="clear" w:color="auto" w:fill="CCEEFF"/>
          </w:tcPr>
          <w:p>
            <w:pPr>
              <w:spacing w:after="0" w:line="180"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Pharmaceuticals plc, Jazz Pharmaceuticals, Inc., and Jazz Pharmaceuticals Ireland Ltd. (incorporated herein by reference to</w:t>
              </w:r>
            </w:hyperlink>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760" w:type="dxa"/>
            <w:vAlign w:val="bottom"/>
            <w:tcBorders>
              <w:top w:val="single" w:sz="8" w:color="0000FF"/>
              <w:bottom w:val="single" w:sz="8" w:color="0000FF"/>
            </w:tcBorders>
            <w:gridSpan w:val="26"/>
            <w:shd w:val="clear" w:color="auto" w:fill="CCEEFF"/>
          </w:tcPr>
          <w:p>
            <w:pPr>
              <w:spacing w:after="0" w:line="166" w:lineRule="exact"/>
              <w:rPr>
                <w:rFonts w:ascii="Times New Roman" w:cs="Times New Roman" w:eastAsia="Times New Roman" w:hAnsi="Times New Roman"/>
                <w:sz w:val="18"/>
                <w:szCs w:val="18"/>
                <w:color w:val="0000FF"/>
                <w:w w:val="97"/>
              </w:rPr>
            </w:pPr>
            <w:hyperlink r:id="rId134">
              <w:r>
                <w:rPr>
                  <w:rFonts w:ascii="Times New Roman" w:cs="Times New Roman" w:eastAsia="Times New Roman" w:hAnsi="Times New Roman"/>
                  <w:sz w:val="18"/>
                  <w:szCs w:val="18"/>
                  <w:color w:val="0000FF"/>
                  <w:w w:val="97"/>
                </w:rPr>
                <w:t>Exhibit 10.7 in Jazz Pharmaceuticals plc’s Quarterly Report on Form 10-Q (File No. 001-33500) for the period ended March</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40" w:type="dxa"/>
            <w:vAlign w:val="bottom"/>
            <w:tcBorders>
              <w:top w:val="single" w:sz="8" w:color="CCEEFF"/>
              <w:bottom w:val="single" w:sz="8" w:color="0000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gridSpan w:val="4"/>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500" w:type="dxa"/>
            <w:vAlign w:val="bottom"/>
            <w:tcBorders>
              <w:bottom w:val="single" w:sz="8" w:color="0000FF"/>
            </w:tcBorders>
            <w:gridSpan w:val="7"/>
            <w:shd w:val="clear" w:color="auto" w:fill="CCEEFF"/>
          </w:tcPr>
          <w:p>
            <w:pPr>
              <w:spacing w:after="0" w:line="166" w:lineRule="exact"/>
              <w:rPr>
                <w:rFonts w:ascii="Times New Roman" w:cs="Times New Roman" w:eastAsia="Times New Roman" w:hAnsi="Times New Roman"/>
                <w:sz w:val="18"/>
                <w:szCs w:val="18"/>
                <w:color w:val="0000FF"/>
                <w:w w:val="98"/>
              </w:rPr>
            </w:pPr>
            <w:hyperlink r:id="rId134">
              <w:r>
                <w:rPr>
                  <w:rFonts w:ascii="Times New Roman" w:cs="Times New Roman" w:eastAsia="Times New Roman" w:hAnsi="Times New Roman"/>
                  <w:sz w:val="18"/>
                  <w:szCs w:val="18"/>
                  <w:color w:val="0000FF"/>
                  <w:w w:val="98"/>
                </w:rPr>
                <w:t>31, 2019, as filed with the SEC on May 7, 2019).</w:t>
              </w:r>
            </w:hyperlink>
          </w:p>
        </w:tc>
        <w:tc>
          <w:tcPr>
            <w:tcW w:w="5380" w:type="dxa"/>
            <w:vAlign w:val="bottom"/>
            <w:tcBorders>
              <w:bottom w:val="single" w:sz="8" w:color="CCEEFF"/>
            </w:tcBorders>
            <w:gridSpan w:val="25"/>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gridSpan w:val="4"/>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4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6"/>
                <w:szCs w:val="16"/>
                <w:color w:val="auto"/>
              </w:rPr>
            </w:pPr>
          </w:p>
        </w:tc>
        <w:tc>
          <w:tcPr>
            <w:tcW w:w="9180" w:type="dxa"/>
            <w:vAlign w:val="bottom"/>
            <w:gridSpan w:val="46"/>
          </w:tcPr>
          <w:p>
            <w:pPr>
              <w:spacing w:after="0" w:line="187"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Corporate Integrity Agreement, dated as of April 3, 2019, by and between Jazz Pharmaceuticals plc and the Office of Inspector</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20" w:type="dxa"/>
            <w:vAlign w:val="bottom"/>
            <w:tcBorders>
              <w:top w:val="single" w:sz="8" w:color="0000FF"/>
              <w:bottom w:val="single" w:sz="8" w:color="0000FF"/>
            </w:tcBorders>
            <w:gridSpan w:val="29"/>
          </w:tcPr>
          <w:p>
            <w:pPr>
              <w:spacing w:after="0" w:line="166" w:lineRule="exact"/>
              <w:rPr>
                <w:rFonts w:ascii="Times New Roman" w:cs="Times New Roman" w:eastAsia="Times New Roman" w:hAnsi="Times New Roman"/>
                <w:sz w:val="18"/>
                <w:szCs w:val="18"/>
                <w:color w:val="0000FF"/>
                <w:w w:val="98"/>
              </w:rPr>
            </w:pPr>
            <w:hyperlink r:id="rId135">
              <w:r>
                <w:rPr>
                  <w:rFonts w:ascii="Times New Roman" w:cs="Times New Roman" w:eastAsia="Times New Roman" w:hAnsi="Times New Roman"/>
                  <w:sz w:val="18"/>
                  <w:szCs w:val="18"/>
                  <w:color w:val="0000FF"/>
                  <w:w w:val="98"/>
                </w:rPr>
                <w:t>General of the United States Department of Health and Human Services (incorporated herein by reference to Exhibit 10.6 in</w:t>
              </w:r>
            </w:hyperlink>
          </w:p>
        </w:tc>
        <w:tc>
          <w:tcPr>
            <w:tcW w:w="280" w:type="dxa"/>
            <w:vAlign w:val="bottom"/>
            <w:tcBorders>
              <w:top w:val="single" w:sz="8" w:color="0000FF"/>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180" w:type="dxa"/>
            <w:vAlign w:val="bottom"/>
            <w:gridSpan w:val="46"/>
          </w:tcPr>
          <w:p>
            <w:pPr>
              <w:spacing w:after="0" w:line="180"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Jazz Pharmaceuticals plc’s Quarterly Report on Form 10-Q (File No. 001-33500) for the period ended March 31, 2019, as filed</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80" w:type="dxa"/>
            <w:vAlign w:val="bottom"/>
            <w:tcBorders>
              <w:top w:val="single" w:sz="8" w:color="0000FF"/>
            </w:tcBorders>
            <w:gridSpan w:val="42"/>
          </w:tcPr>
          <w:p>
            <w:pPr>
              <w:spacing w:after="0" w:line="16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with the SEC on May 7, 2019).</w:t>
              </w:r>
            </w:hyperlink>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4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24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6"/>
                <w:szCs w:val="16"/>
                <w:color w:val="auto"/>
              </w:rPr>
            </w:pPr>
          </w:p>
        </w:tc>
        <w:tc>
          <w:tcPr>
            <w:tcW w:w="9180" w:type="dxa"/>
            <w:vAlign w:val="bottom"/>
            <w:gridSpan w:val="46"/>
            <w:shd w:val="clear" w:color="auto" w:fill="CCEEFF"/>
          </w:tcPr>
          <w:p>
            <w:pPr>
              <w:spacing w:after="0" w:line="187"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Supply Agreement, dated as of April 1, 2010, by and between Jazz Pharmaceuticals, Inc. and Siegfried (USA) Inc.</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140" w:type="dxa"/>
            <w:vAlign w:val="bottom"/>
            <w:tcBorders>
              <w:top w:val="single" w:sz="8" w:color="0000FF"/>
            </w:tcBorders>
            <w:gridSpan w:val="15"/>
            <w:shd w:val="clear" w:color="auto" w:fill="CCEEFF"/>
          </w:tcPr>
          <w:p>
            <w:pPr>
              <w:spacing w:after="0" w:line="166" w:lineRule="exact"/>
              <w:rPr>
                <w:rFonts w:ascii="Times New Roman" w:cs="Times New Roman" w:eastAsia="Times New Roman" w:hAnsi="Times New Roman"/>
                <w:sz w:val="18"/>
                <w:szCs w:val="18"/>
                <w:color w:val="0000FF"/>
                <w:w w:val="98"/>
              </w:rPr>
            </w:pPr>
            <w:hyperlink r:id="rId136">
              <w:r>
                <w:rPr>
                  <w:rFonts w:ascii="Times New Roman" w:cs="Times New Roman" w:eastAsia="Times New Roman" w:hAnsi="Times New Roman"/>
                  <w:sz w:val="18"/>
                  <w:szCs w:val="18"/>
                  <w:color w:val="0000FF"/>
                  <w:w w:val="98"/>
                </w:rPr>
                <w:t>(incorporated herein by reference to Exhibit 10.54 in Jazz Pharmaceuticals, Inc.’s Quarterly Report on Form 10-Q</w:t>
              </w:r>
            </w:hyperlink>
          </w:p>
        </w:tc>
        <w:tc>
          <w:tcPr>
            <w:tcW w:w="2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4"/>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4"/>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60" w:type="dxa"/>
            <w:vAlign w:val="bottom"/>
            <w:tcBorders>
              <w:top w:val="single" w:sz="8" w:color="CCEEFF"/>
            </w:tcBorders>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040" w:type="dxa"/>
            <w:vAlign w:val="bottom"/>
            <w:tcBorders>
              <w:top w:val="single" w:sz="8" w:color="0000FF"/>
              <w:bottom w:val="single" w:sz="8" w:color="0000FF"/>
            </w:tcBorders>
            <w:gridSpan w:val="8"/>
            <w:shd w:val="clear" w:color="auto" w:fill="CCEEFF"/>
          </w:tcPr>
          <w:p>
            <w:pPr>
              <w:spacing w:after="0" w:line="180" w:lineRule="exact"/>
              <w:rPr>
                <w:rFonts w:ascii="Times New Roman" w:cs="Times New Roman" w:eastAsia="Times New Roman" w:hAnsi="Times New Roman"/>
                <w:sz w:val="18"/>
                <w:szCs w:val="18"/>
                <w:color w:val="0000FF"/>
                <w:w w:val="98"/>
              </w:rPr>
            </w:pPr>
            <w:hyperlink r:id="rId136">
              <w:r>
                <w:rPr>
                  <w:rFonts w:ascii="Times New Roman" w:cs="Times New Roman" w:eastAsia="Times New Roman" w:hAnsi="Times New Roman"/>
                  <w:sz w:val="18"/>
                  <w:szCs w:val="18"/>
                  <w:color w:val="0000FF"/>
                  <w:w w:val="98"/>
                </w:rPr>
                <w:t>(File No. 001-33500) for the period ended March 31, 2010, as filed with the SEC on May 6, 2010).</w:t>
              </w:r>
            </w:hyperlink>
          </w:p>
        </w:tc>
        <w:tc>
          <w:tcPr>
            <w:tcW w:w="1060" w:type="dxa"/>
            <w:vAlign w:val="bottom"/>
            <w:tcBorders>
              <w:top w:val="single" w:sz="8" w:color="0000FF"/>
              <w:bottom w:val="single" w:sz="8" w:color="CCEEFF"/>
            </w:tcBorders>
            <w:gridSpan w:val="5"/>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gridSpan w:val="4"/>
            <w:shd w:val="clear" w:color="auto" w:fill="CCEEFF"/>
          </w:tcPr>
          <w:p>
            <w:pPr>
              <w:spacing w:after="0"/>
              <w:rPr>
                <w:sz w:val="18"/>
                <w:szCs w:val="18"/>
                <w:color w:val="auto"/>
              </w:rPr>
            </w:pPr>
          </w:p>
        </w:tc>
        <w:tc>
          <w:tcPr>
            <w:tcW w:w="6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gridSpan w:val="4"/>
            <w:shd w:val="clear" w:color="auto" w:fill="CCEEFF"/>
          </w:tcPr>
          <w:p>
            <w:pPr>
              <w:spacing w:after="0"/>
              <w:rPr>
                <w:sz w:val="18"/>
                <w:szCs w:val="18"/>
                <w:color w:val="auto"/>
              </w:rPr>
            </w:pPr>
          </w:p>
        </w:tc>
        <w:tc>
          <w:tcPr>
            <w:tcW w:w="6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4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6"/>
                <w:szCs w:val="16"/>
                <w:color w:val="auto"/>
              </w:rPr>
            </w:pPr>
          </w:p>
        </w:tc>
        <w:tc>
          <w:tcPr>
            <w:tcW w:w="9180" w:type="dxa"/>
            <w:vAlign w:val="bottom"/>
            <w:gridSpan w:val="46"/>
          </w:tcPr>
          <w:p>
            <w:pPr>
              <w:spacing w:after="0" w:line="187" w:lineRule="exact"/>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Master Manufacturing Services Agreement, dated as of October 1, 2015, by and between Jazz Pharmaceuticals Ireland Limited</w:t>
              </w:r>
            </w:hyperlink>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120" w:type="dxa"/>
            <w:vAlign w:val="bottom"/>
            <w:tcBorders>
              <w:top w:val="single" w:sz="8" w:color="0000FF"/>
            </w:tcBorders>
            <w:gridSpan w:val="44"/>
          </w:tcPr>
          <w:p>
            <w:pPr>
              <w:spacing w:after="0" w:line="180"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and Patheon Pharmaceuticals Inc. (incorporated herein by reference to Exhibit 10.8 in Jazz Pharmaceuticals plc’s Annual</w:t>
              </w:r>
            </w:hyperlink>
          </w:p>
        </w:tc>
        <w:tc>
          <w:tcPr>
            <w:tcW w:w="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0" w:type="dxa"/>
            <w:vAlign w:val="bottom"/>
            <w:tcBorders>
              <w:top w:val="single" w:sz="8" w:color="0000FF"/>
            </w:tcBorders>
            <w:gridSpan w:val="18"/>
          </w:tcPr>
          <w:p>
            <w:pPr>
              <w:spacing w:after="0" w:line="180" w:lineRule="exact"/>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Report on Form 10-K (File No. 001-33500) for the period ended December 31, 2020, as filed with the SEC on February</w:t>
              </w:r>
            </w:hyperlink>
          </w:p>
        </w:tc>
        <w:tc>
          <w:tcPr>
            <w:tcW w:w="240" w:type="dxa"/>
            <w:vAlign w:val="bottom"/>
            <w:gridSpan w:val="12"/>
          </w:tcPr>
          <w:p>
            <w:pPr>
              <w:jc w:val="right"/>
              <w:ind w:right="60"/>
              <w:spacing w:after="0" w:line="180" w:lineRule="exact"/>
              <w:rPr>
                <w:rFonts w:ascii="Times New Roman" w:cs="Times New Roman" w:eastAsia="Times New Roman" w:hAnsi="Times New Roman"/>
                <w:sz w:val="18"/>
                <w:szCs w:val="18"/>
                <w:color w:val="0000FF"/>
                <w:w w:val="70"/>
              </w:rPr>
            </w:pPr>
            <w:hyperlink r:id="rId137">
              <w:r>
                <w:rPr>
                  <w:rFonts w:ascii="Times New Roman" w:cs="Times New Roman" w:eastAsia="Times New Roman" w:hAnsi="Times New Roman"/>
                  <w:sz w:val="18"/>
                  <w:szCs w:val="18"/>
                  <w:color w:val="0000FF"/>
                  <w:w w:val="70"/>
                </w:rPr>
                <w:t>23,</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12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Borders>
              <w:top w:val="single" w:sz="8" w:color="0000FF"/>
            </w:tcBorders>
            <w:gridSpan w:val="2"/>
          </w:tcPr>
          <w:p>
            <w:pPr>
              <w:spacing w:after="0" w:line="180"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2021).</w:t>
              </w:r>
            </w:hyperlink>
          </w:p>
        </w:tc>
        <w:tc>
          <w:tcPr>
            <w:tcW w:w="14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740" w:type="dxa"/>
            <w:vAlign w:val="bottom"/>
            <w:tcBorders>
              <w:top w:val="single" w:sz="8" w:color="0000FF"/>
            </w:tcBorders>
          </w:tcPr>
          <w:p>
            <w:pPr>
              <w:spacing w:after="0"/>
              <w:rPr>
                <w:sz w:val="15"/>
                <w:szCs w:val="15"/>
                <w:color w:val="auto"/>
              </w:rPr>
            </w:pPr>
          </w:p>
        </w:tc>
        <w:tc>
          <w:tcPr>
            <w:tcW w:w="540" w:type="dxa"/>
            <w:vAlign w:val="bottom"/>
            <w:tcBorders>
              <w:top w:val="single" w:sz="8" w:color="0000FF"/>
            </w:tcBorders>
          </w:tcPr>
          <w:p>
            <w:pPr>
              <w:spacing w:after="0"/>
              <w:rPr>
                <w:sz w:val="15"/>
                <w:szCs w:val="15"/>
                <w:color w:val="auto"/>
              </w:rPr>
            </w:pPr>
          </w:p>
        </w:tc>
        <w:tc>
          <w:tcPr>
            <w:tcW w:w="354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5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4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6"/>
                <w:szCs w:val="16"/>
                <w:color w:val="auto"/>
              </w:rPr>
            </w:pPr>
          </w:p>
        </w:tc>
        <w:tc>
          <w:tcPr>
            <w:tcW w:w="9180" w:type="dxa"/>
            <w:vAlign w:val="bottom"/>
            <w:gridSpan w:val="46"/>
            <w:shd w:val="clear" w:color="auto" w:fill="CCEEFF"/>
          </w:tcPr>
          <w:p>
            <w:pPr>
              <w:spacing w:after="0" w:line="187"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Contract Manufacturing Agreement, dated as of January 20, 2020, by and between Jazz Pharmaceuticals Ireland Limited and</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900" w:type="dxa"/>
            <w:vAlign w:val="bottom"/>
            <w:tcBorders>
              <w:top w:val="single" w:sz="8" w:color="0000FF"/>
            </w:tcBorders>
            <w:gridSpan w:val="33"/>
            <w:shd w:val="clear" w:color="auto" w:fill="CCEEFF"/>
          </w:tcPr>
          <w:p>
            <w:pPr>
              <w:spacing w:after="0" w:line="166" w:lineRule="exact"/>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Siegfried AG (incorporated herein by reference to Exhibit 10.10 in Jazz Pharmaceuticals plc’s Annual Report on Form 10-K</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4"/>
            <w:shd w:val="clear" w:color="auto" w:fill="CCEEFF"/>
          </w:tcPr>
          <w:p>
            <w:pPr>
              <w:spacing w:after="0"/>
              <w:rPr>
                <w:sz w:val="14"/>
                <w:szCs w:val="14"/>
                <w:color w:val="auto"/>
              </w:rPr>
            </w:pPr>
          </w:p>
        </w:tc>
        <w:tc>
          <w:tcPr>
            <w:tcW w:w="120" w:type="dxa"/>
            <w:vAlign w:val="bottom"/>
            <w:tcBorders>
              <w:top w:val="single" w:sz="8" w:color="CCEEFF"/>
            </w:tcBorders>
            <w:gridSpan w:val="5"/>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840" w:type="dxa"/>
            <w:vAlign w:val="bottom"/>
            <w:tcBorders>
              <w:top w:val="single" w:sz="8" w:color="0000FF"/>
            </w:tcBorders>
            <w:gridSpan w:val="30"/>
            <w:shd w:val="clear" w:color="auto" w:fill="CCEEFF"/>
          </w:tcPr>
          <w:p>
            <w:pPr>
              <w:spacing w:after="0" w:line="180"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(File No. 001-33500) for the period ended December 31, 2019, as filed with the SEC on February 25, 2020).</w:t>
              </w:r>
            </w:hyperlink>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gridSpan w:val="4"/>
            <w:shd w:val="clear" w:color="auto" w:fill="CCEEFF"/>
          </w:tcPr>
          <w:p>
            <w:pPr>
              <w:spacing w:after="0"/>
              <w:rPr>
                <w:sz w:val="15"/>
                <w:szCs w:val="15"/>
                <w:color w:val="auto"/>
              </w:rPr>
            </w:pPr>
          </w:p>
        </w:tc>
        <w:tc>
          <w:tcPr>
            <w:tcW w:w="120" w:type="dxa"/>
            <w:vAlign w:val="bottom"/>
            <w:tcBorders>
              <w:top w:val="single" w:sz="8" w:color="CCEEFF"/>
            </w:tcBorders>
            <w:gridSpan w:val="5"/>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4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354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continue"/>
          </w:tcPr>
          <w:p>
            <w:pPr>
              <w:spacing w:after="0"/>
              <w:rPr>
                <w:sz w:val="16"/>
                <w:szCs w:val="16"/>
                <w:color w:val="auto"/>
              </w:rPr>
            </w:pPr>
          </w:p>
        </w:tc>
        <w:tc>
          <w:tcPr>
            <w:tcW w:w="124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6"/>
                <w:szCs w:val="16"/>
                <w:color w:val="auto"/>
              </w:rPr>
            </w:pPr>
          </w:p>
        </w:tc>
        <w:tc>
          <w:tcPr>
            <w:tcW w:w="9180" w:type="dxa"/>
            <w:vAlign w:val="bottom"/>
            <w:gridSpan w:val="46"/>
          </w:tcPr>
          <w:p>
            <w:pPr>
              <w:spacing w:after="0" w:line="187"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Pharmacy Master Services Agreement, dated as of December 1, 2022, by and between Jazz Pharmaceuticals, Inc. and Express</w:t>
              </w:r>
            </w:hyperlink>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960" w:type="dxa"/>
            <w:vAlign w:val="bottom"/>
            <w:tcBorders>
              <w:top w:val="single" w:sz="8" w:color="0000FF"/>
            </w:tcBorders>
            <w:gridSpan w:val="36"/>
          </w:tcPr>
          <w:p>
            <w:pPr>
              <w:spacing w:after="0" w:line="180" w:lineRule="exact"/>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Scripts Specialty Distribution Services, Inc. (incorporated herein by reference to Exhibit 10.8# in Jazz Pharmaceuticals plc’s</w:t>
              </w:r>
            </w:hyperlink>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12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60" w:type="dxa"/>
            <w:vAlign w:val="bottom"/>
            <w:tcBorders>
              <w:top w:val="single" w:sz="8" w:color="0000FF"/>
              <w:bottom w:val="single" w:sz="8" w:color="0000FF"/>
            </w:tcBorders>
            <w:gridSpan w:val="31"/>
          </w:tcPr>
          <w:p>
            <w:pPr>
              <w:spacing w:after="0" w:line="180" w:lineRule="exact"/>
              <w:rPr>
                <w:rFonts w:ascii="Times New Roman" w:cs="Times New Roman" w:eastAsia="Times New Roman" w:hAnsi="Times New Roman"/>
                <w:sz w:val="18"/>
                <w:szCs w:val="18"/>
                <w:color w:val="0000FF"/>
                <w:w w:val="97"/>
              </w:rPr>
            </w:pPr>
            <w:hyperlink r:id="rId139">
              <w:r>
                <w:rPr>
                  <w:rFonts w:ascii="Times New Roman" w:cs="Times New Roman" w:eastAsia="Times New Roman" w:hAnsi="Times New Roman"/>
                  <w:sz w:val="18"/>
                  <w:szCs w:val="18"/>
                  <w:color w:val="0000FF"/>
                  <w:w w:val="97"/>
                </w:rPr>
                <w:t>Annual Report on Form 10-K (File No. 001-33500) for the period ended December 31, 2022, as filed with the SEC on March</w:t>
              </w:r>
            </w:hyperlink>
          </w:p>
        </w:tc>
        <w:tc>
          <w:tcPr>
            <w:tcW w:w="60" w:type="dxa"/>
            <w:vAlign w:val="bottom"/>
            <w:tcBorders>
              <w:bottom w:val="single" w:sz="8" w:color="0000FF"/>
            </w:tcBorders>
            <w:gridSpan w:val="3"/>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12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gridSpan w:val="3"/>
          </w:tcPr>
          <w:p>
            <w:pPr>
              <w:spacing w:after="0" w:line="180"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1, 2023).</w:t>
              </w:r>
            </w:hyperlink>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5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4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10.8A‡</w:t>
            </w:r>
          </w:p>
        </w:tc>
        <w:tc>
          <w:tcPr>
            <w:tcW w:w="120" w:type="dxa"/>
            <w:vAlign w:val="bottom"/>
            <w:shd w:val="clear" w:color="auto" w:fill="CCEEFF"/>
          </w:tcPr>
          <w:p>
            <w:pPr>
              <w:spacing w:after="0"/>
              <w:rPr>
                <w:sz w:val="16"/>
                <w:szCs w:val="16"/>
                <w:color w:val="auto"/>
              </w:rPr>
            </w:pPr>
          </w:p>
        </w:tc>
        <w:tc>
          <w:tcPr>
            <w:tcW w:w="9180" w:type="dxa"/>
            <w:vAlign w:val="bottom"/>
            <w:gridSpan w:val="46"/>
            <w:shd w:val="clear" w:color="auto" w:fill="CCEEFF"/>
          </w:tcPr>
          <w:p>
            <w:pPr>
              <w:spacing w:after="0" w:line="187"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Amended and Restated License Agreement, dated as of October 14, 2020, between Pharma Mar, S.A. and Jazz</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460" w:type="dxa"/>
            <w:vAlign w:val="bottom"/>
            <w:gridSpan w:val="6"/>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280" w:type="dxa"/>
            <w:vAlign w:val="bottom"/>
            <w:gridSpan w:val="3"/>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40" w:type="dxa"/>
            <w:vAlign w:val="bottom"/>
            <w:gridSpan w:val="12"/>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80" w:type="dxa"/>
            <w:vAlign w:val="bottom"/>
            <w:gridSpan w:val="4"/>
            <w:shd w:val="clear" w:color="auto" w:fill="CCEEFF"/>
          </w:tcPr>
          <w:p>
            <w:pPr>
              <w:spacing w:after="0" w:line="20" w:lineRule="exact"/>
              <w:rPr>
                <w:sz w:val="1"/>
                <w:szCs w:val="1"/>
                <w:color w:val="auto"/>
              </w:rPr>
            </w:pPr>
          </w:p>
        </w:tc>
        <w:tc>
          <w:tcPr>
            <w:tcW w:w="120" w:type="dxa"/>
            <w:vAlign w:val="bottom"/>
            <w:gridSpan w:val="5"/>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180" w:type="dxa"/>
            <w:vAlign w:val="bottom"/>
            <w:gridSpan w:val="46"/>
            <w:shd w:val="clear" w:color="auto" w:fill="CCEEFF"/>
          </w:tcPr>
          <w:p>
            <w:pPr>
              <w:spacing w:after="0" w:line="180"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Pharmaceuticals Ireland Limited (incorporated herein by reference to Exhibit 10.12 in Jazz Pharmaceuticals plc’s Annual</w:t>
              </w:r>
            </w:hyperlink>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620" w:type="dxa"/>
            <w:vAlign w:val="bottom"/>
            <w:tcBorders>
              <w:top w:val="single" w:sz="8" w:color="0000FF"/>
            </w:tcBorders>
            <w:gridSpan w:val="19"/>
            <w:shd w:val="clear" w:color="auto" w:fill="CCEEFF"/>
          </w:tcPr>
          <w:p>
            <w:pPr>
              <w:spacing w:after="0" w:line="180" w:lineRule="exact"/>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Report on Form 10-K (File No. 001-33500) for the period ended December 31, 2020, as filed with the SEC on February</w:t>
              </w:r>
            </w:hyperlink>
          </w:p>
        </w:tc>
        <w:tc>
          <w:tcPr>
            <w:tcW w:w="320" w:type="dxa"/>
            <w:vAlign w:val="bottom"/>
            <w:tcBorders>
              <w:top w:val="single" w:sz="8" w:color="CCEEFF"/>
            </w:tcBorders>
            <w:gridSpan w:val="16"/>
            <w:shd w:val="clear" w:color="auto" w:fill="CCEEFF"/>
          </w:tcPr>
          <w:p>
            <w:pPr>
              <w:jc w:val="right"/>
              <w:ind w:right="160"/>
              <w:spacing w:after="0"/>
              <w:rPr>
                <w:rFonts w:ascii="Times New Roman" w:cs="Times New Roman" w:eastAsia="Times New Roman" w:hAnsi="Times New Roman"/>
                <w:sz w:val="14"/>
                <w:szCs w:val="14"/>
                <w:color w:val="0000FF"/>
                <w:w w:val="79"/>
              </w:rPr>
            </w:pPr>
            <w:hyperlink r:id="rId140">
              <w:r>
                <w:rPr>
                  <w:rFonts w:ascii="Times New Roman" w:cs="Times New Roman" w:eastAsia="Times New Roman" w:hAnsi="Times New Roman"/>
                  <w:sz w:val="14"/>
                  <w:szCs w:val="14"/>
                  <w:color w:val="0000FF"/>
                  <w:w w:val="79"/>
                </w:rPr>
                <w:t>23,</w:t>
              </w:r>
            </w:hyperlink>
          </w:p>
        </w:tc>
        <w:tc>
          <w:tcPr>
            <w:tcW w:w="40" w:type="dxa"/>
            <w:vAlign w:val="bottom"/>
            <w:tcBorders>
              <w:top w:val="single" w:sz="8" w:color="CCEEFF"/>
            </w:tcBorders>
            <w:gridSpan w:val="2"/>
            <w:shd w:val="clear" w:color="auto" w:fill="CCEEFF"/>
          </w:tcPr>
          <w:p>
            <w:pPr>
              <w:spacing w:after="0"/>
              <w:rPr>
                <w:sz w:val="15"/>
                <w:szCs w:val="15"/>
                <w:color w:val="auto"/>
              </w:rPr>
            </w:pPr>
          </w:p>
        </w:tc>
        <w:tc>
          <w:tcPr>
            <w:tcW w:w="80" w:type="dxa"/>
            <w:vAlign w:val="bottom"/>
            <w:tcBorders>
              <w:top w:val="single" w:sz="8" w:color="CCEEFF"/>
            </w:tcBorders>
            <w:gridSpan w:val="4"/>
            <w:shd w:val="clear" w:color="auto" w:fill="CCEEFF"/>
          </w:tcPr>
          <w:p>
            <w:pPr>
              <w:spacing w:after="0"/>
              <w:rPr>
                <w:sz w:val="15"/>
                <w:szCs w:val="15"/>
                <w:color w:val="auto"/>
              </w:rPr>
            </w:pPr>
          </w:p>
        </w:tc>
        <w:tc>
          <w:tcPr>
            <w:tcW w:w="120" w:type="dxa"/>
            <w:vAlign w:val="bottom"/>
            <w:tcBorders>
              <w:top w:val="single" w:sz="8" w:color="CCEEFF"/>
            </w:tcBorders>
            <w:gridSpan w:val="5"/>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0000FF"/>
            </w:tcBorders>
            <w:gridSpan w:val="2"/>
            <w:shd w:val="clear" w:color="auto" w:fill="CCEEFF"/>
          </w:tcPr>
          <w:p>
            <w:pPr>
              <w:spacing w:after="0" w:line="180"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2021).</w:t>
              </w:r>
            </w:hyperlink>
          </w:p>
        </w:tc>
        <w:tc>
          <w:tcPr>
            <w:tcW w:w="1400" w:type="dxa"/>
            <w:vAlign w:val="bottom"/>
            <w:tcBorders>
              <w:top w:val="single" w:sz="8" w:color="0000FF"/>
            </w:tcBorders>
            <w:shd w:val="clear" w:color="auto" w:fill="CCEEFF"/>
          </w:tcPr>
          <w:p>
            <w:pPr>
              <w:spacing w:after="0"/>
              <w:rPr>
                <w:sz w:val="15"/>
                <w:szCs w:val="15"/>
                <w:color w:val="auto"/>
              </w:rPr>
            </w:pPr>
          </w:p>
        </w:tc>
        <w:tc>
          <w:tcPr>
            <w:tcW w:w="14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740" w:type="dxa"/>
            <w:vAlign w:val="bottom"/>
            <w:tcBorders>
              <w:top w:val="single" w:sz="8" w:color="0000FF"/>
            </w:tcBorders>
            <w:shd w:val="clear" w:color="auto" w:fill="CCEEFF"/>
          </w:tcPr>
          <w:p>
            <w:pPr>
              <w:spacing w:after="0"/>
              <w:rPr>
                <w:sz w:val="15"/>
                <w:szCs w:val="15"/>
                <w:color w:val="auto"/>
              </w:rPr>
            </w:pPr>
          </w:p>
        </w:tc>
        <w:tc>
          <w:tcPr>
            <w:tcW w:w="540" w:type="dxa"/>
            <w:vAlign w:val="bottom"/>
            <w:tcBorders>
              <w:top w:val="single" w:sz="8" w:color="0000FF"/>
            </w:tcBorders>
            <w:shd w:val="clear" w:color="auto" w:fill="CCEEFF"/>
          </w:tcPr>
          <w:p>
            <w:pPr>
              <w:spacing w:after="0"/>
              <w:rPr>
                <w:sz w:val="15"/>
                <w:szCs w:val="15"/>
                <w:color w:val="auto"/>
              </w:rPr>
            </w:pPr>
          </w:p>
        </w:tc>
        <w:tc>
          <w:tcPr>
            <w:tcW w:w="3540" w:type="dxa"/>
            <w:vAlign w:val="bottom"/>
            <w:tcBorders>
              <w:top w:val="single" w:sz="8" w:color="0000FF"/>
            </w:tcBorders>
            <w:shd w:val="clear" w:color="auto" w:fill="CCEEFF"/>
          </w:tcPr>
          <w:p>
            <w:pPr>
              <w:spacing w:after="0"/>
              <w:rPr>
                <w:sz w:val="15"/>
                <w:szCs w:val="15"/>
                <w:color w:val="auto"/>
              </w:rPr>
            </w:pPr>
          </w:p>
        </w:tc>
        <w:tc>
          <w:tcPr>
            <w:tcW w:w="460" w:type="dxa"/>
            <w:vAlign w:val="bottom"/>
            <w:tcBorders>
              <w:top w:val="single" w:sz="8" w:color="0000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16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16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24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35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4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10.8B‡</w:t>
            </w:r>
          </w:p>
        </w:tc>
        <w:tc>
          <w:tcPr>
            <w:tcW w:w="120" w:type="dxa"/>
            <w:vAlign w:val="bottom"/>
          </w:tcPr>
          <w:p>
            <w:pPr>
              <w:spacing w:after="0"/>
              <w:rPr>
                <w:sz w:val="16"/>
                <w:szCs w:val="16"/>
                <w:color w:val="auto"/>
              </w:rPr>
            </w:pPr>
          </w:p>
        </w:tc>
        <w:tc>
          <w:tcPr>
            <w:tcW w:w="9180" w:type="dxa"/>
            <w:vAlign w:val="bottom"/>
            <w:gridSpan w:val="46"/>
          </w:tcPr>
          <w:p>
            <w:pPr>
              <w:spacing w:after="0" w:line="187"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Amendment No. 1, dated as of May 6, 2021, to Amended and Restated License Agreement, dated as of October 14, 2020,</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80" w:type="dxa"/>
            <w:vAlign w:val="bottom"/>
            <w:tcBorders>
              <w:top w:val="single" w:sz="8" w:color="0000FF"/>
            </w:tcBorders>
            <w:gridSpan w:val="22"/>
          </w:tcPr>
          <w:p>
            <w:pPr>
              <w:spacing w:after="0" w:line="166" w:lineRule="exact"/>
              <w:rPr>
                <w:rFonts w:ascii="Times New Roman" w:cs="Times New Roman" w:eastAsia="Times New Roman" w:hAnsi="Times New Roman"/>
                <w:sz w:val="18"/>
                <w:szCs w:val="18"/>
                <w:color w:val="0000FF"/>
                <w:w w:val="98"/>
              </w:rPr>
            </w:pPr>
            <w:hyperlink r:id="rId142">
              <w:r>
                <w:rPr>
                  <w:rFonts w:ascii="Times New Roman" w:cs="Times New Roman" w:eastAsia="Times New Roman" w:hAnsi="Times New Roman"/>
                  <w:sz w:val="18"/>
                  <w:szCs w:val="18"/>
                  <w:color w:val="0000FF"/>
                  <w:w w:val="98"/>
                </w:rPr>
                <w:t>between Pharma Mar, S.A. and Jazz Pharmaceuticals Ireland Limited (incorporated herein by reference to Exhibit 10.2 in</w:t>
              </w:r>
            </w:hyperlink>
          </w:p>
        </w:tc>
        <w:tc>
          <w:tcPr>
            <w:tcW w:w="500" w:type="dxa"/>
            <w:vAlign w:val="bottom"/>
            <w:gridSpan w:val="24"/>
          </w:tcPr>
          <w:p>
            <w:pPr>
              <w:spacing w:after="0" w:line="16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Jazz</w:t>
              </w:r>
            </w:hyperlink>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60" w:type="dxa"/>
            <w:vAlign w:val="bottom"/>
            <w:tcBorders>
              <w:top w:val="single" w:sz="8" w:color="0000FF"/>
            </w:tcBorders>
            <w:gridSpan w:val="41"/>
          </w:tcPr>
          <w:p>
            <w:pPr>
              <w:spacing w:after="0" w:line="180" w:lineRule="exact"/>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Pharmaceuticals, plc’s Quarterly Report on Form 10-Q (File No. 001-33500) for the period ended June 30, 2021, as filed with</w:t>
              </w:r>
            </w:hyperlink>
          </w:p>
        </w:tc>
        <w:tc>
          <w:tcPr>
            <w:tcW w:w="12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940" w:type="dxa"/>
            <w:vAlign w:val="bottom"/>
            <w:tcBorders>
              <w:top w:val="single" w:sz="8" w:color="0000FF"/>
            </w:tcBorders>
            <w:gridSpan w:val="35"/>
          </w:tcPr>
          <w:p>
            <w:pPr>
              <w:spacing w:after="0" w:line="16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the SEC on August 3, 2021).</w:t>
              </w:r>
            </w:hyperlink>
          </w:p>
        </w:tc>
        <w:tc>
          <w:tcPr>
            <w:tcW w:w="40" w:type="dxa"/>
            <w:vAlign w:val="bottom"/>
            <w:gridSpan w:val="2"/>
          </w:tcPr>
          <w:p>
            <w:pPr>
              <w:spacing w:after="0"/>
              <w:rPr>
                <w:sz w:val="14"/>
                <w:szCs w:val="14"/>
                <w:color w:val="auto"/>
              </w:rPr>
            </w:pPr>
          </w:p>
        </w:tc>
        <w:tc>
          <w:tcPr>
            <w:tcW w:w="20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40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continue"/>
          </w:tcPr>
          <w:p>
            <w:pPr>
              <w:spacing w:after="0"/>
              <w:rPr>
                <w:sz w:val="16"/>
                <w:szCs w:val="16"/>
                <w:color w:val="auto"/>
              </w:rPr>
            </w:pPr>
          </w:p>
        </w:tc>
        <w:tc>
          <w:tcPr>
            <w:tcW w:w="1240" w:type="dxa"/>
            <w:vAlign w:val="bottom"/>
            <w:tcBorders>
              <w:bottom w:val="single" w:sz="8" w:color="CCEEFF"/>
            </w:tcBorders>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bottom w:val="single" w:sz="8" w:color="CCEEFF"/>
            </w:tcBorders>
            <w:shd w:val="clear" w:color="auto" w:fill="CCEEFF"/>
          </w:tcPr>
          <w:p>
            <w:pPr>
              <w:spacing w:after="0"/>
              <w:rPr>
                <w:sz w:val="16"/>
                <w:szCs w:val="16"/>
                <w:color w:val="auto"/>
              </w:rPr>
            </w:pPr>
          </w:p>
        </w:tc>
        <w:tc>
          <w:tcPr>
            <w:tcW w:w="8120" w:type="dxa"/>
            <w:vAlign w:val="bottom"/>
            <w:tcBorders>
              <w:bottom w:val="single" w:sz="8" w:color="0000FF"/>
            </w:tcBorders>
            <w:gridSpan w:val="14"/>
            <w:shd w:val="clear" w:color="auto" w:fill="CCEEFF"/>
          </w:tcPr>
          <w:p>
            <w:pPr>
              <w:spacing w:after="0" w:line="187" w:lineRule="exact"/>
              <w:rPr>
                <w:rFonts w:ascii="Times New Roman" w:cs="Times New Roman" w:eastAsia="Times New Roman" w:hAnsi="Times New Roman"/>
                <w:sz w:val="18"/>
                <w:szCs w:val="18"/>
                <w:color w:val="0000FF"/>
                <w:w w:val="98"/>
              </w:rPr>
            </w:pPr>
            <w:hyperlink r:id="rId143">
              <w:r>
                <w:rPr>
                  <w:rFonts w:ascii="Times New Roman" w:cs="Times New Roman" w:eastAsia="Times New Roman" w:hAnsi="Times New Roman"/>
                  <w:sz w:val="18"/>
                  <w:szCs w:val="18"/>
                  <w:color w:val="0000FF"/>
                  <w:w w:val="98"/>
                </w:rPr>
                <w:t>Lease, dated May 8, 2012, by and between John Ronan and Castle Cove Property Developments Limited and Jazz</w:t>
              </w:r>
            </w:hyperlink>
          </w:p>
        </w:tc>
        <w:tc>
          <w:tcPr>
            <w:tcW w:w="1060" w:type="dxa"/>
            <w:vAlign w:val="bottom"/>
            <w:tcBorders>
              <w:bottom w:val="single" w:sz="8" w:color="CCEEFF"/>
            </w:tcBorders>
            <w:gridSpan w:val="3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180" w:type="dxa"/>
            <w:vAlign w:val="bottom"/>
            <w:gridSpan w:val="46"/>
            <w:shd w:val="clear" w:color="auto" w:fill="CCEEFF"/>
          </w:tcPr>
          <w:p>
            <w:pPr>
              <w:spacing w:after="0" w:line="16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Pharmaceuticals plc (incorporated herein by reference to Exhibit 10.2 in Jazz Pharmaceuticals plc’s Quarterly Report on Form</w:t>
              </w:r>
            </w:hyperlink>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500" w:type="dxa"/>
            <w:vAlign w:val="bottom"/>
            <w:tcBorders>
              <w:top w:val="single" w:sz="8" w:color="0000FF"/>
              <w:bottom w:val="single" w:sz="8" w:color="0000FF"/>
            </w:tcBorders>
            <w:gridSpan w:val="9"/>
            <w:shd w:val="clear" w:color="auto" w:fill="CCEEFF"/>
          </w:tcPr>
          <w:p>
            <w:pPr>
              <w:spacing w:after="0" w:line="180" w:lineRule="exact"/>
              <w:rPr>
                <w:rFonts w:ascii="Times New Roman" w:cs="Times New Roman" w:eastAsia="Times New Roman" w:hAnsi="Times New Roman"/>
                <w:sz w:val="18"/>
                <w:szCs w:val="18"/>
                <w:color w:val="0000FF"/>
                <w:w w:val="98"/>
              </w:rPr>
            </w:pPr>
            <w:hyperlink r:id="rId143">
              <w:r>
                <w:rPr>
                  <w:rFonts w:ascii="Times New Roman" w:cs="Times New Roman" w:eastAsia="Times New Roman" w:hAnsi="Times New Roman"/>
                  <w:sz w:val="18"/>
                  <w:szCs w:val="18"/>
                  <w:color w:val="0000FF"/>
                  <w:w w:val="98"/>
                </w:rPr>
                <w:t>10-Q (File No. 001-33500) for the period ended June 30, 2012, as filed with the SEC on August 7, 2012).</w:t>
              </w:r>
            </w:hyperlink>
          </w:p>
        </w:tc>
        <w:tc>
          <w:tcPr>
            <w:tcW w:w="1480" w:type="dxa"/>
            <w:vAlign w:val="bottom"/>
            <w:tcBorders>
              <w:top w:val="single" w:sz="8" w:color="0000FF"/>
              <w:bottom w:val="single" w:sz="8" w:color="CCEEFF"/>
            </w:tcBorders>
            <w:gridSpan w:val="28"/>
            <w:shd w:val="clear" w:color="auto" w:fill="CCEEFF"/>
          </w:tcPr>
          <w:p>
            <w:pPr>
              <w:spacing w:after="0"/>
              <w:rPr>
                <w:sz w:val="18"/>
                <w:szCs w:val="18"/>
                <w:color w:val="auto"/>
              </w:rPr>
            </w:pPr>
          </w:p>
        </w:tc>
        <w:tc>
          <w:tcPr>
            <w:tcW w:w="200" w:type="dxa"/>
            <w:vAlign w:val="bottom"/>
            <w:tcBorders>
              <w:top w:val="single" w:sz="8" w:color="CCEEFF"/>
              <w:bottom w:val="single" w:sz="8" w:color="CCEEFF"/>
            </w:tcBorders>
            <w:gridSpan w:val="9"/>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4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10.10A</w:t>
            </w:r>
          </w:p>
        </w:tc>
        <w:tc>
          <w:tcPr>
            <w:tcW w:w="120" w:type="dxa"/>
            <w:vAlign w:val="bottom"/>
          </w:tcPr>
          <w:p>
            <w:pPr>
              <w:spacing w:after="0"/>
              <w:rPr>
                <w:sz w:val="16"/>
                <w:szCs w:val="16"/>
                <w:color w:val="auto"/>
              </w:rPr>
            </w:pPr>
          </w:p>
        </w:tc>
        <w:tc>
          <w:tcPr>
            <w:tcW w:w="9180" w:type="dxa"/>
            <w:vAlign w:val="bottom"/>
            <w:gridSpan w:val="46"/>
          </w:tcPr>
          <w:p>
            <w:pPr>
              <w:spacing w:after="0" w:line="187"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Commercial Lease, dated as of January 7, 2015, by and between The Board of Trustees of the Leland Stanford Junior</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340" w:type="dxa"/>
            <w:vAlign w:val="bottom"/>
            <w:tcBorders>
              <w:top w:val="single" w:sz="8" w:color="0000FF"/>
              <w:bottom w:val="single" w:sz="8" w:color="0000FF"/>
            </w:tcBorders>
            <w:gridSpan w:val="16"/>
          </w:tcPr>
          <w:p>
            <w:pPr>
              <w:spacing w:after="0" w:line="166" w:lineRule="exact"/>
              <w:rPr>
                <w:rFonts w:ascii="Times New Roman" w:cs="Times New Roman" w:eastAsia="Times New Roman" w:hAnsi="Times New Roman"/>
                <w:sz w:val="18"/>
                <w:szCs w:val="18"/>
                <w:color w:val="0000FF"/>
                <w:w w:val="98"/>
              </w:rPr>
            </w:pPr>
            <w:hyperlink r:id="rId144">
              <w:r>
                <w:rPr>
                  <w:rFonts w:ascii="Times New Roman" w:cs="Times New Roman" w:eastAsia="Times New Roman" w:hAnsi="Times New Roman"/>
                  <w:sz w:val="18"/>
                  <w:szCs w:val="18"/>
                  <w:color w:val="0000FF"/>
                  <w:w w:val="98"/>
                </w:rPr>
                <w:t>University and Jazz Pharmaceuticals, Inc. (incorporated herein by reference to Exhibit 10.10 in Jazz Pharmaceuticals</w:t>
              </w:r>
            </w:hyperlink>
          </w:p>
        </w:tc>
        <w:tc>
          <w:tcPr>
            <w:tcW w:w="360" w:type="dxa"/>
            <w:vAlign w:val="bottom"/>
            <w:tcBorders>
              <w:bottom w:val="single" w:sz="8" w:color="0000FF"/>
            </w:tcBorders>
            <w:gridSpan w:val="7"/>
          </w:tcPr>
          <w:p>
            <w:pPr>
              <w:ind w:left="20"/>
              <w:spacing w:after="0" w:line="166" w:lineRule="exact"/>
              <w:rPr>
                <w:rFonts w:ascii="Times New Roman" w:cs="Times New Roman" w:eastAsia="Times New Roman" w:hAnsi="Times New Roman"/>
                <w:sz w:val="18"/>
                <w:szCs w:val="18"/>
                <w:color w:val="0000FF"/>
                <w:w w:val="91"/>
              </w:rPr>
            </w:pPr>
            <w:hyperlink r:id="rId144">
              <w:r>
                <w:rPr>
                  <w:rFonts w:ascii="Times New Roman" w:cs="Times New Roman" w:eastAsia="Times New Roman" w:hAnsi="Times New Roman"/>
                  <w:sz w:val="18"/>
                  <w:szCs w:val="18"/>
                  <w:color w:val="0000FF"/>
                  <w:w w:val="91"/>
                </w:rPr>
                <w:t>plc’s</w:t>
              </w:r>
            </w:hyperlink>
          </w:p>
        </w:tc>
        <w:tc>
          <w:tcPr>
            <w:tcW w:w="480" w:type="dxa"/>
            <w:vAlign w:val="bottom"/>
            <w:gridSpan w:val="23"/>
          </w:tcPr>
          <w:p>
            <w:pPr>
              <w:spacing w:after="0"/>
              <w:rPr>
                <w:sz w:val="14"/>
                <w:szCs w:val="14"/>
                <w:color w:val="auto"/>
              </w:rPr>
            </w:pPr>
          </w:p>
        </w:tc>
        <w:tc>
          <w:tcPr>
            <w:tcW w:w="0" w:type="dxa"/>
            <w:vAlign w:val="bottom"/>
          </w:tcPr>
          <w:p>
            <w:pPr>
              <w:spacing w:after="0"/>
              <w:rPr>
                <w:sz w:val="1"/>
                <w:szCs w:val="1"/>
                <w:color w:val="auto"/>
              </w:rPr>
            </w:pPr>
          </w:p>
        </w:tc>
      </w:tr>
    </w:tbl>
    <w:p>
      <w:pPr>
        <w:ind w:left="1380" w:right="780"/>
        <w:spacing w:after="0" w:line="239" w:lineRule="auto"/>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Annual Report on Form 10-K (File No. 001-33500) for the period ended December 31, 2014, as filed with the SEC on</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February 24, 2015).</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560"/>
          </w:cols>
          <w:pgMar w:left="320" w:top="106" w:right="101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07"/>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Table of Contents</w:t>
            </w: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2"/>
        </w:trPr>
        <w:tc>
          <w:tcPr>
            <w:tcW w:w="20" w:type="dxa"/>
            <w:vAlign w:val="bottom"/>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4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10.10B</w:t>
            </w:r>
          </w:p>
        </w:tc>
        <w:tc>
          <w:tcPr>
            <w:tcW w:w="120" w:type="dxa"/>
            <w:vAlign w:val="bottom"/>
            <w:shd w:val="clear" w:color="auto" w:fill="CCEEFF"/>
          </w:tcPr>
          <w:p>
            <w:pPr>
              <w:spacing w:after="0"/>
              <w:rPr>
                <w:sz w:val="16"/>
                <w:szCs w:val="16"/>
                <w:color w:val="auto"/>
              </w:rPr>
            </w:pPr>
          </w:p>
        </w:tc>
        <w:tc>
          <w:tcPr>
            <w:tcW w:w="9200" w:type="dxa"/>
            <w:vAlign w:val="bottom"/>
            <w:gridSpan w:val="38"/>
            <w:shd w:val="clear" w:color="auto" w:fill="CCEEFF"/>
          </w:tcPr>
          <w:p>
            <w:pPr>
              <w:spacing w:after="0" w:line="187"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First Amendment, dated as of January 29, 2018, to Commercial Lease, dated as of January 7, 2015, by and between The Board</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080" w:type="dxa"/>
            <w:vAlign w:val="bottom"/>
            <w:tcBorders>
              <w:top w:val="single" w:sz="8" w:color="0000FF"/>
            </w:tcBorders>
            <w:gridSpan w:val="32"/>
            <w:shd w:val="clear" w:color="auto" w:fill="CCEEFF"/>
          </w:tcPr>
          <w:p>
            <w:pPr>
              <w:spacing w:after="0" w:line="16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of Trustees of the Leland Stanford Junior University and Jazz Pharmaceuticals, Inc. (incorporated herein by reference to</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0" w:type="dxa"/>
            <w:vAlign w:val="bottom"/>
            <w:gridSpan w:val="38"/>
            <w:shd w:val="clear" w:color="auto" w:fill="CCEEFF"/>
          </w:tcPr>
          <w:p>
            <w:pPr>
              <w:spacing w:after="0" w:line="180"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Exhibit 10.5 in Jazz Pharmaceuticals plc’s Quarterly Report on Form 10-Q (File No. 001-33500) for the period ended June 30,</w:t>
              </w:r>
            </w:hyperlink>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2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420" w:type="dxa"/>
            <w:vAlign w:val="bottom"/>
            <w:tcBorders>
              <w:top w:val="single" w:sz="8" w:color="0000FF"/>
              <w:bottom w:val="single" w:sz="8" w:color="0000FF"/>
            </w:tcBorders>
            <w:gridSpan w:val="3"/>
            <w:shd w:val="clear" w:color="auto" w:fill="CCEEFF"/>
          </w:tcPr>
          <w:p>
            <w:pPr>
              <w:spacing w:after="0" w:line="166" w:lineRule="exact"/>
              <w:rPr>
                <w:rFonts w:ascii="Times New Roman" w:cs="Times New Roman" w:eastAsia="Times New Roman" w:hAnsi="Times New Roman"/>
                <w:sz w:val="18"/>
                <w:szCs w:val="18"/>
                <w:color w:val="0000FF"/>
                <w:w w:val="98"/>
              </w:rPr>
            </w:pPr>
            <w:hyperlink r:id="rId146">
              <w:r>
                <w:rPr>
                  <w:rFonts w:ascii="Times New Roman" w:cs="Times New Roman" w:eastAsia="Times New Roman" w:hAnsi="Times New Roman"/>
                  <w:sz w:val="18"/>
                  <w:szCs w:val="18"/>
                  <w:color w:val="0000FF"/>
                  <w:w w:val="98"/>
                </w:rPr>
                <w:t>2018, as filed with the SEC on August 7, 2018).</w:t>
              </w:r>
            </w:hyperlink>
          </w:p>
        </w:tc>
        <w:tc>
          <w:tcPr>
            <w:tcW w:w="5620" w:type="dxa"/>
            <w:vAlign w:val="bottom"/>
            <w:tcBorders>
              <w:top w:val="single" w:sz="8" w:color="0000FF"/>
              <w:bottom w:val="single" w:sz="8" w:color="CCEEFF"/>
            </w:tcBorders>
            <w:gridSpan w:val="27"/>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4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10.10C</w:t>
            </w:r>
          </w:p>
        </w:tc>
        <w:tc>
          <w:tcPr>
            <w:tcW w:w="120" w:type="dxa"/>
            <w:vAlign w:val="bottom"/>
          </w:tcPr>
          <w:p>
            <w:pPr>
              <w:spacing w:after="0"/>
              <w:rPr>
                <w:sz w:val="16"/>
                <w:szCs w:val="16"/>
                <w:color w:val="auto"/>
              </w:rPr>
            </w:pPr>
          </w:p>
        </w:tc>
        <w:tc>
          <w:tcPr>
            <w:tcW w:w="9200" w:type="dxa"/>
            <w:vAlign w:val="bottom"/>
            <w:gridSpan w:val="38"/>
          </w:tcPr>
          <w:p>
            <w:pPr>
              <w:spacing w:after="0" w:line="187"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Second Amendment, dated as of July 26, 2018, to Commercial Lease, dated as of January 7, 2015, by and between The Board</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0" w:type="dxa"/>
            <w:vAlign w:val="bottom"/>
            <w:tcBorders>
              <w:top w:val="single" w:sz="8" w:color="0000FF"/>
              <w:bottom w:val="single" w:sz="8" w:color="0000FF"/>
            </w:tcBorders>
            <w:gridSpan w:val="15"/>
          </w:tcPr>
          <w:p>
            <w:pPr>
              <w:spacing w:after="0" w:line="166" w:lineRule="exact"/>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of Trustees of the Leland Stanford Junior University and Jazz Pharmaceuticals, Inc., as previously amended by the First</w:t>
              </w:r>
            </w:hyperlink>
          </w:p>
        </w:tc>
        <w:tc>
          <w:tcPr>
            <w:tcW w:w="340" w:type="dxa"/>
            <w:vAlign w:val="bottom"/>
            <w:tcBorders>
              <w:top w:val="single" w:sz="8" w:color="0000FF"/>
            </w:tcBorders>
            <w:gridSpan w:val="1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900" w:type="dxa"/>
            <w:vAlign w:val="bottom"/>
            <w:tcBorders>
              <w:bottom w:val="single" w:sz="8" w:color="0000FF"/>
            </w:tcBorders>
            <w:gridSpan w:val="23"/>
          </w:tcPr>
          <w:p>
            <w:pPr>
              <w:spacing w:after="0" w:line="180" w:lineRule="exact"/>
              <w:rPr>
                <w:rFonts w:ascii="Times New Roman" w:cs="Times New Roman" w:eastAsia="Times New Roman" w:hAnsi="Times New Roman"/>
                <w:sz w:val="18"/>
                <w:szCs w:val="18"/>
                <w:color w:val="0000FF"/>
                <w:w w:val="98"/>
              </w:rPr>
            </w:pPr>
            <w:hyperlink r:id="rId147">
              <w:r>
                <w:rPr>
                  <w:rFonts w:ascii="Times New Roman" w:cs="Times New Roman" w:eastAsia="Times New Roman" w:hAnsi="Times New Roman"/>
                  <w:sz w:val="18"/>
                  <w:szCs w:val="18"/>
                  <w:color w:val="0000FF"/>
                  <w:w w:val="98"/>
                </w:rPr>
                <w:t>Amendment to Lease, dated as of January 29, 2018 (incorporated herein by reference to Exhibit 10.1 in Jazz Pharmaceuticals</w:t>
              </w:r>
            </w:hyperlink>
          </w:p>
        </w:tc>
        <w:tc>
          <w:tcPr>
            <w:tcW w:w="300" w:type="dxa"/>
            <w:vAlign w:val="bottom"/>
            <w:gridSpan w:val="15"/>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0" w:type="dxa"/>
            <w:vAlign w:val="bottom"/>
            <w:gridSpan w:val="38"/>
          </w:tcPr>
          <w:p>
            <w:pPr>
              <w:spacing w:after="0" w:line="16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plc’s Quarterly Report on Form 10-Q (File No. 001-33500) for the period ended September 30, 2018, as filed with the SEC on</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0" w:type="dxa"/>
            <w:vAlign w:val="bottom"/>
            <w:tcBorders>
              <w:top w:val="single" w:sz="8" w:color="0000FF"/>
            </w:tcBorders>
            <w:gridSpan w:val="28"/>
          </w:tcPr>
          <w:p>
            <w:pPr>
              <w:spacing w:after="0" w:line="16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November 6, 2018).</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continue"/>
          </w:tcPr>
          <w:p>
            <w:pPr>
              <w:spacing w:after="0"/>
              <w:rPr>
                <w:sz w:val="16"/>
                <w:szCs w:val="16"/>
                <w:color w:val="auto"/>
              </w:rPr>
            </w:pPr>
          </w:p>
        </w:tc>
        <w:tc>
          <w:tcPr>
            <w:tcW w:w="124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10.11+</w:t>
            </w:r>
          </w:p>
        </w:tc>
        <w:tc>
          <w:tcPr>
            <w:tcW w:w="120" w:type="dxa"/>
            <w:vAlign w:val="bottom"/>
            <w:shd w:val="clear" w:color="auto" w:fill="CCEEFF"/>
          </w:tcPr>
          <w:p>
            <w:pPr>
              <w:spacing w:after="0"/>
              <w:rPr>
                <w:sz w:val="16"/>
                <w:szCs w:val="16"/>
                <w:color w:val="auto"/>
              </w:rPr>
            </w:pPr>
          </w:p>
        </w:tc>
        <w:tc>
          <w:tcPr>
            <w:tcW w:w="9200" w:type="dxa"/>
            <w:vAlign w:val="bottom"/>
            <w:gridSpan w:val="38"/>
            <w:shd w:val="clear" w:color="auto" w:fill="CCEEFF"/>
          </w:tcPr>
          <w:p>
            <w:pPr>
              <w:spacing w:after="0" w:line="187"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Form of Indemnification Agreement between Jazz Pharmaceuticals plc and its officers and directors (incorporated herein by</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820" w:type="dxa"/>
            <w:vAlign w:val="bottom"/>
            <w:tcBorders>
              <w:top w:val="single" w:sz="8" w:color="0000FF"/>
            </w:tcBorders>
            <w:gridSpan w:val="19"/>
            <w:shd w:val="clear" w:color="auto" w:fill="CCEEFF"/>
          </w:tcPr>
          <w:p>
            <w:pPr>
              <w:spacing w:after="0" w:line="166" w:lineRule="exact"/>
              <w:rPr>
                <w:rFonts w:ascii="Times New Roman" w:cs="Times New Roman" w:eastAsia="Times New Roman" w:hAnsi="Times New Roman"/>
                <w:sz w:val="18"/>
                <w:szCs w:val="18"/>
                <w:color w:val="0000FF"/>
                <w:w w:val="98"/>
              </w:rPr>
            </w:pPr>
            <w:hyperlink r:id="rId148">
              <w:r>
                <w:rPr>
                  <w:rFonts w:ascii="Times New Roman" w:cs="Times New Roman" w:eastAsia="Times New Roman" w:hAnsi="Times New Roman"/>
                  <w:sz w:val="18"/>
                  <w:szCs w:val="18"/>
                  <w:color w:val="0000FF"/>
                  <w:w w:val="98"/>
                </w:rPr>
                <w:t>reference to Exhibit 10.1 in Jazz Pharmaceuticals plc’s Current Report on Form 8-K (File No. 001-33500), as filed with the</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920" w:type="dxa"/>
            <w:vAlign w:val="bottom"/>
            <w:tcBorders>
              <w:top w:val="single" w:sz="8" w:color="0000FF"/>
              <w:bottom w:val="single" w:sz="8" w:color="0000FF"/>
            </w:tcBorders>
            <w:gridSpan w:val="2"/>
            <w:shd w:val="clear" w:color="auto" w:fill="CCEEFF"/>
          </w:tcPr>
          <w:p>
            <w:pPr>
              <w:spacing w:after="0" w:line="180" w:lineRule="exact"/>
              <w:rPr>
                <w:rFonts w:ascii="Times New Roman" w:cs="Times New Roman" w:eastAsia="Times New Roman" w:hAnsi="Times New Roman"/>
                <w:sz w:val="18"/>
                <w:szCs w:val="18"/>
                <w:color w:val="0000FF"/>
                <w:w w:val="97"/>
              </w:rPr>
            </w:pPr>
            <w:hyperlink r:id="rId148">
              <w:r>
                <w:rPr>
                  <w:rFonts w:ascii="Times New Roman" w:cs="Times New Roman" w:eastAsia="Times New Roman" w:hAnsi="Times New Roman"/>
                  <w:sz w:val="18"/>
                  <w:szCs w:val="18"/>
                  <w:color w:val="0000FF"/>
                  <w:w w:val="97"/>
                </w:rPr>
                <w:t>SEC on January 18, 2012).</w:t>
              </w:r>
            </w:hyperlink>
          </w:p>
        </w:tc>
        <w:tc>
          <w:tcPr>
            <w:tcW w:w="6840" w:type="dxa"/>
            <w:vAlign w:val="bottom"/>
            <w:tcBorders>
              <w:top w:val="single" w:sz="8" w:color="0000FF"/>
              <w:bottom w:val="single" w:sz="8" w:color="CCEEFF"/>
            </w:tcBorders>
            <w:gridSpan w:val="14"/>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4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16"/>
                <w:szCs w:val="16"/>
                <w:color w:val="auto"/>
              </w:rPr>
            </w:pPr>
          </w:p>
        </w:tc>
        <w:tc>
          <w:tcPr>
            <w:tcW w:w="9200" w:type="dxa"/>
            <w:vAlign w:val="bottom"/>
            <w:gridSpan w:val="38"/>
          </w:tcPr>
          <w:p>
            <w:pPr>
              <w:spacing w:after="0" w:line="187"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Offer Letter from Jazz Pharmaceuticals, Inc. to Robert Iannone dated as of April 11, 2019 (incorporated herein by reference to</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980" w:type="dxa"/>
            <w:vAlign w:val="bottom"/>
            <w:tcBorders>
              <w:top w:val="single" w:sz="8" w:color="0000FF"/>
            </w:tcBorders>
            <w:gridSpan w:val="27"/>
          </w:tcPr>
          <w:p>
            <w:pPr>
              <w:spacing w:after="0" w:line="166" w:lineRule="exact"/>
              <w:rPr>
                <w:rFonts w:ascii="Times New Roman" w:cs="Times New Roman" w:eastAsia="Times New Roman" w:hAnsi="Times New Roman"/>
                <w:sz w:val="18"/>
                <w:szCs w:val="18"/>
                <w:color w:val="0000FF"/>
                <w:w w:val="98"/>
              </w:rPr>
            </w:pPr>
            <w:hyperlink r:id="rId149">
              <w:r>
                <w:rPr>
                  <w:rFonts w:ascii="Times New Roman" w:cs="Times New Roman" w:eastAsia="Times New Roman" w:hAnsi="Times New Roman"/>
                  <w:sz w:val="18"/>
                  <w:szCs w:val="18"/>
                  <w:color w:val="0000FF"/>
                  <w:w w:val="98"/>
                </w:rPr>
                <w:t>Exhibit 10.4 in Jazz Pharmaceuticals plc’s Quarterly Report on Form 10-Q (File No. 001-33500) for the period ended June 30,</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40" w:type="dxa"/>
            <w:vAlign w:val="bottom"/>
            <w:tcBorders>
              <w:top w:val="single" w:sz="8" w:color="0000FF"/>
            </w:tcBorders>
            <w:gridSpan w:val="30"/>
          </w:tcPr>
          <w:p>
            <w:pPr>
              <w:spacing w:after="0" w:line="180"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2019, as filed with the SEC on August 6, 2019).</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500" w:type="dxa"/>
            <w:vAlign w:val="bottom"/>
            <w:tcBorders>
              <w:top w:val="single" w:sz="8" w:color="0000FF"/>
            </w:tcBorders>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240" w:type="dxa"/>
            <w:vAlign w:val="bottom"/>
            <w:tcBorders>
              <w:bottom w:val="single" w:sz="8" w:color="CCEEFF"/>
            </w:tcBorders>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10.13A+</w:t>
            </w:r>
          </w:p>
        </w:tc>
        <w:tc>
          <w:tcPr>
            <w:tcW w:w="120" w:type="dxa"/>
            <w:vAlign w:val="bottom"/>
            <w:tcBorders>
              <w:bottom w:val="single" w:sz="8" w:color="CCEEFF"/>
            </w:tcBorders>
            <w:shd w:val="clear" w:color="auto" w:fill="CCEEFF"/>
          </w:tcPr>
          <w:p>
            <w:pPr>
              <w:spacing w:after="0"/>
              <w:rPr>
                <w:sz w:val="16"/>
                <w:szCs w:val="16"/>
                <w:color w:val="auto"/>
              </w:rPr>
            </w:pPr>
          </w:p>
        </w:tc>
        <w:tc>
          <w:tcPr>
            <w:tcW w:w="8880" w:type="dxa"/>
            <w:vAlign w:val="bottom"/>
            <w:tcBorders>
              <w:bottom w:val="single" w:sz="8" w:color="0000FF"/>
            </w:tcBorders>
            <w:gridSpan w:val="22"/>
            <w:shd w:val="clear" w:color="auto" w:fill="CCEEFF"/>
          </w:tcPr>
          <w:p>
            <w:pPr>
              <w:spacing w:after="0" w:line="187" w:lineRule="exact"/>
              <w:rPr>
                <w:rFonts w:ascii="Times New Roman" w:cs="Times New Roman" w:eastAsia="Times New Roman" w:hAnsi="Times New Roman"/>
                <w:sz w:val="18"/>
                <w:szCs w:val="18"/>
                <w:color w:val="0000FF"/>
                <w:w w:val="98"/>
              </w:rPr>
            </w:pPr>
            <w:hyperlink r:id="rId150">
              <w:r>
                <w:rPr>
                  <w:rFonts w:ascii="Times New Roman" w:cs="Times New Roman" w:eastAsia="Times New Roman" w:hAnsi="Times New Roman"/>
                  <w:sz w:val="18"/>
                  <w:szCs w:val="18"/>
                  <w:color w:val="0000FF"/>
                  <w:w w:val="98"/>
                </w:rPr>
                <w:t>Employment Agreement, dated as of May 16, 2012 by and between Patricia Carr and Jazz Pharmaceuticals plc (incorporated</w:t>
              </w:r>
            </w:hyperlink>
          </w:p>
        </w:tc>
        <w:tc>
          <w:tcPr>
            <w:tcW w:w="320" w:type="dxa"/>
            <w:vAlign w:val="bottom"/>
            <w:tcBorders>
              <w:bottom w:val="single" w:sz="8" w:color="CCEEFF"/>
            </w:tcBorders>
            <w:gridSpan w:val="16"/>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0" w:type="dxa"/>
            <w:vAlign w:val="bottom"/>
            <w:gridSpan w:val="38"/>
            <w:shd w:val="clear" w:color="auto" w:fill="CCEEFF"/>
          </w:tcPr>
          <w:p>
            <w:pPr>
              <w:spacing w:after="0" w:line="16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herein by reference to Exhibit 10.1 in Jazz Pharmaceuticals plc’s Quarterly Report on Form 10-Q (File No. 001-33500) for the</w:t>
              </w:r>
            </w:hyperlink>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020" w:type="dxa"/>
            <w:vAlign w:val="bottom"/>
            <w:tcBorders>
              <w:top w:val="single" w:sz="8" w:color="0000FF"/>
            </w:tcBorders>
            <w:gridSpan w:val="29"/>
            <w:shd w:val="clear" w:color="auto" w:fill="CCEEFF"/>
          </w:tcPr>
          <w:p>
            <w:pPr>
              <w:spacing w:after="0" w:line="180"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period ended September 30, 2019, as filed with the SEC on November 5, 2019).</w:t>
              </w:r>
            </w:hyperlink>
          </w:p>
        </w:tc>
        <w:tc>
          <w:tcPr>
            <w:tcW w:w="40" w:type="dxa"/>
            <w:vAlign w:val="bottom"/>
            <w:tcBorders>
              <w:top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1500" w:type="dxa"/>
            <w:vAlign w:val="bottom"/>
            <w:tcBorders>
              <w:top w:val="single" w:sz="8" w:color="0000FF"/>
            </w:tcBorders>
            <w:shd w:val="clear" w:color="auto" w:fill="CCEEFF"/>
          </w:tcPr>
          <w:p>
            <w:pPr>
              <w:spacing w:after="0"/>
              <w:rPr>
                <w:sz w:val="2"/>
                <w:szCs w:val="2"/>
                <w:color w:val="auto"/>
              </w:rPr>
            </w:pPr>
          </w:p>
        </w:tc>
        <w:tc>
          <w:tcPr>
            <w:tcW w:w="104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right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24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10.13B+</w:t>
            </w:r>
          </w:p>
        </w:tc>
        <w:tc>
          <w:tcPr>
            <w:tcW w:w="120" w:type="dxa"/>
            <w:vAlign w:val="bottom"/>
          </w:tcPr>
          <w:p>
            <w:pPr>
              <w:spacing w:after="0"/>
              <w:rPr>
                <w:sz w:val="16"/>
                <w:szCs w:val="16"/>
                <w:color w:val="auto"/>
              </w:rPr>
            </w:pPr>
          </w:p>
        </w:tc>
        <w:tc>
          <w:tcPr>
            <w:tcW w:w="9200" w:type="dxa"/>
            <w:vAlign w:val="bottom"/>
            <w:gridSpan w:val="38"/>
          </w:tcPr>
          <w:p>
            <w:pPr>
              <w:spacing w:after="0" w:line="187"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Change in Control Severance Terms, dated as of May 15, 2016, by and between Jazz Pharmaceuticals Ireland Ltd. and Patricia</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60" w:type="dxa"/>
            <w:vAlign w:val="bottom"/>
            <w:tcBorders>
              <w:top w:val="single" w:sz="8" w:color="0000FF"/>
            </w:tcBorders>
            <w:gridSpan w:val="31"/>
          </w:tcPr>
          <w:p>
            <w:pPr>
              <w:spacing w:after="0" w:line="166" w:lineRule="exact"/>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Carr (incorporated herein by reference to Exhibit 10.2 in Jazz Pharmaceuticals plc’s Quarterly Report on Form 10-Q (File No.</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960" w:type="dxa"/>
            <w:vAlign w:val="bottom"/>
            <w:tcBorders>
              <w:top w:val="single" w:sz="8" w:color="0000FF"/>
            </w:tcBorders>
            <w:gridSpan w:val="26"/>
          </w:tcPr>
          <w:p>
            <w:pPr>
              <w:spacing w:after="0" w:line="180"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001-33500) for the period ended September 30, 2019, as filed with the SEC on November 5, 2019).</w:t>
              </w:r>
            </w:hyperlink>
          </w:p>
        </w:tc>
        <w:tc>
          <w:tcPr>
            <w:tcW w:w="140" w:type="dxa"/>
            <w:vAlign w:val="bottom"/>
            <w:gridSpan w:val="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50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24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10.13C+</w:t>
            </w:r>
          </w:p>
        </w:tc>
        <w:tc>
          <w:tcPr>
            <w:tcW w:w="120" w:type="dxa"/>
            <w:vAlign w:val="bottom"/>
            <w:shd w:val="clear" w:color="auto" w:fill="CCEEFF"/>
          </w:tcPr>
          <w:p>
            <w:pPr>
              <w:spacing w:after="0"/>
              <w:rPr>
                <w:sz w:val="16"/>
                <w:szCs w:val="16"/>
                <w:color w:val="auto"/>
              </w:rPr>
            </w:pPr>
          </w:p>
        </w:tc>
        <w:tc>
          <w:tcPr>
            <w:tcW w:w="9200" w:type="dxa"/>
            <w:vAlign w:val="bottom"/>
            <w:gridSpan w:val="38"/>
            <w:shd w:val="clear" w:color="auto" w:fill="CCEEFF"/>
          </w:tcPr>
          <w:p>
            <w:pPr>
              <w:spacing w:after="0" w:line="187"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Change in Control Stock Award Acceleration Agreement, dated as of May 15, 2016 by and between Jazz Pharmaceuticals plc</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920" w:type="dxa"/>
            <w:vAlign w:val="bottom"/>
            <w:tcBorders>
              <w:top w:val="single" w:sz="8" w:color="0000FF"/>
            </w:tcBorders>
            <w:gridSpan w:val="24"/>
            <w:shd w:val="clear" w:color="auto" w:fill="CCEEFF"/>
          </w:tcPr>
          <w:p>
            <w:pPr>
              <w:spacing w:after="0" w:line="166" w:lineRule="exact"/>
              <w:rPr>
                <w:rFonts w:ascii="Times New Roman" w:cs="Times New Roman" w:eastAsia="Times New Roman" w:hAnsi="Times New Roman"/>
                <w:sz w:val="18"/>
                <w:szCs w:val="18"/>
                <w:color w:val="0000FF"/>
                <w:w w:val="97"/>
              </w:rPr>
            </w:pPr>
            <w:hyperlink r:id="rId152">
              <w:r>
                <w:rPr>
                  <w:rFonts w:ascii="Times New Roman" w:cs="Times New Roman" w:eastAsia="Times New Roman" w:hAnsi="Times New Roman"/>
                  <w:sz w:val="18"/>
                  <w:szCs w:val="18"/>
                  <w:color w:val="0000FF"/>
                  <w:w w:val="97"/>
                </w:rPr>
                <w:t>and Patricia Carr (incorporated herein by reference to Exhibit 10.3 in Jazz Pharmaceuticals plc’s Quarterly Report on Form 10</w:t>
              </w:r>
            </w:hyperlink>
          </w:p>
        </w:tc>
        <w:tc>
          <w:tcPr>
            <w:tcW w:w="240" w:type="dxa"/>
            <w:vAlign w:val="bottom"/>
            <w:tcBorders>
              <w:top w:val="single" w:sz="8" w:color="CCEEFF"/>
            </w:tcBorders>
            <w:gridSpan w:val="12"/>
            <w:shd w:val="clear" w:color="auto" w:fill="CCEEFF"/>
          </w:tcPr>
          <w:p>
            <w:pPr>
              <w:jc w:val="right"/>
              <w:ind w:right="140"/>
              <w:spacing w:after="0" w:line="16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140" w:type="dxa"/>
            <w:vAlign w:val="bottom"/>
            <w:tcBorders>
              <w:top w:val="single" w:sz="8" w:color="0000FF"/>
            </w:tcBorders>
            <w:gridSpan w:val="35"/>
            <w:shd w:val="clear" w:color="auto" w:fill="CCEEFF"/>
          </w:tcPr>
          <w:p>
            <w:pPr>
              <w:spacing w:after="0" w:line="180"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Q (File No. 001-33500) for the period ended September 30, 2019, as filed with the SEC on November 5, 2019).</w:t>
              </w:r>
            </w:hyperlink>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1500" w:type="dxa"/>
            <w:vAlign w:val="bottom"/>
            <w:tcBorders>
              <w:top w:val="single" w:sz="8" w:color="0000FF"/>
            </w:tcBorders>
            <w:shd w:val="clear" w:color="auto" w:fill="CCEEFF"/>
          </w:tcPr>
          <w:p>
            <w:pPr>
              <w:spacing w:after="0"/>
              <w:rPr>
                <w:sz w:val="2"/>
                <w:szCs w:val="2"/>
                <w:color w:val="auto"/>
              </w:rPr>
            </w:pPr>
          </w:p>
        </w:tc>
        <w:tc>
          <w:tcPr>
            <w:tcW w:w="104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10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680" w:type="dxa"/>
            <w:vAlign w:val="bottom"/>
            <w:tcBorders>
              <w:top w:val="single" w:sz="8" w:color="CCEEFF"/>
              <w:right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continue"/>
          </w:tcPr>
          <w:p>
            <w:pPr>
              <w:spacing w:after="0"/>
              <w:rPr>
                <w:sz w:val="16"/>
                <w:szCs w:val="16"/>
                <w:color w:val="auto"/>
              </w:rPr>
            </w:pPr>
          </w:p>
        </w:tc>
        <w:tc>
          <w:tcPr>
            <w:tcW w:w="124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16"/>
                <w:szCs w:val="16"/>
                <w:color w:val="auto"/>
              </w:rPr>
            </w:pPr>
          </w:p>
        </w:tc>
        <w:tc>
          <w:tcPr>
            <w:tcW w:w="9200" w:type="dxa"/>
            <w:vAlign w:val="bottom"/>
            <w:gridSpan w:val="38"/>
          </w:tcPr>
          <w:p>
            <w:pPr>
              <w:spacing w:after="0" w:line="187"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Offer Letter, dated as of July 5, 2019 by and between Jazz Pharmaceuticals, Inc. and Neena M. Patil (incorporated herein by</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40" w:type="dxa"/>
            <w:vAlign w:val="bottom"/>
            <w:tcBorders>
              <w:top w:val="single" w:sz="8" w:color="0000FF"/>
            </w:tcBorders>
            <w:gridSpan w:val="20"/>
          </w:tcPr>
          <w:p>
            <w:pPr>
              <w:spacing w:after="0" w:line="166" w:lineRule="exact"/>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reference to Exhibit 10.4 in Jazz Pharmaceuticals plc’s Quarterly Report on Form 10-Q (File No. 001-33500) for the period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gridSpan w:val="11"/>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0" w:type="dxa"/>
            <w:vAlign w:val="bottom"/>
            <w:tcBorders>
              <w:top w:val="single" w:sz="8" w:color="0000FF"/>
            </w:tcBorders>
            <w:gridSpan w:val="18"/>
          </w:tcPr>
          <w:p>
            <w:pPr>
              <w:spacing w:after="0" w:line="180"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ended September 30, 2019, as filed with the SEC on November 5, 2019).</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gridSpan w:val="11"/>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50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24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10.15A+</w:t>
            </w:r>
          </w:p>
        </w:tc>
        <w:tc>
          <w:tcPr>
            <w:tcW w:w="120" w:type="dxa"/>
            <w:vAlign w:val="bottom"/>
            <w:shd w:val="clear" w:color="auto" w:fill="CCEEFF"/>
          </w:tcPr>
          <w:p>
            <w:pPr>
              <w:spacing w:after="0"/>
              <w:rPr>
                <w:sz w:val="16"/>
                <w:szCs w:val="16"/>
                <w:color w:val="auto"/>
              </w:rPr>
            </w:pPr>
          </w:p>
        </w:tc>
        <w:tc>
          <w:tcPr>
            <w:tcW w:w="9200" w:type="dxa"/>
            <w:vAlign w:val="bottom"/>
            <w:gridSpan w:val="38"/>
            <w:shd w:val="clear" w:color="auto" w:fill="CCEEFF"/>
          </w:tcPr>
          <w:p>
            <w:pPr>
              <w:spacing w:after="0" w:line="187"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Employment Contract, dated as of December 14, 2019, by and between Jazz Pharmaceuticals UK Limited and Samantha</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600" w:type="dxa"/>
            <w:vAlign w:val="bottom"/>
            <w:tcBorders>
              <w:top w:val="single" w:sz="8" w:color="0000FF"/>
              <w:right w:val="single" w:sz="8" w:color="CCEEFF"/>
            </w:tcBorders>
            <w:gridSpan w:val="15"/>
            <w:shd w:val="clear" w:color="auto" w:fill="CCEEFF"/>
          </w:tcPr>
          <w:p>
            <w:pPr>
              <w:spacing w:after="0" w:line="166" w:lineRule="exact"/>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Pearce (incorporated herein by reference to Exhibit 10.28A in Jazz Pharmaceuticals plc’s Annual Report on Form 10-K</w:t>
              </w:r>
            </w:hyperlink>
          </w:p>
        </w:tc>
        <w:tc>
          <w:tcPr>
            <w:tcW w:w="600" w:type="dxa"/>
            <w:vAlign w:val="bottom"/>
            <w:tcBorders>
              <w:top w:val="single" w:sz="8" w:color="CCEEFF"/>
            </w:tcBorders>
            <w:gridSpan w:val="23"/>
            <w:shd w:val="clear" w:color="auto" w:fill="CCEEFF"/>
          </w:tcPr>
          <w:p>
            <w:pPr>
              <w:spacing w:after="0" w:line="16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(File</w:t>
              </w:r>
            </w:hyperlink>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860" w:type="dxa"/>
            <w:vAlign w:val="bottom"/>
            <w:tcBorders>
              <w:top w:val="single" w:sz="8" w:color="0000FF"/>
            </w:tcBorders>
            <w:gridSpan w:val="21"/>
            <w:shd w:val="clear" w:color="auto" w:fill="CCEEFF"/>
          </w:tcPr>
          <w:p>
            <w:pPr>
              <w:spacing w:after="0" w:line="180"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No. 001-33500) for the period ended December 31, 2019, as filed with the SEC on February 25, 2020).</w:t>
              </w:r>
            </w:hyperlink>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gridSpan w:val="11"/>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1500" w:type="dxa"/>
            <w:vAlign w:val="bottom"/>
            <w:tcBorders>
              <w:top w:val="single" w:sz="8" w:color="0000FF"/>
            </w:tcBorders>
            <w:shd w:val="clear" w:color="auto" w:fill="CCEEFF"/>
          </w:tcPr>
          <w:p>
            <w:pPr>
              <w:spacing w:after="0"/>
              <w:rPr>
                <w:sz w:val="2"/>
                <w:szCs w:val="2"/>
                <w:color w:val="auto"/>
              </w:rPr>
            </w:pPr>
          </w:p>
        </w:tc>
        <w:tc>
          <w:tcPr>
            <w:tcW w:w="104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10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right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24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10.15B+</w:t>
            </w:r>
          </w:p>
        </w:tc>
        <w:tc>
          <w:tcPr>
            <w:tcW w:w="120" w:type="dxa"/>
            <w:vAlign w:val="bottom"/>
          </w:tcPr>
          <w:p>
            <w:pPr>
              <w:spacing w:after="0"/>
              <w:rPr>
                <w:sz w:val="16"/>
                <w:szCs w:val="16"/>
                <w:color w:val="auto"/>
              </w:rPr>
            </w:pPr>
          </w:p>
        </w:tc>
        <w:tc>
          <w:tcPr>
            <w:tcW w:w="8600" w:type="dxa"/>
            <w:vAlign w:val="bottom"/>
            <w:tcBorders>
              <w:bottom w:val="single" w:sz="8" w:color="0000FF"/>
            </w:tcBorders>
            <w:gridSpan w:val="15"/>
          </w:tcPr>
          <w:p>
            <w:pPr>
              <w:spacing w:after="0" w:line="187" w:lineRule="exact"/>
              <w:rPr>
                <w:rFonts w:ascii="Times New Roman" w:cs="Times New Roman" w:eastAsia="Times New Roman" w:hAnsi="Times New Roman"/>
                <w:sz w:val="18"/>
                <w:szCs w:val="18"/>
                <w:color w:val="0000FF"/>
                <w:w w:val="98"/>
              </w:rPr>
            </w:pPr>
            <w:hyperlink r:id="rId155">
              <w:r>
                <w:rPr>
                  <w:rFonts w:ascii="Times New Roman" w:cs="Times New Roman" w:eastAsia="Times New Roman" w:hAnsi="Times New Roman"/>
                  <w:sz w:val="18"/>
                  <w:szCs w:val="18"/>
                  <w:color w:val="0000FF"/>
                  <w:w w:val="98"/>
                </w:rPr>
                <w:t>Amendment to Employment Contract, dated as of April 21, 2020, by and between Jazz Pharmaceuticals UK Limited and</w:t>
              </w:r>
            </w:hyperlink>
          </w:p>
        </w:tc>
        <w:tc>
          <w:tcPr>
            <w:tcW w:w="600" w:type="dxa"/>
            <w:vAlign w:val="bottom"/>
            <w:gridSpan w:val="23"/>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0" w:type="dxa"/>
            <w:vAlign w:val="bottom"/>
            <w:gridSpan w:val="38"/>
          </w:tcPr>
          <w:p>
            <w:pPr>
              <w:spacing w:after="0" w:line="16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Samantha Pearce (incorporated herein by reference to Exhibit 10.4 in Jazz Pharmaceuticals plc’s Quarterly Report on Form 10-</w:t>
              </w:r>
            </w:hyperlink>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160" w:type="dxa"/>
            <w:vAlign w:val="bottom"/>
            <w:tcBorders>
              <w:top w:val="single" w:sz="8" w:color="0000FF"/>
            </w:tcBorders>
            <w:gridSpan w:val="36"/>
          </w:tcPr>
          <w:p>
            <w:pPr>
              <w:spacing w:after="0" w:line="180"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Q (File No. 001-33500) for the period ended March 31, 2020, as filed with the SEC on May 5, 2020).</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50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24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10.15C+</w:t>
            </w:r>
          </w:p>
        </w:tc>
        <w:tc>
          <w:tcPr>
            <w:tcW w:w="120" w:type="dxa"/>
            <w:vAlign w:val="bottom"/>
            <w:shd w:val="clear" w:color="auto" w:fill="CCEEFF"/>
          </w:tcPr>
          <w:p>
            <w:pPr>
              <w:spacing w:after="0"/>
              <w:rPr>
                <w:sz w:val="16"/>
                <w:szCs w:val="16"/>
                <w:color w:val="auto"/>
              </w:rPr>
            </w:pPr>
          </w:p>
        </w:tc>
        <w:tc>
          <w:tcPr>
            <w:tcW w:w="9200" w:type="dxa"/>
            <w:vAlign w:val="bottom"/>
            <w:gridSpan w:val="38"/>
            <w:shd w:val="clear" w:color="auto" w:fill="CCEEFF"/>
          </w:tcPr>
          <w:p>
            <w:pPr>
              <w:spacing w:after="0" w:line="187"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Equity Award Letter, dated as of December 9, 2019, by and between Jazz Pharmaceuticals UK Limited and Samantha Pearce</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60" w:type="dxa"/>
            <w:vAlign w:val="bottom"/>
            <w:gridSpan w:val="4"/>
            <w:shd w:val="clear" w:color="auto" w:fill="0000FF"/>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20" w:type="dxa"/>
            <w:vAlign w:val="bottom"/>
            <w:gridSpan w:val="11"/>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0" w:type="dxa"/>
            <w:vAlign w:val="bottom"/>
            <w:gridSpan w:val="38"/>
            <w:shd w:val="clear" w:color="auto" w:fill="CCEEFF"/>
          </w:tcPr>
          <w:p>
            <w:pPr>
              <w:spacing w:after="0" w:line="16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(incorporated herein by reference to Exhibit 10.28B in Jazz Pharmaceuticals plc’s Annual Report on Form 10-K (File No. 001-</w:t>
              </w:r>
            </w:hyperlink>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700" w:type="dxa"/>
            <w:vAlign w:val="bottom"/>
            <w:tcBorders>
              <w:top w:val="single" w:sz="8" w:color="0000FF"/>
              <w:bottom w:val="single" w:sz="8" w:color="0000FF"/>
            </w:tcBorders>
            <w:gridSpan w:val="7"/>
            <w:shd w:val="clear" w:color="auto" w:fill="CCEEFF"/>
          </w:tcPr>
          <w:p>
            <w:pPr>
              <w:spacing w:after="0" w:line="180" w:lineRule="exact"/>
              <w:rPr>
                <w:rFonts w:ascii="Times New Roman" w:cs="Times New Roman" w:eastAsia="Times New Roman" w:hAnsi="Times New Roman"/>
                <w:sz w:val="18"/>
                <w:szCs w:val="18"/>
                <w:color w:val="0000FF"/>
                <w:w w:val="98"/>
              </w:rPr>
            </w:pPr>
            <w:hyperlink r:id="rId156">
              <w:r>
                <w:rPr>
                  <w:rFonts w:ascii="Times New Roman" w:cs="Times New Roman" w:eastAsia="Times New Roman" w:hAnsi="Times New Roman"/>
                  <w:sz w:val="18"/>
                  <w:szCs w:val="18"/>
                  <w:color w:val="0000FF"/>
                  <w:w w:val="98"/>
                </w:rPr>
                <w:t>33500) for the period ended December 31, 2019, as filed with the SEC on February 25, 2020).</w:t>
              </w:r>
            </w:hyperlink>
          </w:p>
        </w:tc>
        <w:tc>
          <w:tcPr>
            <w:tcW w:w="2420" w:type="dxa"/>
            <w:vAlign w:val="bottom"/>
            <w:tcBorders>
              <w:top w:val="single" w:sz="8" w:color="0000FF"/>
              <w:bottom w:val="single" w:sz="8" w:color="CCEEFF"/>
            </w:tcBorders>
            <w:gridSpan w:val="27"/>
            <w:shd w:val="clear" w:color="auto" w:fill="CCEEFF"/>
          </w:tcPr>
          <w:p>
            <w:pPr>
              <w:spacing w:after="0"/>
              <w:rPr>
                <w:sz w:val="18"/>
                <w:szCs w:val="18"/>
                <w:color w:val="auto"/>
              </w:rPr>
            </w:pPr>
          </w:p>
        </w:tc>
        <w:tc>
          <w:tcPr>
            <w:tcW w:w="6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4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10.16+</w:t>
            </w:r>
          </w:p>
        </w:tc>
        <w:tc>
          <w:tcPr>
            <w:tcW w:w="120" w:type="dxa"/>
            <w:vAlign w:val="bottom"/>
          </w:tcPr>
          <w:p>
            <w:pPr>
              <w:spacing w:after="0"/>
              <w:rPr>
                <w:sz w:val="16"/>
                <w:szCs w:val="16"/>
                <w:color w:val="auto"/>
              </w:rPr>
            </w:pPr>
          </w:p>
        </w:tc>
        <w:tc>
          <w:tcPr>
            <w:tcW w:w="9200" w:type="dxa"/>
            <w:vAlign w:val="bottom"/>
            <w:gridSpan w:val="38"/>
          </w:tcPr>
          <w:p>
            <w:pPr>
              <w:spacing w:after="0" w:line="187" w:lineRule="exact"/>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Offer Letter, dated as of February 23, 2020, by and between Jazz Pharmaceuticals, Inc. and Renée Galá (incorporated herein by</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180" w:type="dxa"/>
            <w:vAlign w:val="bottom"/>
            <w:tcBorders>
              <w:top w:val="single" w:sz="8" w:color="0000FF"/>
            </w:tcBorders>
            <w:gridSpan w:val="37"/>
          </w:tcPr>
          <w:p>
            <w:pPr>
              <w:spacing w:after="0" w:line="16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reference to Exhibit 10.1 in Jazz Pharmaceuticals plc’s Quarterly Report on Form 10-Q (File No. 001-33500) for the period</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0" w:type="dxa"/>
            <w:vAlign w:val="bottom"/>
            <w:tcBorders>
              <w:top w:val="single" w:sz="8" w:color="0000FF"/>
            </w:tcBorders>
            <w:gridSpan w:val="18"/>
          </w:tcPr>
          <w:p>
            <w:pPr>
              <w:spacing w:after="0" w:line="180"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ended March 31, 2020, as filed with the SEC on May 5, 2020).</w:t>
              </w:r>
            </w:hyperlink>
          </w:p>
        </w:tc>
        <w:tc>
          <w:tcPr>
            <w:tcW w:w="40" w:type="dxa"/>
            <w:vAlign w:val="bottom"/>
            <w:gridSpan w:val="2"/>
          </w:tcPr>
          <w:p>
            <w:pPr>
              <w:spacing w:after="0"/>
              <w:rPr>
                <w:sz w:val="15"/>
                <w:szCs w:val="15"/>
                <w:color w:val="auto"/>
              </w:rPr>
            </w:pPr>
          </w:p>
        </w:tc>
        <w:tc>
          <w:tcPr>
            <w:tcW w:w="260" w:type="dxa"/>
            <w:vAlign w:val="bottom"/>
            <w:gridSpan w:val="13"/>
          </w:tcPr>
          <w:p>
            <w:pPr>
              <w:spacing w:after="0"/>
              <w:rPr>
                <w:sz w:val="15"/>
                <w:szCs w:val="15"/>
                <w:color w:val="auto"/>
              </w:rPr>
            </w:pPr>
          </w:p>
        </w:tc>
        <w:tc>
          <w:tcPr>
            <w:tcW w:w="10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50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124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10.17A+</w:t>
            </w:r>
          </w:p>
        </w:tc>
        <w:tc>
          <w:tcPr>
            <w:tcW w:w="120" w:type="dxa"/>
            <w:vAlign w:val="bottom"/>
            <w:shd w:val="clear" w:color="auto" w:fill="CCEEFF"/>
          </w:tcPr>
          <w:p>
            <w:pPr>
              <w:spacing w:after="0"/>
              <w:rPr>
                <w:sz w:val="19"/>
                <w:szCs w:val="19"/>
                <w:color w:val="auto"/>
              </w:rPr>
            </w:pPr>
          </w:p>
        </w:tc>
        <w:tc>
          <w:tcPr>
            <w:tcW w:w="9200" w:type="dxa"/>
            <w:vAlign w:val="bottom"/>
            <w:gridSpan w:val="38"/>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0000FF"/>
              </w:rPr>
              <w:t>Offer Letter, dated as of April 4, 2023, by and between Jazz Pharmaceuticals Ireland and Liz Henderson.</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40" w:type="dxa"/>
            <w:vAlign w:val="bottom"/>
            <w:tcBorders>
              <w:top w:val="single" w:sz="8" w:color="CCEEFF"/>
            </w:tcBorders>
          </w:tcPr>
          <w:p>
            <w:pPr>
              <w:spacing w:after="0" w:line="187" w:lineRule="exact"/>
              <w:rPr>
                <w:sz w:val="20"/>
                <w:szCs w:val="20"/>
                <w:color w:val="auto"/>
              </w:rPr>
            </w:pPr>
            <w:r>
              <w:rPr>
                <w:rFonts w:ascii="Times New Roman" w:cs="Times New Roman" w:eastAsia="Times New Roman" w:hAnsi="Times New Roman"/>
                <w:sz w:val="18"/>
                <w:szCs w:val="18"/>
                <w:color w:val="auto"/>
              </w:rPr>
              <w:t>10.17B+</w:t>
            </w:r>
          </w:p>
        </w:tc>
        <w:tc>
          <w:tcPr>
            <w:tcW w:w="120" w:type="dxa"/>
            <w:vAlign w:val="bottom"/>
            <w:tcBorders>
              <w:top w:val="single" w:sz="8" w:color="CCEEFF"/>
            </w:tcBorders>
          </w:tcPr>
          <w:p>
            <w:pPr>
              <w:spacing w:after="0"/>
              <w:rPr>
                <w:sz w:val="16"/>
                <w:szCs w:val="16"/>
                <w:color w:val="auto"/>
              </w:rPr>
            </w:pPr>
          </w:p>
        </w:tc>
        <w:tc>
          <w:tcPr>
            <w:tcW w:w="7440" w:type="dxa"/>
            <w:vAlign w:val="bottom"/>
            <w:tcBorders>
              <w:top w:val="single" w:sz="8" w:color="0000FF"/>
            </w:tcBorders>
            <w:gridSpan w:val="12"/>
          </w:tcPr>
          <w:p>
            <w:pPr>
              <w:spacing w:after="0" w:line="187" w:lineRule="exact"/>
              <w:rPr>
                <w:sz w:val="20"/>
                <w:szCs w:val="20"/>
                <w:color w:val="auto"/>
              </w:rPr>
            </w:pPr>
            <w:r>
              <w:rPr>
                <w:rFonts w:ascii="Times New Roman" w:cs="Times New Roman" w:eastAsia="Times New Roman" w:hAnsi="Times New Roman"/>
                <w:sz w:val="18"/>
                <w:szCs w:val="18"/>
                <w:color w:val="0000FF"/>
              </w:rPr>
              <w:t>New Hire Equity Letter, dated as of April 4, 2023, from Jazz Pharmaceuticals to Liz Henderson.</w:t>
            </w:r>
          </w:p>
        </w:tc>
        <w:tc>
          <w:tcPr>
            <w:tcW w:w="1760" w:type="dxa"/>
            <w:vAlign w:val="bottom"/>
            <w:tcBorders>
              <w:top w:val="single" w:sz="8" w:color="CCEEFF"/>
            </w:tcBorders>
            <w:gridSpan w:val="26"/>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50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24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10.18A+</w:t>
            </w:r>
          </w:p>
        </w:tc>
        <w:tc>
          <w:tcPr>
            <w:tcW w:w="120" w:type="dxa"/>
            <w:vAlign w:val="bottom"/>
            <w:shd w:val="clear" w:color="auto" w:fill="CCEEFF"/>
          </w:tcPr>
          <w:p>
            <w:pPr>
              <w:spacing w:after="0"/>
              <w:rPr>
                <w:sz w:val="16"/>
                <w:szCs w:val="16"/>
                <w:color w:val="auto"/>
              </w:rPr>
            </w:pPr>
          </w:p>
        </w:tc>
        <w:tc>
          <w:tcPr>
            <w:tcW w:w="9200" w:type="dxa"/>
            <w:vAlign w:val="bottom"/>
            <w:gridSpan w:val="38"/>
            <w:shd w:val="clear" w:color="auto" w:fill="CCEEFF"/>
          </w:tcPr>
          <w:p>
            <w:pPr>
              <w:spacing w:after="0" w:line="187"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Jazz Pharmaceuticals plc 2011 Equity Incentive Plan (incorporated herein by reference to Exhibit 99.1 in Jazz Pharmaceuticals</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100" w:type="dxa"/>
            <w:vAlign w:val="bottom"/>
            <w:tcBorders>
              <w:top w:val="single" w:sz="8" w:color="0000FF"/>
            </w:tcBorders>
            <w:gridSpan w:val="33"/>
            <w:shd w:val="clear" w:color="auto" w:fill="CCEEFF"/>
          </w:tcPr>
          <w:p>
            <w:pPr>
              <w:spacing w:after="0" w:line="16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plc’s registration statement on Form S-8 (File No. 333-179075), as filed with the SEC on January 18, 2012).</w:t>
              </w:r>
            </w:hyperlink>
          </w:p>
        </w:tc>
        <w:tc>
          <w:tcPr>
            <w:tcW w:w="100" w:type="dxa"/>
            <w:vAlign w:val="bottom"/>
            <w:tcBorders>
              <w:top w:val="single" w:sz="8" w:color="CCEEFF"/>
            </w:tcBorders>
            <w:gridSpan w:val="5"/>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1500" w:type="dxa"/>
            <w:vAlign w:val="bottom"/>
            <w:tcBorders>
              <w:top w:val="single" w:sz="8" w:color="0000FF"/>
            </w:tcBorders>
            <w:shd w:val="clear" w:color="auto" w:fill="CCEEFF"/>
          </w:tcPr>
          <w:p>
            <w:pPr>
              <w:spacing w:after="0"/>
              <w:rPr>
                <w:sz w:val="4"/>
                <w:szCs w:val="4"/>
                <w:color w:val="auto"/>
              </w:rPr>
            </w:pPr>
          </w:p>
        </w:tc>
        <w:tc>
          <w:tcPr>
            <w:tcW w:w="104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0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right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4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10.18B+</w:t>
            </w:r>
          </w:p>
        </w:tc>
        <w:tc>
          <w:tcPr>
            <w:tcW w:w="120" w:type="dxa"/>
            <w:vAlign w:val="bottom"/>
          </w:tcPr>
          <w:p>
            <w:pPr>
              <w:spacing w:after="0"/>
              <w:rPr>
                <w:sz w:val="16"/>
                <w:szCs w:val="16"/>
                <w:color w:val="auto"/>
              </w:rPr>
            </w:pPr>
          </w:p>
        </w:tc>
        <w:tc>
          <w:tcPr>
            <w:tcW w:w="9200" w:type="dxa"/>
            <w:vAlign w:val="bottom"/>
            <w:gridSpan w:val="38"/>
          </w:tcPr>
          <w:p>
            <w:pPr>
              <w:spacing w:after="0" w:line="187"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Jazz Pharmaceuticals plc 2011 Equity Incentive Plan Sub-Plan Governing Awards to Participants in the Republic of Ireland</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780" w:type="dxa"/>
            <w:vAlign w:val="bottom"/>
            <w:tcBorders>
              <w:top w:val="single" w:sz="8" w:color="0000FF"/>
              <w:bottom w:val="single" w:sz="8" w:color="0000FF"/>
            </w:tcBorders>
            <w:gridSpan w:val="17"/>
          </w:tcPr>
          <w:p>
            <w:pPr>
              <w:spacing w:after="0" w:line="166" w:lineRule="exact"/>
              <w:rPr>
                <w:rFonts w:ascii="Times New Roman" w:cs="Times New Roman" w:eastAsia="Times New Roman" w:hAnsi="Times New Roman"/>
                <w:sz w:val="18"/>
                <w:szCs w:val="18"/>
                <w:color w:val="0000FF"/>
                <w:w w:val="97"/>
              </w:rPr>
            </w:pPr>
            <w:hyperlink r:id="rId159">
              <w:r>
                <w:rPr>
                  <w:rFonts w:ascii="Times New Roman" w:cs="Times New Roman" w:eastAsia="Times New Roman" w:hAnsi="Times New Roman"/>
                  <w:sz w:val="18"/>
                  <w:szCs w:val="18"/>
                  <w:color w:val="0000FF"/>
                  <w:w w:val="97"/>
                </w:rPr>
                <w:t>(incorporated herein by reference to Exhibit 10.39B in the Annual Report on Form 10-K (File No. 001-33500) for the period</w:t>
              </w:r>
            </w:hyperlink>
          </w:p>
        </w:tc>
        <w:tc>
          <w:tcPr>
            <w:tcW w:w="60" w:type="dxa"/>
            <w:vAlign w:val="bottom"/>
            <w:tcBorders>
              <w:bottom w:val="single" w:sz="8" w:color="0000FF"/>
            </w:tcBorders>
            <w:gridSpan w:val="3"/>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340" w:type="dxa"/>
            <w:vAlign w:val="bottom"/>
            <w:gridSpan w:val="17"/>
          </w:tcPr>
          <w:p>
            <w:pPr>
              <w:spacing w:after="0"/>
              <w:rPr>
                <w:sz w:val="14"/>
                <w:szCs w:val="14"/>
                <w:color w:val="auto"/>
              </w:rPr>
            </w:pPr>
          </w:p>
        </w:tc>
        <w:tc>
          <w:tcPr>
            <w:tcW w:w="0" w:type="dxa"/>
            <w:vAlign w:val="bottom"/>
          </w:tcPr>
          <w:p>
            <w:pPr>
              <w:spacing w:after="0"/>
              <w:rPr>
                <w:sz w:val="1"/>
                <w:szCs w:val="1"/>
                <w:color w:val="auto"/>
              </w:rPr>
            </w:pPr>
          </w:p>
        </w:tc>
      </w:tr>
    </w:tbl>
    <w:p>
      <w:pPr>
        <w:ind w:left="1380" w:right="140"/>
        <w:spacing w:after="0" w:line="239" w:lineRule="auto"/>
        <w:rPr>
          <w:rFonts w:ascii="Times New Roman" w:cs="Times New Roman" w:eastAsia="Times New Roman" w:hAnsi="Times New Roman"/>
          <w:sz w:val="18"/>
          <w:szCs w:val="18"/>
          <w:u w:val="single" w:color="auto"/>
          <w:color w:val="0000FF"/>
        </w:rPr>
      </w:pPr>
      <w:hyperlink r:id="rId159">
        <w:r>
          <w:rPr>
            <w:rFonts w:ascii="Times New Roman" w:cs="Times New Roman" w:eastAsia="Times New Roman" w:hAnsi="Times New Roman"/>
            <w:sz w:val="18"/>
            <w:szCs w:val="18"/>
            <w:u w:val="single" w:color="auto"/>
            <w:color w:val="0000FF"/>
          </w:rPr>
          <w:t>ended December 31, 2011, as filed by Jazz Pharmaceuticals plc on behalf of and as successor to Jazz Pharmaceuticals Inc. with</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FF"/>
          </w:rPr>
          <w:t>the SEC on February 28, 2012).</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560"/>
          </w:cols>
          <w:pgMar w:left="320" w:top="106" w:right="101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Table of Contents</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92"/>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6"/>
        </w:trPr>
        <w:tc>
          <w:tcPr>
            <w:tcW w:w="126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10.18C+</w:t>
            </w:r>
          </w:p>
        </w:tc>
        <w:tc>
          <w:tcPr>
            <w:tcW w:w="120" w:type="dxa"/>
            <w:vAlign w:val="bottom"/>
            <w:shd w:val="clear" w:color="auto" w:fill="CCEEFF"/>
          </w:tcPr>
          <w:p>
            <w:pPr>
              <w:spacing w:after="0"/>
              <w:rPr>
                <w:sz w:val="16"/>
                <w:szCs w:val="16"/>
                <w:color w:val="auto"/>
              </w:rPr>
            </w:pPr>
          </w:p>
        </w:tc>
        <w:tc>
          <w:tcPr>
            <w:tcW w:w="9220" w:type="dxa"/>
            <w:vAlign w:val="bottom"/>
            <w:gridSpan w:val="37"/>
            <w:shd w:val="clear" w:color="auto" w:fill="CCEEFF"/>
          </w:tcPr>
          <w:p>
            <w:pPr>
              <w:spacing w:after="0" w:line="187"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Jazz Pharmaceuticals plc 2011 Equity Incentive Plan - Form of U.S. Option Grant Notice and Form of U.S. Option Agreement</w:t>
              </w:r>
            </w:hyperlink>
          </w:p>
        </w:tc>
      </w:tr>
      <w:tr>
        <w:trPr>
          <w:trHeight w:val="166"/>
        </w:trPr>
        <w:tc>
          <w:tcPr>
            <w:tcW w:w="12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140" w:type="dxa"/>
            <w:vAlign w:val="bottom"/>
            <w:tcBorders>
              <w:top w:val="single" w:sz="8" w:color="0000FF"/>
            </w:tcBorders>
            <w:gridSpan w:val="33"/>
            <w:shd w:val="clear" w:color="auto" w:fill="CCEEFF"/>
          </w:tcPr>
          <w:p>
            <w:pPr>
              <w:spacing w:after="0" w:line="16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(approved July 31, 2013) (incorporated herein by reference to Exhibit 10.3 in Jazz Pharmaceuticals plc’s Quarterly Report on</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213"/>
        </w:trPr>
        <w:tc>
          <w:tcPr>
            <w:tcW w:w="1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600" w:type="dxa"/>
            <w:vAlign w:val="bottom"/>
            <w:tcBorders>
              <w:top w:val="single" w:sz="8" w:color="0000FF"/>
              <w:bottom w:val="single" w:sz="8" w:color="0000FF"/>
            </w:tcBorders>
            <w:gridSpan w:val="12"/>
            <w:shd w:val="clear" w:color="auto" w:fill="CCEEFF"/>
          </w:tcPr>
          <w:p>
            <w:pPr>
              <w:spacing w:after="0" w:line="180" w:lineRule="exact"/>
              <w:rPr>
                <w:rFonts w:ascii="Times New Roman" w:cs="Times New Roman" w:eastAsia="Times New Roman" w:hAnsi="Times New Roman"/>
                <w:sz w:val="18"/>
                <w:szCs w:val="18"/>
                <w:color w:val="0000FF"/>
                <w:w w:val="98"/>
              </w:rPr>
            </w:pPr>
            <w:hyperlink r:id="rId161">
              <w:r>
                <w:rPr>
                  <w:rFonts w:ascii="Times New Roman" w:cs="Times New Roman" w:eastAsia="Times New Roman" w:hAnsi="Times New Roman"/>
                  <w:sz w:val="18"/>
                  <w:szCs w:val="18"/>
                  <w:color w:val="0000FF"/>
                  <w:w w:val="98"/>
                </w:rPr>
                <w:t>Form 10-Q (File No. 001-33500) for the period ended September 30, 2013, as filed with the SEC on November 5, 2013).</w:t>
              </w:r>
            </w:hyperlink>
          </w:p>
        </w:tc>
        <w:tc>
          <w:tcPr>
            <w:tcW w:w="340" w:type="dxa"/>
            <w:vAlign w:val="bottom"/>
            <w:tcBorders>
              <w:top w:val="single" w:sz="8" w:color="0000FF"/>
              <w:bottom w:val="single" w:sz="8" w:color="CCEEFF"/>
            </w:tcBorders>
            <w:gridSpan w:val="11"/>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6"/>
        </w:trPr>
        <w:tc>
          <w:tcPr>
            <w:tcW w:w="126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10.18D+</w:t>
            </w:r>
          </w:p>
        </w:tc>
        <w:tc>
          <w:tcPr>
            <w:tcW w:w="120" w:type="dxa"/>
            <w:vAlign w:val="bottom"/>
          </w:tcPr>
          <w:p>
            <w:pPr>
              <w:spacing w:after="0"/>
              <w:rPr>
                <w:sz w:val="16"/>
                <w:szCs w:val="16"/>
                <w:color w:val="auto"/>
              </w:rPr>
            </w:pPr>
          </w:p>
        </w:tc>
        <w:tc>
          <w:tcPr>
            <w:tcW w:w="9220" w:type="dxa"/>
            <w:vAlign w:val="bottom"/>
            <w:gridSpan w:val="37"/>
          </w:tcPr>
          <w:p>
            <w:pPr>
              <w:spacing w:after="0" w:line="187"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Jazz Pharmaceuticals plc 2011 Equity Incentive Plan - Form of Non-U.S. Option Grant Notice and Form of Non-U.S. Option</w:t>
              </w:r>
            </w:hyperlink>
          </w:p>
        </w:tc>
      </w:tr>
      <w:tr>
        <w:trPr>
          <w:trHeight w:val="166"/>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900" w:type="dxa"/>
            <w:vAlign w:val="bottom"/>
            <w:tcBorders>
              <w:top w:val="single" w:sz="8" w:color="0000FF"/>
              <w:bottom w:val="single" w:sz="8" w:color="0000FF"/>
            </w:tcBorders>
            <w:gridSpan w:val="21"/>
          </w:tcPr>
          <w:p>
            <w:pPr>
              <w:spacing w:after="0" w:line="166" w:lineRule="exact"/>
              <w:rPr>
                <w:rFonts w:ascii="Times New Roman" w:cs="Times New Roman" w:eastAsia="Times New Roman" w:hAnsi="Times New Roman"/>
                <w:sz w:val="18"/>
                <w:szCs w:val="18"/>
                <w:color w:val="0000FF"/>
                <w:w w:val="97"/>
              </w:rPr>
            </w:pPr>
            <w:hyperlink r:id="rId162">
              <w:r>
                <w:rPr>
                  <w:rFonts w:ascii="Times New Roman" w:cs="Times New Roman" w:eastAsia="Times New Roman" w:hAnsi="Times New Roman"/>
                  <w:sz w:val="18"/>
                  <w:szCs w:val="18"/>
                  <w:color w:val="0000FF"/>
                  <w:w w:val="97"/>
                </w:rPr>
                <w:t>Agreement (approved July 31, 2013) (incorporated herein by reference to Exhibit 10.5 in Jazz Pharmaceuticals plc’s Quarterly</w:t>
              </w:r>
            </w:hyperlink>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0"/>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100" w:type="dxa"/>
            <w:vAlign w:val="bottom"/>
            <w:gridSpan w:val="31"/>
          </w:tcPr>
          <w:p>
            <w:pPr>
              <w:spacing w:after="0" w:line="180"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Report on Form 10-Q (File No. 001-33500) for the period ended September 30, 2013, as filed with the SEC on November 5,</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6"/>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top w:val="single" w:sz="8" w:color="0000FF"/>
            </w:tcBorders>
            <w:gridSpan w:val="2"/>
          </w:tcPr>
          <w:p>
            <w:pPr>
              <w:spacing w:after="0" w:line="16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2013).</w:t>
              </w:r>
            </w:hyperlink>
          </w:p>
        </w:tc>
        <w:tc>
          <w:tcPr>
            <w:tcW w:w="214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220" w:type="dxa"/>
            <w:vAlign w:val="bottom"/>
            <w:tcBorders>
              <w:top w:val="single" w:sz="8" w:color="0000FF"/>
            </w:tcBorders>
          </w:tcPr>
          <w:p>
            <w:pPr>
              <w:spacing w:after="0"/>
              <w:rPr>
                <w:sz w:val="14"/>
                <w:szCs w:val="14"/>
                <w:color w:val="auto"/>
              </w:rPr>
            </w:pPr>
          </w:p>
        </w:tc>
        <w:tc>
          <w:tcPr>
            <w:tcW w:w="11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3"/>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6"/>
        </w:trPr>
        <w:tc>
          <w:tcPr>
            <w:tcW w:w="126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10.18E+</w:t>
            </w:r>
          </w:p>
        </w:tc>
        <w:tc>
          <w:tcPr>
            <w:tcW w:w="120" w:type="dxa"/>
            <w:vAlign w:val="bottom"/>
            <w:shd w:val="clear" w:color="auto" w:fill="CCEEFF"/>
          </w:tcPr>
          <w:p>
            <w:pPr>
              <w:spacing w:after="0"/>
              <w:rPr>
                <w:sz w:val="16"/>
                <w:szCs w:val="16"/>
                <w:color w:val="auto"/>
              </w:rPr>
            </w:pPr>
          </w:p>
        </w:tc>
        <w:tc>
          <w:tcPr>
            <w:tcW w:w="9220" w:type="dxa"/>
            <w:vAlign w:val="bottom"/>
            <w:gridSpan w:val="37"/>
            <w:shd w:val="clear" w:color="auto" w:fill="CCEEFF"/>
          </w:tcPr>
          <w:p>
            <w:pPr>
              <w:spacing w:after="0" w:line="187"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Jazz Pharmaceuticals plc 2011 Equity Incentive Plan - Form of Non-U.S. Option Grant Notice and Form of Non-U.S. Option</w:t>
              </w:r>
            </w:hyperlink>
          </w:p>
        </w:tc>
      </w:tr>
      <w:tr>
        <w:trPr>
          <w:trHeight w:val="166"/>
        </w:trPr>
        <w:tc>
          <w:tcPr>
            <w:tcW w:w="12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880" w:type="dxa"/>
            <w:vAlign w:val="bottom"/>
            <w:tcBorders>
              <w:top w:val="single" w:sz="8" w:color="0000FF"/>
            </w:tcBorders>
            <w:gridSpan w:val="20"/>
            <w:shd w:val="clear" w:color="auto" w:fill="CCEEFF"/>
          </w:tcPr>
          <w:p>
            <w:pPr>
              <w:spacing w:after="0" w:line="166" w:lineRule="exact"/>
              <w:rPr>
                <w:rFonts w:ascii="Times New Roman" w:cs="Times New Roman" w:eastAsia="Times New Roman" w:hAnsi="Times New Roman"/>
                <w:sz w:val="18"/>
                <w:szCs w:val="18"/>
                <w:color w:val="0000FF"/>
                <w:w w:val="99"/>
              </w:rPr>
            </w:pPr>
            <w:hyperlink r:id="rId163">
              <w:r>
                <w:rPr>
                  <w:rFonts w:ascii="Times New Roman" w:cs="Times New Roman" w:eastAsia="Times New Roman" w:hAnsi="Times New Roman"/>
                  <w:sz w:val="18"/>
                  <w:szCs w:val="18"/>
                  <w:color w:val="0000FF"/>
                  <w:w w:val="99"/>
                </w:rPr>
                <w:t>Agreement (incorporated herein by reference to Exhibit 10.1 in Jazz Pharmaceuticals plc’s Quarterly Report on Form 10-Q</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180"/>
        </w:trPr>
        <w:tc>
          <w:tcPr>
            <w:tcW w:w="1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740" w:type="dxa"/>
            <w:vAlign w:val="bottom"/>
            <w:tcBorders>
              <w:top w:val="single" w:sz="8" w:color="0000FF"/>
            </w:tcBorders>
            <w:gridSpan w:val="16"/>
            <w:shd w:val="clear" w:color="auto" w:fill="CCEEFF"/>
          </w:tcPr>
          <w:p>
            <w:pPr>
              <w:spacing w:after="0" w:line="180"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(File No. 001-33500) for the period ended March 31, 2016, as filed with the SEC on May 10, 2016).</w:t>
              </w:r>
            </w:hyperlink>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gridSpan w:val="3"/>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33"/>
        </w:trPr>
        <w:tc>
          <w:tcPr>
            <w:tcW w:w="1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14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2220" w:type="dxa"/>
            <w:vAlign w:val="bottom"/>
            <w:tcBorders>
              <w:top w:val="single" w:sz="8" w:color="0000FF"/>
            </w:tcBorders>
            <w:shd w:val="clear" w:color="auto" w:fill="CCEEFF"/>
          </w:tcPr>
          <w:p>
            <w:pPr>
              <w:spacing w:after="0"/>
              <w:rPr>
                <w:sz w:val="2"/>
                <w:szCs w:val="2"/>
                <w:color w:val="auto"/>
              </w:rPr>
            </w:pPr>
          </w:p>
        </w:tc>
        <w:tc>
          <w:tcPr>
            <w:tcW w:w="11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6"/>
        </w:trPr>
        <w:tc>
          <w:tcPr>
            <w:tcW w:w="126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10.18F+</w:t>
            </w:r>
          </w:p>
        </w:tc>
        <w:tc>
          <w:tcPr>
            <w:tcW w:w="120" w:type="dxa"/>
            <w:vAlign w:val="bottom"/>
          </w:tcPr>
          <w:p>
            <w:pPr>
              <w:spacing w:after="0"/>
              <w:rPr>
                <w:sz w:val="16"/>
                <w:szCs w:val="16"/>
                <w:color w:val="auto"/>
              </w:rPr>
            </w:pPr>
          </w:p>
        </w:tc>
        <w:tc>
          <w:tcPr>
            <w:tcW w:w="8760" w:type="dxa"/>
            <w:vAlign w:val="bottom"/>
            <w:tcBorders>
              <w:bottom w:val="single" w:sz="8" w:color="0000FF"/>
            </w:tcBorders>
            <w:gridSpan w:val="17"/>
          </w:tcPr>
          <w:p>
            <w:pPr>
              <w:spacing w:after="0" w:line="187" w:lineRule="exact"/>
              <w:rPr>
                <w:rFonts w:ascii="Times New Roman" w:cs="Times New Roman" w:eastAsia="Times New Roman" w:hAnsi="Times New Roman"/>
                <w:sz w:val="18"/>
                <w:szCs w:val="18"/>
                <w:color w:val="0000FF"/>
                <w:w w:val="98"/>
              </w:rPr>
            </w:pPr>
            <w:hyperlink r:id="rId164">
              <w:r>
                <w:rPr>
                  <w:rFonts w:ascii="Times New Roman" w:cs="Times New Roman" w:eastAsia="Times New Roman" w:hAnsi="Times New Roman"/>
                  <w:sz w:val="18"/>
                  <w:szCs w:val="18"/>
                  <w:color w:val="0000FF"/>
                  <w:w w:val="98"/>
                </w:rPr>
                <w:t>Amended and Restated 2011 Equity Incentive Plan (approved August 4, 2016) (incorporated herein by reference to Exhibit</w:t>
              </w:r>
            </w:hyperlink>
          </w:p>
        </w:tc>
        <w:tc>
          <w:tcPr>
            <w:tcW w:w="460" w:type="dxa"/>
            <w:vAlign w:val="bottom"/>
            <w:gridSpan w:val="20"/>
          </w:tcPr>
          <w:p>
            <w:pPr>
              <w:spacing w:after="0"/>
              <w:rPr>
                <w:sz w:val="16"/>
                <w:szCs w:val="16"/>
                <w:color w:val="auto"/>
              </w:rPr>
            </w:pPr>
          </w:p>
        </w:tc>
      </w:tr>
      <w:tr>
        <w:trPr>
          <w:trHeight w:val="166"/>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20" w:type="dxa"/>
            <w:vAlign w:val="bottom"/>
            <w:gridSpan w:val="37"/>
          </w:tcPr>
          <w:p>
            <w:pPr>
              <w:spacing w:after="0" w:line="16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w:t>
              </w:r>
              <w:r>
                <w:rPr>
                  <w:rFonts w:ascii="Times New Roman" w:cs="Times New Roman" w:eastAsia="Times New Roman" w:hAnsi="Times New Roman"/>
                  <w:sz w:val="18"/>
                  <w:szCs w:val="18"/>
                  <w:color w:val="0000FF"/>
                </w:rPr>
                <w:t xml:space="preserve"> in Jazz Pharmaceuticals plc’s Quarterly Report on Form 10-Q (File No. 001-33500) for the period ended June 30, 2016, as</w:t>
              </w:r>
            </w:hyperlink>
          </w:p>
        </w:tc>
      </w:tr>
      <w:tr>
        <w:trPr>
          <w:trHeight w:val="180"/>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0" w:type="dxa"/>
            <w:vAlign w:val="bottom"/>
            <w:tcBorders>
              <w:top w:val="single" w:sz="8" w:color="0000FF"/>
            </w:tcBorders>
            <w:gridSpan w:val="36"/>
          </w:tcPr>
          <w:p>
            <w:pPr>
              <w:spacing w:after="0" w:line="180"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filed with the SEC on August 9, 2016).</w:t>
              </w:r>
            </w:hyperlink>
          </w:p>
        </w:tc>
        <w:tc>
          <w:tcPr>
            <w:tcW w:w="20" w:type="dxa"/>
            <w:vAlign w:val="bottom"/>
          </w:tcPr>
          <w:p>
            <w:pPr>
              <w:spacing w:after="0"/>
              <w:rPr>
                <w:sz w:val="15"/>
                <w:szCs w:val="15"/>
                <w:color w:val="auto"/>
              </w:rPr>
            </w:pPr>
          </w:p>
        </w:tc>
      </w:tr>
      <w:tr>
        <w:trPr>
          <w:trHeight w:val="33"/>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140" w:type="dxa"/>
            <w:vAlign w:val="bottom"/>
            <w:tcBorders>
              <w:top w:val="single" w:sz="8" w:color="0000FF"/>
            </w:tcBorders>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6"/>
        </w:trPr>
        <w:tc>
          <w:tcPr>
            <w:tcW w:w="126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10.18G+</w:t>
            </w:r>
          </w:p>
        </w:tc>
        <w:tc>
          <w:tcPr>
            <w:tcW w:w="120" w:type="dxa"/>
            <w:vAlign w:val="bottom"/>
            <w:shd w:val="clear" w:color="auto" w:fill="CCEEFF"/>
          </w:tcPr>
          <w:p>
            <w:pPr>
              <w:spacing w:after="0"/>
              <w:rPr>
                <w:sz w:val="16"/>
                <w:szCs w:val="16"/>
                <w:color w:val="auto"/>
              </w:rPr>
            </w:pPr>
          </w:p>
        </w:tc>
        <w:tc>
          <w:tcPr>
            <w:tcW w:w="9220" w:type="dxa"/>
            <w:vAlign w:val="bottom"/>
            <w:gridSpan w:val="37"/>
            <w:shd w:val="clear" w:color="auto" w:fill="CCEEFF"/>
          </w:tcPr>
          <w:p>
            <w:pPr>
              <w:spacing w:after="0" w:line="187"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Amended and Restated 2011 Equity Incentive Plan (approved November 3, 2016) (incorporated herein by reference to Exhibit</w:t>
              </w:r>
            </w:hyperlink>
          </w:p>
        </w:tc>
      </w:tr>
      <w:tr>
        <w:trPr>
          <w:trHeight w:val="166"/>
        </w:trPr>
        <w:tc>
          <w:tcPr>
            <w:tcW w:w="12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080" w:type="dxa"/>
            <w:vAlign w:val="bottom"/>
            <w:tcBorders>
              <w:top w:val="single" w:sz="8" w:color="0000FF"/>
            </w:tcBorders>
            <w:gridSpan w:val="30"/>
            <w:shd w:val="clear" w:color="auto" w:fill="CCEEFF"/>
          </w:tcPr>
          <w:p>
            <w:pPr>
              <w:spacing w:after="0" w:line="16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in Jazz Pharmaceuticals plc’s Quarterly Report on Form 10-Q (File No. 001-33500) for the period ended September 30,</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r>
      <w:tr>
        <w:trPr>
          <w:trHeight w:val="180"/>
        </w:trPr>
        <w:tc>
          <w:tcPr>
            <w:tcW w:w="1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840" w:type="dxa"/>
            <w:vAlign w:val="bottom"/>
            <w:tcBorders>
              <w:top w:val="single" w:sz="8" w:color="0000FF"/>
            </w:tcBorders>
            <w:gridSpan w:val="19"/>
            <w:shd w:val="clear" w:color="auto" w:fill="CCEEFF"/>
          </w:tcPr>
          <w:p>
            <w:pPr>
              <w:spacing w:after="0" w:line="180"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2016, as filed with the SEC on November 8, 2016).</w:t>
              </w:r>
            </w:hyperlink>
          </w:p>
        </w:tc>
        <w:tc>
          <w:tcPr>
            <w:tcW w:w="80" w:type="dxa"/>
            <w:vAlign w:val="bottom"/>
            <w:tcBorders>
              <w:top w:val="single" w:sz="8" w:color="CCEEFF"/>
            </w:tcBorders>
            <w:gridSpan w:val="3"/>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gridSpan w:val="3"/>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r>
      <w:tr>
        <w:trPr>
          <w:trHeight w:val="33"/>
        </w:trPr>
        <w:tc>
          <w:tcPr>
            <w:tcW w:w="1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14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222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6"/>
        </w:trPr>
        <w:tc>
          <w:tcPr>
            <w:tcW w:w="126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10.18H+</w:t>
            </w:r>
          </w:p>
        </w:tc>
        <w:tc>
          <w:tcPr>
            <w:tcW w:w="120" w:type="dxa"/>
            <w:vAlign w:val="bottom"/>
          </w:tcPr>
          <w:p>
            <w:pPr>
              <w:spacing w:after="0"/>
              <w:rPr>
                <w:sz w:val="16"/>
                <w:szCs w:val="16"/>
                <w:color w:val="auto"/>
              </w:rPr>
            </w:pPr>
          </w:p>
        </w:tc>
        <w:tc>
          <w:tcPr>
            <w:tcW w:w="9220" w:type="dxa"/>
            <w:vAlign w:val="bottom"/>
            <w:gridSpan w:val="37"/>
          </w:tcPr>
          <w:p>
            <w:pPr>
              <w:spacing w:after="0" w:line="187"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Amended and Restated 2011 Equity Incentive Plan (approved November 2, 2022)(incorporated herein by reference to Exhibit</w:t>
              </w:r>
            </w:hyperlink>
          </w:p>
        </w:tc>
      </w:tr>
      <w:tr>
        <w:trPr>
          <w:trHeight w:val="186"/>
        </w:trPr>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980" w:type="dxa"/>
            <w:vAlign w:val="bottom"/>
            <w:tcBorders>
              <w:top w:val="single" w:sz="8" w:color="0000FF"/>
              <w:bottom w:val="single" w:sz="8" w:color="0000FF"/>
            </w:tcBorders>
            <w:gridSpan w:val="25"/>
          </w:tcPr>
          <w:p>
            <w:pPr>
              <w:spacing w:after="0" w:line="166" w:lineRule="exact"/>
              <w:rPr>
                <w:rFonts w:ascii="Times New Roman" w:cs="Times New Roman" w:eastAsia="Times New Roman" w:hAnsi="Times New Roman"/>
                <w:sz w:val="18"/>
                <w:szCs w:val="18"/>
                <w:color w:val="0000FF"/>
                <w:w w:val="98"/>
              </w:rPr>
            </w:pPr>
            <w:hyperlink r:id="rId166">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26Q+</w:t>
              </w:r>
              <w:r>
                <w:rPr>
                  <w:rFonts w:ascii="Times New Roman" w:cs="Times New Roman" w:eastAsia="Times New Roman" w:hAnsi="Times New Roman"/>
                  <w:sz w:val="18"/>
                  <w:szCs w:val="18"/>
                  <w:color w:val="0000FF"/>
                  <w:w w:val="98"/>
                </w:rPr>
                <w:t xml:space="preserve"> in Jazz Pharmaceuticals plc’s Annual Report on Form 10-K (File No. 001-33500) for the period ended December 31,</w:t>
              </w:r>
            </w:hyperlink>
          </w:p>
        </w:tc>
        <w:tc>
          <w:tcPr>
            <w:tcW w:w="20" w:type="dxa"/>
            <w:vAlign w:val="bottom"/>
            <w:tcBorders>
              <w:bottom w:val="single" w:sz="8" w:color="0000FF"/>
            </w:tcBorders>
          </w:tcPr>
          <w:p>
            <w:pPr>
              <w:spacing w:after="0"/>
              <w:rPr>
                <w:sz w:val="16"/>
                <w:szCs w:val="16"/>
                <w:color w:val="auto"/>
              </w:rPr>
            </w:pPr>
          </w:p>
        </w:tc>
        <w:tc>
          <w:tcPr>
            <w:tcW w:w="20" w:type="dxa"/>
            <w:vAlign w:val="bottom"/>
            <w:tcBorders>
              <w:bottom w:val="single" w:sz="8" w:color="0000FF"/>
            </w:tcBorders>
          </w:tcPr>
          <w:p>
            <w:pPr>
              <w:spacing w:after="0"/>
              <w:rPr>
                <w:sz w:val="16"/>
                <w:szCs w:val="16"/>
                <w:color w:val="auto"/>
              </w:rPr>
            </w:pPr>
          </w:p>
        </w:tc>
        <w:tc>
          <w:tcPr>
            <w:tcW w:w="20" w:type="dxa"/>
            <w:vAlign w:val="bottom"/>
            <w:tcBorders>
              <w:bottom w:val="single" w:sz="8" w:color="0000FF"/>
            </w:tcBorders>
          </w:tcPr>
          <w:p>
            <w:pPr>
              <w:spacing w:after="0"/>
              <w:rPr>
                <w:sz w:val="16"/>
                <w:szCs w:val="16"/>
                <w:color w:val="auto"/>
              </w:rPr>
            </w:pPr>
          </w:p>
        </w:tc>
        <w:tc>
          <w:tcPr>
            <w:tcW w:w="20" w:type="dxa"/>
            <w:vAlign w:val="bottom"/>
            <w:tcBorders>
              <w:bottom w:val="single" w:sz="8" w:color="0000FF"/>
            </w:tcBorders>
          </w:tcPr>
          <w:p>
            <w:pPr>
              <w:spacing w:after="0"/>
              <w:rPr>
                <w:sz w:val="16"/>
                <w:szCs w:val="16"/>
                <w:color w:val="auto"/>
              </w:rPr>
            </w:pPr>
          </w:p>
        </w:tc>
        <w:tc>
          <w:tcPr>
            <w:tcW w:w="60" w:type="dxa"/>
            <w:vAlign w:val="bottom"/>
            <w:tcBorders>
              <w:bottom w:val="single" w:sz="8" w:color="0000FF"/>
            </w:tcBorders>
            <w:gridSpan w:val="3"/>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r>
      <w:tr>
        <w:trPr>
          <w:trHeight w:val="160"/>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980" w:type="dxa"/>
            <w:vAlign w:val="bottom"/>
            <w:gridSpan w:val="11"/>
          </w:tcPr>
          <w:p>
            <w:pPr>
              <w:spacing w:after="0" w:line="160"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2022, as filed with the SEC on March 1, 2023).</w:t>
              </w:r>
            </w:hyperlink>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14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0"/>
        </w:trPr>
        <w:tc>
          <w:tcPr>
            <w:tcW w:w="1260" w:type="dxa"/>
            <w:vAlign w:val="bottom"/>
            <w:tcBorders>
              <w:bottom w:val="single" w:sz="8" w:color="CCEEFF"/>
            </w:tcBorders>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10.18I+</w:t>
            </w:r>
          </w:p>
        </w:tc>
        <w:tc>
          <w:tcPr>
            <w:tcW w:w="120" w:type="dxa"/>
            <w:vAlign w:val="bottom"/>
            <w:tcBorders>
              <w:bottom w:val="single" w:sz="8" w:color="CCEEFF"/>
            </w:tcBorders>
            <w:shd w:val="clear" w:color="auto" w:fill="CCEEFF"/>
          </w:tcPr>
          <w:p>
            <w:pPr>
              <w:spacing w:after="0"/>
              <w:rPr>
                <w:sz w:val="19"/>
                <w:szCs w:val="19"/>
                <w:color w:val="auto"/>
              </w:rPr>
            </w:pPr>
          </w:p>
        </w:tc>
        <w:tc>
          <w:tcPr>
            <w:tcW w:w="5860" w:type="dxa"/>
            <w:vAlign w:val="bottom"/>
            <w:tcBorders>
              <w:bottom w:val="single" w:sz="8" w:color="0000FF"/>
            </w:tcBorders>
            <w:gridSpan w:val="8"/>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0000FF"/>
                <w:w w:val="98"/>
              </w:rPr>
              <w:t>Amended and Restated 2011 Equity Incentive Plan (approved November 1, 2023).</w:t>
            </w:r>
          </w:p>
        </w:tc>
        <w:tc>
          <w:tcPr>
            <w:tcW w:w="3360" w:type="dxa"/>
            <w:vAlign w:val="bottom"/>
            <w:tcBorders>
              <w:bottom w:val="single" w:sz="8" w:color="CCEEFF"/>
            </w:tcBorders>
            <w:gridSpan w:val="29"/>
            <w:shd w:val="clear" w:color="auto" w:fill="CCEEFF"/>
          </w:tcPr>
          <w:p>
            <w:pPr>
              <w:spacing w:after="0"/>
              <w:rPr>
                <w:sz w:val="19"/>
                <w:szCs w:val="19"/>
                <w:color w:val="auto"/>
              </w:rPr>
            </w:pPr>
          </w:p>
        </w:tc>
      </w:tr>
      <w:tr>
        <w:trPr>
          <w:trHeight w:val="186"/>
        </w:trPr>
        <w:tc>
          <w:tcPr>
            <w:tcW w:w="126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10.18J+</w:t>
            </w:r>
          </w:p>
        </w:tc>
        <w:tc>
          <w:tcPr>
            <w:tcW w:w="120" w:type="dxa"/>
            <w:vAlign w:val="bottom"/>
          </w:tcPr>
          <w:p>
            <w:pPr>
              <w:spacing w:after="0"/>
              <w:rPr>
                <w:sz w:val="16"/>
                <w:szCs w:val="16"/>
                <w:color w:val="auto"/>
              </w:rPr>
            </w:pPr>
          </w:p>
        </w:tc>
        <w:tc>
          <w:tcPr>
            <w:tcW w:w="8660" w:type="dxa"/>
            <w:vAlign w:val="bottom"/>
            <w:tcBorders>
              <w:bottom w:val="single" w:sz="8" w:color="0000FF"/>
            </w:tcBorders>
            <w:gridSpan w:val="14"/>
          </w:tcPr>
          <w:p>
            <w:pPr>
              <w:spacing w:after="0" w:line="187" w:lineRule="exact"/>
              <w:rPr>
                <w:rFonts w:ascii="Times New Roman" w:cs="Times New Roman" w:eastAsia="Times New Roman" w:hAnsi="Times New Roman"/>
                <w:sz w:val="18"/>
                <w:szCs w:val="18"/>
                <w:color w:val="0000FF"/>
                <w:w w:val="98"/>
              </w:rPr>
            </w:pPr>
            <w:hyperlink r:id="rId167">
              <w:r>
                <w:rPr>
                  <w:rFonts w:ascii="Times New Roman" w:cs="Times New Roman" w:eastAsia="Times New Roman" w:hAnsi="Times New Roman"/>
                  <w:sz w:val="18"/>
                  <w:szCs w:val="18"/>
                  <w:color w:val="0000FF"/>
                  <w:w w:val="98"/>
                </w:rPr>
                <w:t>Form of U.S. Option Grant Notice and Form of U.S. Option Agreement under the Jazz Pharmaceuticals plc Amended and</w:t>
              </w:r>
            </w:hyperlink>
          </w:p>
        </w:tc>
        <w:tc>
          <w:tcPr>
            <w:tcW w:w="560" w:type="dxa"/>
            <w:vAlign w:val="bottom"/>
            <w:gridSpan w:val="23"/>
          </w:tcPr>
          <w:p>
            <w:pPr>
              <w:spacing w:after="0"/>
              <w:rPr>
                <w:sz w:val="16"/>
                <w:szCs w:val="16"/>
                <w:color w:val="auto"/>
              </w:rPr>
            </w:pPr>
          </w:p>
        </w:tc>
      </w:tr>
      <w:tr>
        <w:trPr>
          <w:trHeight w:val="166"/>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20" w:type="dxa"/>
            <w:vAlign w:val="bottom"/>
            <w:gridSpan w:val="37"/>
          </w:tcPr>
          <w:p>
            <w:pPr>
              <w:spacing w:after="0" w:line="16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Restated 2011 Equity Incentive Plan (incorporated herein by reference to Exhibit 10.7 in Jazz Pharmaceuticals plc’s Quarterly</w:t>
              </w:r>
            </w:hyperlink>
          </w:p>
        </w:tc>
      </w:tr>
      <w:tr>
        <w:trPr>
          <w:trHeight w:val="180"/>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20" w:type="dxa"/>
            <w:vAlign w:val="bottom"/>
            <w:tcBorders>
              <w:top w:val="single" w:sz="8" w:color="0000FF"/>
            </w:tcBorders>
            <w:gridSpan w:val="27"/>
          </w:tcPr>
          <w:p>
            <w:pPr>
              <w:spacing w:after="0" w:line="180"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Report on Form 10-Q (File No. 001-33500) for the period ended September 30, 2016, as filed with the SEC on November 8,</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66"/>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top w:val="single" w:sz="8" w:color="0000FF"/>
            </w:tcBorders>
            <w:gridSpan w:val="2"/>
          </w:tcPr>
          <w:p>
            <w:pPr>
              <w:spacing w:after="0" w:line="16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2016).</w:t>
              </w:r>
            </w:hyperlink>
          </w:p>
        </w:tc>
        <w:tc>
          <w:tcPr>
            <w:tcW w:w="214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220" w:type="dxa"/>
            <w:vAlign w:val="bottom"/>
            <w:tcBorders>
              <w:top w:val="single" w:sz="8" w:color="0000FF"/>
            </w:tcBorders>
          </w:tcPr>
          <w:p>
            <w:pPr>
              <w:spacing w:after="0"/>
              <w:rPr>
                <w:sz w:val="14"/>
                <w:szCs w:val="14"/>
                <w:color w:val="auto"/>
              </w:rPr>
            </w:pPr>
          </w:p>
        </w:tc>
        <w:tc>
          <w:tcPr>
            <w:tcW w:w="11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3"/>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6"/>
        </w:trPr>
        <w:tc>
          <w:tcPr>
            <w:tcW w:w="126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10.18K+</w:t>
            </w:r>
          </w:p>
        </w:tc>
        <w:tc>
          <w:tcPr>
            <w:tcW w:w="120" w:type="dxa"/>
            <w:vAlign w:val="bottom"/>
            <w:shd w:val="clear" w:color="auto" w:fill="CCEEFF"/>
          </w:tcPr>
          <w:p>
            <w:pPr>
              <w:spacing w:after="0"/>
              <w:rPr>
                <w:sz w:val="16"/>
                <w:szCs w:val="16"/>
                <w:color w:val="auto"/>
              </w:rPr>
            </w:pPr>
          </w:p>
        </w:tc>
        <w:tc>
          <w:tcPr>
            <w:tcW w:w="9220" w:type="dxa"/>
            <w:vAlign w:val="bottom"/>
            <w:gridSpan w:val="37"/>
            <w:shd w:val="clear" w:color="auto" w:fill="CCEEFF"/>
          </w:tcPr>
          <w:p>
            <w:pPr>
              <w:spacing w:after="0" w:line="187"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Form of U.S. Restricted Stock Unit Award Grant Notice and Form of U.S. Restricted Stock Unit Award Agreement under the</w:t>
              </w:r>
            </w:hyperlink>
          </w:p>
        </w:tc>
      </w:tr>
      <w:tr>
        <w:trPr>
          <w:trHeight w:val="166"/>
        </w:trPr>
        <w:tc>
          <w:tcPr>
            <w:tcW w:w="12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920" w:type="dxa"/>
            <w:vAlign w:val="bottom"/>
            <w:tcBorders>
              <w:top w:val="single" w:sz="8" w:color="0000FF"/>
              <w:bottom w:val="single" w:sz="8" w:color="0000FF"/>
            </w:tcBorders>
            <w:gridSpan w:val="22"/>
            <w:shd w:val="clear" w:color="auto" w:fill="CCEEFF"/>
          </w:tcPr>
          <w:p>
            <w:pPr>
              <w:spacing w:after="0" w:line="166" w:lineRule="exact"/>
              <w:rPr>
                <w:rFonts w:ascii="Times New Roman" w:cs="Times New Roman" w:eastAsia="Times New Roman" w:hAnsi="Times New Roman"/>
                <w:sz w:val="18"/>
                <w:szCs w:val="18"/>
                <w:color w:val="0000FF"/>
                <w:w w:val="97"/>
              </w:rPr>
            </w:pPr>
            <w:hyperlink r:id="rId168">
              <w:r>
                <w:rPr>
                  <w:rFonts w:ascii="Times New Roman" w:cs="Times New Roman" w:eastAsia="Times New Roman" w:hAnsi="Times New Roman"/>
                  <w:sz w:val="18"/>
                  <w:szCs w:val="18"/>
                  <w:color w:val="0000FF"/>
                  <w:w w:val="97"/>
                </w:rPr>
                <w:t>Jazz Pharmaceuticals plc Amended and Restated 2011 Equity Incentive Plan (incorporated herein by reference to Exhibit 10.6</w:t>
              </w:r>
            </w:hyperlink>
          </w:p>
        </w:tc>
        <w:tc>
          <w:tcPr>
            <w:tcW w:w="40" w:type="dxa"/>
            <w:vAlign w:val="bottom"/>
            <w:tcBorders>
              <w:top w:val="single" w:sz="8" w:color="CCEEFF"/>
              <w:bottom w:val="single" w:sz="8" w:color="0000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0000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0000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r>
      <w:tr>
        <w:trPr>
          <w:trHeight w:val="180"/>
        </w:trPr>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40" w:type="dxa"/>
            <w:vAlign w:val="bottom"/>
            <w:gridSpan w:val="28"/>
            <w:shd w:val="clear" w:color="auto" w:fill="CCEEFF"/>
          </w:tcPr>
          <w:p>
            <w:pPr>
              <w:spacing w:after="0" w:line="180" w:lineRule="exact"/>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in Jazz Pharmaceuticals plc’s Quarterly Report on Form 10-Q (File No. 001-33500) for the period ended September 30, 2016,</w:t>
              </w:r>
            </w:hyperlink>
          </w:p>
        </w:tc>
        <w:tc>
          <w:tcPr>
            <w:tcW w:w="20" w:type="dxa"/>
            <w:vAlign w:val="bottom"/>
            <w:shd w:val="clear" w:color="auto" w:fill="CCEEFF"/>
          </w:tcPr>
          <w:p>
            <w:pPr>
              <w:spacing w:after="0"/>
              <w:rPr>
                <w:sz w:val="15"/>
                <w:szCs w:val="15"/>
                <w:color w:val="auto"/>
              </w:rPr>
            </w:pPr>
          </w:p>
        </w:tc>
        <w:tc>
          <w:tcPr>
            <w:tcW w:w="60" w:type="dxa"/>
            <w:vAlign w:val="bottom"/>
            <w:gridSpan w:val="3"/>
            <w:shd w:val="clear" w:color="auto" w:fill="CCEEFF"/>
          </w:tcPr>
          <w:p>
            <w:pPr>
              <w:spacing w:after="0"/>
              <w:rPr>
                <w:sz w:val="15"/>
                <w:szCs w:val="15"/>
                <w:color w:val="auto"/>
              </w:rPr>
            </w:pPr>
          </w:p>
        </w:tc>
        <w:tc>
          <w:tcPr>
            <w:tcW w:w="40" w:type="dxa"/>
            <w:vAlign w:val="bottom"/>
            <w:gridSpan w:val="2"/>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gridSpan w:val="2"/>
            <w:shd w:val="clear" w:color="auto" w:fill="CCEEFF"/>
          </w:tcPr>
          <w:p>
            <w:pPr>
              <w:spacing w:after="0"/>
              <w:rPr>
                <w:sz w:val="15"/>
                <w:szCs w:val="15"/>
                <w:color w:val="auto"/>
              </w:rPr>
            </w:pPr>
          </w:p>
        </w:tc>
      </w:tr>
      <w:tr>
        <w:trPr>
          <w:trHeight w:val="166"/>
        </w:trPr>
        <w:tc>
          <w:tcPr>
            <w:tcW w:w="12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000" w:type="dxa"/>
            <w:vAlign w:val="bottom"/>
            <w:tcBorders>
              <w:top w:val="single" w:sz="8" w:color="0000FF"/>
            </w:tcBorders>
            <w:gridSpan w:val="26"/>
            <w:shd w:val="clear" w:color="auto" w:fill="CCEEFF"/>
          </w:tcPr>
          <w:p>
            <w:pPr>
              <w:spacing w:after="0" w:line="16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as filed with the SEC on November 8, 2016).</w:t>
              </w:r>
            </w:hyperlink>
          </w:p>
        </w:tc>
        <w:tc>
          <w:tcPr>
            <w:tcW w:w="60" w:type="dxa"/>
            <w:vAlign w:val="bottom"/>
            <w:tcBorders>
              <w:top w:val="single" w:sz="8" w:color="CCEEFF"/>
            </w:tcBorders>
            <w:gridSpan w:val="3"/>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r>
      <w:tr>
        <w:trPr>
          <w:trHeight w:val="33"/>
        </w:trPr>
        <w:tc>
          <w:tcPr>
            <w:tcW w:w="1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14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2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6"/>
        </w:trPr>
        <w:tc>
          <w:tcPr>
            <w:tcW w:w="126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10.18L+</w:t>
            </w:r>
          </w:p>
        </w:tc>
        <w:tc>
          <w:tcPr>
            <w:tcW w:w="120" w:type="dxa"/>
            <w:vAlign w:val="bottom"/>
          </w:tcPr>
          <w:p>
            <w:pPr>
              <w:spacing w:after="0"/>
              <w:rPr>
                <w:sz w:val="16"/>
                <w:szCs w:val="16"/>
                <w:color w:val="auto"/>
              </w:rPr>
            </w:pPr>
          </w:p>
        </w:tc>
        <w:tc>
          <w:tcPr>
            <w:tcW w:w="8780" w:type="dxa"/>
            <w:vAlign w:val="bottom"/>
            <w:tcBorders>
              <w:bottom w:val="single" w:sz="8" w:color="0000FF"/>
            </w:tcBorders>
            <w:gridSpan w:val="18"/>
          </w:tcPr>
          <w:p>
            <w:pPr>
              <w:spacing w:after="0" w:line="187" w:lineRule="exact"/>
              <w:rPr>
                <w:rFonts w:ascii="Times New Roman" w:cs="Times New Roman" w:eastAsia="Times New Roman" w:hAnsi="Times New Roman"/>
                <w:sz w:val="18"/>
                <w:szCs w:val="18"/>
                <w:color w:val="0000FF"/>
                <w:w w:val="98"/>
              </w:rPr>
            </w:pPr>
            <w:hyperlink r:id="rId169">
              <w:r>
                <w:rPr>
                  <w:rFonts w:ascii="Times New Roman" w:cs="Times New Roman" w:eastAsia="Times New Roman" w:hAnsi="Times New Roman"/>
                  <w:sz w:val="18"/>
                  <w:szCs w:val="18"/>
                  <w:color w:val="0000FF"/>
                  <w:w w:val="98"/>
                </w:rPr>
                <w:t>Form of Non-U.S. Option Grant Notice and Non-U.S. Option Agreement under the Jazz Pharmaceuticals plc Amended and</w:t>
              </w:r>
            </w:hyperlink>
          </w:p>
        </w:tc>
        <w:tc>
          <w:tcPr>
            <w:tcW w:w="440" w:type="dxa"/>
            <w:vAlign w:val="bottom"/>
            <w:gridSpan w:val="19"/>
          </w:tcPr>
          <w:p>
            <w:pPr>
              <w:spacing w:after="0"/>
              <w:rPr>
                <w:sz w:val="16"/>
                <w:szCs w:val="16"/>
                <w:color w:val="auto"/>
              </w:rPr>
            </w:pPr>
          </w:p>
        </w:tc>
      </w:tr>
      <w:tr>
        <w:trPr>
          <w:trHeight w:val="166"/>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20" w:type="dxa"/>
            <w:vAlign w:val="bottom"/>
            <w:gridSpan w:val="37"/>
          </w:tcPr>
          <w:p>
            <w:pPr>
              <w:spacing w:after="0" w:line="16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Restated 2011 Equity Incentive Plan (incorporated herein by reference to Exhibit 10.2 in Jazz Pharmaceuticals plc’s Quarterly</w:t>
              </w:r>
            </w:hyperlink>
          </w:p>
        </w:tc>
      </w:tr>
      <w:tr>
        <w:trPr>
          <w:trHeight w:val="180"/>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20" w:type="dxa"/>
            <w:vAlign w:val="bottom"/>
            <w:tcBorders>
              <w:top w:val="single" w:sz="8" w:color="0000FF"/>
            </w:tcBorders>
            <w:gridSpan w:val="27"/>
          </w:tcPr>
          <w:p>
            <w:pPr>
              <w:spacing w:after="0" w:line="180"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Report on Form 10-Q (File No. 001-33500) for the period ended June 30, 2018, as filed with the SEC on August 7, 2018).</w:t>
              </w:r>
            </w:hyperlink>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3"/>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14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20" w:type="dxa"/>
            <w:vAlign w:val="bottom"/>
            <w:tcBorders>
              <w:top w:val="single" w:sz="8" w:color="0000FF"/>
            </w:tcBorders>
          </w:tcPr>
          <w:p>
            <w:pPr>
              <w:spacing w:after="0"/>
              <w:rPr>
                <w:sz w:val="2"/>
                <w:szCs w:val="2"/>
                <w:color w:val="auto"/>
              </w:rPr>
            </w:pPr>
          </w:p>
        </w:tc>
        <w:tc>
          <w:tcPr>
            <w:tcW w:w="11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6"/>
        </w:trPr>
        <w:tc>
          <w:tcPr>
            <w:tcW w:w="126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10.18M+</w:t>
            </w:r>
          </w:p>
        </w:tc>
        <w:tc>
          <w:tcPr>
            <w:tcW w:w="120" w:type="dxa"/>
            <w:vAlign w:val="bottom"/>
            <w:shd w:val="clear" w:color="auto" w:fill="CCEEFF"/>
          </w:tcPr>
          <w:p>
            <w:pPr>
              <w:spacing w:after="0"/>
              <w:rPr>
                <w:sz w:val="16"/>
                <w:szCs w:val="16"/>
                <w:color w:val="auto"/>
              </w:rPr>
            </w:pPr>
          </w:p>
        </w:tc>
        <w:tc>
          <w:tcPr>
            <w:tcW w:w="9220" w:type="dxa"/>
            <w:vAlign w:val="bottom"/>
            <w:gridSpan w:val="37"/>
            <w:shd w:val="clear" w:color="auto" w:fill="CCEEFF"/>
          </w:tcPr>
          <w:p>
            <w:pPr>
              <w:spacing w:after="0" w:line="187"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Form of Non-U.S. Option Grant Notice and Non-U.S. Option Agreement under the Jazz Pharmaceuticals plc 2011 Equity</w:t>
              </w:r>
            </w:hyperlink>
          </w:p>
        </w:tc>
      </w:tr>
      <w:tr>
        <w:trPr>
          <w:trHeight w:val="166"/>
        </w:trPr>
        <w:tc>
          <w:tcPr>
            <w:tcW w:w="12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640" w:type="dxa"/>
            <w:vAlign w:val="bottom"/>
            <w:tcBorders>
              <w:top w:val="single" w:sz="8" w:color="0000FF"/>
            </w:tcBorders>
            <w:gridSpan w:val="13"/>
            <w:shd w:val="clear" w:color="auto" w:fill="CCEEFF"/>
          </w:tcPr>
          <w:p>
            <w:pPr>
              <w:spacing w:after="0" w:line="166" w:lineRule="exact"/>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Incentive Plan (incorporated herein by reference to Exhibit 10.4 in Jazz Pharmaceuticals plc’s Quarterly Report on Form</w:t>
              </w:r>
            </w:hyperlink>
          </w:p>
        </w:tc>
        <w:tc>
          <w:tcPr>
            <w:tcW w:w="580" w:type="dxa"/>
            <w:vAlign w:val="bottom"/>
            <w:tcBorders>
              <w:top w:val="single" w:sz="8" w:color="CCEEFF"/>
            </w:tcBorders>
            <w:gridSpan w:val="24"/>
            <w:shd w:val="clear" w:color="auto" w:fill="CCEEFF"/>
          </w:tcPr>
          <w:p>
            <w:pPr>
              <w:spacing w:after="0" w:line="16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10-Q</w:t>
              </w:r>
            </w:hyperlink>
          </w:p>
        </w:tc>
      </w:tr>
      <w:tr>
        <w:trPr>
          <w:trHeight w:val="213"/>
        </w:trPr>
        <w:tc>
          <w:tcPr>
            <w:tcW w:w="1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040" w:type="dxa"/>
            <w:vAlign w:val="bottom"/>
            <w:tcBorders>
              <w:top w:val="single" w:sz="8" w:color="0000FF"/>
              <w:bottom w:val="single" w:sz="8" w:color="0000FF"/>
            </w:tcBorders>
            <w:gridSpan w:val="9"/>
            <w:shd w:val="clear" w:color="auto" w:fill="CCEEFF"/>
          </w:tcPr>
          <w:p>
            <w:pPr>
              <w:spacing w:after="0" w:line="180" w:lineRule="exact"/>
              <w:rPr>
                <w:rFonts w:ascii="Times New Roman" w:cs="Times New Roman" w:eastAsia="Times New Roman" w:hAnsi="Times New Roman"/>
                <w:sz w:val="18"/>
                <w:szCs w:val="18"/>
                <w:color w:val="0000FF"/>
                <w:w w:val="98"/>
              </w:rPr>
            </w:pPr>
            <w:hyperlink r:id="rId170">
              <w:r>
                <w:rPr>
                  <w:rFonts w:ascii="Times New Roman" w:cs="Times New Roman" w:eastAsia="Times New Roman" w:hAnsi="Times New Roman"/>
                  <w:sz w:val="18"/>
                  <w:szCs w:val="18"/>
                  <w:color w:val="0000FF"/>
                  <w:w w:val="98"/>
                </w:rPr>
                <w:t>(File No. 001-33500) for the period ended March 31, 2019, as filed with the SEC on May 7, 2019).</w:t>
              </w:r>
            </w:hyperlink>
          </w:p>
        </w:tc>
        <w:tc>
          <w:tcPr>
            <w:tcW w:w="2020" w:type="dxa"/>
            <w:vAlign w:val="bottom"/>
            <w:tcBorders>
              <w:top w:val="single" w:sz="8" w:color="0000FF"/>
              <w:bottom w:val="single" w:sz="8" w:color="CCEEFF"/>
            </w:tcBorders>
            <w:gridSpan w:val="20"/>
            <w:shd w:val="clear" w:color="auto" w:fill="CCEEFF"/>
          </w:tcPr>
          <w:p>
            <w:pPr>
              <w:spacing w:after="0"/>
              <w:rPr>
                <w:sz w:val="18"/>
                <w:szCs w:val="18"/>
                <w:color w:val="auto"/>
              </w:rPr>
            </w:pPr>
          </w:p>
        </w:tc>
        <w:tc>
          <w:tcPr>
            <w:tcW w:w="6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r>
      <w:tr>
        <w:trPr>
          <w:trHeight w:val="186"/>
        </w:trPr>
        <w:tc>
          <w:tcPr>
            <w:tcW w:w="126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10.18N+</w:t>
            </w:r>
          </w:p>
        </w:tc>
        <w:tc>
          <w:tcPr>
            <w:tcW w:w="120" w:type="dxa"/>
            <w:vAlign w:val="bottom"/>
          </w:tcPr>
          <w:p>
            <w:pPr>
              <w:spacing w:after="0"/>
              <w:rPr>
                <w:sz w:val="16"/>
                <w:szCs w:val="16"/>
                <w:color w:val="auto"/>
              </w:rPr>
            </w:pPr>
          </w:p>
        </w:tc>
        <w:tc>
          <w:tcPr>
            <w:tcW w:w="9220" w:type="dxa"/>
            <w:vAlign w:val="bottom"/>
            <w:gridSpan w:val="37"/>
          </w:tcPr>
          <w:p>
            <w:pPr>
              <w:spacing w:after="0" w:line="187"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Form of Non-U.S. Restricted Stock Unit Award Grant Notice and Non-U.S. Restricted Stock Unit Award Agreement under the</w:t>
              </w:r>
            </w:hyperlink>
          </w:p>
        </w:tc>
      </w:tr>
      <w:tr>
        <w:trPr>
          <w:trHeight w:val="166"/>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160" w:type="dxa"/>
            <w:vAlign w:val="bottom"/>
            <w:tcBorders>
              <w:top w:val="single" w:sz="8" w:color="0000FF"/>
              <w:bottom w:val="single" w:sz="8" w:color="0000FF"/>
            </w:tcBorders>
            <w:gridSpan w:val="34"/>
          </w:tcPr>
          <w:p>
            <w:pPr>
              <w:spacing w:after="0" w:line="166" w:lineRule="exact"/>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Jazz Pharmaceuticals plc 2011 Equity Incentive Plan (incorporated herein by reference to Exhibit 10.5 in Jazz Pharmaceuticals</w:t>
              </w:r>
            </w:hyperlink>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80"/>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180" w:type="dxa"/>
            <w:vAlign w:val="bottom"/>
            <w:gridSpan w:val="35"/>
          </w:tcPr>
          <w:p>
            <w:pPr>
              <w:spacing w:after="0" w:line="180" w:lineRule="exact"/>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plc’s Quarterly Report on Form 10-Q (File No. 001-33500) for the period ended March 31, 2019, as filed with the SEC on May</w:t>
              </w:r>
            </w:hyperlink>
          </w:p>
        </w:tc>
        <w:tc>
          <w:tcPr>
            <w:tcW w:w="40" w:type="dxa"/>
            <w:vAlign w:val="bottom"/>
            <w:gridSpan w:val="2"/>
          </w:tcPr>
          <w:p>
            <w:pPr>
              <w:spacing w:after="0"/>
              <w:rPr>
                <w:sz w:val="15"/>
                <w:szCs w:val="15"/>
                <w:color w:val="auto"/>
              </w:rPr>
            </w:pPr>
          </w:p>
        </w:tc>
      </w:tr>
      <w:tr>
        <w:trPr>
          <w:trHeight w:val="166"/>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80" w:type="dxa"/>
            <w:vAlign w:val="bottom"/>
            <w:tcBorders>
              <w:top w:val="single" w:sz="8" w:color="0000FF"/>
            </w:tcBorders>
            <w:gridSpan w:val="3"/>
          </w:tcPr>
          <w:p>
            <w:pPr>
              <w:spacing w:after="0" w:line="16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7, 2019).</w:t>
              </w:r>
            </w:hyperlink>
          </w:p>
        </w:tc>
        <w:tc>
          <w:tcPr>
            <w:tcW w:w="4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220" w:type="dxa"/>
            <w:vAlign w:val="bottom"/>
            <w:tcBorders>
              <w:top w:val="single" w:sz="8" w:color="0000FF"/>
            </w:tcBorders>
          </w:tcPr>
          <w:p>
            <w:pPr>
              <w:spacing w:after="0"/>
              <w:rPr>
                <w:sz w:val="14"/>
                <w:szCs w:val="14"/>
                <w:color w:val="auto"/>
              </w:rPr>
            </w:pPr>
          </w:p>
        </w:tc>
        <w:tc>
          <w:tcPr>
            <w:tcW w:w="11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r>
      <w:tr>
        <w:trPr>
          <w:trHeight w:val="33"/>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6"/>
        </w:trPr>
        <w:tc>
          <w:tcPr>
            <w:tcW w:w="126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10.18O+</w:t>
            </w:r>
          </w:p>
        </w:tc>
        <w:tc>
          <w:tcPr>
            <w:tcW w:w="120" w:type="dxa"/>
            <w:vAlign w:val="bottom"/>
            <w:shd w:val="clear" w:color="auto" w:fill="CCEEFF"/>
          </w:tcPr>
          <w:p>
            <w:pPr>
              <w:spacing w:after="0"/>
              <w:rPr>
                <w:sz w:val="16"/>
                <w:szCs w:val="16"/>
                <w:color w:val="auto"/>
              </w:rPr>
            </w:pPr>
          </w:p>
        </w:tc>
        <w:tc>
          <w:tcPr>
            <w:tcW w:w="9220" w:type="dxa"/>
            <w:vAlign w:val="bottom"/>
            <w:gridSpan w:val="37"/>
            <w:shd w:val="clear" w:color="auto" w:fill="CCEEFF"/>
          </w:tcPr>
          <w:p>
            <w:pPr>
              <w:spacing w:after="0" w:line="187"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Form of U.S. Restricted Stock Unit Award Grant Notice and Form of U.S. Restricted Stock Unit Award Agreement under the</w:t>
              </w:r>
            </w:hyperlink>
          </w:p>
        </w:tc>
      </w:tr>
      <w:tr>
        <w:trPr>
          <w:trHeight w:val="166"/>
        </w:trPr>
        <w:tc>
          <w:tcPr>
            <w:tcW w:w="12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920" w:type="dxa"/>
            <w:vAlign w:val="bottom"/>
            <w:tcBorders>
              <w:top w:val="single" w:sz="8" w:color="0000FF"/>
            </w:tcBorders>
            <w:gridSpan w:val="22"/>
            <w:shd w:val="clear" w:color="auto" w:fill="CCEEFF"/>
          </w:tcPr>
          <w:p>
            <w:pPr>
              <w:spacing w:after="0" w:line="166" w:lineRule="exact"/>
              <w:rPr>
                <w:rFonts w:ascii="Times New Roman" w:cs="Times New Roman" w:eastAsia="Times New Roman" w:hAnsi="Times New Roman"/>
                <w:sz w:val="18"/>
                <w:szCs w:val="18"/>
                <w:color w:val="0000FF"/>
                <w:w w:val="97"/>
              </w:rPr>
            </w:pPr>
            <w:hyperlink r:id="rId172">
              <w:r>
                <w:rPr>
                  <w:rFonts w:ascii="Times New Roman" w:cs="Times New Roman" w:eastAsia="Times New Roman" w:hAnsi="Times New Roman"/>
                  <w:sz w:val="18"/>
                  <w:szCs w:val="18"/>
                  <w:color w:val="0000FF"/>
                  <w:w w:val="97"/>
                </w:rPr>
                <w:t>Jazz Pharmaceuticals plc Amended and Restated 2011 Equity Incentive Plan (incorporated herein by reference to Exhibit 10.8</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160" w:type="dxa"/>
            <w:vAlign w:val="bottom"/>
            <w:tcBorders>
              <w:top w:val="single" w:sz="8" w:color="CCEEFF"/>
            </w:tcBorders>
            <w:gridSpan w:val="8"/>
            <w:shd w:val="clear" w:color="auto" w:fill="CCEEFF"/>
          </w:tcPr>
          <w:p>
            <w:pPr>
              <w:spacing w:after="0"/>
              <w:rPr>
                <w:sz w:val="14"/>
                <w:szCs w:val="14"/>
                <w:color w:val="auto"/>
              </w:rPr>
            </w:pPr>
          </w:p>
        </w:tc>
        <w:tc>
          <w:tcPr>
            <w:tcW w:w="100" w:type="dxa"/>
            <w:vAlign w:val="bottom"/>
            <w:tcBorders>
              <w:top w:val="single" w:sz="8" w:color="CCEEFF"/>
            </w:tcBorders>
            <w:gridSpan w:val="5"/>
            <w:shd w:val="clear" w:color="auto" w:fill="CCEEFF"/>
          </w:tcPr>
          <w:p>
            <w:pPr>
              <w:spacing w:after="0"/>
              <w:rPr>
                <w:sz w:val="14"/>
                <w:szCs w:val="14"/>
                <w:color w:val="auto"/>
              </w:rPr>
            </w:pPr>
          </w:p>
        </w:tc>
      </w:tr>
      <w:tr>
        <w:trPr>
          <w:trHeight w:val="180"/>
        </w:trPr>
        <w:tc>
          <w:tcPr>
            <w:tcW w:w="1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040" w:type="dxa"/>
            <w:vAlign w:val="bottom"/>
            <w:tcBorders>
              <w:top w:val="single" w:sz="8" w:color="0000FF"/>
            </w:tcBorders>
            <w:gridSpan w:val="28"/>
            <w:shd w:val="clear" w:color="auto" w:fill="CCEEFF"/>
          </w:tcPr>
          <w:p>
            <w:pPr>
              <w:spacing w:after="0" w:line="180"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in Jazz Pharmaceuticals plc’s Quarterly Report on Form 10-Q (File No. 001-33500) for the period ended June 30, 2021, as</w:t>
              </w:r>
            </w:hyperlink>
          </w:p>
        </w:tc>
        <w:tc>
          <w:tcPr>
            <w:tcW w:w="80" w:type="dxa"/>
            <w:vAlign w:val="bottom"/>
            <w:tcBorders>
              <w:top w:val="single" w:sz="8" w:color="CCEEFF"/>
            </w:tcBorders>
            <w:gridSpan w:val="4"/>
            <w:shd w:val="clear" w:color="auto" w:fill="CCEEFF"/>
          </w:tcPr>
          <w:p>
            <w:pPr>
              <w:spacing w:after="0"/>
              <w:rPr>
                <w:sz w:val="15"/>
                <w:szCs w:val="15"/>
                <w:color w:val="auto"/>
              </w:rPr>
            </w:pPr>
          </w:p>
        </w:tc>
        <w:tc>
          <w:tcPr>
            <w:tcW w:w="100" w:type="dxa"/>
            <w:vAlign w:val="bottom"/>
            <w:tcBorders>
              <w:top w:val="single" w:sz="8" w:color="CCEEFF"/>
            </w:tcBorders>
            <w:gridSpan w:val="5"/>
            <w:shd w:val="clear" w:color="auto" w:fill="CCEEFF"/>
          </w:tcPr>
          <w:p>
            <w:pPr>
              <w:spacing w:after="0"/>
              <w:rPr>
                <w:sz w:val="15"/>
                <w:szCs w:val="15"/>
                <w:color w:val="auto"/>
              </w:rPr>
            </w:pPr>
          </w:p>
        </w:tc>
      </w:tr>
      <w:tr>
        <w:trPr>
          <w:trHeight w:val="200"/>
        </w:trPr>
        <w:tc>
          <w:tcPr>
            <w:tcW w:w="12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780" w:type="dxa"/>
            <w:vAlign w:val="bottom"/>
            <w:tcBorders>
              <w:top w:val="single" w:sz="8" w:color="0000FF"/>
              <w:bottom w:val="single" w:sz="8" w:color="0000FF"/>
            </w:tcBorders>
            <w:gridSpan w:val="3"/>
            <w:shd w:val="clear" w:color="auto" w:fill="CCEEFF"/>
          </w:tcPr>
          <w:p>
            <w:pPr>
              <w:spacing w:after="0" w:line="166" w:lineRule="exact"/>
              <w:rPr>
                <w:rFonts w:ascii="Times New Roman" w:cs="Times New Roman" w:eastAsia="Times New Roman" w:hAnsi="Times New Roman"/>
                <w:sz w:val="18"/>
                <w:szCs w:val="18"/>
                <w:color w:val="0000FF"/>
                <w:w w:val="98"/>
              </w:rPr>
            </w:pPr>
            <w:hyperlink r:id="rId172">
              <w:r>
                <w:rPr>
                  <w:rFonts w:ascii="Times New Roman" w:cs="Times New Roman" w:eastAsia="Times New Roman" w:hAnsi="Times New Roman"/>
                  <w:sz w:val="18"/>
                  <w:szCs w:val="18"/>
                  <w:color w:val="0000FF"/>
                  <w:w w:val="98"/>
                </w:rPr>
                <w:t>filed with the SEC on August 3, 2021).</w:t>
              </w:r>
            </w:hyperlink>
          </w:p>
        </w:tc>
        <w:tc>
          <w:tcPr>
            <w:tcW w:w="5920" w:type="dxa"/>
            <w:vAlign w:val="bottom"/>
            <w:tcBorders>
              <w:top w:val="single" w:sz="8" w:color="0000FF"/>
              <w:bottom w:val="single" w:sz="8" w:color="CCEEFF"/>
            </w:tcBorders>
            <w:gridSpan w:val="12"/>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0" w:type="dxa"/>
            <w:vAlign w:val="bottom"/>
            <w:tcBorders>
              <w:top w:val="single" w:sz="8" w:color="CCEEFF"/>
              <w:bottom w:val="single" w:sz="8" w:color="CCEEFF"/>
            </w:tcBorders>
            <w:gridSpan w:val="7"/>
            <w:shd w:val="clear" w:color="auto" w:fill="CCEEFF"/>
          </w:tcPr>
          <w:p>
            <w:pPr>
              <w:spacing w:after="0"/>
              <w:rPr>
                <w:sz w:val="17"/>
                <w:szCs w:val="17"/>
                <w:color w:val="auto"/>
              </w:rPr>
            </w:pPr>
          </w:p>
        </w:tc>
        <w:tc>
          <w:tcPr>
            <w:tcW w:w="160" w:type="dxa"/>
            <w:vAlign w:val="bottom"/>
            <w:tcBorders>
              <w:top w:val="single" w:sz="8" w:color="CCEEFF"/>
              <w:bottom w:val="single" w:sz="8" w:color="CCEEFF"/>
            </w:tcBorders>
            <w:gridSpan w:val="8"/>
            <w:shd w:val="clear" w:color="auto" w:fill="CCEEFF"/>
          </w:tcPr>
          <w:p>
            <w:pPr>
              <w:spacing w:after="0"/>
              <w:rPr>
                <w:sz w:val="17"/>
                <w:szCs w:val="17"/>
                <w:color w:val="auto"/>
              </w:rPr>
            </w:pPr>
          </w:p>
        </w:tc>
        <w:tc>
          <w:tcPr>
            <w:tcW w:w="100" w:type="dxa"/>
            <w:vAlign w:val="bottom"/>
            <w:tcBorders>
              <w:top w:val="single" w:sz="8" w:color="CCEEFF"/>
              <w:bottom w:val="single" w:sz="8" w:color="CCEEFF"/>
            </w:tcBorders>
            <w:gridSpan w:val="5"/>
            <w:shd w:val="clear" w:color="auto" w:fill="CCEEFF"/>
          </w:tcPr>
          <w:p>
            <w:pPr>
              <w:spacing w:after="0"/>
              <w:rPr>
                <w:sz w:val="17"/>
                <w:szCs w:val="17"/>
                <w:color w:val="auto"/>
              </w:rPr>
            </w:pPr>
          </w:p>
        </w:tc>
      </w:tr>
      <w:tr>
        <w:trPr>
          <w:trHeight w:val="186"/>
        </w:trPr>
        <w:tc>
          <w:tcPr>
            <w:tcW w:w="126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10.18P+</w:t>
            </w:r>
          </w:p>
        </w:tc>
        <w:tc>
          <w:tcPr>
            <w:tcW w:w="120" w:type="dxa"/>
            <w:vAlign w:val="bottom"/>
          </w:tcPr>
          <w:p>
            <w:pPr>
              <w:spacing w:after="0"/>
              <w:rPr>
                <w:sz w:val="16"/>
                <w:szCs w:val="16"/>
                <w:color w:val="auto"/>
              </w:rPr>
            </w:pPr>
          </w:p>
        </w:tc>
        <w:tc>
          <w:tcPr>
            <w:tcW w:w="9220" w:type="dxa"/>
            <w:vAlign w:val="bottom"/>
            <w:gridSpan w:val="37"/>
          </w:tcPr>
          <w:p>
            <w:pPr>
              <w:spacing w:after="0" w:line="187"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Form of Non-U.S. Restricted Stock Unit Award Grant Notice and Form of Non-U.S. Restricted Stock Unit Award Agreement</w:t>
              </w:r>
            </w:hyperlink>
          </w:p>
        </w:tc>
      </w:tr>
      <w:tr>
        <w:trPr>
          <w:trHeight w:val="166"/>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960" w:type="dxa"/>
            <w:vAlign w:val="bottom"/>
            <w:tcBorders>
              <w:top w:val="single" w:sz="8" w:color="0000FF"/>
            </w:tcBorders>
            <w:gridSpan w:val="24"/>
          </w:tcPr>
          <w:p>
            <w:pPr>
              <w:spacing w:after="0" w:line="16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under the Jazz Pharmaceuticals plc Amended and Restated 2011 Equity Incentive Plan (incorporated herein by reference to</w:t>
              </w:r>
            </w:hyperlink>
          </w:p>
        </w:tc>
        <w:tc>
          <w:tcPr>
            <w:tcW w:w="160" w:type="dxa"/>
            <w:vAlign w:val="bottom"/>
            <w:gridSpan w:val="8"/>
          </w:tcPr>
          <w:p>
            <w:pPr>
              <w:spacing w:after="0"/>
              <w:rPr>
                <w:sz w:val="14"/>
                <w:szCs w:val="14"/>
                <w:color w:val="auto"/>
              </w:rPr>
            </w:pPr>
          </w:p>
        </w:tc>
        <w:tc>
          <w:tcPr>
            <w:tcW w:w="100" w:type="dxa"/>
            <w:vAlign w:val="bottom"/>
            <w:gridSpan w:val="5"/>
          </w:tcPr>
          <w:p>
            <w:pPr>
              <w:spacing w:after="0"/>
              <w:rPr>
                <w:sz w:val="14"/>
                <w:szCs w:val="14"/>
                <w:color w:val="auto"/>
              </w:rPr>
            </w:pPr>
          </w:p>
        </w:tc>
      </w:tr>
      <w:tr>
        <w:trPr>
          <w:trHeight w:val="180"/>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760" w:type="dxa"/>
            <w:vAlign w:val="bottom"/>
            <w:tcBorders>
              <w:top w:val="single" w:sz="8" w:color="0000FF"/>
            </w:tcBorders>
            <w:gridSpan w:val="17"/>
          </w:tcPr>
          <w:p>
            <w:pPr>
              <w:spacing w:after="0" w:line="180" w:lineRule="exact"/>
              <w:rPr>
                <w:rFonts w:ascii="Times New Roman" w:cs="Times New Roman" w:eastAsia="Times New Roman" w:hAnsi="Times New Roman"/>
                <w:sz w:val="18"/>
                <w:szCs w:val="18"/>
                <w:color w:val="0000FF"/>
                <w:w w:val="98"/>
              </w:rPr>
            </w:pPr>
            <w:hyperlink r:id="rId173">
              <w:r>
                <w:rPr>
                  <w:rFonts w:ascii="Times New Roman" w:cs="Times New Roman" w:eastAsia="Times New Roman" w:hAnsi="Times New Roman"/>
                  <w:sz w:val="18"/>
                  <w:szCs w:val="18"/>
                  <w:color w:val="0000FF"/>
                  <w:w w:val="98"/>
                </w:rPr>
                <w:t>Exhibit 10.9 in Jazz Pharmaceuticals plc’s Quarterly Report on Form 10-Q (File No. 001-33500) for the period ended June</w:t>
              </w:r>
            </w:hyperlink>
          </w:p>
        </w:tc>
        <w:tc>
          <w:tcPr>
            <w:tcW w:w="460" w:type="dxa"/>
            <w:vAlign w:val="bottom"/>
            <w:gridSpan w:val="20"/>
          </w:tcPr>
          <w:p>
            <w:pPr>
              <w:jc w:val="right"/>
              <w:ind w:right="240"/>
              <w:spacing w:after="0" w:line="180" w:lineRule="exact"/>
              <w:rPr>
                <w:rFonts w:ascii="Times New Roman" w:cs="Times New Roman" w:eastAsia="Times New Roman" w:hAnsi="Times New Roman"/>
                <w:sz w:val="18"/>
                <w:szCs w:val="18"/>
                <w:color w:val="0000FF"/>
                <w:w w:val="88"/>
              </w:rPr>
            </w:pPr>
            <w:hyperlink r:id="rId173">
              <w:r>
                <w:rPr>
                  <w:rFonts w:ascii="Times New Roman" w:cs="Times New Roman" w:eastAsia="Times New Roman" w:hAnsi="Times New Roman"/>
                  <w:sz w:val="18"/>
                  <w:szCs w:val="18"/>
                  <w:color w:val="0000FF"/>
                  <w:w w:val="88"/>
                </w:rPr>
                <w:t>30,</w:t>
              </w:r>
            </w:hyperlink>
          </w:p>
        </w:tc>
      </w:tr>
      <w:tr>
        <w:trPr>
          <w:trHeight w:val="166"/>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20" w:type="dxa"/>
            <w:vAlign w:val="bottom"/>
            <w:tcBorders>
              <w:top w:val="single" w:sz="8" w:color="0000FF"/>
              <w:bottom w:val="single" w:sz="8" w:color="0000FF"/>
            </w:tcBorders>
            <w:gridSpan w:val="6"/>
          </w:tcPr>
          <w:p>
            <w:pPr>
              <w:spacing w:after="0" w:line="166" w:lineRule="exact"/>
              <w:rPr>
                <w:rFonts w:ascii="Times New Roman" w:cs="Times New Roman" w:eastAsia="Times New Roman" w:hAnsi="Times New Roman"/>
                <w:sz w:val="18"/>
                <w:szCs w:val="18"/>
                <w:color w:val="0000FF"/>
                <w:w w:val="98"/>
              </w:rPr>
            </w:pPr>
            <w:hyperlink r:id="rId173">
              <w:r>
                <w:rPr>
                  <w:rFonts w:ascii="Times New Roman" w:cs="Times New Roman" w:eastAsia="Times New Roman" w:hAnsi="Times New Roman"/>
                  <w:sz w:val="18"/>
                  <w:szCs w:val="18"/>
                  <w:color w:val="0000FF"/>
                  <w:w w:val="98"/>
                </w:rPr>
                <w:t>2021, as filed with the SEC on August 3, 2021).</w:t>
              </w:r>
            </w:hyperlink>
          </w:p>
        </w:tc>
        <w:tc>
          <w:tcPr>
            <w:tcW w:w="5700" w:type="dxa"/>
            <w:vAlign w:val="bottom"/>
            <w:tcBorders>
              <w:top w:val="single" w:sz="8" w:color="0000FF"/>
            </w:tcBorders>
            <w:gridSpan w:val="26"/>
          </w:tcPr>
          <w:p>
            <w:pPr>
              <w:spacing w:after="0"/>
              <w:rPr>
                <w:sz w:val="14"/>
                <w:szCs w:val="14"/>
                <w:color w:val="auto"/>
              </w:rPr>
            </w:pPr>
          </w:p>
        </w:tc>
        <w:tc>
          <w:tcPr>
            <w:tcW w:w="100" w:type="dxa"/>
            <w:vAlign w:val="bottom"/>
            <w:gridSpan w:val="5"/>
          </w:tcPr>
          <w:p>
            <w:pPr>
              <w:spacing w:after="0"/>
              <w:rPr>
                <w:sz w:val="14"/>
                <w:szCs w:val="14"/>
                <w:color w:val="auto"/>
              </w:rPr>
            </w:pPr>
          </w:p>
        </w:tc>
      </w:tr>
      <w:tr>
        <w:trPr>
          <w:trHeight w:val="22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10.18Q+</w:t>
            </w:r>
          </w:p>
        </w:tc>
        <w:tc>
          <w:tcPr>
            <w:tcW w:w="120" w:type="dxa"/>
            <w:vAlign w:val="bottom"/>
          </w:tcPr>
          <w:p>
            <w:pPr>
              <w:spacing w:after="0"/>
              <w:rPr>
                <w:sz w:val="19"/>
                <w:szCs w:val="19"/>
                <w:color w:val="auto"/>
              </w:rPr>
            </w:pPr>
          </w:p>
        </w:tc>
        <w:tc>
          <w:tcPr>
            <w:tcW w:w="9220" w:type="dxa"/>
            <w:vAlign w:val="bottom"/>
            <w:gridSpan w:val="37"/>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Form of Non-U.S. Restricted Stock Unit Award Grant Notice and Form of Non-U.S. Restricted Stock Unit Award Agreement</w:t>
              </w:r>
            </w:hyperlink>
          </w:p>
        </w:tc>
      </w:tr>
      <w:tr>
        <w:trPr>
          <w:trHeight w:val="166"/>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780" w:type="dxa"/>
            <w:vAlign w:val="bottom"/>
            <w:tcBorders>
              <w:top w:val="single" w:sz="8" w:color="0000FF"/>
              <w:bottom w:val="single" w:sz="8" w:color="0000FF"/>
            </w:tcBorders>
            <w:gridSpan w:val="18"/>
          </w:tcPr>
          <w:p>
            <w:pPr>
              <w:spacing w:after="0" w:line="166" w:lineRule="exact"/>
              <w:rPr>
                <w:rFonts w:ascii="Times New Roman" w:cs="Times New Roman" w:eastAsia="Times New Roman" w:hAnsi="Times New Roman"/>
                <w:sz w:val="18"/>
                <w:szCs w:val="18"/>
                <w:color w:val="0000FF"/>
                <w:w w:val="98"/>
              </w:rPr>
            </w:pPr>
            <w:hyperlink r:id="rId174">
              <w:r>
                <w:rPr>
                  <w:rFonts w:ascii="Times New Roman" w:cs="Times New Roman" w:eastAsia="Times New Roman" w:hAnsi="Times New Roman"/>
                  <w:sz w:val="18"/>
                  <w:szCs w:val="18"/>
                  <w:color w:val="0000FF"/>
                  <w:w w:val="98"/>
                </w:rPr>
                <w:t>under the Jazz Pharmaceuticals plc Amended and Restated 2011 Equity Incentive Plan (incorporated herein by reference to</w:t>
              </w:r>
            </w:hyperlink>
          </w:p>
        </w:tc>
        <w:tc>
          <w:tcPr>
            <w:tcW w:w="180" w:type="dxa"/>
            <w:vAlign w:val="bottom"/>
            <w:tcBorders>
              <w:top w:val="single" w:sz="8" w:color="0000FF"/>
            </w:tcBorders>
            <w:gridSpan w:val="6"/>
          </w:tcPr>
          <w:p>
            <w:pPr>
              <w:spacing w:after="0"/>
              <w:rPr>
                <w:sz w:val="14"/>
                <w:szCs w:val="14"/>
                <w:color w:val="auto"/>
              </w:rPr>
            </w:pPr>
          </w:p>
        </w:tc>
        <w:tc>
          <w:tcPr>
            <w:tcW w:w="260" w:type="dxa"/>
            <w:vAlign w:val="bottom"/>
            <w:gridSpan w:val="13"/>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-244475</wp:posOffset>
            </wp:positionV>
            <wp:extent cx="6703060" cy="515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5">
                      <a:extLst>
                        <a:ext uri="{28A0092B-C50C-407E-A947-70E740481C1C}"/>
                      </a:extLst>
                    </a:blip>
                    <a:srcRect/>
                    <a:stretch>
                      <a:fillRect/>
                    </a:stretch>
                  </pic:blipFill>
                  <pic:spPr bwMode="auto">
                    <a:xfrm>
                      <a:off x="0" y="0"/>
                      <a:ext cx="6703060" cy="515620"/>
                    </a:xfrm>
                    <a:prstGeom prst="rect">
                      <a:avLst/>
                    </a:prstGeom>
                    <a:noFill/>
                  </pic:spPr>
                </pic:pic>
              </a:graphicData>
            </a:graphic>
          </wp:anchor>
        </w:drawing>
      </w:r>
    </w:p>
    <w:p>
      <w:pPr>
        <w:ind w:left="1380" w:right="840"/>
        <w:spacing w:after="0" w:line="239" w:lineRule="auto"/>
        <w:rPr>
          <w:rFonts w:ascii="Times New Roman" w:cs="Times New Roman" w:eastAsia="Times New Roman" w:hAnsi="Times New Roman"/>
          <w:sz w:val="18"/>
          <w:szCs w:val="18"/>
          <w:u w:val="single" w:color="auto"/>
          <w:color w:val="0000FF"/>
        </w:rPr>
      </w:pPr>
      <w:hyperlink r:id="rId174">
        <w:r>
          <w:rPr>
            <w:rFonts w:ascii="Times New Roman" w:cs="Times New Roman" w:eastAsia="Times New Roman" w:hAnsi="Times New Roman"/>
            <w:sz w:val="18"/>
            <w:szCs w:val="18"/>
            <w:u w:val="single" w:color="auto"/>
            <w:color w:val="0000FF"/>
          </w:rPr>
          <w:t>Exhibit 10.1 in Jazz Pharmaceuticals plc’s Quarterly Report on Form 10-Q (File No. 001-33500) for the period ended</w:t>
        </w:r>
      </w:hyperlink>
      <w:r>
        <w:rPr>
          <w:rFonts w:ascii="Times New Roman" w:cs="Times New Roman" w:eastAsia="Times New Roman" w:hAnsi="Times New Roman"/>
          <w:sz w:val="18"/>
          <w:szCs w:val="18"/>
          <w:u w:val="single" w:color="auto"/>
          <w:color w:val="0000FF"/>
        </w:rPr>
        <w:t xml:space="preserve"> </w:t>
      </w:r>
      <w:hyperlink r:id="rId174">
        <w:r>
          <w:rPr>
            <w:rFonts w:ascii="Times New Roman" w:cs="Times New Roman" w:eastAsia="Times New Roman" w:hAnsi="Times New Roman"/>
            <w:sz w:val="18"/>
            <w:szCs w:val="18"/>
            <w:u w:val="single" w:color="auto"/>
            <w:color w:val="0000FF"/>
          </w:rPr>
          <w:t>September 30, 2021, as filed with the SEC on November 9, 2021).</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560"/>
          </w:cols>
          <w:pgMar w:left="320" w:top="105" w:right="101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Table of Contents</w:t>
            </w:r>
          </w:p>
        </w:tc>
        <w:tc>
          <w:tcPr>
            <w:tcW w:w="1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10.18R+</w:t>
            </w:r>
          </w:p>
        </w:tc>
        <w:tc>
          <w:tcPr>
            <w:tcW w:w="120" w:type="dxa"/>
            <w:vAlign w:val="bottom"/>
          </w:tcPr>
          <w:p>
            <w:pPr>
              <w:spacing w:after="0"/>
              <w:rPr>
                <w:sz w:val="24"/>
                <w:szCs w:val="24"/>
                <w:color w:val="auto"/>
              </w:rPr>
            </w:pPr>
          </w:p>
        </w:tc>
        <w:tc>
          <w:tcPr>
            <w:tcW w:w="876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8"/>
              </w:rPr>
            </w:pPr>
            <w:hyperlink r:id="rId177">
              <w:r>
                <w:rPr>
                  <w:rFonts w:ascii="Times New Roman" w:cs="Times New Roman" w:eastAsia="Times New Roman" w:hAnsi="Times New Roman"/>
                  <w:sz w:val="18"/>
                  <w:szCs w:val="18"/>
                  <w:color w:val="0000FF"/>
                  <w:w w:val="98"/>
                </w:rPr>
                <w:t>Form of U.S. Performance Restricted Stock Unit Award Grant Notice and Form of U.S. Performance Restricted Stock Unit</w:t>
              </w:r>
            </w:hyperlink>
          </w:p>
        </w:tc>
        <w:tc>
          <w:tcPr>
            <w:tcW w:w="110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60" w:type="dxa"/>
            <w:vAlign w:val="bottom"/>
            <w:gridSpan w:val="36"/>
          </w:tcPr>
          <w:p>
            <w:pPr>
              <w:spacing w:after="0" w:line="16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Award Agreement under the Jazz Pharmaceuticals plc Amended and Restated 2011 Equity Incentive Plan (incorporated herein</w:t>
              </w:r>
            </w:hyperlink>
          </w:p>
        </w:tc>
        <w:tc>
          <w:tcPr>
            <w:tcW w:w="0" w:type="dxa"/>
            <w:vAlign w:val="bottom"/>
          </w:tcPr>
          <w:p>
            <w:pPr>
              <w:spacing w:after="0"/>
              <w:rPr>
                <w:sz w:val="1"/>
                <w:szCs w:val="1"/>
                <w:color w:val="auto"/>
              </w:rPr>
            </w:pPr>
          </w:p>
        </w:tc>
      </w:tr>
      <w:tr>
        <w:trPr>
          <w:trHeight w:val="180"/>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40" w:type="dxa"/>
            <w:vAlign w:val="bottom"/>
            <w:tcBorders>
              <w:top w:val="single" w:sz="8" w:color="0000FF"/>
              <w:bottom w:val="single" w:sz="8" w:color="0000FF"/>
            </w:tcBorders>
            <w:gridSpan w:val="29"/>
          </w:tcPr>
          <w:p>
            <w:pPr>
              <w:spacing w:after="0" w:line="180" w:lineRule="exact"/>
              <w:rPr>
                <w:rFonts w:ascii="Times New Roman" w:cs="Times New Roman" w:eastAsia="Times New Roman" w:hAnsi="Times New Roman"/>
                <w:sz w:val="18"/>
                <w:szCs w:val="18"/>
                <w:color w:val="0000FF"/>
                <w:w w:val="98"/>
              </w:rPr>
            </w:pPr>
            <w:hyperlink r:id="rId177">
              <w:r>
                <w:rPr>
                  <w:rFonts w:ascii="Times New Roman" w:cs="Times New Roman" w:eastAsia="Times New Roman" w:hAnsi="Times New Roman"/>
                  <w:sz w:val="18"/>
                  <w:szCs w:val="18"/>
                  <w:color w:val="0000FF"/>
                  <w:w w:val="98"/>
                </w:rPr>
                <w:t>by reference to Exhibit 10.6 in Jazz Pharmaceuticals plc’s Quarterly Report on Form 10-Q (File No. 001-33500) for the period</w:t>
              </w:r>
            </w:hyperlink>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60" w:type="dxa"/>
            <w:vAlign w:val="bottom"/>
            <w:gridSpan w:val="30"/>
          </w:tcPr>
          <w:p>
            <w:pPr>
              <w:spacing w:after="0" w:line="16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ended June 30, 2021, as filed with the SEC on August 3,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26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10.18S+</w:t>
            </w:r>
          </w:p>
        </w:tc>
        <w:tc>
          <w:tcPr>
            <w:tcW w:w="120" w:type="dxa"/>
            <w:vAlign w:val="bottom"/>
            <w:shd w:val="clear" w:color="auto" w:fill="CCEEFF"/>
          </w:tcPr>
          <w:p>
            <w:pPr>
              <w:spacing w:after="0"/>
              <w:rPr>
                <w:sz w:val="16"/>
                <w:szCs w:val="16"/>
                <w:color w:val="auto"/>
              </w:rPr>
            </w:pPr>
          </w:p>
        </w:tc>
        <w:tc>
          <w:tcPr>
            <w:tcW w:w="9180" w:type="dxa"/>
            <w:vAlign w:val="bottom"/>
            <w:tcBorders>
              <w:right w:val="single" w:sz="8" w:color="CCEEFF"/>
            </w:tcBorders>
            <w:gridSpan w:val="35"/>
            <w:shd w:val="clear" w:color="auto" w:fill="CCEEFF"/>
          </w:tcPr>
          <w:p>
            <w:pPr>
              <w:spacing w:after="0" w:line="187"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Form of Non-U.S. Performance Restricted Stock Unit Award Grant Notice and Form of Non-U.S. Performance Restricted</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2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660" w:type="dxa"/>
            <w:vAlign w:val="bottom"/>
            <w:tcBorders>
              <w:top w:val="single" w:sz="8" w:color="0000FF"/>
            </w:tcBorders>
            <w:gridSpan w:val="14"/>
            <w:shd w:val="clear" w:color="auto" w:fill="CCEEFF"/>
          </w:tcPr>
          <w:p>
            <w:pPr>
              <w:spacing w:after="0" w:line="16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Stock Unit Award Agreement under the Jazz Pharmaceuticals plc Amended and Restated 2011 Equity Incentive Plan</w:t>
              </w:r>
            </w:hyperlink>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right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300" w:type="dxa"/>
            <w:vAlign w:val="bottom"/>
            <w:tcBorders>
              <w:top w:val="single" w:sz="8" w:color="0000FF"/>
            </w:tcBorders>
            <w:gridSpan w:val="12"/>
            <w:shd w:val="clear" w:color="auto" w:fill="CCEEFF"/>
          </w:tcPr>
          <w:p>
            <w:pPr>
              <w:spacing w:after="0" w:line="180" w:lineRule="exact"/>
              <w:rPr>
                <w:rFonts w:ascii="Times New Roman" w:cs="Times New Roman" w:eastAsia="Times New Roman" w:hAnsi="Times New Roman"/>
                <w:sz w:val="18"/>
                <w:szCs w:val="18"/>
                <w:color w:val="0000FF"/>
                <w:w w:val="98"/>
              </w:rPr>
            </w:pPr>
            <w:hyperlink r:id="rId178">
              <w:r>
                <w:rPr>
                  <w:rFonts w:ascii="Times New Roman" w:cs="Times New Roman" w:eastAsia="Times New Roman" w:hAnsi="Times New Roman"/>
                  <w:sz w:val="18"/>
                  <w:szCs w:val="18"/>
                  <w:color w:val="0000FF"/>
                  <w:w w:val="98"/>
                </w:rPr>
                <w:t>(incorporated herein by reference to Exhibit 10.7 in Jazz Pharmaceuticals plc’s Quarterly Report on Form 10-Q (File</w:t>
              </w:r>
            </w:hyperlink>
          </w:p>
        </w:tc>
        <w:tc>
          <w:tcPr>
            <w:tcW w:w="880" w:type="dxa"/>
            <w:vAlign w:val="bottom"/>
            <w:tcBorders>
              <w:top w:val="single" w:sz="8" w:color="CCEEFF"/>
              <w:right w:val="single" w:sz="8" w:color="CCEEFF"/>
            </w:tcBorders>
            <w:gridSpan w:val="23"/>
            <w:shd w:val="clear" w:color="auto" w:fill="CCEEFF"/>
          </w:tcPr>
          <w:p>
            <w:pPr>
              <w:jc w:val="center"/>
              <w:ind w:right="200"/>
              <w:spacing w:after="0" w:line="180" w:lineRule="exact"/>
              <w:rPr>
                <w:rFonts w:ascii="Times New Roman" w:cs="Times New Roman" w:eastAsia="Times New Roman" w:hAnsi="Times New Roman"/>
                <w:sz w:val="18"/>
                <w:szCs w:val="18"/>
                <w:color w:val="0000FF"/>
                <w:w w:val="99"/>
              </w:rPr>
            </w:pPr>
            <w:hyperlink r:id="rId178">
              <w:r>
                <w:rPr>
                  <w:rFonts w:ascii="Times New Roman" w:cs="Times New Roman" w:eastAsia="Times New Roman" w:hAnsi="Times New Roman"/>
                  <w:sz w:val="18"/>
                  <w:szCs w:val="18"/>
                  <w:color w:val="0000FF"/>
                  <w:w w:val="99"/>
                </w:rPr>
                <w:t>No. 001-</w:t>
              </w:r>
            </w:hyperlink>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2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080" w:type="dxa"/>
            <w:vAlign w:val="bottom"/>
            <w:tcBorders>
              <w:top w:val="single" w:sz="8" w:color="0000FF"/>
              <w:bottom w:val="single" w:sz="8" w:color="0000FF"/>
            </w:tcBorders>
            <w:gridSpan w:val="10"/>
            <w:shd w:val="clear" w:color="auto" w:fill="CCEEFF"/>
          </w:tcPr>
          <w:p>
            <w:pPr>
              <w:spacing w:after="0" w:line="166" w:lineRule="exact"/>
              <w:rPr>
                <w:rFonts w:ascii="Times New Roman" w:cs="Times New Roman" w:eastAsia="Times New Roman" w:hAnsi="Times New Roman"/>
                <w:sz w:val="18"/>
                <w:szCs w:val="18"/>
                <w:color w:val="0000FF"/>
                <w:w w:val="98"/>
              </w:rPr>
            </w:pPr>
            <w:hyperlink r:id="rId178">
              <w:r>
                <w:rPr>
                  <w:rFonts w:ascii="Times New Roman" w:cs="Times New Roman" w:eastAsia="Times New Roman" w:hAnsi="Times New Roman"/>
                  <w:sz w:val="18"/>
                  <w:szCs w:val="18"/>
                  <w:color w:val="0000FF"/>
                  <w:w w:val="98"/>
                </w:rPr>
                <w:t>33500) for the period ended June 30, 2021, as filed with the SEC on August 3, 2021).</w:t>
              </w:r>
            </w:hyperlink>
          </w:p>
        </w:tc>
        <w:tc>
          <w:tcPr>
            <w:tcW w:w="2920" w:type="dxa"/>
            <w:vAlign w:val="bottom"/>
            <w:tcBorders>
              <w:top w:val="single" w:sz="8" w:color="0000FF"/>
              <w:bottom w:val="single" w:sz="8" w:color="CCEEFF"/>
            </w:tcBorders>
            <w:gridSpan w:val="17"/>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26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10.19A+</w:t>
            </w:r>
          </w:p>
        </w:tc>
        <w:tc>
          <w:tcPr>
            <w:tcW w:w="120" w:type="dxa"/>
            <w:vAlign w:val="bottom"/>
          </w:tcPr>
          <w:p>
            <w:pPr>
              <w:spacing w:after="0"/>
              <w:rPr>
                <w:sz w:val="16"/>
                <w:szCs w:val="16"/>
                <w:color w:val="auto"/>
              </w:rPr>
            </w:pPr>
          </w:p>
        </w:tc>
        <w:tc>
          <w:tcPr>
            <w:tcW w:w="9180" w:type="dxa"/>
            <w:vAlign w:val="bottom"/>
            <w:gridSpan w:val="35"/>
          </w:tcPr>
          <w:p>
            <w:pPr>
              <w:spacing w:after="0" w:line="187"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Jazz Pharmaceuticals plc Amended and Restated 2007 Non-Employee Directors Stock Option Plan (incorporated herein by</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760" w:type="dxa"/>
            <w:vAlign w:val="bottom"/>
            <w:tcBorders>
              <w:top w:val="single" w:sz="8" w:color="0000FF"/>
            </w:tcBorders>
            <w:gridSpan w:val="17"/>
          </w:tcPr>
          <w:p>
            <w:pPr>
              <w:spacing w:after="0" w:line="166" w:lineRule="exact"/>
              <w:rPr>
                <w:rFonts w:ascii="Times New Roman" w:cs="Times New Roman" w:eastAsia="Times New Roman" w:hAnsi="Times New Roman"/>
                <w:sz w:val="18"/>
                <w:szCs w:val="18"/>
                <w:color w:val="0000FF"/>
                <w:w w:val="99"/>
              </w:rPr>
            </w:pPr>
            <w:hyperlink r:id="rId179">
              <w:r>
                <w:rPr>
                  <w:rFonts w:ascii="Times New Roman" w:cs="Times New Roman" w:eastAsia="Times New Roman" w:hAnsi="Times New Roman"/>
                  <w:sz w:val="18"/>
                  <w:szCs w:val="18"/>
                  <w:color w:val="0000FF"/>
                  <w:w w:val="99"/>
                </w:rPr>
                <w:t>reference to Exhibit 99.4 in Jazz Pharmaceuticals plc’s registration statement on Form S-8 (File No. 333-179075), as filed</w:t>
              </w:r>
            </w:hyperlink>
          </w:p>
        </w:tc>
        <w:tc>
          <w:tcPr>
            <w:tcW w:w="1100" w:type="dxa"/>
            <w:vAlign w:val="bottom"/>
            <w:gridSpan w:val="19"/>
          </w:tcPr>
          <w:p>
            <w:pPr>
              <w:spacing w:after="0" w:line="16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with</w:t>
              </w:r>
            </w:hyperlink>
          </w:p>
        </w:tc>
        <w:tc>
          <w:tcPr>
            <w:tcW w:w="0" w:type="dxa"/>
            <w:vAlign w:val="bottom"/>
          </w:tcPr>
          <w:p>
            <w:pPr>
              <w:spacing w:after="0"/>
              <w:rPr>
                <w:sz w:val="1"/>
                <w:szCs w:val="1"/>
                <w:color w:val="auto"/>
              </w:rPr>
            </w:pPr>
          </w:p>
        </w:tc>
      </w:tr>
      <w:tr>
        <w:trPr>
          <w:trHeight w:val="180"/>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100" w:type="dxa"/>
            <w:vAlign w:val="bottom"/>
            <w:tcBorders>
              <w:top w:val="single" w:sz="8" w:color="0000FF"/>
            </w:tcBorders>
            <w:gridSpan w:val="32"/>
          </w:tcPr>
          <w:p>
            <w:pPr>
              <w:spacing w:after="0" w:line="180"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the SEC on January 18, 2012).</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26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10.19B+</w:t>
            </w:r>
          </w:p>
        </w:tc>
        <w:tc>
          <w:tcPr>
            <w:tcW w:w="120" w:type="dxa"/>
            <w:vAlign w:val="bottom"/>
            <w:shd w:val="clear" w:color="auto" w:fill="CCEEFF"/>
          </w:tcPr>
          <w:p>
            <w:pPr>
              <w:spacing w:after="0"/>
              <w:rPr>
                <w:sz w:val="16"/>
                <w:szCs w:val="16"/>
                <w:color w:val="auto"/>
              </w:rPr>
            </w:pPr>
          </w:p>
        </w:tc>
        <w:tc>
          <w:tcPr>
            <w:tcW w:w="9180" w:type="dxa"/>
            <w:vAlign w:val="bottom"/>
            <w:tcBorders>
              <w:right w:val="single" w:sz="8" w:color="CCEEFF"/>
            </w:tcBorders>
            <w:gridSpan w:val="35"/>
            <w:shd w:val="clear" w:color="auto" w:fill="CCEEFF"/>
          </w:tcPr>
          <w:p>
            <w:pPr>
              <w:spacing w:after="0" w:line="187"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Form of Non-U.S. Option Grant Notice and Form of Non-U.S. Option Agreement under the Jazz Pharmaceuticals plc</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2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340" w:type="dxa"/>
            <w:vAlign w:val="bottom"/>
            <w:tcBorders>
              <w:top w:val="single" w:sz="8" w:color="0000FF"/>
            </w:tcBorders>
            <w:gridSpan w:val="13"/>
            <w:shd w:val="clear" w:color="auto" w:fill="CCEEFF"/>
          </w:tcPr>
          <w:p>
            <w:pPr>
              <w:spacing w:after="0" w:line="166" w:lineRule="exact"/>
              <w:rPr>
                <w:rFonts w:ascii="Times New Roman" w:cs="Times New Roman" w:eastAsia="Times New Roman" w:hAnsi="Times New Roman"/>
                <w:sz w:val="18"/>
                <w:szCs w:val="18"/>
                <w:color w:val="0000FF"/>
                <w:w w:val="97"/>
              </w:rPr>
            </w:pPr>
            <w:hyperlink r:id="rId180">
              <w:r>
                <w:rPr>
                  <w:rFonts w:ascii="Times New Roman" w:cs="Times New Roman" w:eastAsia="Times New Roman" w:hAnsi="Times New Roman"/>
                  <w:sz w:val="18"/>
                  <w:szCs w:val="18"/>
                  <w:color w:val="0000FF"/>
                  <w:w w:val="97"/>
                </w:rPr>
                <w:t>Amended and Restated 2007 Non-Employee Directors Stock Option Plan (incorporated herein by reference to Exhibit</w:t>
              </w:r>
            </w:hyperlink>
          </w:p>
        </w:tc>
        <w:tc>
          <w:tcPr>
            <w:tcW w:w="840" w:type="dxa"/>
            <w:vAlign w:val="bottom"/>
            <w:tcBorders>
              <w:top w:val="single" w:sz="8" w:color="CCEEFF"/>
              <w:right w:val="single" w:sz="8" w:color="CCEEFF"/>
            </w:tcBorders>
            <w:gridSpan w:val="22"/>
            <w:shd w:val="clear" w:color="auto" w:fill="CCEEFF"/>
          </w:tcPr>
          <w:p>
            <w:pPr>
              <w:ind w:left="100"/>
              <w:spacing w:after="0" w:line="16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10.30B</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980" w:type="dxa"/>
            <w:vAlign w:val="bottom"/>
            <w:tcBorders>
              <w:top w:val="single" w:sz="8" w:color="0000FF"/>
            </w:tcBorders>
            <w:gridSpan w:val="26"/>
            <w:shd w:val="clear" w:color="auto" w:fill="CCEEFF"/>
          </w:tcPr>
          <w:p>
            <w:pPr>
              <w:spacing w:after="0" w:line="180" w:lineRule="exact"/>
              <w:rPr>
                <w:rFonts w:ascii="Times New Roman" w:cs="Times New Roman" w:eastAsia="Times New Roman" w:hAnsi="Times New Roman"/>
                <w:sz w:val="18"/>
                <w:szCs w:val="18"/>
                <w:color w:val="0000FF"/>
                <w:w w:val="98"/>
              </w:rPr>
            </w:pPr>
            <w:hyperlink r:id="rId180">
              <w:r>
                <w:rPr>
                  <w:rFonts w:ascii="Times New Roman" w:cs="Times New Roman" w:eastAsia="Times New Roman" w:hAnsi="Times New Roman"/>
                  <w:sz w:val="18"/>
                  <w:szCs w:val="18"/>
                  <w:color w:val="0000FF"/>
                  <w:w w:val="98"/>
                </w:rPr>
                <w:t>in Jazz Pharmaceuticals plc’s Annual Report on Form 10-K (File No. 001-33500) for the period ended December 31, 2012, as</w:t>
              </w:r>
            </w:hyperlink>
          </w:p>
        </w:tc>
        <w:tc>
          <w:tcPr>
            <w:tcW w:w="40" w:type="dxa"/>
            <w:vAlign w:val="bottom"/>
            <w:tcBorders>
              <w:top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tcBorders>
            <w:gridSpan w:val="3"/>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right w:val="single" w:sz="8" w:color="CCEEFF"/>
            </w:tcBorders>
            <w:shd w:val="clear" w:color="auto" w:fill="CCEEFF"/>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2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000" w:type="dxa"/>
            <w:vAlign w:val="bottom"/>
            <w:tcBorders>
              <w:top w:val="single" w:sz="8" w:color="0000FF"/>
              <w:bottom w:val="single" w:sz="8" w:color="0000FF"/>
            </w:tcBorders>
            <w:gridSpan w:val="4"/>
            <w:shd w:val="clear" w:color="auto" w:fill="CCEEFF"/>
          </w:tcPr>
          <w:p>
            <w:pPr>
              <w:spacing w:after="0" w:line="166" w:lineRule="exact"/>
              <w:rPr>
                <w:rFonts w:ascii="Times New Roman" w:cs="Times New Roman" w:eastAsia="Times New Roman" w:hAnsi="Times New Roman"/>
                <w:sz w:val="18"/>
                <w:szCs w:val="18"/>
                <w:color w:val="0000FF"/>
                <w:w w:val="98"/>
              </w:rPr>
            </w:pPr>
            <w:hyperlink r:id="rId180">
              <w:r>
                <w:rPr>
                  <w:rFonts w:ascii="Times New Roman" w:cs="Times New Roman" w:eastAsia="Times New Roman" w:hAnsi="Times New Roman"/>
                  <w:sz w:val="18"/>
                  <w:szCs w:val="18"/>
                  <w:color w:val="0000FF"/>
                  <w:w w:val="98"/>
                </w:rPr>
                <w:t>filed with the SEC on February 26, 2013).</w:t>
              </w:r>
            </w:hyperlink>
          </w:p>
        </w:tc>
        <w:tc>
          <w:tcPr>
            <w:tcW w:w="5940" w:type="dxa"/>
            <w:vAlign w:val="bottom"/>
            <w:tcBorders>
              <w:top w:val="single" w:sz="8" w:color="0000FF"/>
              <w:bottom w:val="single" w:sz="8" w:color="CCEEFF"/>
            </w:tcBorders>
            <w:gridSpan w:val="20"/>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26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10.19C+</w:t>
            </w:r>
          </w:p>
        </w:tc>
        <w:tc>
          <w:tcPr>
            <w:tcW w:w="120" w:type="dxa"/>
            <w:vAlign w:val="bottom"/>
          </w:tcPr>
          <w:p>
            <w:pPr>
              <w:spacing w:after="0"/>
              <w:rPr>
                <w:sz w:val="16"/>
                <w:szCs w:val="16"/>
                <w:color w:val="auto"/>
              </w:rPr>
            </w:pPr>
          </w:p>
        </w:tc>
        <w:tc>
          <w:tcPr>
            <w:tcW w:w="9180" w:type="dxa"/>
            <w:vAlign w:val="bottom"/>
            <w:gridSpan w:val="35"/>
          </w:tcPr>
          <w:p>
            <w:pPr>
              <w:spacing w:after="0" w:line="187" w:lineRule="exact"/>
              <w:rPr>
                <w:rFonts w:ascii="Times New Roman" w:cs="Times New Roman" w:eastAsia="Times New Roman" w:hAnsi="Times New Roman"/>
                <w:sz w:val="18"/>
                <w:szCs w:val="18"/>
                <w:color w:val="0000FF"/>
                <w:w w:val="99"/>
              </w:rPr>
            </w:pPr>
            <w:hyperlink r:id="rId181">
              <w:r>
                <w:rPr>
                  <w:rFonts w:ascii="Times New Roman" w:cs="Times New Roman" w:eastAsia="Times New Roman" w:hAnsi="Times New Roman"/>
                  <w:sz w:val="18"/>
                  <w:szCs w:val="18"/>
                  <w:color w:val="0000FF"/>
                  <w:w w:val="99"/>
                </w:rPr>
                <w:t>Jazz Pharmaceuticals plc Amended and Restated 2007 Non-Employee Directors Stock Option Plan - Form of Non-U.S. Option</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140" w:type="dxa"/>
            <w:vAlign w:val="bottom"/>
            <w:tcBorders>
              <w:top w:val="single" w:sz="8" w:color="0000FF"/>
              <w:bottom w:val="single" w:sz="8" w:color="0000FF"/>
            </w:tcBorders>
            <w:gridSpan w:val="34"/>
          </w:tcPr>
          <w:p>
            <w:pPr>
              <w:spacing w:after="0" w:line="166" w:lineRule="exact"/>
              <w:rPr>
                <w:rFonts w:ascii="Times New Roman" w:cs="Times New Roman" w:eastAsia="Times New Roman" w:hAnsi="Times New Roman"/>
                <w:sz w:val="18"/>
                <w:szCs w:val="18"/>
                <w:color w:val="0000FF"/>
                <w:w w:val="99"/>
              </w:rPr>
            </w:pPr>
            <w:hyperlink r:id="rId181">
              <w:r>
                <w:rPr>
                  <w:rFonts w:ascii="Times New Roman" w:cs="Times New Roman" w:eastAsia="Times New Roman" w:hAnsi="Times New Roman"/>
                  <w:sz w:val="18"/>
                  <w:szCs w:val="18"/>
                  <w:color w:val="0000FF"/>
                  <w:w w:val="99"/>
                </w:rPr>
                <w:t>Grant Notice and Form of Non-U.S. Option Agreement (approved August 1, 2013) (incorporated herein by reference to Exhibit</w:t>
              </w:r>
            </w:hyperlink>
          </w:p>
        </w:tc>
        <w:tc>
          <w:tcPr>
            <w:tcW w:w="40" w:type="dxa"/>
            <w:vAlign w:val="bottom"/>
            <w:tcBorders>
              <w:bottom w:val="single" w:sz="8" w:color="0000FF"/>
            </w:tcBorders>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180" w:type="dxa"/>
            <w:vAlign w:val="bottom"/>
            <w:gridSpan w:val="35"/>
          </w:tcPr>
          <w:p>
            <w:pPr>
              <w:spacing w:after="0" w:line="180"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w:t>
              </w:r>
              <w:r>
                <w:rPr>
                  <w:rFonts w:ascii="Times New Roman" w:cs="Times New Roman" w:eastAsia="Times New Roman" w:hAnsi="Times New Roman"/>
                  <w:sz w:val="18"/>
                  <w:szCs w:val="18"/>
                  <w:color w:val="0000FF"/>
                </w:rPr>
                <w:t xml:space="preserve"> in Jazz Pharmaceuticals plc’s Quarterly Report on Form 10-Q (File No. 001-33500) for the period ended September 30,</w:t>
              </w:r>
            </w:hyperlink>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40" w:type="dxa"/>
            <w:vAlign w:val="bottom"/>
            <w:tcBorders>
              <w:top w:val="single" w:sz="8" w:color="0000FF"/>
            </w:tcBorders>
            <w:gridSpan w:val="20"/>
          </w:tcPr>
          <w:p>
            <w:pPr>
              <w:spacing w:after="0" w:line="16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2013, as filed with the SEC on November 5, 2013).</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74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26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10.19D+</w:t>
            </w:r>
          </w:p>
        </w:tc>
        <w:tc>
          <w:tcPr>
            <w:tcW w:w="120" w:type="dxa"/>
            <w:vAlign w:val="bottom"/>
            <w:shd w:val="clear" w:color="auto" w:fill="CCEEFF"/>
          </w:tcPr>
          <w:p>
            <w:pPr>
              <w:spacing w:after="0"/>
              <w:rPr>
                <w:sz w:val="16"/>
                <w:szCs w:val="16"/>
                <w:color w:val="auto"/>
              </w:rPr>
            </w:pPr>
          </w:p>
        </w:tc>
        <w:tc>
          <w:tcPr>
            <w:tcW w:w="9180" w:type="dxa"/>
            <w:vAlign w:val="bottom"/>
            <w:tcBorders>
              <w:right w:val="single" w:sz="8" w:color="CCEEFF"/>
            </w:tcBorders>
            <w:gridSpan w:val="35"/>
            <w:shd w:val="clear" w:color="auto" w:fill="CCEEFF"/>
          </w:tcPr>
          <w:p>
            <w:pPr>
              <w:spacing w:after="0" w:line="187"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Amended and Restated 2007 Non-Employee Directors Stock Award Plan (approved August 4, 2016) (incorporated herein by</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2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860" w:type="dxa"/>
            <w:vAlign w:val="bottom"/>
            <w:tcBorders>
              <w:top w:val="single" w:sz="8" w:color="0000FF"/>
            </w:tcBorders>
            <w:gridSpan w:val="21"/>
            <w:shd w:val="clear" w:color="auto" w:fill="CCEEFF"/>
          </w:tcPr>
          <w:p>
            <w:pPr>
              <w:spacing w:after="0" w:line="166" w:lineRule="exact"/>
              <w:rPr>
                <w:rFonts w:ascii="Times New Roman" w:cs="Times New Roman" w:eastAsia="Times New Roman" w:hAnsi="Times New Roman"/>
                <w:sz w:val="18"/>
                <w:szCs w:val="18"/>
                <w:color w:val="0000FF"/>
                <w:w w:val="99"/>
              </w:rPr>
            </w:pPr>
            <w:hyperlink r:id="rId182">
              <w:r>
                <w:rPr>
                  <w:rFonts w:ascii="Times New Roman" w:cs="Times New Roman" w:eastAsia="Times New Roman" w:hAnsi="Times New Roman"/>
                  <w:sz w:val="18"/>
                  <w:szCs w:val="18"/>
                  <w:color w:val="0000FF"/>
                  <w:w w:val="99"/>
                </w:rPr>
                <w:t>reference to Exhibit 10.9 in Jazz Pharmaceuticals plc’s Quarterly Report on Form 10-Q (File No. 001-33500) for the period</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right w:val="single" w:sz="8" w:color="CCEEFF"/>
            </w:tcBorders>
            <w:gridSpan w:val="2"/>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520" w:type="dxa"/>
            <w:vAlign w:val="bottom"/>
            <w:tcBorders>
              <w:top w:val="single" w:sz="8" w:color="0000FF"/>
              <w:bottom w:val="single" w:sz="8" w:color="0000FF"/>
            </w:tcBorders>
            <w:gridSpan w:val="7"/>
            <w:shd w:val="clear" w:color="auto" w:fill="CCEEFF"/>
          </w:tcPr>
          <w:p>
            <w:pPr>
              <w:spacing w:after="0" w:line="180" w:lineRule="exact"/>
              <w:rPr>
                <w:rFonts w:ascii="Times New Roman" w:cs="Times New Roman" w:eastAsia="Times New Roman" w:hAnsi="Times New Roman"/>
                <w:sz w:val="18"/>
                <w:szCs w:val="18"/>
                <w:color w:val="0000FF"/>
                <w:w w:val="98"/>
              </w:rPr>
            </w:pPr>
            <w:hyperlink r:id="rId182">
              <w:r>
                <w:rPr>
                  <w:rFonts w:ascii="Times New Roman" w:cs="Times New Roman" w:eastAsia="Times New Roman" w:hAnsi="Times New Roman"/>
                  <w:sz w:val="18"/>
                  <w:szCs w:val="18"/>
                  <w:color w:val="0000FF"/>
                  <w:w w:val="98"/>
                </w:rPr>
                <w:t>ended June 30, 2016, as filed with the SEC on August 9, 2016).</w:t>
              </w:r>
            </w:hyperlink>
          </w:p>
        </w:tc>
        <w:tc>
          <w:tcPr>
            <w:tcW w:w="4260" w:type="dxa"/>
            <w:vAlign w:val="bottom"/>
            <w:tcBorders>
              <w:top w:val="single" w:sz="8" w:color="0000FF"/>
              <w:bottom w:val="single" w:sz="8" w:color="CCEEFF"/>
            </w:tcBorders>
            <w:gridSpan w:val="11"/>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6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6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60" w:type="dxa"/>
            <w:vAlign w:val="bottom"/>
            <w:tcBorders>
              <w:top w:val="single" w:sz="8" w:color="CCEEFF"/>
              <w:bottom w:val="single" w:sz="8" w:color="CCEEFF"/>
              <w:right w:val="single" w:sz="8" w:color="CCEEFF"/>
            </w:tcBorders>
            <w:gridSpan w:val="2"/>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26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10.19E+</w:t>
            </w:r>
          </w:p>
        </w:tc>
        <w:tc>
          <w:tcPr>
            <w:tcW w:w="120" w:type="dxa"/>
            <w:vAlign w:val="bottom"/>
          </w:tcPr>
          <w:p>
            <w:pPr>
              <w:spacing w:after="0"/>
              <w:rPr>
                <w:sz w:val="16"/>
                <w:szCs w:val="16"/>
                <w:color w:val="auto"/>
              </w:rPr>
            </w:pPr>
          </w:p>
        </w:tc>
        <w:tc>
          <w:tcPr>
            <w:tcW w:w="9180" w:type="dxa"/>
            <w:vAlign w:val="bottom"/>
            <w:gridSpan w:val="35"/>
          </w:tcPr>
          <w:p>
            <w:pPr>
              <w:spacing w:after="0" w:line="187"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Amended and Restated 2007 Non-Employee Directors Stock Award Plan (approved November 3, 2016) (incorporated herein</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80" w:type="dxa"/>
            <w:vAlign w:val="bottom"/>
            <w:tcBorders>
              <w:top w:val="single" w:sz="8" w:color="0000FF"/>
            </w:tcBorders>
            <w:gridSpan w:val="22"/>
          </w:tcPr>
          <w:p>
            <w:pPr>
              <w:spacing w:after="0" w:line="166" w:lineRule="exact"/>
              <w:rPr>
                <w:rFonts w:ascii="Times New Roman" w:cs="Times New Roman" w:eastAsia="Times New Roman" w:hAnsi="Times New Roman"/>
                <w:sz w:val="18"/>
                <w:szCs w:val="18"/>
                <w:color w:val="0000FF"/>
                <w:w w:val="97"/>
              </w:rPr>
            </w:pPr>
            <w:hyperlink r:id="rId183">
              <w:r>
                <w:rPr>
                  <w:rFonts w:ascii="Times New Roman" w:cs="Times New Roman" w:eastAsia="Times New Roman" w:hAnsi="Times New Roman"/>
                  <w:sz w:val="18"/>
                  <w:szCs w:val="18"/>
                  <w:color w:val="0000FF"/>
                  <w:w w:val="97"/>
                </w:rPr>
                <w:t>by reference to Exhibit 10.3 in Jazz Pharmaceuticals plc’s Quarterly Report on Form 10-Q (File No. 001-33500) for the period</w:t>
              </w:r>
            </w:hyperlink>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74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60" w:type="dxa"/>
            <w:vAlign w:val="bottom"/>
            <w:tcBorders>
              <w:top w:val="single" w:sz="8" w:color="0000FF"/>
            </w:tcBorders>
            <w:gridSpan w:val="30"/>
          </w:tcPr>
          <w:p>
            <w:pPr>
              <w:spacing w:after="0" w:line="180"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ended September 30, 2016, as filed with the SEC on November 8, 2016).</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74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26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10.19F+</w:t>
            </w:r>
          </w:p>
        </w:tc>
        <w:tc>
          <w:tcPr>
            <w:tcW w:w="120" w:type="dxa"/>
            <w:vAlign w:val="bottom"/>
            <w:shd w:val="clear" w:color="auto" w:fill="CCEEFF"/>
          </w:tcPr>
          <w:p>
            <w:pPr>
              <w:spacing w:after="0"/>
              <w:rPr>
                <w:sz w:val="16"/>
                <w:szCs w:val="16"/>
                <w:color w:val="auto"/>
              </w:rPr>
            </w:pPr>
          </w:p>
        </w:tc>
        <w:tc>
          <w:tcPr>
            <w:tcW w:w="9180" w:type="dxa"/>
            <w:vAlign w:val="bottom"/>
            <w:tcBorders>
              <w:right w:val="single" w:sz="8" w:color="CCEEFF"/>
            </w:tcBorders>
            <w:gridSpan w:val="35"/>
            <w:shd w:val="clear" w:color="auto" w:fill="CCEEFF"/>
          </w:tcPr>
          <w:p>
            <w:pPr>
              <w:spacing w:after="0" w:line="187"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Amended and Restated 2007 Non-Employee Directors Stock Award Plan (approved July 30, 2020) (incorporated herein by</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2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740" w:type="dxa"/>
            <w:vAlign w:val="bottom"/>
            <w:tcBorders>
              <w:top w:val="single" w:sz="8" w:color="0000FF"/>
            </w:tcBorders>
            <w:gridSpan w:val="16"/>
            <w:shd w:val="clear" w:color="auto" w:fill="CCEEFF"/>
          </w:tcPr>
          <w:p>
            <w:pPr>
              <w:spacing w:after="0" w:line="166" w:lineRule="exact"/>
              <w:rPr>
                <w:rFonts w:ascii="Times New Roman" w:cs="Times New Roman" w:eastAsia="Times New Roman" w:hAnsi="Times New Roman"/>
                <w:sz w:val="18"/>
                <w:szCs w:val="18"/>
                <w:color w:val="0000FF"/>
                <w:w w:val="97"/>
              </w:rPr>
            </w:pPr>
            <w:hyperlink r:id="rId184">
              <w:r>
                <w:rPr>
                  <w:rFonts w:ascii="Times New Roman" w:cs="Times New Roman" w:eastAsia="Times New Roman" w:hAnsi="Times New Roman"/>
                  <w:sz w:val="18"/>
                  <w:szCs w:val="18"/>
                  <w:color w:val="0000FF"/>
                  <w:w w:val="97"/>
                </w:rPr>
                <w:t>reference to Exhibit 10.3 in Jazz Pharmaceuticals plc’s Quarterly Report on Form 10-Q (File No. 001-33500) for the period</w:t>
              </w:r>
            </w:hyperlink>
          </w:p>
        </w:tc>
        <w:tc>
          <w:tcPr>
            <w:tcW w:w="60" w:type="dxa"/>
            <w:vAlign w:val="bottom"/>
            <w:tcBorders>
              <w:top w:val="single" w:sz="8" w:color="CCEEFF"/>
            </w:tcBorders>
            <w:gridSpan w:val="3"/>
            <w:shd w:val="clear" w:color="auto" w:fill="CCEEFF"/>
          </w:tcPr>
          <w:p>
            <w:pPr>
              <w:spacing w:after="0"/>
              <w:rPr>
                <w:sz w:val="14"/>
                <w:szCs w:val="14"/>
                <w:color w:val="auto"/>
              </w:rPr>
            </w:pPr>
          </w:p>
        </w:tc>
        <w:tc>
          <w:tcPr>
            <w:tcW w:w="100" w:type="dxa"/>
            <w:vAlign w:val="bottom"/>
            <w:tcBorders>
              <w:top w:val="single" w:sz="8" w:color="CCEEFF"/>
            </w:tcBorders>
            <w:gridSpan w:val="4"/>
            <w:shd w:val="clear" w:color="auto" w:fill="CCEEFF"/>
          </w:tcPr>
          <w:p>
            <w:pPr>
              <w:spacing w:after="0"/>
              <w:rPr>
                <w:sz w:val="14"/>
                <w:szCs w:val="14"/>
                <w:color w:val="auto"/>
              </w:rPr>
            </w:pPr>
          </w:p>
        </w:tc>
        <w:tc>
          <w:tcPr>
            <w:tcW w:w="60" w:type="dxa"/>
            <w:vAlign w:val="bottom"/>
            <w:tcBorders>
              <w:top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right w:val="single" w:sz="8" w:color="CCEEFF"/>
            </w:tcBorders>
            <w:gridSpan w:val="2"/>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520" w:type="dxa"/>
            <w:vAlign w:val="bottom"/>
            <w:tcBorders>
              <w:top w:val="single" w:sz="8" w:color="0000FF"/>
              <w:bottom w:val="single" w:sz="8" w:color="0000FF"/>
            </w:tcBorders>
            <w:gridSpan w:val="7"/>
            <w:shd w:val="clear" w:color="auto" w:fill="CCEEFF"/>
          </w:tcPr>
          <w:p>
            <w:pPr>
              <w:spacing w:after="0" w:line="180" w:lineRule="exact"/>
              <w:rPr>
                <w:rFonts w:ascii="Times New Roman" w:cs="Times New Roman" w:eastAsia="Times New Roman" w:hAnsi="Times New Roman"/>
                <w:sz w:val="18"/>
                <w:szCs w:val="18"/>
                <w:color w:val="0000FF"/>
                <w:w w:val="98"/>
              </w:rPr>
            </w:pPr>
            <w:hyperlink r:id="rId184">
              <w:r>
                <w:rPr>
                  <w:rFonts w:ascii="Times New Roman" w:cs="Times New Roman" w:eastAsia="Times New Roman" w:hAnsi="Times New Roman"/>
                  <w:sz w:val="18"/>
                  <w:szCs w:val="18"/>
                  <w:color w:val="0000FF"/>
                  <w:w w:val="98"/>
                </w:rPr>
                <w:t>ended June 30, 2020, as filed with the SEC on August 4, 2020).</w:t>
              </w:r>
            </w:hyperlink>
          </w:p>
        </w:tc>
        <w:tc>
          <w:tcPr>
            <w:tcW w:w="4260" w:type="dxa"/>
            <w:vAlign w:val="bottom"/>
            <w:tcBorders>
              <w:top w:val="single" w:sz="8" w:color="0000FF"/>
              <w:bottom w:val="single" w:sz="8" w:color="CCEEFF"/>
            </w:tcBorders>
            <w:gridSpan w:val="11"/>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gridSpan w:val="4"/>
            <w:shd w:val="clear" w:color="auto" w:fill="CCEEFF"/>
          </w:tcPr>
          <w:p>
            <w:pPr>
              <w:spacing w:after="0"/>
              <w:rPr>
                <w:sz w:val="18"/>
                <w:szCs w:val="18"/>
                <w:color w:val="auto"/>
              </w:rPr>
            </w:pPr>
          </w:p>
        </w:tc>
        <w:tc>
          <w:tcPr>
            <w:tcW w:w="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6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6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60" w:type="dxa"/>
            <w:vAlign w:val="bottom"/>
            <w:tcBorders>
              <w:top w:val="single" w:sz="8" w:color="CCEEFF"/>
              <w:bottom w:val="single" w:sz="8" w:color="CCEEFF"/>
              <w:right w:val="single" w:sz="8" w:color="CCEEFF"/>
            </w:tcBorders>
            <w:gridSpan w:val="2"/>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26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10.19G+</w:t>
            </w:r>
          </w:p>
        </w:tc>
        <w:tc>
          <w:tcPr>
            <w:tcW w:w="120" w:type="dxa"/>
            <w:vAlign w:val="bottom"/>
          </w:tcPr>
          <w:p>
            <w:pPr>
              <w:spacing w:after="0"/>
              <w:rPr>
                <w:sz w:val="16"/>
                <w:szCs w:val="16"/>
                <w:color w:val="auto"/>
              </w:rPr>
            </w:pPr>
          </w:p>
        </w:tc>
        <w:tc>
          <w:tcPr>
            <w:tcW w:w="9180" w:type="dxa"/>
            <w:vAlign w:val="bottom"/>
            <w:gridSpan w:val="35"/>
          </w:tcPr>
          <w:p>
            <w:pPr>
              <w:spacing w:after="0" w:line="187"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Form of Non-U.S. Option Grant Notice and Form of Non-U.S. Option Agreement under the Jazz Pharmaceuticals plc</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340" w:type="dxa"/>
            <w:vAlign w:val="bottom"/>
            <w:tcBorders>
              <w:top w:val="single" w:sz="8" w:color="0000FF"/>
              <w:bottom w:val="single" w:sz="8" w:color="0000FF"/>
            </w:tcBorders>
            <w:gridSpan w:val="13"/>
          </w:tcPr>
          <w:p>
            <w:pPr>
              <w:spacing w:after="0" w:line="166" w:lineRule="exact"/>
              <w:rPr>
                <w:rFonts w:ascii="Times New Roman" w:cs="Times New Roman" w:eastAsia="Times New Roman" w:hAnsi="Times New Roman"/>
                <w:sz w:val="18"/>
                <w:szCs w:val="18"/>
                <w:color w:val="0000FF"/>
                <w:w w:val="97"/>
              </w:rPr>
            </w:pPr>
            <w:hyperlink r:id="rId185">
              <w:r>
                <w:rPr>
                  <w:rFonts w:ascii="Times New Roman" w:cs="Times New Roman" w:eastAsia="Times New Roman" w:hAnsi="Times New Roman"/>
                  <w:sz w:val="18"/>
                  <w:szCs w:val="18"/>
                  <w:color w:val="0000FF"/>
                  <w:w w:val="97"/>
                </w:rPr>
                <w:t>Amended and Restated Non-Employee Directors 2007 Stock Award Plan (incorporated herein by reference to Exhibit</w:t>
              </w:r>
            </w:hyperlink>
          </w:p>
        </w:tc>
        <w:tc>
          <w:tcPr>
            <w:tcW w:w="560" w:type="dxa"/>
            <w:vAlign w:val="bottom"/>
            <w:tcBorders>
              <w:bottom w:val="single" w:sz="8" w:color="0000FF"/>
            </w:tcBorders>
            <w:gridSpan w:val="10"/>
          </w:tcPr>
          <w:p>
            <w:pPr>
              <w:jc w:val="center"/>
              <w:spacing w:after="0" w:line="166" w:lineRule="exact"/>
              <w:rPr>
                <w:rFonts w:ascii="Times New Roman" w:cs="Times New Roman" w:eastAsia="Times New Roman" w:hAnsi="Times New Roman"/>
                <w:sz w:val="18"/>
                <w:szCs w:val="18"/>
                <w:color w:val="0000FF"/>
                <w:w w:val="99"/>
              </w:rPr>
            </w:pPr>
            <w:hyperlink r:id="rId185">
              <w:r>
                <w:rPr>
                  <w:rFonts w:ascii="Times New Roman" w:cs="Times New Roman" w:eastAsia="Times New Roman" w:hAnsi="Times New Roman"/>
                  <w:sz w:val="18"/>
                  <w:szCs w:val="18"/>
                  <w:color w:val="0000FF"/>
                  <w:w w:val="99"/>
                </w:rPr>
                <w:t>10.5 in</w:t>
              </w:r>
            </w:hyperlink>
          </w:p>
        </w:tc>
        <w:tc>
          <w:tcPr>
            <w:tcW w:w="960" w:type="dxa"/>
            <w:vAlign w:val="bottom"/>
            <w:gridSpan w:val="13"/>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gridSpan w:val="36"/>
          </w:tcPr>
          <w:p>
            <w:pPr>
              <w:spacing w:after="0" w:line="180"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Jazz Pharmaceuticals plc’s Quarterly Report on Form 10-Q (File No. 001-33500) for the period ended September 30, 2016, as</w:t>
              </w:r>
            </w:hyperlink>
          </w:p>
        </w:tc>
        <w:tc>
          <w:tcPr>
            <w:tcW w:w="0" w:type="dxa"/>
            <w:vAlign w:val="bottom"/>
          </w:tcPr>
          <w:p>
            <w:pPr>
              <w:spacing w:after="0"/>
              <w:rPr>
                <w:sz w:val="1"/>
                <w:szCs w:val="1"/>
                <w:color w:val="auto"/>
              </w:rPr>
            </w:pPr>
          </w:p>
        </w:tc>
      </w:tr>
      <w:tr>
        <w:trPr>
          <w:trHeight w:val="166"/>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960" w:type="dxa"/>
            <w:vAlign w:val="bottom"/>
            <w:tcBorders>
              <w:top w:val="single" w:sz="8" w:color="0000FF"/>
            </w:tcBorders>
            <w:gridSpan w:val="25"/>
          </w:tcPr>
          <w:p>
            <w:pPr>
              <w:spacing w:after="0" w:line="16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filed with the SEC on November 8, 2016).</w:t>
              </w:r>
            </w:hyperlink>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74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26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10.19H+</w:t>
            </w:r>
          </w:p>
        </w:tc>
        <w:tc>
          <w:tcPr>
            <w:tcW w:w="120" w:type="dxa"/>
            <w:vAlign w:val="bottom"/>
            <w:shd w:val="clear" w:color="auto" w:fill="CCEEFF"/>
          </w:tcPr>
          <w:p>
            <w:pPr>
              <w:spacing w:after="0"/>
              <w:rPr>
                <w:sz w:val="16"/>
                <w:szCs w:val="16"/>
                <w:color w:val="auto"/>
              </w:rPr>
            </w:pPr>
          </w:p>
        </w:tc>
        <w:tc>
          <w:tcPr>
            <w:tcW w:w="9180" w:type="dxa"/>
            <w:vAlign w:val="bottom"/>
            <w:tcBorders>
              <w:right w:val="single" w:sz="8" w:color="CCEEFF"/>
            </w:tcBorders>
            <w:gridSpan w:val="35"/>
            <w:shd w:val="clear" w:color="auto" w:fill="CCEEFF"/>
          </w:tcPr>
          <w:p>
            <w:pPr>
              <w:spacing w:after="0" w:line="187"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Form of Non-U.S. Option Grant Notice and Non-U.S. Option Agreement under the Jazz Pharmaceuticals plc Amended and</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2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220" w:type="dxa"/>
            <w:vAlign w:val="bottom"/>
            <w:tcBorders>
              <w:top w:val="single" w:sz="8" w:color="0000FF"/>
              <w:bottom w:val="single" w:sz="8" w:color="0000FF"/>
            </w:tcBorders>
            <w:gridSpan w:val="11"/>
            <w:shd w:val="clear" w:color="auto" w:fill="CCEEFF"/>
          </w:tcPr>
          <w:p>
            <w:pPr>
              <w:spacing w:after="0" w:line="166" w:lineRule="exact"/>
              <w:rPr>
                <w:rFonts w:ascii="Times New Roman" w:cs="Times New Roman" w:eastAsia="Times New Roman" w:hAnsi="Times New Roman"/>
                <w:sz w:val="18"/>
                <w:szCs w:val="18"/>
                <w:color w:val="0000FF"/>
                <w:w w:val="98"/>
              </w:rPr>
            </w:pPr>
            <w:hyperlink r:id="rId186">
              <w:r>
                <w:rPr>
                  <w:rFonts w:ascii="Times New Roman" w:cs="Times New Roman" w:eastAsia="Times New Roman" w:hAnsi="Times New Roman"/>
                  <w:sz w:val="18"/>
                  <w:szCs w:val="18"/>
                  <w:color w:val="0000FF"/>
                  <w:w w:val="98"/>
                </w:rPr>
                <w:t>Restated 2007 Non-Employee Directors Stock Award Plan (incorporated herein by reference to Exhibit 10.2 in Jazz</w:t>
              </w:r>
            </w:hyperlink>
          </w:p>
        </w:tc>
        <w:tc>
          <w:tcPr>
            <w:tcW w:w="580" w:type="dxa"/>
            <w:vAlign w:val="bottom"/>
            <w:tcBorders>
              <w:top w:val="single" w:sz="8" w:color="0000FF"/>
              <w:bottom w:val="single" w:sz="8" w:color="CCEEFF"/>
            </w:tcBorders>
            <w:gridSpan w:val="8"/>
            <w:shd w:val="clear" w:color="auto" w:fill="CCEEFF"/>
          </w:tcPr>
          <w:p>
            <w:pPr>
              <w:spacing w:after="0"/>
              <w:rPr>
                <w:sz w:val="14"/>
                <w:szCs w:val="14"/>
                <w:color w:val="auto"/>
              </w:rPr>
            </w:pPr>
          </w:p>
        </w:tc>
        <w:tc>
          <w:tcPr>
            <w:tcW w:w="220" w:type="dxa"/>
            <w:vAlign w:val="bottom"/>
            <w:tcBorders>
              <w:top w:val="single" w:sz="8" w:color="CCEEFF"/>
              <w:bottom w:val="single" w:sz="8" w:color="CCEEFF"/>
            </w:tcBorders>
            <w:gridSpan w:val="9"/>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bottom w:val="single" w:sz="8" w:color="CCEEFF"/>
              <w:right w:val="single" w:sz="8" w:color="CCEEFF"/>
            </w:tcBorders>
            <w:gridSpan w:val="2"/>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180" w:type="dxa"/>
            <w:vAlign w:val="bottom"/>
            <w:tcBorders>
              <w:right w:val="single" w:sz="8" w:color="CCEEFF"/>
            </w:tcBorders>
            <w:gridSpan w:val="35"/>
            <w:shd w:val="clear" w:color="auto" w:fill="CCEEFF"/>
          </w:tcPr>
          <w:p>
            <w:pPr>
              <w:spacing w:after="0" w:line="180"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Pharmaceuticals plc’s Quarterly Report on Form 10-Q (File No. 001-33500) for the period ended September 30, 2018, as filed</w:t>
              </w:r>
            </w:hyperlink>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2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020" w:type="dxa"/>
            <w:vAlign w:val="bottom"/>
            <w:tcBorders>
              <w:top w:val="single" w:sz="8" w:color="0000FF"/>
            </w:tcBorders>
            <w:gridSpan w:val="28"/>
            <w:shd w:val="clear" w:color="auto" w:fill="CCEEFF"/>
          </w:tcPr>
          <w:p>
            <w:pPr>
              <w:spacing w:after="0" w:line="16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with the SEC on November 6, 2018).</w:t>
              </w:r>
            </w:hyperlink>
          </w:p>
        </w:tc>
        <w:tc>
          <w:tcPr>
            <w:tcW w:w="60" w:type="dxa"/>
            <w:vAlign w:val="bottom"/>
            <w:tcBorders>
              <w:top w:val="single" w:sz="8" w:color="CCEEFF"/>
            </w:tcBorders>
            <w:gridSpan w:val="3"/>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right w:val="single" w:sz="8" w:color="CCEEFF"/>
            </w:tcBorders>
            <w:gridSpan w:val="2"/>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26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10.19I+</w:t>
            </w:r>
          </w:p>
        </w:tc>
        <w:tc>
          <w:tcPr>
            <w:tcW w:w="120" w:type="dxa"/>
            <w:vAlign w:val="bottom"/>
          </w:tcPr>
          <w:p>
            <w:pPr>
              <w:spacing w:after="0"/>
              <w:rPr>
                <w:sz w:val="16"/>
                <w:szCs w:val="16"/>
                <w:color w:val="auto"/>
              </w:rPr>
            </w:pPr>
          </w:p>
        </w:tc>
        <w:tc>
          <w:tcPr>
            <w:tcW w:w="9180" w:type="dxa"/>
            <w:vAlign w:val="bottom"/>
            <w:gridSpan w:val="35"/>
          </w:tcPr>
          <w:p>
            <w:pPr>
              <w:spacing w:after="0" w:line="187"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Form of Non-U.S. Option Grant Notice and Non-U.S. Option Agreement under the Jazz Pharmaceuticals plc Amended and</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20" w:type="dxa"/>
            <w:vAlign w:val="bottom"/>
            <w:tcBorders>
              <w:top w:val="single" w:sz="8" w:color="0000FF"/>
              <w:bottom w:val="single" w:sz="8" w:color="0000FF"/>
            </w:tcBorders>
            <w:gridSpan w:val="11"/>
          </w:tcPr>
          <w:p>
            <w:pPr>
              <w:spacing w:after="0" w:line="166" w:lineRule="exact"/>
              <w:rPr>
                <w:rFonts w:ascii="Times New Roman" w:cs="Times New Roman" w:eastAsia="Times New Roman" w:hAnsi="Times New Roman"/>
                <w:sz w:val="18"/>
                <w:szCs w:val="18"/>
                <w:color w:val="0000FF"/>
                <w:w w:val="98"/>
              </w:rPr>
            </w:pPr>
            <w:hyperlink r:id="rId187">
              <w:r>
                <w:rPr>
                  <w:rFonts w:ascii="Times New Roman" w:cs="Times New Roman" w:eastAsia="Times New Roman" w:hAnsi="Times New Roman"/>
                  <w:sz w:val="18"/>
                  <w:szCs w:val="18"/>
                  <w:color w:val="0000FF"/>
                  <w:w w:val="98"/>
                </w:rPr>
                <w:t>Restated 2007 Non-Employee Directors Stock Award Plan (incorporated herein by reference to Exhibit 10.2 in Jazz</w:t>
              </w:r>
            </w:hyperlink>
          </w:p>
        </w:tc>
        <w:tc>
          <w:tcPr>
            <w:tcW w:w="580" w:type="dxa"/>
            <w:vAlign w:val="bottom"/>
            <w:tcBorders>
              <w:top w:val="single" w:sz="8" w:color="0000FF"/>
            </w:tcBorders>
            <w:gridSpan w:val="8"/>
          </w:tcPr>
          <w:p>
            <w:pPr>
              <w:spacing w:after="0"/>
              <w:rPr>
                <w:sz w:val="14"/>
                <w:szCs w:val="14"/>
                <w:color w:val="auto"/>
              </w:rPr>
            </w:pPr>
          </w:p>
        </w:tc>
        <w:tc>
          <w:tcPr>
            <w:tcW w:w="280" w:type="dxa"/>
            <w:vAlign w:val="bottom"/>
            <w:gridSpan w:val="12"/>
          </w:tcPr>
          <w:p>
            <w:pPr>
              <w:spacing w:after="0"/>
              <w:rPr>
                <w:sz w:val="14"/>
                <w:szCs w:val="14"/>
                <w:color w:val="auto"/>
              </w:rPr>
            </w:pPr>
          </w:p>
        </w:tc>
        <w:tc>
          <w:tcPr>
            <w:tcW w:w="40" w:type="dxa"/>
            <w:vAlign w:val="bottom"/>
            <w:gridSpan w:val="2"/>
          </w:tcPr>
          <w:p>
            <w:pPr>
              <w:spacing w:after="0"/>
              <w:rPr>
                <w:sz w:val="14"/>
                <w:szCs w:val="14"/>
                <w:color w:val="auto"/>
              </w:rPr>
            </w:pPr>
          </w:p>
        </w:tc>
        <w:tc>
          <w:tcPr>
            <w:tcW w:w="74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gridSpan w:val="36"/>
          </w:tcPr>
          <w:p>
            <w:pPr>
              <w:spacing w:after="0" w:line="180"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Pharmaceuticals plc’s Quarterly Report on Form 10-Q (File No. 001-33500) for the period ended March 31, 2019, as filed with</w:t>
              </w:r>
            </w:hyperlink>
          </w:p>
        </w:tc>
        <w:tc>
          <w:tcPr>
            <w:tcW w:w="0" w:type="dxa"/>
            <w:vAlign w:val="bottom"/>
          </w:tcPr>
          <w:p>
            <w:pPr>
              <w:spacing w:after="0"/>
              <w:rPr>
                <w:sz w:val="1"/>
                <w:szCs w:val="1"/>
                <w:color w:val="auto"/>
              </w:rPr>
            </w:pPr>
          </w:p>
        </w:tc>
      </w:tr>
      <w:tr>
        <w:trPr>
          <w:trHeight w:val="166"/>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120" w:type="dxa"/>
            <w:vAlign w:val="bottom"/>
            <w:tcBorders>
              <w:top w:val="single" w:sz="8" w:color="0000FF"/>
            </w:tcBorders>
            <w:gridSpan w:val="33"/>
          </w:tcPr>
          <w:p>
            <w:pPr>
              <w:spacing w:after="0" w:line="16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the SEC on May 7, 2019).</w:t>
              </w:r>
            </w:hyperlink>
          </w:p>
        </w:tc>
        <w:tc>
          <w:tcPr>
            <w:tcW w:w="74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Borders>
              <w:top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26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10.19J+</w:t>
            </w:r>
          </w:p>
        </w:tc>
        <w:tc>
          <w:tcPr>
            <w:tcW w:w="120" w:type="dxa"/>
            <w:vAlign w:val="bottom"/>
            <w:shd w:val="clear" w:color="auto" w:fill="CCEEFF"/>
          </w:tcPr>
          <w:p>
            <w:pPr>
              <w:spacing w:after="0"/>
              <w:rPr>
                <w:sz w:val="16"/>
                <w:szCs w:val="16"/>
                <w:color w:val="auto"/>
              </w:rPr>
            </w:pPr>
          </w:p>
        </w:tc>
        <w:tc>
          <w:tcPr>
            <w:tcW w:w="9180" w:type="dxa"/>
            <w:vAlign w:val="bottom"/>
            <w:tcBorders>
              <w:right w:val="single" w:sz="8" w:color="CCEEFF"/>
            </w:tcBorders>
            <w:gridSpan w:val="35"/>
            <w:shd w:val="clear" w:color="auto" w:fill="CCEEFF"/>
          </w:tcPr>
          <w:p>
            <w:pPr>
              <w:spacing w:after="0" w:line="187"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Form of Non-U.S. Option Grant Notice and Non-U.S. Option Agreement under the Jazz Pharmaceuticals plc Amended and</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2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220" w:type="dxa"/>
            <w:vAlign w:val="bottom"/>
            <w:tcBorders>
              <w:top w:val="single" w:sz="8" w:color="0000FF"/>
              <w:bottom w:val="single" w:sz="8" w:color="0000FF"/>
            </w:tcBorders>
            <w:gridSpan w:val="11"/>
            <w:shd w:val="clear" w:color="auto" w:fill="CCEEFF"/>
          </w:tcPr>
          <w:p>
            <w:pPr>
              <w:spacing w:after="0" w:line="166" w:lineRule="exact"/>
              <w:rPr>
                <w:rFonts w:ascii="Times New Roman" w:cs="Times New Roman" w:eastAsia="Times New Roman" w:hAnsi="Times New Roman"/>
                <w:sz w:val="18"/>
                <w:szCs w:val="18"/>
                <w:color w:val="0000FF"/>
                <w:w w:val="98"/>
              </w:rPr>
            </w:pPr>
            <w:hyperlink r:id="rId188">
              <w:r>
                <w:rPr>
                  <w:rFonts w:ascii="Times New Roman" w:cs="Times New Roman" w:eastAsia="Times New Roman" w:hAnsi="Times New Roman"/>
                  <w:sz w:val="18"/>
                  <w:szCs w:val="18"/>
                  <w:color w:val="0000FF"/>
                  <w:w w:val="98"/>
                </w:rPr>
                <w:t>Restated 2007 Non-Employee Directors Stock Award Plan (incorporated herein by reference to Exhibit 10.2 in Jazz</w:t>
              </w:r>
            </w:hyperlink>
          </w:p>
        </w:tc>
        <w:tc>
          <w:tcPr>
            <w:tcW w:w="580" w:type="dxa"/>
            <w:vAlign w:val="bottom"/>
            <w:tcBorders>
              <w:top w:val="single" w:sz="8" w:color="0000FF"/>
              <w:bottom w:val="single" w:sz="8" w:color="CCEEFF"/>
            </w:tcBorders>
            <w:gridSpan w:val="8"/>
            <w:shd w:val="clear" w:color="auto" w:fill="CCEEFF"/>
          </w:tcPr>
          <w:p>
            <w:pPr>
              <w:spacing w:after="0"/>
              <w:rPr>
                <w:sz w:val="14"/>
                <w:szCs w:val="14"/>
                <w:color w:val="auto"/>
              </w:rPr>
            </w:pPr>
          </w:p>
        </w:tc>
        <w:tc>
          <w:tcPr>
            <w:tcW w:w="280" w:type="dxa"/>
            <w:vAlign w:val="bottom"/>
            <w:tcBorders>
              <w:top w:val="single" w:sz="8" w:color="CCEEFF"/>
              <w:bottom w:val="single" w:sz="8" w:color="CCEEFF"/>
            </w:tcBorders>
            <w:gridSpan w:val="12"/>
            <w:shd w:val="clear" w:color="auto" w:fill="CCEEFF"/>
          </w:tcPr>
          <w:p>
            <w:pPr>
              <w:spacing w:after="0"/>
              <w:rPr>
                <w:sz w:val="14"/>
                <w:szCs w:val="14"/>
                <w:color w:val="auto"/>
              </w:rPr>
            </w:pPr>
          </w:p>
        </w:tc>
        <w:tc>
          <w:tcPr>
            <w:tcW w:w="100" w:type="dxa"/>
            <w:vAlign w:val="bottom"/>
            <w:tcBorders>
              <w:top w:val="single" w:sz="8" w:color="CCEEFF"/>
              <w:bottom w:val="single" w:sz="8" w:color="CCEEFF"/>
              <w:right w:val="single" w:sz="8" w:color="CCEEFF"/>
            </w:tcBorders>
            <w:gridSpan w:val="4"/>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180" w:type="dxa"/>
            <w:vAlign w:val="bottom"/>
            <w:tcBorders>
              <w:right w:val="single" w:sz="8" w:color="CCEEFF"/>
            </w:tcBorders>
            <w:gridSpan w:val="35"/>
            <w:shd w:val="clear" w:color="auto" w:fill="CCEEFF"/>
          </w:tcPr>
          <w:p>
            <w:pPr>
              <w:spacing w:after="0" w:line="180"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Pharmaceuticals plc’s Quarterly Report on Form 10-Q (File No. 001-33500) for the period ended September 30, 2020, as filed</w:t>
              </w:r>
            </w:hyperlink>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2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020" w:type="dxa"/>
            <w:vAlign w:val="bottom"/>
            <w:tcBorders>
              <w:top w:val="single" w:sz="8" w:color="0000FF"/>
            </w:tcBorders>
            <w:gridSpan w:val="28"/>
            <w:shd w:val="clear" w:color="auto" w:fill="CCEEFF"/>
          </w:tcPr>
          <w:p>
            <w:pPr>
              <w:spacing w:after="0" w:line="16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with the SEC on November 2, 2020).</w:t>
              </w:r>
            </w:hyperlink>
          </w:p>
        </w:tc>
        <w:tc>
          <w:tcPr>
            <w:tcW w:w="60" w:type="dxa"/>
            <w:vAlign w:val="bottom"/>
            <w:tcBorders>
              <w:top w:val="single" w:sz="8" w:color="CCEEFF"/>
            </w:tcBorders>
            <w:gridSpan w:val="3"/>
            <w:shd w:val="clear" w:color="auto" w:fill="CCEEFF"/>
          </w:tcPr>
          <w:p>
            <w:pPr>
              <w:spacing w:after="0"/>
              <w:rPr>
                <w:sz w:val="14"/>
                <w:szCs w:val="14"/>
                <w:color w:val="auto"/>
              </w:rPr>
            </w:pPr>
          </w:p>
        </w:tc>
        <w:tc>
          <w:tcPr>
            <w:tcW w:w="100" w:type="dxa"/>
            <w:vAlign w:val="bottom"/>
            <w:tcBorders>
              <w:top w:val="single" w:sz="8" w:color="CCEEFF"/>
              <w:right w:val="single" w:sz="8" w:color="CCEEFF"/>
            </w:tcBorders>
            <w:gridSpan w:val="4"/>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26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10.19K+</w:t>
            </w:r>
          </w:p>
        </w:tc>
        <w:tc>
          <w:tcPr>
            <w:tcW w:w="120" w:type="dxa"/>
            <w:vAlign w:val="bottom"/>
          </w:tcPr>
          <w:p>
            <w:pPr>
              <w:spacing w:after="0"/>
              <w:rPr>
                <w:sz w:val="16"/>
                <w:szCs w:val="16"/>
                <w:color w:val="auto"/>
              </w:rPr>
            </w:pPr>
          </w:p>
        </w:tc>
        <w:tc>
          <w:tcPr>
            <w:tcW w:w="9180" w:type="dxa"/>
            <w:vAlign w:val="bottom"/>
            <w:gridSpan w:val="35"/>
          </w:tcPr>
          <w:p>
            <w:pPr>
              <w:spacing w:after="0" w:line="187" w:lineRule="exact"/>
              <w:rPr>
                <w:rFonts w:ascii="Times New Roman" w:cs="Times New Roman" w:eastAsia="Times New Roman" w:hAnsi="Times New Roman"/>
                <w:sz w:val="18"/>
                <w:szCs w:val="18"/>
                <w:color w:val="0000FF"/>
                <w:w w:val="99"/>
              </w:rPr>
            </w:pPr>
            <w:hyperlink r:id="rId189">
              <w:r>
                <w:rPr>
                  <w:rFonts w:ascii="Times New Roman" w:cs="Times New Roman" w:eastAsia="Times New Roman" w:hAnsi="Times New Roman"/>
                  <w:sz w:val="18"/>
                  <w:szCs w:val="18"/>
                  <w:color w:val="0000FF"/>
                  <w:w w:val="99"/>
                </w:rPr>
                <w:t>Form of Non-U.S. Restricted Stock Unit Award Grant Notice and Non-U.S. Restricted Stock Unit Award Agreement under the</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80" w:type="dxa"/>
            <w:vAlign w:val="bottom"/>
            <w:tcBorders>
              <w:top w:val="single" w:sz="8" w:color="0000FF"/>
            </w:tcBorders>
            <w:gridSpan w:val="31"/>
          </w:tcPr>
          <w:p>
            <w:pPr>
              <w:spacing w:after="0" w:line="16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Jazz Pharmaceuticals plc Amended and Restated 2007 Non-Employee Directors Stock Award Plan (incorporated herein by</w:t>
              </w:r>
            </w:hyperlink>
          </w:p>
        </w:tc>
        <w:tc>
          <w:tcPr>
            <w:tcW w:w="78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720" w:type="dxa"/>
            <w:vAlign w:val="bottom"/>
            <w:tcBorders>
              <w:top w:val="single" w:sz="8" w:color="0000FF"/>
            </w:tcBorders>
            <w:gridSpan w:val="15"/>
          </w:tcPr>
          <w:p>
            <w:pPr>
              <w:spacing w:after="0" w:line="180" w:lineRule="exact"/>
              <w:rPr>
                <w:rFonts w:ascii="Times New Roman" w:cs="Times New Roman" w:eastAsia="Times New Roman" w:hAnsi="Times New Roman"/>
                <w:sz w:val="18"/>
                <w:szCs w:val="18"/>
                <w:color w:val="0000FF"/>
                <w:w w:val="97"/>
              </w:rPr>
            </w:pPr>
            <w:hyperlink r:id="rId189">
              <w:r>
                <w:rPr>
                  <w:rFonts w:ascii="Times New Roman" w:cs="Times New Roman" w:eastAsia="Times New Roman" w:hAnsi="Times New Roman"/>
                  <w:sz w:val="18"/>
                  <w:szCs w:val="18"/>
                  <w:color w:val="0000FF"/>
                  <w:w w:val="97"/>
                </w:rPr>
                <w:t>reference to Exhibit 10.3 in Jazz Pharmaceuticals plc’s Quarterly Report on Form 10-Q (File No. 001-33500) for the period</w:t>
              </w:r>
            </w:hyperlink>
          </w:p>
        </w:tc>
        <w:tc>
          <w:tcPr>
            <w:tcW w:w="1140" w:type="dxa"/>
            <w:vAlign w:val="bottom"/>
            <w:gridSpan w:val="21"/>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780" w:type="dxa"/>
            <w:vAlign w:val="bottom"/>
            <w:tcBorders>
              <w:top w:val="single" w:sz="8" w:color="0000FF"/>
            </w:tcBorders>
            <w:gridSpan w:val="18"/>
          </w:tcPr>
          <w:p>
            <w:pPr>
              <w:spacing w:after="0" w:line="16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ended September 30, 2020, as filed with the SEC on November 2, 2020).</w:t>
              </w:r>
            </w:hyperlink>
          </w:p>
        </w:tc>
        <w:tc>
          <w:tcPr>
            <w:tcW w:w="1080" w:type="dxa"/>
            <w:vAlign w:val="bottom"/>
            <w:gridSpan w:val="18"/>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60" w:type="dxa"/>
            <w:vAlign w:val="bottom"/>
            <w:tcBorders>
              <w:bottom w:val="single" w:sz="8" w:color="CCEEFF"/>
            </w:tcBorders>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10.20A+</w:t>
            </w:r>
          </w:p>
        </w:tc>
        <w:tc>
          <w:tcPr>
            <w:tcW w:w="120" w:type="dxa"/>
            <w:vAlign w:val="bottom"/>
            <w:tcBorders>
              <w:bottom w:val="single" w:sz="8" w:color="CCEEFF"/>
            </w:tcBorders>
            <w:shd w:val="clear" w:color="auto" w:fill="CCEEFF"/>
          </w:tcPr>
          <w:p>
            <w:pPr>
              <w:spacing w:after="0"/>
              <w:rPr>
                <w:sz w:val="19"/>
                <w:szCs w:val="19"/>
                <w:color w:val="auto"/>
              </w:rPr>
            </w:pPr>
          </w:p>
        </w:tc>
        <w:tc>
          <w:tcPr>
            <w:tcW w:w="5820" w:type="dxa"/>
            <w:vAlign w:val="bottom"/>
            <w:tcBorders>
              <w:bottom w:val="single" w:sz="8" w:color="0000FF"/>
            </w:tcBorders>
            <w:gridSpan w:val="9"/>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0000FF"/>
                <w:w w:val="98"/>
              </w:rPr>
              <w:t>Amended and Restated GW Pharmaceuticals plc 2020 Long-Term Incentive Plan.</w:t>
            </w:r>
          </w:p>
        </w:tc>
        <w:tc>
          <w:tcPr>
            <w:tcW w:w="3360" w:type="dxa"/>
            <w:vAlign w:val="bottom"/>
            <w:tcBorders>
              <w:bottom w:val="single" w:sz="8" w:color="CCEEFF"/>
              <w:right w:val="single" w:sz="8" w:color="CCEEFF"/>
            </w:tcBorders>
            <w:gridSpan w:val="26"/>
            <w:shd w:val="clear" w:color="auto" w:fill="CCEEFF"/>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53"/>
        </w:trPr>
        <w:tc>
          <w:tcPr>
            <w:tcW w:w="1260" w:type="dxa"/>
            <w:vAlign w:val="bottom"/>
          </w:tcPr>
          <w:p>
            <w:pPr>
              <w:spacing w:after="0"/>
              <w:rPr>
                <w:sz w:val="24"/>
                <w:szCs w:val="24"/>
                <w:color w:val="auto"/>
              </w:rPr>
            </w:pPr>
          </w:p>
        </w:tc>
        <w:tc>
          <w:tcPr>
            <w:tcW w:w="4640" w:type="dxa"/>
            <w:vAlign w:val="bottom"/>
            <w:gridSpan w:val="8"/>
          </w:tcPr>
          <w:p>
            <w:pPr>
              <w:jc w:val="right"/>
              <w:ind w:right="140"/>
              <w:spacing w:after="0"/>
              <w:rPr>
                <w:sz w:val="20"/>
                <w:szCs w:val="20"/>
                <w:color w:val="auto"/>
              </w:rPr>
            </w:pPr>
            <w:r>
              <w:rPr>
                <w:rFonts w:ascii="Times New Roman" w:cs="Times New Roman" w:eastAsia="Times New Roman" w:hAnsi="Times New Roman"/>
                <w:sz w:val="18"/>
                <w:szCs w:val="18"/>
                <w:color w:val="auto"/>
              </w:rPr>
              <w:t>106</w:t>
            </w: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2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07"/>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Table of Contents</w:t>
            </w:r>
          </w:p>
        </w:tc>
        <w:tc>
          <w:tcPr>
            <w:tcW w:w="1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9"/>
        </w:trPr>
        <w:tc>
          <w:tcPr>
            <w:tcW w:w="20" w:type="dxa"/>
            <w:vAlign w:val="bottom"/>
          </w:tcPr>
          <w:p>
            <w:pPr>
              <w:spacing w:after="0"/>
              <w:rPr>
                <w:sz w:val="24"/>
                <w:szCs w:val="24"/>
                <w:color w:val="auto"/>
              </w:rPr>
            </w:pPr>
          </w:p>
        </w:tc>
        <w:tc>
          <w:tcPr>
            <w:tcW w:w="12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10.20B+</w:t>
            </w:r>
          </w:p>
        </w:tc>
        <w:tc>
          <w:tcPr>
            <w:tcW w:w="120" w:type="dxa"/>
            <w:vAlign w:val="bottom"/>
          </w:tcPr>
          <w:p>
            <w:pPr>
              <w:spacing w:after="0"/>
              <w:rPr>
                <w:sz w:val="24"/>
                <w:szCs w:val="24"/>
                <w:color w:val="auto"/>
              </w:rPr>
            </w:pPr>
          </w:p>
        </w:tc>
        <w:tc>
          <w:tcPr>
            <w:tcW w:w="834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8"/>
              </w:rPr>
            </w:pPr>
            <w:hyperlink r:id="rId192">
              <w:r>
                <w:rPr>
                  <w:rFonts w:ascii="Times New Roman" w:cs="Times New Roman" w:eastAsia="Times New Roman" w:hAnsi="Times New Roman"/>
                  <w:sz w:val="18"/>
                  <w:szCs w:val="18"/>
                  <w:color w:val="0000FF"/>
                  <w:w w:val="98"/>
                </w:rPr>
                <w:t>Form of Restricted Stock Unit Award Agreement under the GW Pharmaceuticals plc 2020 Long-Term Incentive Plan</w:t>
              </w:r>
            </w:hyperlink>
          </w:p>
        </w:tc>
        <w:tc>
          <w:tcPr>
            <w:tcW w:w="152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60" w:type="dxa"/>
            <w:vAlign w:val="bottom"/>
            <w:gridSpan w:val="40"/>
          </w:tcPr>
          <w:p>
            <w:pPr>
              <w:spacing w:after="0" w:line="16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(incorporated herein by reference to Exhibit 10.10B in Jazz Pharmaceuticals plc’s Quarterly Report on Form 10-Q (File No.</w:t>
              </w:r>
            </w:hyperlink>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0" w:type="dxa"/>
            <w:vAlign w:val="bottom"/>
            <w:tcBorders>
              <w:top w:val="single" w:sz="8" w:color="0000FF"/>
            </w:tcBorders>
            <w:gridSpan w:val="28"/>
          </w:tcPr>
          <w:p>
            <w:pPr>
              <w:spacing w:after="0" w:line="180"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001-33500) for the period ended June 30, 2021, as filed with the SEC on August 3, 2021).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240" w:type="dxa"/>
            <w:vAlign w:val="bottom"/>
            <w:tcBorders>
              <w:bottom w:val="single" w:sz="8" w:color="CCEEFF"/>
            </w:tcBorders>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10.20C+</w:t>
            </w:r>
          </w:p>
        </w:tc>
        <w:tc>
          <w:tcPr>
            <w:tcW w:w="120" w:type="dxa"/>
            <w:vAlign w:val="bottom"/>
            <w:tcBorders>
              <w:bottom w:val="single" w:sz="8" w:color="CCEEFF"/>
            </w:tcBorders>
            <w:shd w:val="clear" w:color="auto" w:fill="CCEEFF"/>
          </w:tcPr>
          <w:p>
            <w:pPr>
              <w:spacing w:after="0"/>
              <w:rPr>
                <w:sz w:val="16"/>
                <w:szCs w:val="16"/>
                <w:color w:val="auto"/>
              </w:rPr>
            </w:pPr>
          </w:p>
        </w:tc>
        <w:tc>
          <w:tcPr>
            <w:tcW w:w="8720" w:type="dxa"/>
            <w:vAlign w:val="bottom"/>
            <w:tcBorders>
              <w:bottom w:val="single" w:sz="8" w:color="0000FF"/>
            </w:tcBorders>
            <w:gridSpan w:val="26"/>
            <w:shd w:val="clear" w:color="auto" w:fill="CCEEFF"/>
          </w:tcPr>
          <w:p>
            <w:pPr>
              <w:spacing w:after="0" w:line="187" w:lineRule="exact"/>
              <w:rPr>
                <w:rFonts w:ascii="Times New Roman" w:cs="Times New Roman" w:eastAsia="Times New Roman" w:hAnsi="Times New Roman"/>
                <w:sz w:val="18"/>
                <w:szCs w:val="18"/>
                <w:color w:val="0000FF"/>
                <w:w w:val="98"/>
              </w:rPr>
            </w:pPr>
            <w:hyperlink r:id="rId193">
              <w:r>
                <w:rPr>
                  <w:rFonts w:ascii="Times New Roman" w:cs="Times New Roman" w:eastAsia="Times New Roman" w:hAnsi="Times New Roman"/>
                  <w:sz w:val="18"/>
                  <w:szCs w:val="18"/>
                  <w:color w:val="0000FF"/>
                  <w:w w:val="98"/>
                </w:rPr>
                <w:t>Form of Replacement Stock Option Award Agreement under the GW Pharmaceuticals plc 2020 Long-Term Incentive Plan</w:t>
              </w:r>
            </w:hyperlink>
          </w:p>
        </w:tc>
        <w:tc>
          <w:tcPr>
            <w:tcW w:w="460" w:type="dxa"/>
            <w:vAlign w:val="bottom"/>
            <w:tcBorders>
              <w:bottom w:val="single" w:sz="8" w:color="CCEEFF"/>
            </w:tcBorders>
            <w:gridSpan w:val="13"/>
            <w:shd w:val="clear" w:color="auto" w:fill="CCEEFF"/>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180" w:type="dxa"/>
            <w:vAlign w:val="bottom"/>
            <w:gridSpan w:val="39"/>
            <w:shd w:val="clear" w:color="auto" w:fill="CCEEFF"/>
          </w:tcPr>
          <w:p>
            <w:pPr>
              <w:spacing w:after="0" w:line="16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(incorporated herein by reference to Exhibit 10.10C in Jazz Pharmaceuticals plc’s Quarterly Report on Form 10-Q (File No.</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400" w:type="dxa"/>
            <w:vAlign w:val="bottom"/>
            <w:tcBorders>
              <w:top w:val="single" w:sz="8" w:color="0000FF"/>
              <w:bottom w:val="single" w:sz="8" w:color="0000FF"/>
            </w:tcBorders>
            <w:gridSpan w:val="12"/>
            <w:shd w:val="clear" w:color="auto" w:fill="CCEEFF"/>
          </w:tcPr>
          <w:p>
            <w:pPr>
              <w:spacing w:after="0" w:line="180" w:lineRule="exact"/>
              <w:rPr>
                <w:rFonts w:ascii="Times New Roman" w:cs="Times New Roman" w:eastAsia="Times New Roman" w:hAnsi="Times New Roman"/>
                <w:sz w:val="18"/>
                <w:szCs w:val="18"/>
                <w:color w:val="0000FF"/>
                <w:w w:val="98"/>
              </w:rPr>
            </w:pPr>
            <w:hyperlink r:id="rId193">
              <w:r>
                <w:rPr>
                  <w:rFonts w:ascii="Times New Roman" w:cs="Times New Roman" w:eastAsia="Times New Roman" w:hAnsi="Times New Roman"/>
                  <w:sz w:val="18"/>
                  <w:szCs w:val="18"/>
                  <w:color w:val="0000FF"/>
                  <w:w w:val="98"/>
                </w:rPr>
                <w:t>001-33500) for the period ended June 30, 2021, as filed with the SEC on August 3, 2021).</w:t>
              </w:r>
            </w:hyperlink>
          </w:p>
        </w:tc>
        <w:tc>
          <w:tcPr>
            <w:tcW w:w="2400" w:type="dxa"/>
            <w:vAlign w:val="bottom"/>
            <w:tcBorders>
              <w:top w:val="single" w:sz="8" w:color="0000FF"/>
              <w:bottom w:val="single" w:sz="8" w:color="CCEEFF"/>
            </w:tcBorders>
            <w:gridSpan w:val="16"/>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4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10.20D+</w:t>
            </w:r>
          </w:p>
        </w:tc>
        <w:tc>
          <w:tcPr>
            <w:tcW w:w="120" w:type="dxa"/>
            <w:vAlign w:val="bottom"/>
          </w:tcPr>
          <w:p>
            <w:pPr>
              <w:spacing w:after="0"/>
              <w:rPr>
                <w:sz w:val="16"/>
                <w:szCs w:val="16"/>
                <w:color w:val="auto"/>
              </w:rPr>
            </w:pPr>
          </w:p>
        </w:tc>
        <w:tc>
          <w:tcPr>
            <w:tcW w:w="9180" w:type="dxa"/>
            <w:vAlign w:val="bottom"/>
            <w:gridSpan w:val="39"/>
          </w:tcPr>
          <w:p>
            <w:pPr>
              <w:spacing w:after="0" w:line="187"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Form of Replacement Restricted Stock Unit Award Agreement under the GW Pharmaceuticals plc 2020 Long-Term Incentive</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940" w:type="dxa"/>
            <w:vAlign w:val="bottom"/>
            <w:tcBorders>
              <w:top w:val="single" w:sz="8" w:color="0000FF"/>
            </w:tcBorders>
            <w:gridSpan w:val="34"/>
          </w:tcPr>
          <w:p>
            <w:pPr>
              <w:spacing w:after="0" w:line="166" w:lineRule="exact"/>
              <w:rPr>
                <w:rFonts w:ascii="Times New Roman" w:cs="Times New Roman" w:eastAsia="Times New Roman" w:hAnsi="Times New Roman"/>
                <w:sz w:val="18"/>
                <w:szCs w:val="18"/>
                <w:color w:val="0000FF"/>
                <w:w w:val="99"/>
              </w:rPr>
            </w:pPr>
            <w:hyperlink r:id="rId194">
              <w:r>
                <w:rPr>
                  <w:rFonts w:ascii="Times New Roman" w:cs="Times New Roman" w:eastAsia="Times New Roman" w:hAnsi="Times New Roman"/>
                  <w:sz w:val="18"/>
                  <w:szCs w:val="18"/>
                  <w:color w:val="0000FF"/>
                  <w:w w:val="99"/>
                </w:rPr>
                <w:t>Plan (incorporated herein by reference to Exhibit 10.10D in Jazz Pharmaceuticals plc’s Quarterly Report on Form 10-Q (File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60" w:type="dxa"/>
            <w:vAlign w:val="bottom"/>
            <w:tcBorders>
              <w:top w:val="single" w:sz="8" w:color="0000FF"/>
            </w:tcBorders>
            <w:gridSpan w:val="31"/>
          </w:tcPr>
          <w:p>
            <w:pPr>
              <w:spacing w:after="0" w:line="180"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No. 001-33500) for the period ended June 30, 2021, as filed with the SEC on August 3, 2021).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24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10.21A+</w:t>
            </w:r>
          </w:p>
        </w:tc>
        <w:tc>
          <w:tcPr>
            <w:tcW w:w="120" w:type="dxa"/>
            <w:vAlign w:val="bottom"/>
            <w:shd w:val="clear" w:color="auto" w:fill="CCEEFF"/>
          </w:tcPr>
          <w:p>
            <w:pPr>
              <w:spacing w:after="0"/>
              <w:rPr>
                <w:sz w:val="16"/>
                <w:szCs w:val="16"/>
                <w:color w:val="auto"/>
              </w:rPr>
            </w:pPr>
          </w:p>
        </w:tc>
        <w:tc>
          <w:tcPr>
            <w:tcW w:w="9180" w:type="dxa"/>
            <w:vAlign w:val="bottom"/>
            <w:gridSpan w:val="39"/>
            <w:shd w:val="clear" w:color="auto" w:fill="CCEEFF"/>
          </w:tcPr>
          <w:p>
            <w:pPr>
              <w:spacing w:after="0" w:line="187"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Jazz Pharmaceuticals plc 2007 Employee Stock Purchase Plan, as amended and restated (incorporated herein by reference to</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840" w:type="dxa"/>
            <w:vAlign w:val="bottom"/>
            <w:tcBorders>
              <w:top w:val="single" w:sz="8" w:color="0000FF"/>
            </w:tcBorders>
            <w:gridSpan w:val="30"/>
            <w:shd w:val="clear" w:color="auto" w:fill="CCEEFF"/>
          </w:tcPr>
          <w:p>
            <w:pPr>
              <w:spacing w:after="0" w:line="16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Exhibit 10.31A in Jazz Pharmaceuticals plc’s Annual Report on Form 10-K (File No. 001-33500) for the period ended</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420" w:type="dxa"/>
            <w:vAlign w:val="bottom"/>
            <w:tcBorders>
              <w:top w:val="single" w:sz="8" w:color="0000FF"/>
            </w:tcBorders>
            <w:gridSpan w:val="20"/>
            <w:shd w:val="clear" w:color="auto" w:fill="CCEEFF"/>
          </w:tcPr>
          <w:p>
            <w:pPr>
              <w:spacing w:after="0" w:line="180"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December 31, 2012, as filed with the SEC on February 26, 2013).</w:t>
              </w:r>
            </w:hyperlink>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right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56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82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24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10.21B+</w:t>
            </w:r>
          </w:p>
        </w:tc>
        <w:tc>
          <w:tcPr>
            <w:tcW w:w="120" w:type="dxa"/>
            <w:vAlign w:val="bottom"/>
          </w:tcPr>
          <w:p>
            <w:pPr>
              <w:spacing w:after="0"/>
              <w:rPr>
                <w:sz w:val="16"/>
                <w:szCs w:val="16"/>
                <w:color w:val="auto"/>
              </w:rPr>
            </w:pPr>
          </w:p>
        </w:tc>
        <w:tc>
          <w:tcPr>
            <w:tcW w:w="9180" w:type="dxa"/>
            <w:vAlign w:val="bottom"/>
            <w:gridSpan w:val="39"/>
          </w:tcPr>
          <w:p>
            <w:pPr>
              <w:spacing w:after="0" w:line="187"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Amended and Restated 2007 Employee Stock Purchase Plan (approved November 2, 2022). (incorporated herein by reference</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580" w:type="dxa"/>
            <w:vAlign w:val="bottom"/>
            <w:tcBorders>
              <w:top w:val="single" w:sz="8" w:color="0000FF"/>
            </w:tcBorders>
            <w:gridSpan w:val="14"/>
          </w:tcPr>
          <w:p>
            <w:pPr>
              <w:spacing w:after="0" w:line="166" w:lineRule="exact"/>
              <w:rPr>
                <w:rFonts w:ascii="Times New Roman" w:cs="Times New Roman" w:eastAsia="Times New Roman" w:hAnsi="Times New Roman"/>
                <w:sz w:val="18"/>
                <w:szCs w:val="18"/>
                <w:color w:val="0000FF"/>
                <w:w w:val="97"/>
              </w:rPr>
            </w:pPr>
            <w:hyperlink r:id="rId196">
              <w:r>
                <w:rPr>
                  <w:rFonts w:ascii="Times New Roman" w:cs="Times New Roman" w:eastAsia="Times New Roman" w:hAnsi="Times New Roman"/>
                  <w:sz w:val="18"/>
                  <w:szCs w:val="18"/>
                  <w:color w:val="0000FF"/>
                  <w:w w:val="97"/>
                </w:rPr>
                <w:t>to Exhibit 10.30B+ in Jazz Pharmaceuticals plc’s Annual Report on Form 10-K (File No. 001</w:t>
              </w:r>
            </w:hyperlink>
          </w:p>
        </w:tc>
        <w:tc>
          <w:tcPr>
            <w:tcW w:w="2380" w:type="dxa"/>
            <w:vAlign w:val="bottom"/>
            <w:tcBorders>
              <w:top w:val="single" w:sz="8" w:color="0000FF"/>
            </w:tcBorders>
            <w:gridSpan w:val="21"/>
          </w:tcPr>
          <w:p>
            <w:pPr>
              <w:jc w:val="right"/>
              <w:ind w:right="280"/>
              <w:spacing w:after="0" w:line="16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-33500) for the period ended</w:t>
              </w:r>
            </w:hyperlink>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80" w:type="dxa"/>
            <w:vAlign w:val="bottom"/>
            <w:tcBorders>
              <w:top w:val="single" w:sz="8" w:color="0000FF"/>
            </w:tcBorders>
            <w:gridSpan w:val="24"/>
          </w:tcPr>
          <w:p>
            <w:pPr>
              <w:spacing w:after="0" w:line="180"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December 31, 2022, as filed with the SEC on March 1, 2023).</w:t>
              </w:r>
            </w:hyperlink>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24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10.21C+</w:t>
            </w:r>
          </w:p>
        </w:tc>
        <w:tc>
          <w:tcPr>
            <w:tcW w:w="120" w:type="dxa"/>
            <w:vAlign w:val="bottom"/>
            <w:shd w:val="clear" w:color="auto" w:fill="CCEEFF"/>
          </w:tcPr>
          <w:p>
            <w:pPr>
              <w:spacing w:after="0"/>
              <w:rPr>
                <w:sz w:val="16"/>
                <w:szCs w:val="16"/>
                <w:color w:val="auto"/>
              </w:rPr>
            </w:pPr>
          </w:p>
        </w:tc>
        <w:tc>
          <w:tcPr>
            <w:tcW w:w="9180" w:type="dxa"/>
            <w:vAlign w:val="bottom"/>
            <w:gridSpan w:val="39"/>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0000FF"/>
              </w:rPr>
              <w:t>Amended and Restated 2007 Employee Stock Purchase Plan (approved November 1, 2023).</w:t>
            </w: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56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82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2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24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10.21D+</w:t>
            </w:r>
          </w:p>
        </w:tc>
        <w:tc>
          <w:tcPr>
            <w:tcW w:w="120" w:type="dxa"/>
            <w:vAlign w:val="bottom"/>
          </w:tcPr>
          <w:p>
            <w:pPr>
              <w:spacing w:after="0"/>
              <w:rPr>
                <w:sz w:val="16"/>
                <w:szCs w:val="16"/>
                <w:color w:val="auto"/>
              </w:rPr>
            </w:pPr>
          </w:p>
        </w:tc>
        <w:tc>
          <w:tcPr>
            <w:tcW w:w="9180" w:type="dxa"/>
            <w:vAlign w:val="bottom"/>
            <w:gridSpan w:val="39"/>
          </w:tcPr>
          <w:p>
            <w:pPr>
              <w:spacing w:after="0" w:line="187"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Jazz Pharmaceuticals plc 2007 Employee Stock Purchase Plan Sub-Plan Governing Purchase Rights to Participants in the</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780" w:type="dxa"/>
            <w:vAlign w:val="bottom"/>
            <w:gridSpan w:val="5"/>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60" w:type="dxa"/>
            <w:vAlign w:val="bottom"/>
            <w:gridSpan w:val="40"/>
          </w:tcPr>
          <w:p>
            <w:pPr>
              <w:spacing w:after="0" w:line="16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Republic of Ireland (incorporated herein by reference to Exhibit 10.14C in Jazz Pharmaceuticals plc’s Quarterly Report on</w:t>
              </w:r>
            </w:hyperlink>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700" w:type="dxa"/>
            <w:vAlign w:val="bottom"/>
            <w:tcBorders>
              <w:top w:val="single" w:sz="8" w:color="0000FF"/>
            </w:tcBorders>
            <w:gridSpan w:val="25"/>
          </w:tcPr>
          <w:p>
            <w:pPr>
              <w:spacing w:after="0" w:line="180"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Form 10-Q (File No. 001-33500) for the period ended March 31, 2012, as filed with the SEC on May 8, 2012 ).</w:t>
              </w:r>
            </w:hyperlink>
          </w:p>
        </w:tc>
        <w:tc>
          <w:tcPr>
            <w:tcW w:w="8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220" w:type="dxa"/>
            <w:vAlign w:val="bottom"/>
            <w:tcBorders>
              <w:top w:val="single" w:sz="8" w:color="0000FF"/>
            </w:tcBorders>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24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10.22A+</w:t>
            </w:r>
          </w:p>
        </w:tc>
        <w:tc>
          <w:tcPr>
            <w:tcW w:w="120" w:type="dxa"/>
            <w:vAlign w:val="bottom"/>
            <w:shd w:val="clear" w:color="auto" w:fill="CCEEFF"/>
          </w:tcPr>
          <w:p>
            <w:pPr>
              <w:spacing w:after="0"/>
              <w:rPr>
                <w:sz w:val="16"/>
                <w:szCs w:val="16"/>
                <w:color w:val="auto"/>
              </w:rPr>
            </w:pPr>
          </w:p>
        </w:tc>
        <w:tc>
          <w:tcPr>
            <w:tcW w:w="9180" w:type="dxa"/>
            <w:vAlign w:val="bottom"/>
            <w:gridSpan w:val="39"/>
            <w:shd w:val="clear" w:color="auto" w:fill="CCEEFF"/>
          </w:tcPr>
          <w:p>
            <w:pPr>
              <w:spacing w:after="0" w:line="187" w:lineRule="exact"/>
              <w:rPr>
                <w:rFonts w:ascii="Times New Roman" w:cs="Times New Roman" w:eastAsia="Times New Roman" w:hAnsi="Times New Roman"/>
                <w:sz w:val="18"/>
                <w:szCs w:val="18"/>
                <w:color w:val="0000FF"/>
                <w:w w:val="99"/>
              </w:rPr>
            </w:pPr>
            <w:hyperlink r:id="rId198">
              <w:r>
                <w:rPr>
                  <w:rFonts w:ascii="Times New Roman" w:cs="Times New Roman" w:eastAsia="Times New Roman" w:hAnsi="Times New Roman"/>
                  <w:sz w:val="18"/>
                  <w:szCs w:val="18"/>
                  <w:color w:val="0000FF"/>
                  <w:w w:val="99"/>
                </w:rPr>
                <w:t>Jazz Pharmaceuticals plc Cash Bonus Plan for U.S. Affiliates (approved October 30, 2019) (incorporated herein by reference to</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060" w:type="dxa"/>
            <w:vAlign w:val="bottom"/>
            <w:tcBorders>
              <w:top w:val="single" w:sz="8" w:color="0000FF"/>
            </w:tcBorders>
            <w:gridSpan w:val="38"/>
            <w:shd w:val="clear" w:color="auto" w:fill="CCEEFF"/>
          </w:tcPr>
          <w:p>
            <w:pPr>
              <w:spacing w:after="0" w:line="16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Exhibit 10.34C in Jazz Pharmaceuticals plc’s Annual Report on Form 10-K (File No. 001-33500) for the period ended</w:t>
              </w:r>
            </w:hyperlink>
          </w:p>
        </w:tc>
        <w:tc>
          <w:tcPr>
            <w:tcW w:w="120" w:type="dxa"/>
            <w:vAlign w:val="bottom"/>
            <w:tcBorders>
              <w:top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400" w:type="dxa"/>
            <w:vAlign w:val="bottom"/>
            <w:tcBorders>
              <w:top w:val="single" w:sz="8" w:color="0000FF"/>
            </w:tcBorders>
            <w:gridSpan w:val="19"/>
            <w:shd w:val="clear" w:color="auto" w:fill="CCEEFF"/>
          </w:tcPr>
          <w:p>
            <w:pPr>
              <w:spacing w:after="0" w:line="180"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December 31, 2019, as filed with the SEC on February 25, 2020).</w:t>
              </w:r>
            </w:hyperlink>
          </w:p>
        </w:tc>
        <w:tc>
          <w:tcPr>
            <w:tcW w:w="60" w:type="dxa"/>
            <w:vAlign w:val="bottom"/>
            <w:tcBorders>
              <w:top w:val="single" w:sz="8" w:color="CCEEFF"/>
            </w:tcBorders>
            <w:gridSpan w:val="2"/>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right w:val="single" w:sz="8" w:color="CCEEFF"/>
            </w:tcBorders>
            <w:shd w:val="clear" w:color="auto" w:fill="CCEEFF"/>
          </w:tcPr>
          <w:p>
            <w:pPr>
              <w:spacing w:after="0"/>
              <w:rPr>
                <w:sz w:val="15"/>
                <w:szCs w:val="15"/>
                <w:color w:val="auto"/>
              </w:rPr>
            </w:pPr>
          </w:p>
        </w:tc>
        <w:tc>
          <w:tcPr>
            <w:tcW w:w="160" w:type="dxa"/>
            <w:vAlign w:val="bottom"/>
            <w:tcBorders>
              <w:top w:val="single" w:sz="8" w:color="CCEEFF"/>
            </w:tcBorders>
            <w:gridSpan w:val="4"/>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gridSpan w:val="3"/>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gridSpan w:val="2"/>
            <w:shd w:val="clear" w:color="auto" w:fill="CCEEFF"/>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56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82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24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10.22B+</w:t>
            </w:r>
          </w:p>
        </w:tc>
        <w:tc>
          <w:tcPr>
            <w:tcW w:w="120" w:type="dxa"/>
            <w:vAlign w:val="bottom"/>
          </w:tcPr>
          <w:p>
            <w:pPr>
              <w:spacing w:after="0"/>
              <w:rPr>
                <w:sz w:val="16"/>
                <w:szCs w:val="16"/>
                <w:color w:val="auto"/>
              </w:rPr>
            </w:pPr>
          </w:p>
        </w:tc>
        <w:tc>
          <w:tcPr>
            <w:tcW w:w="9180" w:type="dxa"/>
            <w:vAlign w:val="bottom"/>
            <w:gridSpan w:val="39"/>
          </w:tcPr>
          <w:p>
            <w:pPr>
              <w:spacing w:after="0" w:line="187"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Jazz Pharmaceuticals Cash Bonus Plan (Ireland and Other Specified Affiliates) (Calendar Year 2020) (incorporated herein by</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900" w:type="dxa"/>
            <w:vAlign w:val="bottom"/>
            <w:tcBorders>
              <w:top w:val="single" w:sz="8" w:color="0000FF"/>
            </w:tcBorders>
            <w:gridSpan w:val="33"/>
          </w:tcPr>
          <w:p>
            <w:pPr>
              <w:spacing w:after="0" w:line="166" w:lineRule="exact"/>
              <w:rPr>
                <w:rFonts w:ascii="Times New Roman" w:cs="Times New Roman" w:eastAsia="Times New Roman" w:hAnsi="Times New Roman"/>
                <w:sz w:val="18"/>
                <w:szCs w:val="18"/>
                <w:color w:val="0000FF"/>
                <w:w w:val="99"/>
              </w:rPr>
            </w:pPr>
            <w:hyperlink r:id="rId199">
              <w:r>
                <w:rPr>
                  <w:rFonts w:ascii="Times New Roman" w:cs="Times New Roman" w:eastAsia="Times New Roman" w:hAnsi="Times New Roman"/>
                  <w:sz w:val="18"/>
                  <w:szCs w:val="18"/>
                  <w:color w:val="0000FF"/>
                  <w:w w:val="99"/>
                </w:rPr>
                <w:t>reference to Exhibit 10.34D in Jazz Pharmaceuticals plc’s Annual Report on Form 10-K (File No. 001-33500) for the period</w:t>
              </w:r>
            </w:hyperlink>
          </w:p>
        </w:tc>
        <w:tc>
          <w:tcPr>
            <w:tcW w:w="8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20" w:type="dxa"/>
            <w:vAlign w:val="bottom"/>
            <w:tcBorders>
              <w:top w:val="single" w:sz="8" w:color="0000FF"/>
            </w:tcBorders>
            <w:gridSpan w:val="29"/>
          </w:tcPr>
          <w:p>
            <w:pPr>
              <w:spacing w:after="0" w:line="180"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ended December 31, 2019, as filed with the SEC on February 25, 2020).</w:t>
              </w:r>
            </w:hyperlink>
          </w:p>
        </w:tc>
        <w:tc>
          <w:tcPr>
            <w:tcW w:w="60" w:type="dxa"/>
            <w:vAlign w:val="bottom"/>
            <w:gridSpan w:val="3"/>
          </w:tcPr>
          <w:p>
            <w:pPr>
              <w:spacing w:after="0"/>
              <w:rPr>
                <w:sz w:val="15"/>
                <w:szCs w:val="15"/>
                <w:color w:val="auto"/>
              </w:rPr>
            </w:pPr>
          </w:p>
        </w:tc>
        <w:tc>
          <w:tcPr>
            <w:tcW w:w="100" w:type="dxa"/>
            <w:vAlign w:val="bottom"/>
            <w:gridSpan w:val="4"/>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24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10.22C+</w:t>
            </w:r>
          </w:p>
        </w:tc>
        <w:tc>
          <w:tcPr>
            <w:tcW w:w="120" w:type="dxa"/>
            <w:vAlign w:val="bottom"/>
            <w:shd w:val="clear" w:color="auto" w:fill="CCEEFF"/>
          </w:tcPr>
          <w:p>
            <w:pPr>
              <w:spacing w:after="0"/>
              <w:rPr>
                <w:sz w:val="16"/>
                <w:szCs w:val="16"/>
                <w:color w:val="auto"/>
              </w:rPr>
            </w:pPr>
          </w:p>
        </w:tc>
        <w:tc>
          <w:tcPr>
            <w:tcW w:w="9180" w:type="dxa"/>
            <w:vAlign w:val="bottom"/>
            <w:gridSpan w:val="39"/>
            <w:shd w:val="clear" w:color="auto" w:fill="CCEEFF"/>
          </w:tcPr>
          <w:p>
            <w:pPr>
              <w:spacing w:after="0" w:line="187" w:lineRule="exact"/>
              <w:rPr>
                <w:rFonts w:ascii="Times New Roman" w:cs="Times New Roman" w:eastAsia="Times New Roman" w:hAnsi="Times New Roman"/>
                <w:sz w:val="18"/>
                <w:szCs w:val="18"/>
                <w:color w:val="0000FF"/>
                <w:w w:val="99"/>
              </w:rPr>
            </w:pPr>
            <w:hyperlink r:id="rId200">
              <w:r>
                <w:rPr>
                  <w:rFonts w:ascii="Times New Roman" w:cs="Times New Roman" w:eastAsia="Times New Roman" w:hAnsi="Times New Roman"/>
                  <w:sz w:val="18"/>
                  <w:szCs w:val="18"/>
                  <w:color w:val="0000FF"/>
                  <w:w w:val="99"/>
                </w:rPr>
                <w:t>Jazz Pharmaceuticals plc Cash Bonus Plan for U.S. Affiliates (approved October 30, 2020) (incorporated herein by reference to</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060" w:type="dxa"/>
            <w:vAlign w:val="bottom"/>
            <w:tcBorders>
              <w:top w:val="single" w:sz="8" w:color="0000FF"/>
            </w:tcBorders>
            <w:gridSpan w:val="38"/>
            <w:shd w:val="clear" w:color="auto" w:fill="CCEEFF"/>
          </w:tcPr>
          <w:p>
            <w:pPr>
              <w:spacing w:after="0" w:line="16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Exhibit 10.33C in Jazz Pharmaceuticals plc’s Annual Report on Form 10-K (File No. 001-33500) for the period ended</w:t>
              </w:r>
            </w:hyperlink>
          </w:p>
        </w:tc>
        <w:tc>
          <w:tcPr>
            <w:tcW w:w="120" w:type="dxa"/>
            <w:vAlign w:val="bottom"/>
            <w:tcBorders>
              <w:top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400" w:type="dxa"/>
            <w:vAlign w:val="bottom"/>
            <w:tcBorders>
              <w:top w:val="single" w:sz="8" w:color="0000FF"/>
            </w:tcBorders>
            <w:gridSpan w:val="19"/>
            <w:shd w:val="clear" w:color="auto" w:fill="CCEEFF"/>
          </w:tcPr>
          <w:p>
            <w:pPr>
              <w:spacing w:after="0" w:line="180"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December 31, 2020, as filed with the SEC on February 23, 2021).</w:t>
              </w:r>
            </w:hyperlink>
          </w:p>
        </w:tc>
        <w:tc>
          <w:tcPr>
            <w:tcW w:w="60" w:type="dxa"/>
            <w:vAlign w:val="bottom"/>
            <w:tcBorders>
              <w:top w:val="single" w:sz="8" w:color="CCEEFF"/>
            </w:tcBorders>
            <w:gridSpan w:val="2"/>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right w:val="single" w:sz="8" w:color="CCEEFF"/>
            </w:tcBorders>
            <w:shd w:val="clear" w:color="auto" w:fill="CCEEFF"/>
          </w:tcPr>
          <w:p>
            <w:pPr>
              <w:spacing w:after="0"/>
              <w:rPr>
                <w:sz w:val="15"/>
                <w:szCs w:val="15"/>
                <w:color w:val="auto"/>
              </w:rPr>
            </w:pPr>
          </w:p>
        </w:tc>
        <w:tc>
          <w:tcPr>
            <w:tcW w:w="160" w:type="dxa"/>
            <w:vAlign w:val="bottom"/>
            <w:tcBorders>
              <w:top w:val="single" w:sz="8" w:color="CCEEFF"/>
            </w:tcBorders>
            <w:gridSpan w:val="4"/>
            <w:shd w:val="clear" w:color="auto" w:fill="CCEEFF"/>
          </w:tcPr>
          <w:p>
            <w:pPr>
              <w:spacing w:after="0"/>
              <w:rPr>
                <w:sz w:val="15"/>
                <w:szCs w:val="15"/>
                <w:color w:val="auto"/>
              </w:rPr>
            </w:pPr>
          </w:p>
        </w:tc>
        <w:tc>
          <w:tcPr>
            <w:tcW w:w="100" w:type="dxa"/>
            <w:vAlign w:val="bottom"/>
            <w:tcBorders>
              <w:top w:val="single" w:sz="8" w:color="CCEEFF"/>
            </w:tcBorders>
            <w:gridSpan w:val="5"/>
            <w:shd w:val="clear" w:color="auto" w:fill="CCEEFF"/>
          </w:tcPr>
          <w:p>
            <w:pPr>
              <w:spacing w:after="0"/>
              <w:rPr>
                <w:sz w:val="15"/>
                <w:szCs w:val="15"/>
                <w:color w:val="auto"/>
              </w:rPr>
            </w:pPr>
          </w:p>
        </w:tc>
        <w:tc>
          <w:tcPr>
            <w:tcW w:w="100" w:type="dxa"/>
            <w:vAlign w:val="bottom"/>
            <w:tcBorders>
              <w:top w:val="single" w:sz="8" w:color="CCEEFF"/>
            </w:tcBorders>
            <w:gridSpan w:val="4"/>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gridSpan w:val="2"/>
            <w:shd w:val="clear" w:color="auto" w:fill="CCEEFF"/>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56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82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24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10.22D+</w:t>
            </w:r>
          </w:p>
        </w:tc>
        <w:tc>
          <w:tcPr>
            <w:tcW w:w="120" w:type="dxa"/>
            <w:vAlign w:val="bottom"/>
          </w:tcPr>
          <w:p>
            <w:pPr>
              <w:spacing w:after="0"/>
              <w:rPr>
                <w:sz w:val="16"/>
                <w:szCs w:val="16"/>
                <w:color w:val="auto"/>
              </w:rPr>
            </w:pPr>
          </w:p>
        </w:tc>
        <w:tc>
          <w:tcPr>
            <w:tcW w:w="9180" w:type="dxa"/>
            <w:vAlign w:val="bottom"/>
            <w:gridSpan w:val="39"/>
          </w:tcPr>
          <w:p>
            <w:pPr>
              <w:spacing w:after="0" w:line="187"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Jazz Pharmaceuticals Cash Bonus Plan (Ireland and Other Specified Affiliates) (Calendar Year 2021) (incorporated herein by</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900" w:type="dxa"/>
            <w:vAlign w:val="bottom"/>
            <w:tcBorders>
              <w:top w:val="single" w:sz="8" w:color="0000FF"/>
            </w:tcBorders>
            <w:gridSpan w:val="33"/>
          </w:tcPr>
          <w:p>
            <w:pPr>
              <w:spacing w:after="0" w:line="166" w:lineRule="exact"/>
              <w:rPr>
                <w:rFonts w:ascii="Times New Roman" w:cs="Times New Roman" w:eastAsia="Times New Roman" w:hAnsi="Times New Roman"/>
                <w:sz w:val="18"/>
                <w:szCs w:val="18"/>
                <w:color w:val="0000FF"/>
                <w:w w:val="99"/>
              </w:rPr>
            </w:pPr>
            <w:hyperlink r:id="rId201">
              <w:r>
                <w:rPr>
                  <w:rFonts w:ascii="Times New Roman" w:cs="Times New Roman" w:eastAsia="Times New Roman" w:hAnsi="Times New Roman"/>
                  <w:sz w:val="18"/>
                  <w:szCs w:val="18"/>
                  <w:color w:val="0000FF"/>
                  <w:w w:val="99"/>
                </w:rPr>
                <w:t>reference to Exhibit 10.33D in Jazz Pharmaceuticals plc’s Annual Report on Form 10-K (File No. 001-33500) for the period</w:t>
              </w:r>
            </w:hyperlink>
          </w:p>
        </w:tc>
        <w:tc>
          <w:tcPr>
            <w:tcW w:w="8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20" w:type="dxa"/>
            <w:vAlign w:val="bottom"/>
            <w:tcBorders>
              <w:top w:val="single" w:sz="8" w:color="0000FF"/>
            </w:tcBorders>
            <w:gridSpan w:val="29"/>
          </w:tcPr>
          <w:p>
            <w:pPr>
              <w:spacing w:after="0" w:line="180"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ended December 31, 2020, as filed with the SEC on February 23, 2021).</w:t>
              </w:r>
            </w:hyperlink>
          </w:p>
        </w:tc>
        <w:tc>
          <w:tcPr>
            <w:tcW w:w="60" w:type="dxa"/>
            <w:vAlign w:val="bottom"/>
            <w:gridSpan w:val="3"/>
          </w:tcPr>
          <w:p>
            <w:pPr>
              <w:spacing w:after="0"/>
              <w:rPr>
                <w:sz w:val="15"/>
                <w:szCs w:val="15"/>
                <w:color w:val="auto"/>
              </w:rPr>
            </w:pPr>
          </w:p>
        </w:tc>
        <w:tc>
          <w:tcPr>
            <w:tcW w:w="100" w:type="dxa"/>
            <w:vAlign w:val="bottom"/>
            <w:gridSpan w:val="4"/>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24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10.22E+</w:t>
            </w:r>
          </w:p>
        </w:tc>
        <w:tc>
          <w:tcPr>
            <w:tcW w:w="120" w:type="dxa"/>
            <w:vAlign w:val="bottom"/>
            <w:shd w:val="clear" w:color="auto" w:fill="CCEEFF"/>
          </w:tcPr>
          <w:p>
            <w:pPr>
              <w:spacing w:after="0"/>
              <w:rPr>
                <w:sz w:val="16"/>
                <w:szCs w:val="16"/>
                <w:color w:val="auto"/>
              </w:rPr>
            </w:pPr>
          </w:p>
        </w:tc>
        <w:tc>
          <w:tcPr>
            <w:tcW w:w="9180" w:type="dxa"/>
            <w:vAlign w:val="bottom"/>
            <w:gridSpan w:val="39"/>
            <w:shd w:val="clear" w:color="auto" w:fill="CCEEFF"/>
          </w:tcPr>
          <w:p>
            <w:pPr>
              <w:spacing w:after="0" w:line="187"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Jazz Pharmaceuticals plc Global Cash Bonus Plan (approved November, 2021) (incorporated herein by reference to Exhibit</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780" w:type="dxa"/>
            <w:vAlign w:val="bottom"/>
            <w:tcBorders>
              <w:top w:val="single" w:sz="8" w:color="0000FF"/>
            </w:tcBorders>
            <w:gridSpan w:val="27"/>
            <w:shd w:val="clear" w:color="auto" w:fill="CCEEFF"/>
          </w:tcPr>
          <w:p>
            <w:pPr>
              <w:spacing w:after="0" w:line="166" w:lineRule="exact"/>
              <w:rPr>
                <w:rFonts w:ascii="Times New Roman" w:cs="Times New Roman" w:eastAsia="Times New Roman" w:hAnsi="Times New Roman"/>
                <w:sz w:val="18"/>
                <w:szCs w:val="18"/>
                <w:color w:val="0000FF"/>
                <w:w w:val="99"/>
              </w:rPr>
            </w:pPr>
            <w:hyperlink r:id="rId202">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34E+</w:t>
              </w:r>
              <w:r>
                <w:rPr>
                  <w:rFonts w:ascii="Times New Roman" w:cs="Times New Roman" w:eastAsia="Times New Roman" w:hAnsi="Times New Roman"/>
                  <w:sz w:val="18"/>
                  <w:szCs w:val="18"/>
                  <w:color w:val="0000FF"/>
                  <w:w w:val="99"/>
                </w:rPr>
                <w:t xml:space="preserve"> in Jazz Pharmaceuticals plc’s Annual Report on Form 10-K (File No. 001-33500) for the period ended December</w:t>
              </w:r>
            </w:hyperlink>
          </w:p>
        </w:tc>
        <w:tc>
          <w:tcPr>
            <w:tcW w:w="260" w:type="dxa"/>
            <w:vAlign w:val="bottom"/>
            <w:tcBorders>
              <w:top w:val="single" w:sz="8" w:color="CCEEFF"/>
            </w:tcBorders>
            <w:gridSpan w:val="10"/>
            <w:shd w:val="clear" w:color="auto" w:fill="CCEEFF"/>
          </w:tcPr>
          <w:p>
            <w:pPr>
              <w:jc w:val="right"/>
              <w:ind w:right="80"/>
              <w:spacing w:after="0" w:line="166" w:lineRule="exact"/>
              <w:rPr>
                <w:rFonts w:ascii="Times New Roman" w:cs="Times New Roman" w:eastAsia="Times New Roman" w:hAnsi="Times New Roman"/>
                <w:sz w:val="18"/>
                <w:szCs w:val="18"/>
                <w:color w:val="0000FF"/>
                <w:w w:val="70"/>
              </w:rPr>
            </w:pPr>
            <w:hyperlink r:id="rId202">
              <w:r>
                <w:rPr>
                  <w:rFonts w:ascii="Times New Roman" w:cs="Times New Roman" w:eastAsia="Times New Roman" w:hAnsi="Times New Roman"/>
                  <w:sz w:val="18"/>
                  <w:szCs w:val="18"/>
                  <w:color w:val="0000FF"/>
                  <w:w w:val="70"/>
                </w:rPr>
                <w:t>31,</w:t>
              </w:r>
            </w:hyperlink>
          </w:p>
        </w:tc>
        <w:tc>
          <w:tcPr>
            <w:tcW w:w="140" w:type="dxa"/>
            <w:vAlign w:val="bottom"/>
            <w:tcBorders>
              <w:top w:val="single" w:sz="8" w:color="CCEEFF"/>
            </w:tcBorders>
            <w:gridSpan w:val="2"/>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980" w:type="dxa"/>
            <w:vAlign w:val="bottom"/>
            <w:tcBorders>
              <w:top w:val="single" w:sz="8" w:color="0000FF"/>
            </w:tcBorders>
            <w:gridSpan w:val="36"/>
            <w:shd w:val="clear" w:color="auto" w:fill="CCEEFF"/>
          </w:tcPr>
          <w:p>
            <w:pPr>
              <w:spacing w:after="0" w:line="180"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2021, as filed with the SEC on March 1, 2022).</w:t>
              </w:r>
            </w:hyperlink>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gridSpan w:val="2"/>
            <w:shd w:val="clear" w:color="auto" w:fill="CCEEFF"/>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56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continue"/>
          </w:tcPr>
          <w:p>
            <w:pPr>
              <w:spacing w:after="0"/>
              <w:rPr>
                <w:sz w:val="16"/>
                <w:szCs w:val="16"/>
                <w:color w:val="auto"/>
              </w:rPr>
            </w:pPr>
          </w:p>
        </w:tc>
        <w:tc>
          <w:tcPr>
            <w:tcW w:w="124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10.23+</w:t>
            </w:r>
          </w:p>
        </w:tc>
        <w:tc>
          <w:tcPr>
            <w:tcW w:w="120" w:type="dxa"/>
            <w:vAlign w:val="bottom"/>
          </w:tcPr>
          <w:p>
            <w:pPr>
              <w:spacing w:after="0"/>
              <w:rPr>
                <w:sz w:val="16"/>
                <w:szCs w:val="16"/>
                <w:color w:val="auto"/>
              </w:rPr>
            </w:pPr>
          </w:p>
        </w:tc>
        <w:tc>
          <w:tcPr>
            <w:tcW w:w="9180" w:type="dxa"/>
            <w:vAlign w:val="bottom"/>
            <w:gridSpan w:val="39"/>
          </w:tcPr>
          <w:p>
            <w:pPr>
              <w:spacing w:after="0" w:line="187" w:lineRule="exact"/>
              <w:rPr>
                <w:rFonts w:ascii="Times New Roman" w:cs="Times New Roman" w:eastAsia="Times New Roman" w:hAnsi="Times New Roman"/>
                <w:sz w:val="18"/>
                <w:szCs w:val="18"/>
                <w:color w:val="0000FF"/>
                <w:w w:val="99"/>
              </w:rPr>
            </w:pPr>
            <w:hyperlink r:id="rId203">
              <w:r>
                <w:rPr>
                  <w:rFonts w:ascii="Times New Roman" w:cs="Times New Roman" w:eastAsia="Times New Roman" w:hAnsi="Times New Roman"/>
                  <w:sz w:val="18"/>
                  <w:szCs w:val="18"/>
                  <w:color w:val="0000FF"/>
                  <w:w w:val="99"/>
                </w:rPr>
                <w:t>Amended and Restated Executive Change in Control and Severance Benefit Plan, dated as of May 3, 2023 (incorporated herein</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40" w:type="dxa"/>
            <w:vAlign w:val="bottom"/>
            <w:tcBorders>
              <w:top w:val="single" w:sz="8" w:color="0000FF"/>
            </w:tcBorders>
            <w:gridSpan w:val="37"/>
          </w:tcPr>
          <w:p>
            <w:pPr>
              <w:spacing w:after="0" w:line="166"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by reference to Exhibit 10.2+ in Jazz Pharmaceuticals plc’s Quarterly Report on Form 10-Q (File No. 001-33500) for the</w:t>
              </w:r>
            </w:hyperlink>
          </w:p>
        </w:tc>
        <w:tc>
          <w:tcPr>
            <w:tcW w:w="8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20" w:type="dxa"/>
            <w:vAlign w:val="bottom"/>
            <w:tcBorders>
              <w:top w:val="single" w:sz="8" w:color="0000FF"/>
            </w:tcBorders>
            <w:gridSpan w:val="23"/>
          </w:tcPr>
          <w:p>
            <w:pPr>
              <w:spacing w:after="0" w:line="180"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period ended June 30, 2023, as filed with the SEC on August 9, 2023).</w:t>
              </w:r>
            </w:hyperlink>
          </w:p>
        </w:tc>
        <w:tc>
          <w:tcPr>
            <w:tcW w:w="260" w:type="dxa"/>
            <w:vAlign w:val="bottom"/>
            <w:gridSpan w:val="9"/>
          </w:tcPr>
          <w:p>
            <w:pPr>
              <w:spacing w:after="0"/>
              <w:rPr>
                <w:sz w:val="15"/>
                <w:szCs w:val="15"/>
                <w:color w:val="auto"/>
              </w:rPr>
            </w:pPr>
          </w:p>
        </w:tc>
        <w:tc>
          <w:tcPr>
            <w:tcW w:w="98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continue"/>
          </w:tcPr>
          <w:p>
            <w:pPr>
              <w:spacing w:after="0"/>
              <w:rPr>
                <w:sz w:val="16"/>
                <w:szCs w:val="16"/>
                <w:color w:val="auto"/>
              </w:rPr>
            </w:pPr>
          </w:p>
        </w:tc>
        <w:tc>
          <w:tcPr>
            <w:tcW w:w="124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10.24+</w:t>
            </w:r>
          </w:p>
        </w:tc>
        <w:tc>
          <w:tcPr>
            <w:tcW w:w="120" w:type="dxa"/>
            <w:vAlign w:val="bottom"/>
            <w:shd w:val="clear" w:color="auto" w:fill="CCEEFF"/>
          </w:tcPr>
          <w:p>
            <w:pPr>
              <w:spacing w:after="0"/>
              <w:rPr>
                <w:sz w:val="16"/>
                <w:szCs w:val="16"/>
                <w:color w:val="auto"/>
              </w:rPr>
            </w:pPr>
          </w:p>
        </w:tc>
        <w:tc>
          <w:tcPr>
            <w:tcW w:w="9180" w:type="dxa"/>
            <w:vAlign w:val="bottom"/>
            <w:gridSpan w:val="39"/>
            <w:shd w:val="clear" w:color="auto" w:fill="CCEEFF"/>
          </w:tcPr>
          <w:p>
            <w:pPr>
              <w:spacing w:after="0" w:line="187"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Amended and Restated Non-Employee Director Compensation Policy (approved May 4, 2023) (incorporated herein by</w:t>
              </w:r>
            </w:hyperlink>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460" w:type="dxa"/>
            <w:vAlign w:val="bottom"/>
            <w:tcBorders>
              <w:top w:val="single" w:sz="8" w:color="0000FF"/>
            </w:tcBorders>
            <w:gridSpan w:val="21"/>
            <w:shd w:val="clear" w:color="auto" w:fill="CCEEFF"/>
          </w:tcPr>
          <w:p>
            <w:pPr>
              <w:spacing w:after="0" w:line="166" w:lineRule="exact"/>
              <w:rPr>
                <w:rFonts w:ascii="Times New Roman" w:cs="Times New Roman" w:eastAsia="Times New Roman" w:hAnsi="Times New Roman"/>
                <w:sz w:val="18"/>
                <w:szCs w:val="18"/>
                <w:color w:val="0000FF"/>
                <w:w w:val="99"/>
              </w:rPr>
            </w:pPr>
            <w:hyperlink r:id="rId204">
              <w:r>
                <w:rPr>
                  <w:rFonts w:ascii="Times New Roman" w:cs="Times New Roman" w:eastAsia="Times New Roman" w:hAnsi="Times New Roman"/>
                  <w:sz w:val="18"/>
                  <w:szCs w:val="18"/>
                  <w:color w:val="0000FF"/>
                  <w:w w:val="99"/>
                </w:rPr>
                <w:t>reference to Exhibit 10.3+ in Jazz Pharmaceuticals plc’s Quarterly Report on Form 10-Q (File No. 001-33500) for the</w:t>
              </w:r>
            </w:hyperlink>
          </w:p>
        </w:tc>
        <w:tc>
          <w:tcPr>
            <w:tcW w:w="720" w:type="dxa"/>
            <w:vAlign w:val="bottom"/>
            <w:tcBorders>
              <w:top w:val="single" w:sz="8" w:color="CCEEFF"/>
            </w:tcBorders>
            <w:gridSpan w:val="18"/>
            <w:shd w:val="clear" w:color="auto" w:fill="CCEEFF"/>
          </w:tcPr>
          <w:p>
            <w:pPr>
              <w:spacing w:after="0" w:line="166"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period</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520" w:type="dxa"/>
            <w:vAlign w:val="bottom"/>
            <w:tcBorders>
              <w:top w:val="single" w:sz="8" w:color="0000FF"/>
              <w:bottom w:val="single" w:sz="8" w:color="0000FF"/>
            </w:tcBorders>
            <w:gridSpan w:val="7"/>
            <w:shd w:val="clear" w:color="auto" w:fill="CCEEFF"/>
          </w:tcPr>
          <w:p>
            <w:pPr>
              <w:spacing w:after="0" w:line="180" w:lineRule="exact"/>
              <w:rPr>
                <w:rFonts w:ascii="Times New Roman" w:cs="Times New Roman" w:eastAsia="Times New Roman" w:hAnsi="Times New Roman"/>
                <w:sz w:val="18"/>
                <w:szCs w:val="18"/>
                <w:color w:val="0000FF"/>
                <w:w w:val="98"/>
              </w:rPr>
            </w:pPr>
            <w:hyperlink r:id="rId204">
              <w:r>
                <w:rPr>
                  <w:rFonts w:ascii="Times New Roman" w:cs="Times New Roman" w:eastAsia="Times New Roman" w:hAnsi="Times New Roman"/>
                  <w:sz w:val="18"/>
                  <w:szCs w:val="18"/>
                  <w:color w:val="0000FF"/>
                  <w:w w:val="98"/>
                </w:rPr>
                <w:t>ended June 30, 2023, as filed with the SEC on August 9, 2023).</w:t>
              </w:r>
            </w:hyperlink>
          </w:p>
        </w:tc>
        <w:tc>
          <w:tcPr>
            <w:tcW w:w="4360" w:type="dxa"/>
            <w:vAlign w:val="bottom"/>
            <w:tcBorders>
              <w:top w:val="single" w:sz="8" w:color="0000FF"/>
              <w:bottom w:val="single" w:sz="8" w:color="CCEEFF"/>
            </w:tcBorders>
            <w:gridSpan w:val="25"/>
            <w:shd w:val="clear" w:color="auto" w:fill="CCEEFF"/>
          </w:tcPr>
          <w:p>
            <w:pPr>
              <w:spacing w:after="0"/>
              <w:rPr>
                <w:sz w:val="18"/>
                <w:szCs w:val="18"/>
                <w:color w:val="auto"/>
              </w:rPr>
            </w:pPr>
          </w:p>
        </w:tc>
        <w:tc>
          <w:tcPr>
            <w:tcW w:w="300" w:type="dxa"/>
            <w:vAlign w:val="bottom"/>
            <w:tcBorders>
              <w:top w:val="single" w:sz="8" w:color="CCEEFF"/>
              <w:bottom w:val="single" w:sz="8" w:color="CCEEFF"/>
            </w:tcBorders>
            <w:gridSpan w:val="7"/>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4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16"/>
                <w:szCs w:val="16"/>
                <w:color w:val="auto"/>
              </w:rPr>
            </w:pPr>
          </w:p>
        </w:tc>
        <w:tc>
          <w:tcPr>
            <w:tcW w:w="9180" w:type="dxa"/>
            <w:vAlign w:val="bottom"/>
            <w:gridSpan w:val="39"/>
          </w:tcPr>
          <w:p>
            <w:pPr>
              <w:spacing w:after="0" w:line="187" w:lineRule="exact"/>
              <w:rPr>
                <w:sz w:val="20"/>
                <w:szCs w:val="20"/>
                <w:color w:val="auto"/>
              </w:rPr>
            </w:pPr>
            <w:r>
              <w:rPr>
                <w:rFonts w:ascii="Times New Roman" w:cs="Times New Roman" w:eastAsia="Times New Roman" w:hAnsi="Times New Roman"/>
                <w:sz w:val="18"/>
                <w:szCs w:val="18"/>
                <w:color w:val="0000FF"/>
              </w:rPr>
              <w:t>Subsidiaries of Jazz Pharmaceuticals plc.</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vMerge w:val="continue"/>
          </w:tcPr>
          <w:p>
            <w:pPr>
              <w:spacing w:after="0"/>
              <w:rPr>
                <w:sz w:val="19"/>
                <w:szCs w:val="19"/>
                <w:color w:val="auto"/>
              </w:rPr>
            </w:pPr>
          </w:p>
        </w:tc>
        <w:tc>
          <w:tcPr>
            <w:tcW w:w="124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CEEFF"/>
          </w:tcPr>
          <w:p>
            <w:pPr>
              <w:spacing w:after="0"/>
              <w:rPr>
                <w:sz w:val="19"/>
                <w:szCs w:val="19"/>
                <w:color w:val="auto"/>
              </w:rPr>
            </w:pPr>
          </w:p>
        </w:tc>
        <w:tc>
          <w:tcPr>
            <w:tcW w:w="9180" w:type="dxa"/>
            <w:vAlign w:val="bottom"/>
            <w:gridSpan w:val="39"/>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0000FF"/>
              </w:rPr>
              <w:t>Consent of KPMG, Independent Registered Public Accounting Firm.</w:t>
            </w: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40" w:type="dxa"/>
            <w:vAlign w:val="bottom"/>
            <w:tcBorders>
              <w:top w:val="single" w:sz="8" w:color="CCEEFF"/>
            </w:tcBorders>
          </w:tcPr>
          <w:p>
            <w:pPr>
              <w:spacing w:after="0" w:line="187" w:lineRule="exact"/>
              <w:rPr>
                <w:sz w:val="20"/>
                <w:szCs w:val="20"/>
                <w:color w:val="auto"/>
              </w:rPr>
            </w:pPr>
            <w:r>
              <w:rPr>
                <w:rFonts w:ascii="Times New Roman" w:cs="Times New Roman" w:eastAsia="Times New Roman" w:hAnsi="Times New Roman"/>
                <w:sz w:val="18"/>
                <w:szCs w:val="18"/>
                <w:color w:val="auto"/>
              </w:rPr>
              <w:t>24.1</w:t>
            </w:r>
          </w:p>
        </w:tc>
        <w:tc>
          <w:tcPr>
            <w:tcW w:w="120" w:type="dxa"/>
            <w:vAlign w:val="bottom"/>
            <w:tcBorders>
              <w:top w:val="single" w:sz="8" w:color="CCEEFF"/>
            </w:tcBorders>
          </w:tcPr>
          <w:p>
            <w:pPr>
              <w:spacing w:after="0"/>
              <w:rPr>
                <w:sz w:val="16"/>
                <w:szCs w:val="16"/>
                <w:color w:val="auto"/>
              </w:rPr>
            </w:pPr>
          </w:p>
        </w:tc>
        <w:tc>
          <w:tcPr>
            <w:tcW w:w="4900" w:type="dxa"/>
            <w:vAlign w:val="bottom"/>
            <w:tcBorders>
              <w:top w:val="single" w:sz="8" w:color="0000FF"/>
            </w:tcBorders>
            <w:gridSpan w:val="9"/>
          </w:tcPr>
          <w:p>
            <w:pPr>
              <w:spacing w:after="0" w:line="187" w:lineRule="exact"/>
              <w:rPr>
                <w:sz w:val="20"/>
                <w:szCs w:val="20"/>
                <w:color w:val="auto"/>
              </w:rPr>
            </w:pPr>
            <w:r>
              <w:rPr>
                <w:rFonts w:ascii="Times New Roman" w:cs="Times New Roman" w:eastAsia="Times New Roman" w:hAnsi="Times New Roman"/>
                <w:sz w:val="18"/>
                <w:szCs w:val="18"/>
                <w:color w:val="0000FF"/>
              </w:rPr>
              <w:t>Power of Attorney (included on the signature page hereto).</w:t>
            </w:r>
          </w:p>
        </w:tc>
        <w:tc>
          <w:tcPr>
            <w:tcW w:w="4280" w:type="dxa"/>
            <w:vAlign w:val="bottom"/>
            <w:tcBorders>
              <w:top w:val="single" w:sz="8" w:color="CCEEFF"/>
            </w:tcBorders>
            <w:gridSpan w:val="30"/>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continue"/>
          </w:tcPr>
          <w:p>
            <w:pPr>
              <w:spacing w:after="0"/>
              <w:rPr>
                <w:sz w:val="16"/>
                <w:szCs w:val="16"/>
                <w:color w:val="auto"/>
              </w:rPr>
            </w:pPr>
          </w:p>
        </w:tc>
        <w:tc>
          <w:tcPr>
            <w:tcW w:w="124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shd w:val="clear" w:color="auto" w:fill="CCEEFF"/>
          </w:tcPr>
          <w:p>
            <w:pPr>
              <w:spacing w:after="0"/>
              <w:rPr>
                <w:sz w:val="16"/>
                <w:szCs w:val="16"/>
                <w:color w:val="auto"/>
              </w:rPr>
            </w:pPr>
          </w:p>
        </w:tc>
        <w:tc>
          <w:tcPr>
            <w:tcW w:w="9180" w:type="dxa"/>
            <w:vAlign w:val="bottom"/>
            <w:gridSpan w:val="39"/>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promulgated under the Securities</w:t>
            </w: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560" w:type="dxa"/>
            <w:vAlign w:val="bottom"/>
            <w:tcBorders>
              <w:top w:val="single" w:sz="8" w:color="0000FF"/>
              <w:bottom w:val="single" w:sz="8" w:color="0000FF"/>
            </w:tcBorders>
            <w:shd w:val="clear" w:color="auto" w:fill="CCEEFF"/>
          </w:tcPr>
          <w:p>
            <w:pPr>
              <w:spacing w:after="0" w:line="166" w:lineRule="exact"/>
              <w:rPr>
                <w:sz w:val="20"/>
                <w:szCs w:val="20"/>
                <w:color w:val="auto"/>
              </w:rPr>
            </w:pPr>
            <w:r>
              <w:rPr>
                <w:rFonts w:ascii="Times New Roman" w:cs="Times New Roman" w:eastAsia="Times New Roman" w:hAnsi="Times New Roman"/>
                <w:sz w:val="18"/>
                <w:szCs w:val="18"/>
                <w:color w:val="0000FF"/>
                <w:w w:val="97"/>
              </w:rPr>
              <w:t>Exchange Act of 1934, as amended.</w:t>
            </w:r>
          </w:p>
        </w:tc>
        <w:tc>
          <w:tcPr>
            <w:tcW w:w="5980" w:type="dxa"/>
            <w:vAlign w:val="bottom"/>
            <w:tcBorders>
              <w:top w:val="single" w:sz="8" w:color="0000FF"/>
              <w:bottom w:val="single" w:sz="8" w:color="CCEEFF"/>
            </w:tcBorders>
            <w:gridSpan w:val="21"/>
            <w:shd w:val="clear" w:color="auto" w:fill="CCEEFF"/>
          </w:tcPr>
          <w:p>
            <w:pPr>
              <w:spacing w:after="0"/>
              <w:rPr>
                <w:sz w:val="18"/>
                <w:szCs w:val="18"/>
                <w:color w:val="auto"/>
              </w:rPr>
            </w:pPr>
          </w:p>
        </w:tc>
        <w:tc>
          <w:tcPr>
            <w:tcW w:w="640" w:type="dxa"/>
            <w:vAlign w:val="bottom"/>
            <w:tcBorders>
              <w:top w:val="single" w:sz="8" w:color="CCEEFF"/>
              <w:bottom w:val="single" w:sz="8" w:color="CCEEFF"/>
            </w:tcBorders>
            <w:gridSpan w:val="17"/>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4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6"/>
                <w:szCs w:val="16"/>
                <w:color w:val="auto"/>
              </w:rPr>
            </w:pPr>
          </w:p>
        </w:tc>
        <w:tc>
          <w:tcPr>
            <w:tcW w:w="9180" w:type="dxa"/>
            <w:vAlign w:val="bottom"/>
            <w:gridSpan w:val="39"/>
          </w:tcPr>
          <w:p>
            <w:pPr>
              <w:spacing w:after="0" w:line="187" w:lineRule="exact"/>
              <w:rPr>
                <w:sz w:val="20"/>
                <w:szCs w:val="20"/>
                <w:color w:val="auto"/>
              </w:rPr>
            </w:pPr>
            <w:r>
              <w:rPr>
                <w:rFonts w:ascii="Times New Roman" w:cs="Times New Roman" w:eastAsia="Times New Roman" w:hAnsi="Times New Roman"/>
                <w:sz w:val="18"/>
                <w:szCs w:val="18"/>
                <w:color w:val="0000FF"/>
              </w:rPr>
              <w:t>Certification of Interim Principal Financial Officer pursuant to Rules 13a-14(a) and 15d-14(a) promulgated under the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320" w:type="dxa"/>
            <w:vAlign w:val="bottom"/>
            <w:tcBorders>
              <w:top w:val="single" w:sz="8" w:color="0000FF"/>
            </w:tcBorders>
            <w:gridSpan w:val="17"/>
          </w:tcPr>
          <w:p>
            <w:pPr>
              <w:spacing w:after="0" w:line="166" w:lineRule="exact"/>
              <w:rPr>
                <w:sz w:val="20"/>
                <w:szCs w:val="20"/>
                <w:color w:val="auto"/>
              </w:rPr>
            </w:pPr>
            <w:r>
              <w:rPr>
                <w:rFonts w:ascii="Times New Roman" w:cs="Times New Roman" w:eastAsia="Times New Roman" w:hAnsi="Times New Roman"/>
                <w:sz w:val="18"/>
                <w:szCs w:val="18"/>
                <w:color w:val="0000FF"/>
              </w:rPr>
              <w:t>Securities Exchange Act of 1934, as amended.</w:t>
            </w:r>
          </w:p>
        </w:tc>
        <w:tc>
          <w:tcPr>
            <w:tcW w:w="1540" w:type="dxa"/>
            <w:vAlign w:val="bottom"/>
            <w:gridSpan w:val="23"/>
          </w:tcPr>
          <w:p>
            <w:pPr>
              <w:spacing w:after="0"/>
              <w:rPr>
                <w:sz w:val="14"/>
                <w:szCs w:val="14"/>
                <w:color w:val="auto"/>
              </w:rPr>
            </w:pPr>
          </w:p>
        </w:tc>
        <w:tc>
          <w:tcPr>
            <w:tcW w:w="0" w:type="dxa"/>
            <w:vAlign w:val="bottom"/>
          </w:tcPr>
          <w:p>
            <w:pPr>
              <w:spacing w:after="0"/>
              <w:rPr>
                <w:sz w:val="1"/>
                <w:szCs w:val="1"/>
                <w:color w:val="auto"/>
              </w:rPr>
            </w:pPr>
          </w:p>
        </w:tc>
      </w:tr>
      <w:tr>
        <w:trPr>
          <w:trHeight w:val="899"/>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tcBorders>
              <w:top w:val="single" w:sz="8" w:color="0000FF"/>
            </w:tcBorders>
            <w:gridSpan w:val="3"/>
          </w:tcPr>
          <w:p>
            <w:pPr>
              <w:spacing w:after="0"/>
              <w:rPr>
                <w:sz w:val="24"/>
                <w:szCs w:val="24"/>
                <w:color w:val="auto"/>
              </w:rPr>
            </w:pP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5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07"/>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Table of Contents</w:t>
            </w:r>
          </w:p>
        </w:tc>
        <w:tc>
          <w:tcPr>
            <w:tcW w:w="1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2"/>
        </w:trPr>
        <w:tc>
          <w:tcPr>
            <w:tcW w:w="20" w:type="dxa"/>
            <w:vAlign w:val="bottom"/>
            <w:vMerge w:val="restart"/>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124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shd w:val="clear" w:color="auto" w:fill="CCEEFF"/>
          </w:tcPr>
          <w:p>
            <w:pPr>
              <w:spacing w:after="0"/>
              <w:rPr>
                <w:sz w:val="16"/>
                <w:szCs w:val="16"/>
                <w:color w:val="auto"/>
              </w:rPr>
            </w:pPr>
          </w:p>
        </w:tc>
        <w:tc>
          <w:tcPr>
            <w:tcW w:w="9180" w:type="dxa"/>
            <w:vAlign w:val="bottom"/>
            <w:gridSpan w:val="4"/>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0000FF"/>
              </w:rPr>
              <w:t>Certification of Principal Executive Officer and Interim Principal Financial Officer pursuant to 18 U.S.C. Section 1350, as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860" w:type="dxa"/>
            <w:vAlign w:val="bottom"/>
            <w:tcBorders>
              <w:top w:val="single" w:sz="8" w:color="0000FF"/>
              <w:bottom w:val="single" w:sz="8" w:color="0000FF"/>
            </w:tcBorders>
            <w:shd w:val="clear" w:color="auto" w:fill="CCEEFF"/>
          </w:tcPr>
          <w:p>
            <w:pPr>
              <w:spacing w:after="0" w:line="166" w:lineRule="exact"/>
              <w:rPr>
                <w:sz w:val="20"/>
                <w:szCs w:val="20"/>
                <w:color w:val="auto"/>
              </w:rPr>
            </w:pPr>
            <w:r>
              <w:rPr>
                <w:rFonts w:ascii="Times New Roman" w:cs="Times New Roman" w:eastAsia="Times New Roman" w:hAnsi="Times New Roman"/>
                <w:sz w:val="18"/>
                <w:szCs w:val="18"/>
                <w:color w:val="0000FF"/>
                <w:w w:val="98"/>
              </w:rPr>
              <w:t>adopted pursuant to Section 906 of the Sarbanes-Oxley Act of 2002.</w:t>
            </w:r>
          </w:p>
        </w:tc>
        <w:tc>
          <w:tcPr>
            <w:tcW w:w="3820" w:type="dxa"/>
            <w:vAlign w:val="bottom"/>
            <w:tcBorders>
              <w:top w:val="single" w:sz="8" w:color="0000FF"/>
              <w:bottom w:val="single" w:sz="8" w:color="CCEEFF"/>
            </w:tcBorders>
            <w:gridSpan w:val="2"/>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4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97.1</w:t>
            </w:r>
          </w:p>
        </w:tc>
        <w:tc>
          <w:tcPr>
            <w:tcW w:w="120" w:type="dxa"/>
            <w:vAlign w:val="bottom"/>
          </w:tcPr>
          <w:p>
            <w:pPr>
              <w:spacing w:after="0"/>
              <w:rPr>
                <w:sz w:val="16"/>
                <w:szCs w:val="16"/>
                <w:color w:val="auto"/>
              </w:rPr>
            </w:pPr>
          </w:p>
        </w:tc>
        <w:tc>
          <w:tcPr>
            <w:tcW w:w="9180" w:type="dxa"/>
            <w:vAlign w:val="bottom"/>
            <w:gridSpan w:val="4"/>
          </w:tcPr>
          <w:p>
            <w:pPr>
              <w:spacing w:after="0" w:line="187" w:lineRule="exact"/>
              <w:rPr>
                <w:sz w:val="20"/>
                <w:szCs w:val="20"/>
                <w:color w:val="auto"/>
              </w:rPr>
            </w:pPr>
            <w:r>
              <w:rPr>
                <w:rFonts w:ascii="Times New Roman" w:cs="Times New Roman" w:eastAsia="Times New Roman" w:hAnsi="Times New Roman"/>
                <w:sz w:val="18"/>
                <w:szCs w:val="18"/>
                <w:color w:val="0000FF"/>
              </w:rPr>
              <w:t>Jazz Pharmaceuticals plc Policy for Recoupment of Incentive Compensation</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6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3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24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auto"/>
              </w:rPr>
              <w:t>101.INS</w:t>
            </w:r>
          </w:p>
        </w:tc>
        <w:tc>
          <w:tcPr>
            <w:tcW w:w="120" w:type="dxa"/>
            <w:vAlign w:val="bottom"/>
            <w:shd w:val="clear" w:color="auto" w:fill="CCEEFF"/>
          </w:tcPr>
          <w:p>
            <w:pPr>
              <w:spacing w:after="0"/>
              <w:rPr>
                <w:sz w:val="15"/>
                <w:szCs w:val="15"/>
                <w:color w:val="auto"/>
              </w:rPr>
            </w:pPr>
          </w:p>
        </w:tc>
        <w:tc>
          <w:tcPr>
            <w:tcW w:w="9180" w:type="dxa"/>
            <w:vAlign w:val="bottom"/>
            <w:gridSpan w:val="4"/>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1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19"/>
                <w:szCs w:val="19"/>
                <w:color w:val="auto"/>
              </w:rPr>
            </w:pPr>
          </w:p>
        </w:tc>
        <w:tc>
          <w:tcPr>
            <w:tcW w:w="9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shd w:val="clear" w:color="auto" w:fill="CCEEFF"/>
          </w:tcPr>
          <w:p>
            <w:pPr>
              <w:spacing w:after="0"/>
              <w:rPr>
                <w:sz w:val="19"/>
                <w:szCs w:val="19"/>
                <w:color w:val="auto"/>
              </w:rPr>
            </w:pPr>
          </w:p>
        </w:tc>
        <w:tc>
          <w:tcPr>
            <w:tcW w:w="91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19"/>
                <w:szCs w:val="19"/>
                <w:color w:val="auto"/>
              </w:rPr>
            </w:pPr>
          </w:p>
        </w:tc>
        <w:tc>
          <w:tcPr>
            <w:tcW w:w="9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shd w:val="clear" w:color="auto" w:fill="CCEEFF"/>
          </w:tcPr>
          <w:p>
            <w:pPr>
              <w:spacing w:after="0"/>
              <w:rPr>
                <w:sz w:val="19"/>
                <w:szCs w:val="19"/>
                <w:color w:val="auto"/>
              </w:rPr>
            </w:pPr>
          </w:p>
        </w:tc>
        <w:tc>
          <w:tcPr>
            <w:tcW w:w="91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20" w:type="dxa"/>
            <w:vAlign w:val="bottom"/>
          </w:tcPr>
          <w:p>
            <w:pPr>
              <w:spacing w:after="0"/>
              <w:rPr>
                <w:sz w:val="19"/>
                <w:szCs w:val="19"/>
                <w:color w:val="auto"/>
              </w:rPr>
            </w:pPr>
          </w:p>
        </w:tc>
        <w:tc>
          <w:tcPr>
            <w:tcW w:w="9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9"/>
                <w:szCs w:val="19"/>
                <w:color w:val="auto"/>
              </w:rPr>
            </w:pPr>
          </w:p>
        </w:tc>
        <w:tc>
          <w:tcPr>
            <w:tcW w:w="91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112"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Indicates management contract or compensatory plan.</w:t>
      </w:r>
    </w:p>
    <w:p>
      <w:pPr>
        <w:spacing w:after="0" w:line="112" w:lineRule="exact"/>
        <w:rPr>
          <w:sz w:val="20"/>
          <w:szCs w:val="20"/>
          <w:color w:val="auto"/>
        </w:rPr>
      </w:pPr>
    </w:p>
    <w:p>
      <w:pPr>
        <w:ind w:left="560" w:right="480" w:hanging="554"/>
        <w:spacing w:after="0" w:line="276" w:lineRule="auto"/>
        <w:tabs>
          <w:tab w:leader="none" w:pos="26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granted for portions of this exhibit. Omitted portions have been filed separately with the Securities and Exchange Commission.</w:t>
      </w:r>
    </w:p>
    <w:p>
      <w:pPr>
        <w:spacing w:after="0" w:line="56"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Certain portions of this exhibit have been omitted pursuant to Item 601(b)(2) of Regulation S-K.</w:t>
      </w:r>
    </w:p>
    <w:p>
      <w:pPr>
        <w:spacing w:after="0" w:line="112" w:lineRule="exact"/>
        <w:rPr>
          <w:sz w:val="20"/>
          <w:szCs w:val="20"/>
          <w:color w:val="auto"/>
        </w:rPr>
      </w:pPr>
    </w:p>
    <w:p>
      <w:pPr>
        <w:ind w:left="560" w:hanging="554"/>
        <w:spacing w:after="0" w:line="276" w:lineRule="auto"/>
        <w:tabs>
          <w:tab w:leader="none" w:pos="26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document have been omitted pursuant to Item 601(b)(10) of Regulations S-K because they are both not material and are the type that the Company treats as private and confidential.</w:t>
      </w:r>
    </w:p>
    <w:p>
      <w:pPr>
        <w:spacing w:after="0" w:line="18" w:lineRule="exact"/>
        <w:rPr>
          <w:sz w:val="20"/>
          <w:szCs w:val="20"/>
          <w:color w:val="auto"/>
        </w:rPr>
      </w:pPr>
    </w:p>
    <w:p>
      <w:pPr>
        <w:ind w:left="560" w:right="280" w:hanging="554"/>
        <w:spacing w:after="0" w:line="232" w:lineRule="exact"/>
        <w:tabs>
          <w:tab w:leader="none" w:pos="26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accompany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pursuant to 18 U.S.C. Section 1350, as adopted pursuant to Section 906 of the Sarbanes-Oxley Act of 2002, and shall not be deemed “filed” by the Registrant for purposes of Section 18 of the Securities Exchange Act of 1934, as amended.</w:t>
      </w:r>
    </w:p>
    <w:p>
      <w:pPr>
        <w:spacing w:after="0" w:line="396" w:lineRule="exact"/>
        <w:rPr>
          <w:sz w:val="20"/>
          <w:szCs w:val="20"/>
          <w:color w:val="auto"/>
        </w:rPr>
      </w:pPr>
    </w:p>
    <w:p>
      <w:pPr>
        <w:spacing w:after="0" w:line="207" w:lineRule="exact"/>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w:t>
      </w:r>
      <w:r>
        <w:rPr>
          <w:rFonts w:ascii="MS PGothic" w:cs="MS PGothic" w:eastAsia="MS PGothic" w:hAnsi="MS PGothic"/>
          <w:sz w:val="17"/>
          <w:szCs w:val="17"/>
          <w:color w:val="auto"/>
          <w:strike w:val="1"/>
        </w:rPr>
        <w:t>‑</w:t>
      </w:r>
      <w:r>
        <w:rPr>
          <w:rFonts w:ascii="Times New Roman" w:cs="Times New Roman" w:eastAsia="Times New Roman" w:hAnsi="Times New Roman"/>
          <w:sz w:val="17"/>
          <w:szCs w:val="17"/>
          <w:b w:val="1"/>
          <w:bCs w:val="1"/>
          <w:color w:val="auto"/>
        </w:rPr>
        <w:t>K Summary</w:t>
      </w:r>
    </w:p>
    <w:p>
      <w:pPr>
        <w:spacing w:after="0" w:line="1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0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00"/>
          </w:cols>
          <w:pgMar w:left="320" w:top="106" w:right="47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8" w:lineRule="exact"/>
        <w:rPr>
          <w:sz w:val="20"/>
          <w:szCs w:val="20"/>
          <w:color w:val="auto"/>
        </w:rPr>
      </w:pPr>
    </w:p>
    <w:p>
      <w:pPr>
        <w:ind w:firstLine="439"/>
        <w:spacing w:after="0" w:line="276"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28, 2024</w:t>
            </w:r>
          </w:p>
        </w:tc>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Jazz Pharmaceuticals public limited company</w:t>
            </w:r>
          </w:p>
        </w:tc>
      </w:tr>
      <w:tr>
        <w:trPr>
          <w:trHeight w:val="226"/>
        </w:trPr>
        <w:tc>
          <w:tcPr>
            <w:tcW w:w="548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c>
          <w:tcPr>
            <w:tcW w:w="3540" w:type="dxa"/>
            <w:vAlign w:val="bottom"/>
          </w:tcPr>
          <w:p>
            <w:pPr>
              <w:spacing w:after="0"/>
              <w:rPr>
                <w:sz w:val="19"/>
                <w:szCs w:val="19"/>
                <w:color w:val="auto"/>
              </w:rPr>
            </w:pPr>
          </w:p>
        </w:tc>
      </w:tr>
      <w:tr>
        <w:trPr>
          <w:trHeight w:val="238"/>
        </w:trPr>
        <w:tc>
          <w:tcPr>
            <w:tcW w:w="5480" w:type="dxa"/>
            <w:vAlign w:val="bottom"/>
          </w:tcPr>
          <w:p>
            <w:pPr>
              <w:spacing w:after="0"/>
              <w:rPr>
                <w:sz w:val="20"/>
                <w:szCs w:val="20"/>
                <w:color w:val="auto"/>
              </w:rPr>
            </w:pPr>
          </w:p>
        </w:tc>
        <w:tc>
          <w:tcPr>
            <w:tcW w:w="218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8"/>
                <w:szCs w:val="18"/>
                <w:color w:val="auto"/>
              </w:rPr>
              <w:t>/s/</w:t>
            </w:r>
          </w:p>
        </w:tc>
        <w:tc>
          <w:tcPr>
            <w:tcW w:w="3540" w:type="dxa"/>
            <w:vAlign w:val="bottom"/>
            <w:tcBorders>
              <w:bottom w:val="single" w:sz="8" w:color="auto"/>
            </w:tcBorders>
          </w:tcPr>
          <w:p>
            <w:pPr>
              <w:jc w:val="center"/>
              <w:ind w:right="204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RUCE</w:t>
            </w:r>
            <w:r>
              <w:rPr>
                <w:rFonts w:ascii="Times New Roman" w:cs="Times New Roman" w:eastAsia="Times New Roman" w:hAnsi="Times New Roman"/>
                <w:sz w:val="18"/>
                <w:szCs w:val="18"/>
                <w:color w:val="auto"/>
              </w:rPr>
              <w:t xml:space="preserve"> C. C</w:t>
            </w:r>
            <w:r>
              <w:rPr>
                <w:rFonts w:ascii="Times New Roman" w:cs="Times New Roman" w:eastAsia="Times New Roman" w:hAnsi="Times New Roman"/>
                <w:sz w:val="14"/>
                <w:szCs w:val="14"/>
                <w:color w:val="auto"/>
              </w:rPr>
              <w:t>OZADD</w:t>
            </w:r>
          </w:p>
        </w:tc>
      </w:tr>
      <w:tr>
        <w:trPr>
          <w:trHeight w:val="135"/>
        </w:trPr>
        <w:tc>
          <w:tcPr>
            <w:tcW w:w="548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3540" w:type="dxa"/>
            <w:vAlign w:val="bottom"/>
          </w:tcPr>
          <w:p>
            <w:pPr>
              <w:jc w:val="center"/>
              <w:ind w:right="2100"/>
              <w:spacing w:after="0" w:line="135" w:lineRule="exact"/>
              <w:rPr>
                <w:sz w:val="20"/>
                <w:szCs w:val="20"/>
                <w:color w:val="auto"/>
              </w:rPr>
            </w:pPr>
            <w:r>
              <w:rPr>
                <w:rFonts w:ascii="Times New Roman" w:cs="Times New Roman" w:eastAsia="Times New Roman" w:hAnsi="Times New Roman"/>
                <w:sz w:val="14"/>
                <w:szCs w:val="14"/>
                <w:b w:val="1"/>
                <w:bCs w:val="1"/>
                <w:color w:val="auto"/>
              </w:rPr>
              <w:t>Bruce C. Cozadd</w:t>
            </w:r>
          </w:p>
        </w:tc>
      </w:tr>
      <w:tr>
        <w:trPr>
          <w:trHeight w:val="144"/>
        </w:trPr>
        <w:tc>
          <w:tcPr>
            <w:tcW w:w="5480" w:type="dxa"/>
            <w:vAlign w:val="bottom"/>
          </w:tcPr>
          <w:p>
            <w:pPr>
              <w:spacing w:after="0"/>
              <w:rPr>
                <w:sz w:val="12"/>
                <w:szCs w:val="12"/>
                <w:color w:val="auto"/>
              </w:rPr>
            </w:pPr>
          </w:p>
        </w:tc>
        <w:tc>
          <w:tcPr>
            <w:tcW w:w="572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Chairman and Chief Executive Officer and Director</w:t>
            </w:r>
          </w:p>
        </w:tc>
      </w:tr>
      <w:tr>
        <w:trPr>
          <w:trHeight w:val="186"/>
        </w:trPr>
        <w:tc>
          <w:tcPr>
            <w:tcW w:w="5480" w:type="dxa"/>
            <w:vAlign w:val="bottom"/>
          </w:tcPr>
          <w:p>
            <w:pPr>
              <w:spacing w:after="0"/>
              <w:rPr>
                <w:sz w:val="16"/>
                <w:szCs w:val="16"/>
                <w:color w:val="auto"/>
              </w:rPr>
            </w:pPr>
          </w:p>
        </w:tc>
        <w:tc>
          <w:tcPr>
            <w:tcW w:w="5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tc>
      </w:tr>
      <w:tr>
        <w:trPr>
          <w:trHeight w:val="539"/>
        </w:trPr>
        <w:tc>
          <w:tcPr>
            <w:tcW w:w="5480" w:type="dxa"/>
            <w:vAlign w:val="bottom"/>
          </w:tcPr>
          <w:p>
            <w:pPr>
              <w:spacing w:after="0"/>
              <w:rPr>
                <w:sz w:val="24"/>
                <w:szCs w:val="24"/>
                <w:color w:val="auto"/>
              </w:rPr>
            </w:pPr>
          </w:p>
        </w:tc>
        <w:tc>
          <w:tcPr>
            <w:tcW w:w="218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/s/</w:t>
            </w:r>
          </w:p>
        </w:tc>
        <w:tc>
          <w:tcPr>
            <w:tcW w:w="3540" w:type="dxa"/>
            <w:vAlign w:val="bottom"/>
            <w:tcBorders>
              <w:bottom w:val="single" w:sz="8" w:color="auto"/>
            </w:tcBorders>
          </w:tcPr>
          <w:p>
            <w:pPr>
              <w:jc w:val="center"/>
              <w:ind w:right="2040"/>
              <w:spacing w:after="0"/>
              <w:rPr>
                <w:sz w:val="20"/>
                <w:szCs w:val="20"/>
                <w:color w:val="auto"/>
              </w:rPr>
            </w:pPr>
            <w:r>
              <w:rPr>
                <w:rFonts w:ascii="Times New Roman" w:cs="Times New Roman" w:eastAsia="Times New Roman" w:hAnsi="Times New Roman"/>
                <w:sz w:val="18"/>
                <w:szCs w:val="18"/>
                <w:color w:val="auto"/>
                <w:w w:val="98"/>
              </w:rPr>
              <w:t>P</w:t>
            </w:r>
            <w:r>
              <w:rPr>
                <w:rFonts w:ascii="Times New Roman" w:cs="Times New Roman" w:eastAsia="Times New Roman" w:hAnsi="Times New Roman"/>
                <w:sz w:val="14"/>
                <w:szCs w:val="14"/>
                <w:color w:val="auto"/>
                <w:w w:val="98"/>
              </w:rPr>
              <w:t>ATRICIA</w:t>
            </w:r>
            <w:r>
              <w:rPr>
                <w:rFonts w:ascii="Times New Roman" w:cs="Times New Roman" w:eastAsia="Times New Roman" w:hAnsi="Times New Roman"/>
                <w:sz w:val="18"/>
                <w:szCs w:val="18"/>
                <w:color w:val="auto"/>
                <w:w w:val="98"/>
              </w:rPr>
              <w:t xml:space="preserve"> C</w:t>
            </w:r>
            <w:r>
              <w:rPr>
                <w:rFonts w:ascii="Times New Roman" w:cs="Times New Roman" w:eastAsia="Times New Roman" w:hAnsi="Times New Roman"/>
                <w:sz w:val="14"/>
                <w:szCs w:val="14"/>
                <w:color w:val="auto"/>
                <w:w w:val="98"/>
              </w:rPr>
              <w:t>ARR</w:t>
            </w:r>
          </w:p>
        </w:tc>
      </w:tr>
      <w:tr>
        <w:trPr>
          <w:trHeight w:val="153"/>
        </w:trPr>
        <w:tc>
          <w:tcPr>
            <w:tcW w:w="54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3540" w:type="dxa"/>
            <w:vAlign w:val="bottom"/>
          </w:tcPr>
          <w:p>
            <w:pPr>
              <w:jc w:val="center"/>
              <w:ind w:right="2100"/>
              <w:spacing w:after="0" w:line="153" w:lineRule="exact"/>
              <w:rPr>
                <w:sz w:val="20"/>
                <w:szCs w:val="20"/>
                <w:color w:val="auto"/>
              </w:rPr>
            </w:pPr>
            <w:r>
              <w:rPr>
                <w:rFonts w:ascii="Times New Roman" w:cs="Times New Roman" w:eastAsia="Times New Roman" w:hAnsi="Times New Roman"/>
                <w:sz w:val="14"/>
                <w:szCs w:val="14"/>
                <w:b w:val="1"/>
                <w:bCs w:val="1"/>
                <w:color w:val="auto"/>
                <w:w w:val="99"/>
              </w:rPr>
              <w:t>Patricia Carr</w:t>
            </w:r>
          </w:p>
        </w:tc>
      </w:tr>
    </w:tbl>
    <w:p>
      <w:pPr>
        <w:jc w:val="center"/>
        <w:ind w:left="5460"/>
        <w:spacing w:after="0" w:line="198" w:lineRule="auto"/>
        <w:rPr>
          <w:sz w:val="20"/>
          <w:szCs w:val="20"/>
          <w:color w:val="auto"/>
        </w:rPr>
      </w:pPr>
      <w:r>
        <w:rPr>
          <w:rFonts w:ascii="Times New Roman" w:cs="Times New Roman" w:eastAsia="Times New Roman" w:hAnsi="Times New Roman"/>
          <w:sz w:val="14"/>
          <w:szCs w:val="14"/>
          <w:b w:val="1"/>
          <w:bCs w:val="1"/>
          <w:color w:val="auto"/>
        </w:rPr>
        <w:t>Senior Vice President, Chief Accounting Officer</w:t>
      </w:r>
    </w:p>
    <w:p>
      <w:pPr>
        <w:jc w:val="center"/>
        <w:ind w:left="5460"/>
        <w:spacing w:after="0"/>
        <w:rPr>
          <w:sz w:val="20"/>
          <w:szCs w:val="20"/>
          <w:color w:val="auto"/>
        </w:rPr>
      </w:pPr>
      <w:r>
        <w:rPr>
          <w:rFonts w:ascii="Times New Roman" w:cs="Times New Roman" w:eastAsia="Times New Roman" w:hAnsi="Times New Roman"/>
          <w:sz w:val="14"/>
          <w:szCs w:val="14"/>
          <w:b w:val="1"/>
          <w:bCs w:val="1"/>
          <w:color w:val="auto"/>
        </w:rPr>
        <w:t>(Principal Accounting Officer and Interim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0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68" w:lineRule="exact"/>
        <w:rPr>
          <w:sz w:val="20"/>
          <w:szCs w:val="20"/>
          <w:color w:val="auto"/>
        </w:rPr>
      </w:pPr>
    </w:p>
    <w:p>
      <w:pPr>
        <w:ind w:firstLine="439"/>
        <w:spacing w:after="0" w:line="216" w:lineRule="exact"/>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Bruce C. Cozadd, Renée Galá, Neena M. Patil and Patricia Carr, and each of them, as his or her true and lawful attorneys-in-fact and agents, with full power of substitution for him or her, and in his or her name in any and all capacities, to sign any and all amendments to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therewith, as fully to all intents and purposes as he or she might or could do in person, hereby ratifying and confirming all that said attorneys-in-fact and agents, and any of them, his or her substitute or substitutes, may lawfully do or cause to be done by virtue hereof.</w:t>
      </w:r>
    </w:p>
    <w:p>
      <w:pPr>
        <w:spacing w:after="0" w:line="141" w:lineRule="exact"/>
        <w:rPr>
          <w:sz w:val="20"/>
          <w:szCs w:val="20"/>
          <w:color w:val="auto"/>
        </w:rPr>
      </w:pPr>
    </w:p>
    <w:p>
      <w:pPr>
        <w:ind w:right="160" w:firstLine="439"/>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following persons on behalf of the registrant and in the capacities and on the dates indicated have signed this report below:</w:t>
      </w:r>
    </w:p>
    <w:p>
      <w:pPr>
        <w:sectPr>
          <w:pgSz w:w="11900" w:h="16838" w:orient="portrait"/>
          <w:cols w:equalWidth="0" w:num="1">
            <w:col w:w="11240"/>
          </w:cols>
          <w:pgMar w:left="320" w:top="121" w:right="339" w:bottom="1440" w:gutter="0" w:footer="0" w:header="0"/>
        </w:sectPr>
      </w:pP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0" w:type="dxa"/>
            <w:vAlign w:val="bottom"/>
            <w:gridSpan w:val="2"/>
          </w:tcPr>
          <w:p>
            <w:pPr>
              <w:jc w:val="center"/>
              <w:ind w:right="1620"/>
              <w:spacing w:after="0"/>
              <w:rPr>
                <w:sz w:val="20"/>
                <w:szCs w:val="20"/>
                <w:color w:val="auto"/>
              </w:rPr>
            </w:pPr>
            <w:r>
              <w:rPr>
                <w:rFonts w:ascii="Times New Roman" w:cs="Times New Roman" w:eastAsia="Times New Roman" w:hAnsi="Times New Roman"/>
                <w:sz w:val="14"/>
                <w:szCs w:val="14"/>
                <w:b w:val="1"/>
                <w:bCs w:val="1"/>
                <w:color w:val="auto"/>
                <w:w w:val="99"/>
              </w:rPr>
              <w:t>Signature</w:t>
            </w:r>
          </w:p>
        </w:tc>
      </w:tr>
      <w:tr>
        <w:trPr>
          <w:trHeight w:val="20"/>
        </w:trPr>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33"/>
        </w:trPr>
        <w:tc>
          <w:tcPr>
            <w:tcW w:w="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3"/>
              </w:rPr>
              <w:t>/s/</w:t>
            </w:r>
          </w:p>
        </w:tc>
        <w:tc>
          <w:tcPr>
            <w:tcW w:w="2720" w:type="dxa"/>
            <w:vAlign w:val="bottom"/>
            <w:tcBorders>
              <w:bottom w:val="single" w:sz="8" w:color="auto"/>
            </w:tcBorders>
            <w:gridSpan w:val="4"/>
          </w:tcPr>
          <w:p>
            <w:pPr>
              <w:jc w:val="center"/>
              <w:ind w:right="104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RUCE</w:t>
            </w:r>
            <w:r>
              <w:rPr>
                <w:rFonts w:ascii="Times New Roman" w:cs="Times New Roman" w:eastAsia="Times New Roman" w:hAnsi="Times New Roman"/>
                <w:sz w:val="18"/>
                <w:szCs w:val="18"/>
                <w:color w:val="auto"/>
              </w:rPr>
              <w:t xml:space="preserve"> C. C</w:t>
            </w:r>
            <w:r>
              <w:rPr>
                <w:rFonts w:ascii="Times New Roman" w:cs="Times New Roman" w:eastAsia="Times New Roman" w:hAnsi="Times New Roman"/>
                <w:sz w:val="14"/>
                <w:szCs w:val="14"/>
                <w:color w:val="auto"/>
              </w:rPr>
              <w:t>OZADD</w:t>
            </w:r>
          </w:p>
        </w:tc>
      </w:tr>
      <w:tr>
        <w:trPr>
          <w:trHeight w:val="186"/>
        </w:trPr>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3"/>
          </w:tcPr>
          <w:p>
            <w:pPr>
              <w:jc w:val="center"/>
              <w:ind w:right="1380"/>
              <w:spacing w:after="0"/>
              <w:rPr>
                <w:sz w:val="20"/>
                <w:szCs w:val="20"/>
                <w:color w:val="auto"/>
              </w:rPr>
            </w:pPr>
            <w:r>
              <w:rPr>
                <w:rFonts w:ascii="Times New Roman" w:cs="Times New Roman" w:eastAsia="Times New Roman" w:hAnsi="Times New Roman"/>
                <w:sz w:val="14"/>
                <w:szCs w:val="14"/>
                <w:b w:val="1"/>
                <w:bCs w:val="1"/>
                <w:color w:val="auto"/>
                <w:w w:val="99"/>
              </w:rPr>
              <w:t>Bruce C. Cozadd</w:t>
            </w:r>
          </w:p>
        </w:tc>
      </w:tr>
      <w:tr>
        <w:trPr>
          <w:trHeight w:val="380"/>
        </w:trPr>
        <w:tc>
          <w:tcPr>
            <w:tcW w:w="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w:t>
            </w:r>
          </w:p>
        </w:tc>
        <w:tc>
          <w:tcPr>
            <w:tcW w:w="2440" w:type="dxa"/>
            <w:vAlign w:val="bottom"/>
            <w:tcBorders>
              <w:bottom w:val="single" w:sz="8" w:color="auto"/>
            </w:tcBorders>
            <w:gridSpan w:val="3"/>
          </w:tcPr>
          <w:p>
            <w:pPr>
              <w:jc w:val="right"/>
              <w:ind w:right="118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ATRICIA</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ARR</w:t>
            </w:r>
          </w:p>
        </w:tc>
      </w:tr>
      <w:tr>
        <w:trPr>
          <w:trHeight w:val="186"/>
        </w:trPr>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3"/>
          </w:tcPr>
          <w:p>
            <w:pPr>
              <w:jc w:val="center"/>
              <w:ind w:right="1380"/>
              <w:spacing w:after="0"/>
              <w:rPr>
                <w:sz w:val="20"/>
                <w:szCs w:val="20"/>
                <w:color w:val="auto"/>
              </w:rPr>
            </w:pPr>
            <w:r>
              <w:rPr>
                <w:rFonts w:ascii="Times New Roman" w:cs="Times New Roman" w:eastAsia="Times New Roman" w:hAnsi="Times New Roman"/>
                <w:sz w:val="14"/>
                <w:szCs w:val="14"/>
                <w:b w:val="1"/>
                <w:bCs w:val="1"/>
                <w:color w:val="auto"/>
              </w:rPr>
              <w:t>Patricia Carr</w:t>
            </w:r>
          </w:p>
        </w:tc>
      </w:tr>
      <w:tr>
        <w:trPr>
          <w:trHeight w:val="260"/>
        </w:trPr>
        <w:tc>
          <w:tcPr>
            <w:tcW w:w="7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82"/>
              </w:rPr>
              <w:t>/s/</w:t>
            </w:r>
          </w:p>
        </w:tc>
        <w:tc>
          <w:tcPr>
            <w:tcW w:w="2720" w:type="dxa"/>
            <w:vAlign w:val="bottom"/>
            <w:tcBorders>
              <w:bottom w:val="single" w:sz="8" w:color="auto"/>
            </w:tcBorders>
            <w:gridSpan w:val="4"/>
          </w:tcPr>
          <w:p>
            <w:pPr>
              <w:jc w:val="center"/>
              <w:ind w:right="1060"/>
              <w:spacing w:after="0"/>
              <w:rPr>
                <w:sz w:val="20"/>
                <w:szCs w:val="20"/>
                <w:color w:val="auto"/>
              </w:rPr>
            </w:pPr>
            <w:r>
              <w:rPr>
                <w:rFonts w:ascii="Times New Roman" w:cs="Times New Roman" w:eastAsia="Times New Roman" w:hAnsi="Times New Roman"/>
                <w:sz w:val="18"/>
                <w:szCs w:val="18"/>
                <w:color w:val="auto"/>
                <w:w w:val="98"/>
              </w:rPr>
              <w:t>J</w:t>
            </w:r>
            <w:r>
              <w:rPr>
                <w:rFonts w:ascii="Times New Roman" w:cs="Times New Roman" w:eastAsia="Times New Roman" w:hAnsi="Times New Roman"/>
                <w:sz w:val="14"/>
                <w:szCs w:val="14"/>
                <w:color w:val="auto"/>
                <w:w w:val="98"/>
              </w:rPr>
              <w:t>ENNIFER</w:t>
            </w:r>
            <w:r>
              <w:rPr>
                <w:rFonts w:ascii="Times New Roman" w:cs="Times New Roman" w:eastAsia="Times New Roman" w:hAnsi="Times New Roman"/>
                <w:sz w:val="18"/>
                <w:szCs w:val="18"/>
                <w:color w:val="auto"/>
                <w:w w:val="98"/>
              </w:rPr>
              <w:t xml:space="preserve"> E</w:t>
            </w:r>
            <w:r>
              <w:rPr>
                <w:rFonts w:ascii="Times New Roman" w:cs="Times New Roman" w:eastAsia="Times New Roman" w:hAnsi="Times New Roman"/>
                <w:sz w:val="14"/>
                <w:szCs w:val="14"/>
                <w:color w:val="auto"/>
                <w:w w:val="98"/>
              </w:rPr>
              <w:t>.</w:t>
            </w:r>
            <w:r>
              <w:rPr>
                <w:rFonts w:ascii="Times New Roman" w:cs="Times New Roman" w:eastAsia="Times New Roman" w:hAnsi="Times New Roman"/>
                <w:sz w:val="18"/>
                <w:szCs w:val="18"/>
                <w:color w:val="auto"/>
                <w:w w:val="98"/>
              </w:rPr>
              <w:t xml:space="preserve"> C</w:t>
            </w:r>
            <w:r>
              <w:rPr>
                <w:rFonts w:ascii="Times New Roman" w:cs="Times New Roman" w:eastAsia="Times New Roman" w:hAnsi="Times New Roman"/>
                <w:sz w:val="14"/>
                <w:szCs w:val="14"/>
                <w:color w:val="auto"/>
                <w:w w:val="98"/>
              </w:rPr>
              <w:t>OOK</w:t>
            </w:r>
          </w:p>
        </w:tc>
      </w:tr>
      <w:tr>
        <w:trPr>
          <w:trHeight w:val="186"/>
        </w:trPr>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3"/>
          </w:tcPr>
          <w:p>
            <w:pPr>
              <w:jc w:val="center"/>
              <w:ind w:right="1380"/>
              <w:spacing w:after="0"/>
              <w:rPr>
                <w:sz w:val="20"/>
                <w:szCs w:val="20"/>
                <w:color w:val="auto"/>
              </w:rPr>
            </w:pPr>
            <w:r>
              <w:rPr>
                <w:rFonts w:ascii="Times New Roman" w:cs="Times New Roman" w:eastAsia="Times New Roman" w:hAnsi="Times New Roman"/>
                <w:sz w:val="14"/>
                <w:szCs w:val="14"/>
                <w:b w:val="1"/>
                <w:bCs w:val="1"/>
                <w:color w:val="auto"/>
              </w:rPr>
              <w:t>Jennifer E. Cook</w:t>
            </w:r>
          </w:p>
        </w:tc>
      </w:tr>
      <w:tr>
        <w:trPr>
          <w:trHeight w:val="260"/>
        </w:trPr>
        <w:tc>
          <w:tcPr>
            <w:tcW w:w="7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w:t>
            </w:r>
          </w:p>
        </w:tc>
        <w:tc>
          <w:tcPr>
            <w:tcW w:w="2720" w:type="dxa"/>
            <w:vAlign w:val="bottom"/>
            <w:tcBorders>
              <w:bottom w:val="single" w:sz="8" w:color="auto"/>
            </w:tcBorders>
            <w:gridSpan w:val="4"/>
          </w:tcPr>
          <w:p>
            <w:pPr>
              <w:jc w:val="center"/>
              <w:ind w:right="1040"/>
              <w:spacing w:after="0"/>
              <w:rPr>
                <w:sz w:val="20"/>
                <w:szCs w:val="20"/>
                <w:color w:val="auto"/>
              </w:rPr>
            </w:pPr>
            <w:r>
              <w:rPr>
                <w:rFonts w:ascii="Times New Roman" w:cs="Times New Roman" w:eastAsia="Times New Roman" w:hAnsi="Times New Roman"/>
                <w:sz w:val="18"/>
                <w:szCs w:val="18"/>
                <w:color w:val="auto"/>
                <w:w w:val="97"/>
              </w:rPr>
              <w:t>P</w:t>
            </w:r>
            <w:r>
              <w:rPr>
                <w:rFonts w:ascii="Times New Roman" w:cs="Times New Roman" w:eastAsia="Times New Roman" w:hAnsi="Times New Roman"/>
                <w:sz w:val="14"/>
                <w:szCs w:val="14"/>
                <w:color w:val="auto"/>
                <w:w w:val="97"/>
              </w:rPr>
              <w:t>ATRICK</w:t>
            </w:r>
            <w:r>
              <w:rPr>
                <w:rFonts w:ascii="Times New Roman" w:cs="Times New Roman" w:eastAsia="Times New Roman" w:hAnsi="Times New Roman"/>
                <w:sz w:val="18"/>
                <w:szCs w:val="18"/>
                <w:color w:val="auto"/>
                <w:w w:val="97"/>
              </w:rPr>
              <w:t xml:space="preserve"> G</w:t>
            </w:r>
            <w:r>
              <w:rPr>
                <w:rFonts w:ascii="Times New Roman" w:cs="Times New Roman" w:eastAsia="Times New Roman" w:hAnsi="Times New Roman"/>
                <w:sz w:val="14"/>
                <w:szCs w:val="14"/>
                <w:color w:val="auto"/>
                <w:w w:val="97"/>
              </w:rPr>
              <w:t>.</w:t>
            </w:r>
            <w:r>
              <w:rPr>
                <w:rFonts w:ascii="Times New Roman" w:cs="Times New Roman" w:eastAsia="Times New Roman" w:hAnsi="Times New Roman"/>
                <w:sz w:val="18"/>
                <w:szCs w:val="18"/>
                <w:color w:val="auto"/>
                <w:w w:val="97"/>
              </w:rPr>
              <w:t xml:space="preserve"> E</w:t>
            </w:r>
            <w:r>
              <w:rPr>
                <w:rFonts w:ascii="Times New Roman" w:cs="Times New Roman" w:eastAsia="Times New Roman" w:hAnsi="Times New Roman"/>
                <w:sz w:val="14"/>
                <w:szCs w:val="14"/>
                <w:color w:val="auto"/>
                <w:w w:val="97"/>
              </w:rPr>
              <w:t>NRIGHT</w:t>
            </w:r>
          </w:p>
        </w:tc>
      </w:tr>
      <w:tr>
        <w:trPr>
          <w:trHeight w:val="186"/>
        </w:trPr>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4"/>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Patrick G. Enright</w:t>
            </w:r>
          </w:p>
        </w:tc>
      </w:tr>
      <w:tr>
        <w:trPr>
          <w:trHeight w:val="260"/>
        </w:trPr>
        <w:tc>
          <w:tcPr>
            <w:tcW w:w="7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2440" w:type="dxa"/>
            <w:vAlign w:val="bottom"/>
            <w:tcBorders>
              <w:bottom w:val="single" w:sz="8" w:color="auto"/>
            </w:tcBorders>
            <w:gridSpan w:val="3"/>
          </w:tcPr>
          <w:p>
            <w:pPr>
              <w:jc w:val="center"/>
              <w:ind w:right="1400"/>
              <w:spacing w:after="0"/>
              <w:rPr>
                <w:sz w:val="20"/>
                <w:szCs w:val="20"/>
                <w:color w:val="auto"/>
              </w:rPr>
            </w:pPr>
            <w:r>
              <w:rPr>
                <w:rFonts w:ascii="Times New Roman" w:cs="Times New Roman" w:eastAsia="Times New Roman" w:hAnsi="Times New Roman"/>
                <w:sz w:val="18"/>
                <w:szCs w:val="18"/>
                <w:color w:val="auto"/>
                <w:w w:val="99"/>
              </w:rPr>
              <w:t>P</w:t>
            </w:r>
            <w:r>
              <w:rPr>
                <w:rFonts w:ascii="Times New Roman" w:cs="Times New Roman" w:eastAsia="Times New Roman" w:hAnsi="Times New Roman"/>
                <w:sz w:val="14"/>
                <w:szCs w:val="14"/>
                <w:color w:val="auto"/>
                <w:w w:val="99"/>
              </w:rPr>
              <w:t>ETER</w:t>
            </w:r>
            <w:r>
              <w:rPr>
                <w:rFonts w:ascii="Times New Roman" w:cs="Times New Roman" w:eastAsia="Times New Roman" w:hAnsi="Times New Roman"/>
                <w:sz w:val="18"/>
                <w:szCs w:val="18"/>
                <w:color w:val="auto"/>
                <w:w w:val="99"/>
              </w:rPr>
              <w:t xml:space="preserve"> G</w:t>
            </w:r>
            <w:r>
              <w:rPr>
                <w:rFonts w:ascii="Times New Roman" w:cs="Times New Roman" w:eastAsia="Times New Roman" w:hAnsi="Times New Roman"/>
                <w:sz w:val="14"/>
                <w:szCs w:val="14"/>
                <w:color w:val="auto"/>
                <w:w w:val="99"/>
              </w:rPr>
              <w:t>RAY</w:t>
            </w:r>
          </w:p>
        </w:tc>
      </w:tr>
      <w:tr>
        <w:trPr>
          <w:trHeight w:val="186"/>
        </w:trPr>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3"/>
          </w:tcPr>
          <w:p>
            <w:pPr>
              <w:jc w:val="center"/>
              <w:ind w:right="1380"/>
              <w:spacing w:after="0"/>
              <w:rPr>
                <w:sz w:val="20"/>
                <w:szCs w:val="20"/>
                <w:color w:val="auto"/>
              </w:rPr>
            </w:pPr>
            <w:r>
              <w:rPr>
                <w:rFonts w:ascii="Times New Roman" w:cs="Times New Roman" w:eastAsia="Times New Roman" w:hAnsi="Times New Roman"/>
                <w:sz w:val="14"/>
                <w:szCs w:val="14"/>
                <w:b w:val="1"/>
                <w:bCs w:val="1"/>
                <w:color w:val="auto"/>
                <w:w w:val="99"/>
              </w:rPr>
              <w:t>Peter Gray</w:t>
            </w:r>
          </w:p>
        </w:tc>
      </w:tr>
      <w:tr>
        <w:trPr>
          <w:trHeight w:val="260"/>
        </w:trPr>
        <w:tc>
          <w:tcPr>
            <w:tcW w:w="1100" w:type="dxa"/>
            <w:vAlign w:val="bottom"/>
            <w:tcBorders>
              <w:bottom w:val="single" w:sz="8" w:color="auto"/>
            </w:tcBorders>
            <w:gridSpan w:val="2"/>
          </w:tcPr>
          <w:p>
            <w:pPr>
              <w:ind w:left="760"/>
              <w:spacing w:after="0"/>
              <w:rPr>
                <w:sz w:val="20"/>
                <w:szCs w:val="20"/>
                <w:color w:val="auto"/>
              </w:rPr>
            </w:pPr>
            <w:r>
              <w:rPr>
                <w:rFonts w:ascii="Times New Roman" w:cs="Times New Roman" w:eastAsia="Times New Roman" w:hAnsi="Times New Roman"/>
                <w:sz w:val="18"/>
                <w:szCs w:val="18"/>
                <w:color w:val="auto"/>
              </w:rPr>
              <w:t>/s/</w:t>
            </w:r>
          </w:p>
        </w:tc>
        <w:tc>
          <w:tcPr>
            <w:tcW w:w="2720" w:type="dxa"/>
            <w:vAlign w:val="bottom"/>
            <w:tcBorders>
              <w:bottom w:val="single" w:sz="8" w:color="auto"/>
            </w:tcBorders>
            <w:gridSpan w:val="4"/>
          </w:tcPr>
          <w:p>
            <w:pPr>
              <w:jc w:val="right"/>
              <w:ind w:right="800"/>
              <w:spacing w:after="0"/>
              <w:rPr>
                <w:sz w:val="20"/>
                <w:szCs w:val="20"/>
                <w:color w:val="auto"/>
              </w:rPr>
            </w:pPr>
            <w:r>
              <w:rPr>
                <w:rFonts w:ascii="Times New Roman" w:cs="Times New Roman" w:eastAsia="Times New Roman" w:hAnsi="Times New Roman"/>
                <w:sz w:val="18"/>
                <w:szCs w:val="18"/>
                <w:color w:val="auto"/>
                <w:w w:val="98"/>
              </w:rPr>
              <w:t>H</w:t>
            </w:r>
            <w:r>
              <w:rPr>
                <w:rFonts w:ascii="Times New Roman" w:cs="Times New Roman" w:eastAsia="Times New Roman" w:hAnsi="Times New Roman"/>
                <w:sz w:val="14"/>
                <w:szCs w:val="14"/>
                <w:color w:val="auto"/>
                <w:w w:val="98"/>
              </w:rPr>
              <w:t>EATHER</w:t>
            </w:r>
            <w:r>
              <w:rPr>
                <w:rFonts w:ascii="Times New Roman" w:cs="Times New Roman" w:eastAsia="Times New Roman" w:hAnsi="Times New Roman"/>
                <w:sz w:val="18"/>
                <w:szCs w:val="18"/>
                <w:color w:val="auto"/>
                <w:w w:val="98"/>
              </w:rPr>
              <w:t xml:space="preserve"> A</w:t>
            </w:r>
            <w:r>
              <w:rPr>
                <w:rFonts w:ascii="Times New Roman" w:cs="Times New Roman" w:eastAsia="Times New Roman" w:hAnsi="Times New Roman"/>
                <w:sz w:val="14"/>
                <w:szCs w:val="14"/>
                <w:color w:val="auto"/>
                <w:w w:val="98"/>
              </w:rPr>
              <w:t>NN</w:t>
            </w:r>
            <w:r>
              <w:rPr>
                <w:rFonts w:ascii="Times New Roman" w:cs="Times New Roman" w:eastAsia="Times New Roman" w:hAnsi="Times New Roman"/>
                <w:sz w:val="18"/>
                <w:szCs w:val="18"/>
                <w:color w:val="auto"/>
                <w:w w:val="98"/>
              </w:rPr>
              <w:t xml:space="preserve"> M</w:t>
            </w:r>
            <w:r>
              <w:rPr>
                <w:rFonts w:ascii="Times New Roman" w:cs="Times New Roman" w:eastAsia="Times New Roman" w:hAnsi="Times New Roman"/>
                <w:sz w:val="14"/>
                <w:szCs w:val="14"/>
                <w:color w:val="auto"/>
                <w:w w:val="98"/>
              </w:rPr>
              <w:t>CSHARRY</w:t>
            </w:r>
          </w:p>
        </w:tc>
      </w:tr>
      <w:tr>
        <w:trPr>
          <w:trHeight w:val="186"/>
        </w:trPr>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4"/>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Heather Ann McSharry</w:t>
            </w:r>
          </w:p>
        </w:tc>
      </w:tr>
      <w:tr>
        <w:trPr>
          <w:trHeight w:val="260"/>
        </w:trPr>
        <w:tc>
          <w:tcPr>
            <w:tcW w:w="7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82"/>
              </w:rPr>
              <w:t>/s/</w:t>
            </w:r>
          </w:p>
        </w:tc>
        <w:tc>
          <w:tcPr>
            <w:tcW w:w="3040" w:type="dxa"/>
            <w:vAlign w:val="bottom"/>
            <w:tcBorders>
              <w:bottom w:val="single" w:sz="8" w:color="auto"/>
            </w:tcBorders>
            <w:gridSpan w:val="5"/>
          </w:tcPr>
          <w:p>
            <w:pPr>
              <w:jc w:val="right"/>
              <w:ind w:right="118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EAMUS</w:t>
            </w:r>
            <w:r>
              <w:rPr>
                <w:rFonts w:ascii="Times New Roman" w:cs="Times New Roman" w:eastAsia="Times New Roman" w:hAnsi="Times New Roman"/>
                <w:sz w:val="18"/>
                <w:szCs w:val="18"/>
                <w:color w:val="auto"/>
              </w:rPr>
              <w:t xml:space="preserve"> C. M</w:t>
            </w:r>
            <w:r>
              <w:rPr>
                <w:rFonts w:ascii="Times New Roman" w:cs="Times New Roman" w:eastAsia="Times New Roman" w:hAnsi="Times New Roman"/>
                <w:sz w:val="14"/>
                <w:szCs w:val="14"/>
                <w:color w:val="auto"/>
              </w:rPr>
              <w:t>ULLIGAN</w:t>
            </w:r>
          </w:p>
        </w:tc>
      </w:tr>
      <w:tr>
        <w:trPr>
          <w:trHeight w:val="186"/>
        </w:trPr>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4"/>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Seamus C. Mulligan</w:t>
            </w:r>
          </w:p>
        </w:tc>
      </w:tr>
      <w:tr>
        <w:trPr>
          <w:trHeight w:val="260"/>
        </w:trPr>
        <w:tc>
          <w:tcPr>
            <w:tcW w:w="7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2720" w:type="dxa"/>
            <w:vAlign w:val="bottom"/>
            <w:tcBorders>
              <w:bottom w:val="single" w:sz="8" w:color="auto"/>
            </w:tcBorders>
            <w:gridSpan w:val="4"/>
          </w:tcPr>
          <w:p>
            <w:pPr>
              <w:jc w:val="center"/>
              <w:ind w:right="1040"/>
              <w:spacing w:after="0"/>
              <w:rPr>
                <w:sz w:val="20"/>
                <w:szCs w:val="20"/>
                <w:color w:val="auto"/>
              </w:rPr>
            </w:pPr>
            <w:r>
              <w:rPr>
                <w:rFonts w:ascii="Times New Roman" w:cs="Times New Roman" w:eastAsia="Times New Roman" w:hAnsi="Times New Roman"/>
                <w:sz w:val="18"/>
                <w:szCs w:val="18"/>
                <w:color w:val="auto"/>
                <w:w w:val="98"/>
              </w:rPr>
              <w:t>K</w:t>
            </w:r>
            <w:r>
              <w:rPr>
                <w:rFonts w:ascii="Times New Roman" w:cs="Times New Roman" w:eastAsia="Times New Roman" w:hAnsi="Times New Roman"/>
                <w:sz w:val="14"/>
                <w:szCs w:val="14"/>
                <w:color w:val="auto"/>
                <w:w w:val="98"/>
              </w:rPr>
              <w:t>ENNETH</w:t>
            </w:r>
            <w:r>
              <w:rPr>
                <w:rFonts w:ascii="Times New Roman" w:cs="Times New Roman" w:eastAsia="Times New Roman" w:hAnsi="Times New Roman"/>
                <w:sz w:val="18"/>
                <w:szCs w:val="18"/>
                <w:color w:val="auto"/>
                <w:w w:val="98"/>
              </w:rPr>
              <w:t xml:space="preserve"> W. O’</w:t>
            </w:r>
            <w:r>
              <w:rPr>
                <w:rFonts w:ascii="Times New Roman" w:cs="Times New Roman" w:eastAsia="Times New Roman" w:hAnsi="Times New Roman"/>
                <w:sz w:val="14"/>
                <w:szCs w:val="14"/>
                <w:color w:val="auto"/>
                <w:w w:val="98"/>
              </w:rPr>
              <w:t>KEEFE</w:t>
            </w:r>
          </w:p>
        </w:tc>
      </w:tr>
      <w:tr>
        <w:trPr>
          <w:trHeight w:val="186"/>
        </w:trPr>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4"/>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Kenneth W. O’Keefe</w:t>
            </w:r>
          </w:p>
        </w:tc>
      </w:tr>
      <w:tr>
        <w:trPr>
          <w:trHeight w:val="260"/>
        </w:trPr>
        <w:tc>
          <w:tcPr>
            <w:tcW w:w="7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3"/>
              </w:rPr>
              <w:t>/s/</w:t>
            </w:r>
          </w:p>
        </w:tc>
        <w:tc>
          <w:tcPr>
            <w:tcW w:w="2720" w:type="dxa"/>
            <w:vAlign w:val="bottom"/>
            <w:tcBorders>
              <w:bottom w:val="single" w:sz="8" w:color="auto"/>
            </w:tcBorders>
            <w:gridSpan w:val="4"/>
          </w:tcPr>
          <w:p>
            <w:pPr>
              <w:jc w:val="center"/>
              <w:ind w:right="1120"/>
              <w:spacing w:after="0"/>
              <w:rPr>
                <w:sz w:val="20"/>
                <w:szCs w:val="20"/>
                <w:color w:val="auto"/>
              </w:rPr>
            </w:pPr>
            <w:r>
              <w:rPr>
                <w:rFonts w:ascii="Times New Roman" w:cs="Times New Roman" w:eastAsia="Times New Roman" w:hAnsi="Times New Roman"/>
                <w:sz w:val="18"/>
                <w:szCs w:val="18"/>
                <w:color w:val="auto"/>
                <w:w w:val="99"/>
              </w:rPr>
              <w:t>A</w:t>
            </w:r>
            <w:r>
              <w:rPr>
                <w:rFonts w:ascii="Times New Roman" w:cs="Times New Roman" w:eastAsia="Times New Roman" w:hAnsi="Times New Roman"/>
                <w:sz w:val="14"/>
                <w:szCs w:val="14"/>
                <w:color w:val="auto"/>
                <w:w w:val="99"/>
              </w:rPr>
              <w:t>NNE</w:t>
            </w:r>
            <w:r>
              <w:rPr>
                <w:rFonts w:ascii="Times New Roman" w:cs="Times New Roman" w:eastAsia="Times New Roman" w:hAnsi="Times New Roman"/>
                <w:sz w:val="18"/>
                <w:szCs w:val="18"/>
                <w:color w:val="auto"/>
                <w:w w:val="99"/>
              </w:rPr>
              <w:t xml:space="preserve"> O’</w:t>
            </w:r>
            <w:r>
              <w:rPr>
                <w:rFonts w:ascii="Times New Roman" w:cs="Times New Roman" w:eastAsia="Times New Roman" w:hAnsi="Times New Roman"/>
                <w:sz w:val="14"/>
                <w:szCs w:val="14"/>
                <w:color w:val="auto"/>
                <w:w w:val="99"/>
              </w:rPr>
              <w:t>RIORDAN</w:t>
            </w:r>
          </w:p>
        </w:tc>
      </w:tr>
      <w:tr>
        <w:trPr>
          <w:trHeight w:val="186"/>
        </w:trPr>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3"/>
          </w:tcPr>
          <w:p>
            <w:pPr>
              <w:jc w:val="center"/>
              <w:ind w:right="1380"/>
              <w:spacing w:after="0"/>
              <w:rPr>
                <w:sz w:val="20"/>
                <w:szCs w:val="20"/>
                <w:color w:val="auto"/>
              </w:rPr>
            </w:pPr>
            <w:r>
              <w:rPr>
                <w:rFonts w:ascii="Times New Roman" w:cs="Times New Roman" w:eastAsia="Times New Roman" w:hAnsi="Times New Roman"/>
                <w:sz w:val="14"/>
                <w:szCs w:val="14"/>
                <w:b w:val="1"/>
                <w:bCs w:val="1"/>
                <w:color w:val="auto"/>
              </w:rPr>
              <w:t>Anne O’Riordan</w:t>
            </w:r>
          </w:p>
        </w:tc>
      </w:tr>
      <w:tr>
        <w:trPr>
          <w:trHeight w:val="260"/>
        </w:trPr>
        <w:tc>
          <w:tcPr>
            <w:tcW w:w="3820" w:type="dxa"/>
            <w:vAlign w:val="bottom"/>
            <w:tcBorders>
              <w:bottom w:val="single" w:sz="8" w:color="auto"/>
            </w:tcBorders>
            <w:gridSpan w:val="6"/>
          </w:tcPr>
          <w:p>
            <w:pPr>
              <w:jc w:val="right"/>
              <w:ind w:right="920"/>
              <w:spacing w:after="0"/>
              <w:rPr>
                <w:sz w:val="20"/>
                <w:szCs w:val="20"/>
                <w:color w:val="auto"/>
              </w:rPr>
            </w:pPr>
            <w:r>
              <w:rPr>
                <w:rFonts w:ascii="Times New Roman" w:cs="Times New Roman" w:eastAsia="Times New Roman" w:hAnsi="Times New Roman"/>
                <w:sz w:val="14"/>
                <w:szCs w:val="14"/>
                <w:color w:val="auto"/>
              </w:rPr>
              <w:t xml:space="preserve">/s/  </w:t>
            </w:r>
            <w:r>
              <w:rPr>
                <w:rFonts w:ascii="Times New Roman" w:cs="Times New Roman" w:eastAsia="Times New Roman" w:hAnsi="Times New Roman"/>
                <w:sz w:val="17"/>
                <w:szCs w:val="17"/>
                <w:color w:val="auto"/>
              </w:rPr>
              <w:t>N</w:t>
            </w:r>
            <w:r>
              <w:rPr>
                <w:rFonts w:ascii="Times New Roman" w:cs="Times New Roman" w:eastAsia="Times New Roman" w:hAnsi="Times New Roman"/>
                <w:sz w:val="14"/>
                <w:szCs w:val="14"/>
                <w:color w:val="auto"/>
              </w:rPr>
              <w:t xml:space="preserve">ORBERT </w:t>
            </w:r>
            <w:r>
              <w:rPr>
                <w:rFonts w:ascii="Times New Roman" w:cs="Times New Roman" w:eastAsia="Times New Roman" w:hAnsi="Times New Roman"/>
                <w:sz w:val="17"/>
                <w:szCs w:val="17"/>
                <w:color w:val="auto"/>
              </w:rPr>
              <w:t>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R</w:t>
            </w:r>
            <w:r>
              <w:rPr>
                <w:rFonts w:ascii="Times New Roman" w:cs="Times New Roman" w:eastAsia="Times New Roman" w:hAnsi="Times New Roman"/>
                <w:sz w:val="14"/>
                <w:szCs w:val="14"/>
                <w:color w:val="auto"/>
              </w:rPr>
              <w:t xml:space="preserve">IEDEL, </w:t>
            </w:r>
            <w:r>
              <w:rPr>
                <w:rFonts w:ascii="Times New Roman" w:cs="Times New Roman" w:eastAsia="Times New Roman" w:hAnsi="Times New Roman"/>
                <w:sz w:val="17"/>
                <w:szCs w:val="17"/>
                <w:color w:val="auto"/>
              </w:rPr>
              <w:t>P</w:t>
            </w:r>
            <w:r>
              <w:rPr>
                <w:rFonts w:ascii="Times New Roman" w:cs="Times New Roman" w:eastAsia="Times New Roman" w:hAnsi="Times New Roman"/>
                <w:sz w:val="14"/>
                <w:szCs w:val="14"/>
                <w:color w:val="auto"/>
              </w:rPr>
              <w:t>H.</w:t>
            </w:r>
            <w:r>
              <w:rPr>
                <w:rFonts w:ascii="Times New Roman" w:cs="Times New Roman" w:eastAsia="Times New Roman" w:hAnsi="Times New Roman"/>
                <w:sz w:val="17"/>
                <w:szCs w:val="17"/>
                <w:color w:val="auto"/>
              </w:rPr>
              <w:t>D</w:t>
            </w:r>
            <w:r>
              <w:rPr>
                <w:rFonts w:ascii="Times New Roman" w:cs="Times New Roman" w:eastAsia="Times New Roman" w:hAnsi="Times New Roman"/>
                <w:sz w:val="14"/>
                <w:szCs w:val="14"/>
                <w:color w:val="auto"/>
              </w:rPr>
              <w:t>.</w:t>
            </w:r>
          </w:p>
        </w:tc>
      </w:tr>
      <w:tr>
        <w:trPr>
          <w:trHeight w:val="186"/>
        </w:trPr>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4"/>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Norbert G. Riedel, Ph.D.</w:t>
            </w:r>
          </w:p>
        </w:tc>
      </w:tr>
      <w:tr>
        <w:trPr>
          <w:trHeight w:val="260"/>
        </w:trPr>
        <w:tc>
          <w:tcPr>
            <w:tcW w:w="7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2720" w:type="dxa"/>
            <w:vAlign w:val="bottom"/>
            <w:tcBorders>
              <w:bottom w:val="single" w:sz="8" w:color="auto"/>
            </w:tcBorders>
            <w:gridSpan w:val="4"/>
          </w:tcPr>
          <w:p>
            <w:pPr>
              <w:jc w:val="center"/>
              <w:ind w:right="1040"/>
              <w:spacing w:after="0"/>
              <w:rPr>
                <w:sz w:val="20"/>
                <w:szCs w:val="20"/>
                <w:color w:val="auto"/>
              </w:rPr>
            </w:pPr>
            <w:r>
              <w:rPr>
                <w:rFonts w:ascii="Times New Roman" w:cs="Times New Roman" w:eastAsia="Times New Roman" w:hAnsi="Times New Roman"/>
                <w:sz w:val="18"/>
                <w:szCs w:val="18"/>
                <w:color w:val="auto"/>
                <w:w w:val="98"/>
              </w:rPr>
              <w:t>M</w:t>
            </w:r>
            <w:r>
              <w:rPr>
                <w:rFonts w:ascii="Times New Roman" w:cs="Times New Roman" w:eastAsia="Times New Roman" w:hAnsi="Times New Roman"/>
                <w:sz w:val="14"/>
                <w:szCs w:val="14"/>
                <w:color w:val="auto"/>
                <w:w w:val="98"/>
              </w:rPr>
              <w:t>ARK</w:t>
            </w:r>
            <w:r>
              <w:rPr>
                <w:rFonts w:ascii="Times New Roman" w:cs="Times New Roman" w:eastAsia="Times New Roman" w:hAnsi="Times New Roman"/>
                <w:sz w:val="18"/>
                <w:szCs w:val="18"/>
                <w:color w:val="auto"/>
                <w:w w:val="98"/>
              </w:rPr>
              <w:t xml:space="preserve"> D</w:t>
            </w:r>
            <w:r>
              <w:rPr>
                <w:rFonts w:ascii="Times New Roman" w:cs="Times New Roman" w:eastAsia="Times New Roman" w:hAnsi="Times New Roman"/>
                <w:sz w:val="14"/>
                <w:szCs w:val="14"/>
                <w:color w:val="auto"/>
                <w:w w:val="98"/>
              </w:rPr>
              <w:t>.</w:t>
            </w:r>
            <w:r>
              <w:rPr>
                <w:rFonts w:ascii="Times New Roman" w:cs="Times New Roman" w:eastAsia="Times New Roman" w:hAnsi="Times New Roman"/>
                <w:sz w:val="18"/>
                <w:szCs w:val="18"/>
                <w:color w:val="auto"/>
                <w:w w:val="98"/>
              </w:rPr>
              <w:t xml:space="preserve"> S</w:t>
            </w:r>
            <w:r>
              <w:rPr>
                <w:rFonts w:ascii="Times New Roman" w:cs="Times New Roman" w:eastAsia="Times New Roman" w:hAnsi="Times New Roman"/>
                <w:sz w:val="14"/>
                <w:szCs w:val="14"/>
                <w:color w:val="auto"/>
                <w:w w:val="98"/>
              </w:rPr>
              <w:t>MITH,</w:t>
            </w:r>
            <w:r>
              <w:rPr>
                <w:rFonts w:ascii="Times New Roman" w:cs="Times New Roman" w:eastAsia="Times New Roman" w:hAnsi="Times New Roman"/>
                <w:sz w:val="18"/>
                <w:szCs w:val="18"/>
                <w:color w:val="auto"/>
                <w:w w:val="98"/>
              </w:rPr>
              <w:t xml:space="preserve"> M.D.</w:t>
            </w:r>
          </w:p>
        </w:tc>
      </w:tr>
      <w:tr>
        <w:trPr>
          <w:trHeight w:val="186"/>
        </w:trPr>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4"/>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Mark D. Smith, M.D.</w:t>
            </w:r>
          </w:p>
        </w:tc>
      </w:tr>
      <w:tr>
        <w:trPr>
          <w:trHeight w:val="260"/>
        </w:trPr>
        <w:tc>
          <w:tcPr>
            <w:tcW w:w="7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/s/</w:t>
            </w:r>
          </w:p>
        </w:tc>
        <w:tc>
          <w:tcPr>
            <w:tcW w:w="30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ATHERINE</w:t>
            </w:r>
            <w:r>
              <w:rPr>
                <w:rFonts w:ascii="Times New Roman" w:cs="Times New Roman" w:eastAsia="Times New Roman" w:hAnsi="Times New Roman"/>
                <w:sz w:val="18"/>
                <w:szCs w:val="18"/>
                <w:color w:val="auto"/>
              </w:rPr>
              <w:t xml:space="preserve"> A. S</w:t>
            </w:r>
            <w:r>
              <w:rPr>
                <w:rFonts w:ascii="Times New Roman" w:cs="Times New Roman" w:eastAsia="Times New Roman" w:hAnsi="Times New Roman"/>
                <w:sz w:val="14"/>
                <w:szCs w:val="14"/>
                <w:color w:val="auto"/>
              </w:rPr>
              <w:t>OHN,</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HARM</w:t>
            </w:r>
            <w:r>
              <w:rPr>
                <w:rFonts w:ascii="Times New Roman" w:cs="Times New Roman" w:eastAsia="Times New Roman" w:hAnsi="Times New Roman"/>
                <w:sz w:val="18"/>
                <w:szCs w:val="18"/>
                <w:color w:val="auto"/>
              </w:rPr>
              <w:t>.D.</w:t>
            </w:r>
          </w:p>
        </w:tc>
      </w:tr>
      <w:tr>
        <w:trPr>
          <w:trHeight w:val="186"/>
        </w:trPr>
        <w:tc>
          <w:tcPr>
            <w:tcW w:w="780" w:type="dxa"/>
            <w:vAlign w:val="bottom"/>
          </w:tcPr>
          <w:p>
            <w:pPr>
              <w:spacing w:after="0"/>
              <w:rPr>
                <w:sz w:val="16"/>
                <w:szCs w:val="16"/>
                <w:color w:val="auto"/>
              </w:rPr>
            </w:pPr>
          </w:p>
        </w:tc>
        <w:tc>
          <w:tcPr>
            <w:tcW w:w="3040" w:type="dxa"/>
            <w:vAlign w:val="bottom"/>
            <w:gridSpan w:val="5"/>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Catherine A. Sohn, Pharm.D.</w:t>
            </w:r>
          </w:p>
        </w:tc>
      </w:tr>
      <w:tr>
        <w:trPr>
          <w:trHeight w:val="260"/>
        </w:trPr>
        <w:tc>
          <w:tcPr>
            <w:tcW w:w="7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w:t>
            </w:r>
          </w:p>
        </w:tc>
        <w:tc>
          <w:tcPr>
            <w:tcW w:w="2720" w:type="dxa"/>
            <w:vAlign w:val="bottom"/>
            <w:tcBorders>
              <w:bottom w:val="single" w:sz="8" w:color="auto"/>
            </w:tcBorders>
            <w:gridSpan w:val="4"/>
          </w:tcPr>
          <w:p>
            <w:pPr>
              <w:jc w:val="center"/>
              <w:ind w:right="104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ICK</w:t>
            </w:r>
            <w:r>
              <w:rPr>
                <w:rFonts w:ascii="Times New Roman" w:cs="Times New Roman" w:eastAsia="Times New Roman" w:hAnsi="Times New Roman"/>
                <w:sz w:val="18"/>
                <w:szCs w:val="18"/>
                <w:color w:val="auto"/>
              </w:rPr>
              <w:t xml:space="preserve"> E W</w:t>
            </w:r>
            <w:r>
              <w:rPr>
                <w:rFonts w:ascii="Times New Roman" w:cs="Times New Roman" w:eastAsia="Times New Roman" w:hAnsi="Times New Roman"/>
                <w:sz w:val="14"/>
                <w:szCs w:val="14"/>
                <w:color w:val="auto"/>
              </w:rPr>
              <w:t>INNINGHAM</w:t>
            </w:r>
          </w:p>
        </w:tc>
      </w:tr>
      <w:tr>
        <w:trPr>
          <w:trHeight w:val="186"/>
        </w:trPr>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4"/>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Rick E Winningham</w:t>
            </w:r>
          </w:p>
        </w:tc>
      </w:tr>
    </w:tbl>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4"/>
          <w:szCs w:val="14"/>
          <w:b w:val="1"/>
          <w:bCs w:val="1"/>
          <w:u w:val="single" w:color="auto"/>
          <w:color w:val="auto"/>
        </w:rPr>
        <w:t>Title</w:t>
      </w:r>
    </w:p>
    <w:p>
      <w:pPr>
        <w:spacing w:after="0" w:line="125" w:lineRule="exact"/>
        <w:rPr>
          <w:sz w:val="20"/>
          <w:szCs w:val="20"/>
          <w:color w:val="auto"/>
        </w:rPr>
      </w:pPr>
    </w:p>
    <w:p>
      <w:pPr>
        <w:ind w:right="1640"/>
        <w:spacing w:after="0" w:line="234" w:lineRule="auto"/>
        <w:rPr>
          <w:sz w:val="20"/>
          <w:szCs w:val="20"/>
          <w:color w:val="auto"/>
        </w:rPr>
      </w:pPr>
      <w:r>
        <w:rPr>
          <w:rFonts w:ascii="Times New Roman" w:cs="Times New Roman" w:eastAsia="Times New Roman" w:hAnsi="Times New Roman"/>
          <w:sz w:val="18"/>
          <w:szCs w:val="18"/>
          <w:color w:val="auto"/>
        </w:rPr>
        <w:t xml:space="preserve">Chairman, Chief Executive Officer and Director </w:t>
      </w:r>
      <w:r>
        <w:rPr>
          <w:rFonts w:ascii="Times New Roman" w:cs="Times New Roman" w:eastAsia="Times New Roman" w:hAnsi="Times New Roman"/>
          <w:sz w:val="18"/>
          <w:szCs w:val="18"/>
          <w:i w:val="1"/>
          <w:iCs w:val="1"/>
          <w:color w:val="auto"/>
        </w:rPr>
        <w:t>(Principal Executive Officer)</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Chief Accounting Officer</w:t>
      </w:r>
    </w:p>
    <w:p>
      <w:pPr>
        <w:spacing w:after="0"/>
        <w:rPr>
          <w:sz w:val="20"/>
          <w:szCs w:val="20"/>
          <w:color w:val="auto"/>
        </w:rPr>
      </w:pPr>
      <w:r>
        <w:rPr>
          <w:rFonts w:ascii="Times New Roman" w:cs="Times New Roman" w:eastAsia="Times New Roman" w:hAnsi="Times New Roman"/>
          <w:sz w:val="17"/>
          <w:szCs w:val="17"/>
          <w:i w:val="1"/>
          <w:iCs w:val="1"/>
          <w:color w:val="auto"/>
        </w:rPr>
        <w:t>(Principal Accounting Officer and Interim Principal Financial Officer)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b w:val="1"/>
          <w:bCs w:val="1"/>
          <w:u w:val="single" w:color="auto"/>
          <w:color w:val="auto"/>
        </w:rPr>
        <w:t>Date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2024</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2024</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2024</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2024</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2024</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2024</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2024</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2024</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2024</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2024</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2024</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2024</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2024</w:t>
      </w:r>
    </w:p>
    <w:p>
      <w:pPr>
        <w:spacing w:after="0" w:line="462" w:lineRule="exact"/>
        <w:rPr>
          <w:sz w:val="20"/>
          <w:szCs w:val="20"/>
          <w:color w:val="auto"/>
        </w:rPr>
      </w:pPr>
    </w:p>
    <w:p>
      <w:pPr>
        <w:sectPr>
          <w:pgSz w:w="11900" w:h="16838" w:orient="portrait"/>
          <w:cols w:equalWidth="0" w:num="3">
            <w:col w:w="3820" w:space="120"/>
            <w:col w:w="5060" w:space="600"/>
            <w:col w:w="1640"/>
          </w:cols>
          <w:pgMar w:left="320" w:top="121" w:right="339"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77470</wp:posOffset>
            </wp:positionV>
            <wp:extent cx="715962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0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Jazz Pharmaceuticals plc: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14" w:lineRule="exact"/>
        <w:rPr>
          <w:sz w:val="20"/>
          <w:szCs w:val="20"/>
          <w:color w:val="auto"/>
        </w:rPr>
      </w:pPr>
    </w:p>
    <w:p>
      <w:pPr>
        <w:ind w:right="200"/>
        <w:spacing w:after="0" w:line="216" w:lineRule="exact"/>
        <w:rPr>
          <w:sz w:val="20"/>
          <w:szCs w:val="20"/>
          <w:color w:val="auto"/>
        </w:rPr>
      </w:pPr>
      <w:r>
        <w:rPr>
          <w:rFonts w:ascii="Times New Roman" w:cs="Times New Roman" w:eastAsia="Times New Roman" w:hAnsi="Times New Roman"/>
          <w:sz w:val="18"/>
          <w:szCs w:val="18"/>
          <w:color w:val="auto"/>
        </w:rPr>
        <w:t>We have audited the accompanying consolidated balance sheets of Jazz Pharmaceuticals plc.. and subsidiaries (the Company) as of December 31, 2023 and 2022, the related consolidated statements of income (loss), comprehensive income (loss), shareholders’ equity, and cash flows for each of the years in the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ended December 31, 2023, and the related notes and financial statement schedule at item 15(a)2 (collectively, ‘the consolidated financial statements’). In our opinion, the consolidated financial statements present fairly, in all material respects, the financial position of the Company as of December 31, 2023 and 2022, and the results of its operations and its cash flows for each of the years in the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ended December 31, 2023, in conformity with U.S. generally accepted accounting principles.</w:t>
      </w:r>
    </w:p>
    <w:p>
      <w:pPr>
        <w:spacing w:after="0" w:line="9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28, 2024 expressed an unqualified opinion on the effectiveness of the Company’s internal control over financial reporting.</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4"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1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critical audit matter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Assessment of the carrying value of the Vyxeos intangible asset</w:t>
      </w:r>
    </w:p>
    <w:p>
      <w:pPr>
        <w:spacing w:after="0" w:line="11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As discussed in Note 10 to the consolidated financial statements, the finite-lived intangible assets balance as of December 31 ,2023 was $5,418,039 thousand, a portion of which related to finite-lived intangible asset in respect of Vyxeos. As discussed in Note 2, the Company reviews finite-lived intangible assets for impairment when events or circumstances indicate that the carrying value of such assets may not be recoverable.</w:t>
      </w:r>
    </w:p>
    <w:p>
      <w:pPr>
        <w:spacing w:after="0" w:line="70" w:lineRule="exact"/>
        <w:rPr>
          <w:sz w:val="20"/>
          <w:szCs w:val="20"/>
          <w:color w:val="auto"/>
        </w:rPr>
      </w:pPr>
    </w:p>
    <w:p>
      <w:pPr>
        <w:jc w:val="both"/>
        <w:ind w:right="680"/>
        <w:spacing w:after="0" w:line="261" w:lineRule="auto"/>
        <w:rPr>
          <w:sz w:val="20"/>
          <w:szCs w:val="20"/>
          <w:color w:val="auto"/>
        </w:rPr>
      </w:pPr>
      <w:r>
        <w:rPr>
          <w:rFonts w:ascii="Times New Roman" w:cs="Times New Roman" w:eastAsia="Times New Roman" w:hAnsi="Times New Roman"/>
          <w:sz w:val="18"/>
          <w:szCs w:val="18"/>
          <w:color w:val="auto"/>
        </w:rPr>
        <w:t>We identified the assessment of the carrying value of the Vyxeos intangible asset as a critical audit matter. There was a high degree of subjectivity in assessing the carrying value of Vyxeos, specifically revenue forecast assumptions for Vyxeos, which are key inputs to the determination of estimated undiscounted future cash flows.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w:t>
      </w:r>
    </w:p>
    <w:p>
      <w:pPr>
        <w:spacing w:after="0" w:line="179" w:lineRule="exact"/>
        <w:rPr>
          <w:sz w:val="20"/>
          <w:szCs w:val="20"/>
          <w:color w:val="auto"/>
        </w:rPr>
      </w:pPr>
    </w:p>
    <w:p>
      <w:pPr>
        <w:ind w:left="640" w:right="180" w:hanging="319"/>
        <w:spacing w:after="0" w:line="276" w:lineRule="auto"/>
        <w:rPr>
          <w:sz w:val="20"/>
          <w:szCs w:val="20"/>
          <w:color w:val="auto"/>
        </w:rPr>
      </w:pPr>
      <w:r>
        <w:rPr>
          <w:rFonts w:ascii="Times New Roman" w:cs="Times New Roman" w:eastAsia="Times New Roman" w:hAnsi="Times New Roman"/>
          <w:sz w:val="18"/>
          <w:szCs w:val="18"/>
          <w:color w:val="auto"/>
        </w:rPr>
        <w:t>– We evaluated the design and tested the operating effectiveness of certain internal controls related to the Vyxeos intangible asset impairment review process, including the Company’s control related to the development of the revenue forecast assumptions for Vyxeos</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We evaluated the reasonableness of the Company’s revenue forecast assumptions for Vyxeos by comparing certain underlying assumptions against</w:t>
      </w:r>
    </w:p>
    <w:p>
      <w:pPr>
        <w:spacing w:after="0" w:line="36" w:lineRule="exact"/>
        <w:rPr>
          <w:sz w:val="20"/>
          <w:szCs w:val="20"/>
          <w:color w:val="auto"/>
        </w:rPr>
      </w:pPr>
    </w:p>
    <w:p>
      <w:pPr>
        <w:ind w:left="640"/>
        <w:spacing w:after="0" w:line="246" w:lineRule="auto"/>
        <w:rPr>
          <w:sz w:val="20"/>
          <w:szCs w:val="20"/>
          <w:color w:val="auto"/>
        </w:rPr>
      </w:pPr>
      <w:r>
        <w:rPr>
          <w:rFonts w:ascii="Times New Roman" w:cs="Times New Roman" w:eastAsia="Times New Roman" w:hAnsi="Times New Roman"/>
          <w:sz w:val="18"/>
          <w:szCs w:val="18"/>
          <w:color w:val="auto"/>
        </w:rPr>
        <w:t>(1) company-specific operational information and management’s communication to the Board of Directors and (2) available industry or other third-party reports</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We challenged management’s ability to accurately forecast revenue by comparing historical projections to actual results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2012.</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Dublin, Ireland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2024</w:t>
      </w:r>
    </w:p>
    <w:p>
      <w:pPr>
        <w:spacing w:after="0" w:line="200" w:lineRule="exact"/>
        <w:rPr>
          <w:sz w:val="20"/>
          <w:szCs w:val="20"/>
          <w:color w:val="auto"/>
        </w:rPr>
      </w:pPr>
    </w:p>
    <w:p>
      <w:pPr>
        <w:spacing w:after="0" w:line="3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JAZZ PHARMACEUTICALS PLC</w:t>
      </w:r>
    </w:p>
    <w:p>
      <w:pPr>
        <w:spacing w:after="0" w:line="9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gridSpan w:val="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0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3"/>
        </w:trPr>
        <w:tc>
          <w:tcPr>
            <w:tcW w:w="8040" w:type="dxa"/>
            <w:vAlign w:val="bottom"/>
            <w:shd w:val="clear" w:color="auto" w:fill="CCEEFF"/>
          </w:tcPr>
          <w:p>
            <w:pPr>
              <w:ind w:left="36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1,506,310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881,482</w:t>
            </w:r>
          </w:p>
        </w:tc>
        <w:tc>
          <w:tcPr>
            <w:tcW w:w="0" w:type="dxa"/>
            <w:vAlign w:val="bottom"/>
          </w:tcPr>
          <w:p>
            <w:pPr>
              <w:spacing w:after="0"/>
              <w:rPr>
                <w:sz w:val="1"/>
                <w:szCs w:val="1"/>
                <w:color w:val="auto"/>
              </w:rPr>
            </w:pPr>
          </w:p>
        </w:tc>
      </w:tr>
      <w:tr>
        <w:trPr>
          <w:trHeight w:val="226"/>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allowances of $21,136 and $17,843 at December 31, 2023 and 2022, respectively</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705,794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651,493</w:t>
            </w:r>
          </w:p>
        </w:tc>
        <w:tc>
          <w:tcPr>
            <w:tcW w:w="0" w:type="dxa"/>
            <w:vAlign w:val="bottom"/>
          </w:tcPr>
          <w:p>
            <w:pPr>
              <w:spacing w:after="0"/>
              <w:rPr>
                <w:sz w:val="1"/>
                <w:szCs w:val="1"/>
                <w:color w:val="auto"/>
              </w:rPr>
            </w:pPr>
          </w:p>
        </w:tc>
      </w:tr>
      <w:tr>
        <w:trPr>
          <w:trHeight w:val="226"/>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597,039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714,061</w:t>
            </w:r>
          </w:p>
        </w:tc>
        <w:tc>
          <w:tcPr>
            <w:tcW w:w="0" w:type="dxa"/>
            <w:vAlign w:val="bottom"/>
          </w:tcPr>
          <w:p>
            <w:pPr>
              <w:spacing w:after="0"/>
              <w:rPr>
                <w:sz w:val="1"/>
                <w:szCs w:val="1"/>
                <w:color w:val="auto"/>
              </w:rPr>
            </w:pPr>
          </w:p>
        </w:tc>
      </w:tr>
      <w:tr>
        <w:trPr>
          <w:trHeight w:val="226"/>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185,476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91,912</w:t>
            </w:r>
          </w:p>
        </w:tc>
        <w:tc>
          <w:tcPr>
            <w:tcW w:w="0" w:type="dxa"/>
            <w:vAlign w:val="bottom"/>
          </w:tcPr>
          <w:p>
            <w:pPr>
              <w:spacing w:after="0"/>
              <w:rPr>
                <w:sz w:val="1"/>
                <w:szCs w:val="1"/>
                <w:color w:val="auto"/>
              </w:rPr>
            </w:pPr>
          </w:p>
        </w:tc>
      </w:tr>
      <w:tr>
        <w:trPr>
          <w:trHeight w:val="226"/>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320,809</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267,192</w:t>
            </w:r>
          </w:p>
        </w:tc>
        <w:tc>
          <w:tcPr>
            <w:tcW w:w="0" w:type="dxa"/>
            <w:vAlign w:val="bottom"/>
          </w:tcPr>
          <w:p>
            <w:pPr>
              <w:spacing w:after="0"/>
              <w:rPr>
                <w:sz w:val="1"/>
                <w:szCs w:val="1"/>
                <w:color w:val="auto"/>
              </w:rPr>
            </w:pPr>
          </w:p>
        </w:tc>
      </w:tr>
      <w:tr>
        <w:trPr>
          <w:trHeight w:val="220"/>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3,435,428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2,606,140</w:t>
            </w:r>
          </w:p>
        </w:tc>
        <w:tc>
          <w:tcPr>
            <w:tcW w:w="0" w:type="dxa"/>
            <w:vAlign w:val="bottom"/>
          </w:tcPr>
          <w:p>
            <w:pPr>
              <w:spacing w:after="0"/>
              <w:rPr>
                <w:sz w:val="1"/>
                <w:szCs w:val="1"/>
                <w:color w:val="auto"/>
              </w:rPr>
            </w:pPr>
          </w:p>
        </w:tc>
      </w:tr>
      <w:tr>
        <w:trPr>
          <w:trHeight w:val="226"/>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169,646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228,050</w:t>
            </w:r>
          </w:p>
        </w:tc>
        <w:tc>
          <w:tcPr>
            <w:tcW w:w="0" w:type="dxa"/>
            <w:vAlign w:val="bottom"/>
          </w:tcPr>
          <w:p>
            <w:pPr>
              <w:spacing w:after="0"/>
              <w:rPr>
                <w:sz w:val="1"/>
                <w:szCs w:val="1"/>
                <w:color w:val="auto"/>
              </w:rPr>
            </w:pPr>
          </w:p>
        </w:tc>
      </w:tr>
      <w:tr>
        <w:trPr>
          <w:trHeight w:val="22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65,340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73,326</w:t>
            </w:r>
          </w:p>
        </w:tc>
        <w:tc>
          <w:tcPr>
            <w:tcW w:w="0" w:type="dxa"/>
            <w:vAlign w:val="bottom"/>
          </w:tcPr>
          <w:p>
            <w:pPr>
              <w:spacing w:after="0"/>
              <w:rPr>
                <w:sz w:val="1"/>
                <w:szCs w:val="1"/>
                <w:color w:val="auto"/>
              </w:rPr>
            </w:pPr>
          </w:p>
        </w:tc>
      </w:tr>
      <w:tr>
        <w:trPr>
          <w:trHeight w:val="226"/>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5,418,039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5,794,437</w:t>
            </w:r>
          </w:p>
        </w:tc>
        <w:tc>
          <w:tcPr>
            <w:tcW w:w="0" w:type="dxa"/>
            <w:vAlign w:val="bottom"/>
          </w:tcPr>
          <w:p>
            <w:pPr>
              <w:spacing w:after="0"/>
              <w:rPr>
                <w:sz w:val="1"/>
                <w:szCs w:val="1"/>
                <w:color w:val="auto"/>
              </w:rPr>
            </w:pPr>
          </w:p>
        </w:tc>
      </w:tr>
      <w:tr>
        <w:trPr>
          <w:trHeight w:val="22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1,753,130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1,692,662</w:t>
            </w:r>
          </w:p>
        </w:tc>
        <w:tc>
          <w:tcPr>
            <w:tcW w:w="0" w:type="dxa"/>
            <w:vAlign w:val="bottom"/>
          </w:tcPr>
          <w:p>
            <w:pPr>
              <w:spacing w:after="0"/>
              <w:rPr>
                <w:sz w:val="1"/>
                <w:szCs w:val="1"/>
                <w:color w:val="auto"/>
              </w:rPr>
            </w:pPr>
          </w:p>
        </w:tc>
      </w:tr>
      <w:tr>
        <w:trPr>
          <w:trHeight w:val="226"/>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477,834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376,247</w:t>
            </w:r>
          </w:p>
        </w:tc>
        <w:tc>
          <w:tcPr>
            <w:tcW w:w="0" w:type="dxa"/>
            <w:vAlign w:val="bottom"/>
          </w:tcPr>
          <w:p>
            <w:pPr>
              <w:spacing w:after="0"/>
              <w:rPr>
                <w:sz w:val="1"/>
                <w:szCs w:val="1"/>
                <w:color w:val="auto"/>
              </w:rPr>
            </w:pPr>
          </w:p>
        </w:tc>
      </w:tr>
      <w:tr>
        <w:trPr>
          <w:trHeight w:val="22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financing costs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9,254</w:t>
            </w:r>
          </w:p>
        </w:tc>
        <w:tc>
          <w:tcPr>
            <w:tcW w:w="0" w:type="dxa"/>
            <w:vAlign w:val="bottom"/>
          </w:tcPr>
          <w:p>
            <w:pPr>
              <w:spacing w:after="0"/>
              <w:rPr>
                <w:sz w:val="1"/>
                <w:szCs w:val="1"/>
                <w:color w:val="auto"/>
              </w:rPr>
            </w:pPr>
          </w:p>
        </w:tc>
      </w:tr>
      <w:tr>
        <w:trPr>
          <w:trHeight w:val="226"/>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67,464</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55,139</w:t>
            </w:r>
          </w:p>
        </w:tc>
        <w:tc>
          <w:tcPr>
            <w:tcW w:w="0" w:type="dxa"/>
            <w:vAlign w:val="bottom"/>
          </w:tcPr>
          <w:p>
            <w:pPr>
              <w:spacing w:after="0"/>
              <w:rPr>
                <w:sz w:val="1"/>
                <w:szCs w:val="1"/>
                <w:color w:val="auto"/>
              </w:rPr>
            </w:pPr>
          </w:p>
        </w:tc>
      </w:tr>
      <w:tr>
        <w:trPr>
          <w:trHeight w:val="245"/>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11,393,359</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10,835,255</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10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0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102,750</w:t>
            </w:r>
          </w:p>
        </w:tc>
        <w:tc>
          <w:tcPr>
            <w:tcW w:w="120" w:type="dxa"/>
            <w:vAlign w:val="bottom"/>
          </w:tcPr>
          <w:p>
            <w:pPr>
              <w:spacing w:after="0"/>
              <w:rPr>
                <w:sz w:val="19"/>
                <w:szCs w:val="19"/>
                <w:color w:val="auto"/>
              </w:rPr>
            </w:pPr>
          </w:p>
        </w:tc>
        <w:tc>
          <w:tcPr>
            <w:tcW w:w="48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90,758</w:t>
            </w:r>
          </w:p>
        </w:tc>
        <w:tc>
          <w:tcPr>
            <w:tcW w:w="0" w:type="dxa"/>
            <w:vAlign w:val="bottom"/>
          </w:tcPr>
          <w:p>
            <w:pPr>
              <w:spacing w:after="0"/>
              <w:rPr>
                <w:sz w:val="1"/>
                <w:szCs w:val="1"/>
                <w:color w:val="auto"/>
              </w:rPr>
            </w:pPr>
          </w:p>
        </w:tc>
      </w:tr>
      <w:tr>
        <w:trPr>
          <w:trHeight w:val="226"/>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793,914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803,255</w:t>
            </w:r>
          </w:p>
        </w:tc>
        <w:tc>
          <w:tcPr>
            <w:tcW w:w="0" w:type="dxa"/>
            <w:vAlign w:val="bottom"/>
          </w:tcPr>
          <w:p>
            <w:pPr>
              <w:spacing w:after="0"/>
              <w:rPr>
                <w:sz w:val="1"/>
                <w:szCs w:val="1"/>
                <w:color w:val="auto"/>
              </w:rPr>
            </w:pPr>
          </w:p>
        </w:tc>
      </w:tr>
      <w:tr>
        <w:trPr>
          <w:trHeight w:val="226"/>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604,954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0" w:type="dxa"/>
            <w:vAlign w:val="bottom"/>
          </w:tcPr>
          <w:p>
            <w:pPr>
              <w:spacing w:after="0"/>
              <w:rPr>
                <w:sz w:val="1"/>
                <w:szCs w:val="1"/>
                <w:color w:val="auto"/>
              </w:rPr>
            </w:pPr>
          </w:p>
        </w:tc>
      </w:tr>
      <w:tr>
        <w:trPr>
          <w:trHeight w:val="226"/>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taxes payable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7,717</w:t>
            </w:r>
          </w:p>
        </w:tc>
        <w:tc>
          <w:tcPr>
            <w:tcW w:w="0" w:type="dxa"/>
            <w:vAlign w:val="bottom"/>
          </w:tcPr>
          <w:p>
            <w:pPr>
              <w:spacing w:after="0"/>
              <w:rPr>
                <w:sz w:val="1"/>
                <w:szCs w:val="1"/>
                <w:color w:val="auto"/>
              </w:rPr>
            </w:pPr>
          </w:p>
        </w:tc>
      </w:tr>
      <w:tr>
        <w:trPr>
          <w:trHeight w:val="226"/>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20"/>
        </w:trPr>
        <w:tc>
          <w:tcPr>
            <w:tcW w:w="80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1,536,692</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933,193</w:t>
            </w:r>
          </w:p>
        </w:tc>
        <w:tc>
          <w:tcPr>
            <w:tcW w:w="0" w:type="dxa"/>
            <w:vAlign w:val="bottom"/>
          </w:tcPr>
          <w:p>
            <w:pPr>
              <w:spacing w:after="0"/>
              <w:rPr>
                <w:sz w:val="1"/>
                <w:szCs w:val="1"/>
                <w:color w:val="auto"/>
              </w:rPr>
            </w:pPr>
          </w:p>
        </w:tc>
      </w:tr>
      <w:tr>
        <w:trPr>
          <w:trHeight w:val="226"/>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5,107,988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5,693,341</w:t>
            </w:r>
          </w:p>
        </w:tc>
        <w:tc>
          <w:tcPr>
            <w:tcW w:w="0" w:type="dxa"/>
            <w:vAlign w:val="bottom"/>
          </w:tcPr>
          <w:p>
            <w:pPr>
              <w:spacing w:after="0"/>
              <w:rPr>
                <w:sz w:val="1"/>
                <w:szCs w:val="1"/>
                <w:color w:val="auto"/>
              </w:rPr>
            </w:pPr>
          </w:p>
        </w:tc>
      </w:tr>
      <w:tr>
        <w:trPr>
          <w:trHeight w:val="22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59,225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71,838</w:t>
            </w:r>
          </w:p>
        </w:tc>
        <w:tc>
          <w:tcPr>
            <w:tcW w:w="0" w:type="dxa"/>
            <w:vAlign w:val="bottom"/>
          </w:tcPr>
          <w:p>
            <w:pPr>
              <w:spacing w:after="0"/>
              <w:rPr>
                <w:sz w:val="1"/>
                <w:szCs w:val="1"/>
                <w:color w:val="auto"/>
              </w:rPr>
            </w:pPr>
          </w:p>
        </w:tc>
      </w:tr>
      <w:tr>
        <w:trPr>
          <w:trHeight w:val="226"/>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847,706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944,337</w:t>
            </w:r>
          </w:p>
        </w:tc>
        <w:tc>
          <w:tcPr>
            <w:tcW w:w="0" w:type="dxa"/>
            <w:vAlign w:val="bottom"/>
          </w:tcPr>
          <w:p>
            <w:pPr>
              <w:spacing w:after="0"/>
              <w:rPr>
                <w:sz w:val="1"/>
                <w:szCs w:val="1"/>
                <w:color w:val="auto"/>
              </w:rPr>
            </w:pPr>
          </w:p>
        </w:tc>
      </w:tr>
      <w:tr>
        <w:trPr>
          <w:trHeight w:val="22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104,751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106,812</w:t>
            </w:r>
          </w:p>
        </w:tc>
        <w:tc>
          <w:tcPr>
            <w:tcW w:w="0" w:type="dxa"/>
            <w:vAlign w:val="bottom"/>
          </w:tcPr>
          <w:p>
            <w:pPr>
              <w:spacing w:after="0"/>
              <w:rPr>
                <w:sz w:val="1"/>
                <w:szCs w:val="1"/>
                <w:color w:val="auto"/>
              </w:rPr>
            </w:pPr>
          </w:p>
        </w:tc>
      </w:tr>
      <w:tr>
        <w:trPr>
          <w:trHeight w:val="226"/>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40" w:type="dxa"/>
            <w:vAlign w:val="bottom"/>
          </w:tcPr>
          <w:p>
            <w:pPr>
              <w:ind w:left="140"/>
              <w:spacing w:after="0" w:line="182" w:lineRule="exact"/>
              <w:rPr>
                <w:sz w:val="20"/>
                <w:szCs w:val="20"/>
                <w:color w:val="auto"/>
              </w:rPr>
            </w:pPr>
            <w:r>
              <w:rPr>
                <w:rFonts w:ascii="Times New Roman" w:cs="Times New Roman" w:eastAsia="Times New Roman" w:hAnsi="Times New Roman"/>
                <w:sz w:val="18"/>
                <w:szCs w:val="18"/>
                <w:color w:val="auto"/>
              </w:rPr>
              <w:t>Ordinary shares, nominal value $0.0001 per share; 300,000 shares authorized; 62,255 and 63,214 shares</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issued and outstanding at December 31, 2023 and 2022, respectively</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81"/>
        </w:trPr>
        <w:tc>
          <w:tcPr>
            <w:tcW w:w="8040" w:type="dxa"/>
            <w:vAlign w:val="bottom"/>
            <w:shd w:val="clear" w:color="auto" w:fill="CCEEFF"/>
          </w:tcPr>
          <w:p>
            <w:pPr>
              <w:ind w:left="140"/>
              <w:spacing w:after="0" w:line="182" w:lineRule="exact"/>
              <w:rPr>
                <w:sz w:val="20"/>
                <w:szCs w:val="20"/>
                <w:color w:val="auto"/>
              </w:rPr>
            </w:pPr>
            <w:r>
              <w:rPr>
                <w:rFonts w:ascii="Times New Roman" w:cs="Times New Roman" w:eastAsia="Times New Roman" w:hAnsi="Times New Roman"/>
                <w:sz w:val="18"/>
                <w:szCs w:val="18"/>
                <w:color w:val="auto"/>
                <w:w w:val="99"/>
              </w:rPr>
              <w:t>Non-voting euro deferred shares, €0.01 par value per share; 4,000 shares authorized, issued and outstanding at</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both December 31, 2023 and 2022</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6"/>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redemption reserve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26"/>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3,699,954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3,477,124</w:t>
            </w:r>
          </w:p>
        </w:tc>
        <w:tc>
          <w:tcPr>
            <w:tcW w:w="0" w:type="dxa"/>
            <w:vAlign w:val="bottom"/>
          </w:tcPr>
          <w:p>
            <w:pPr>
              <w:spacing w:after="0"/>
              <w:rPr>
                <w:sz w:val="1"/>
                <w:szCs w:val="1"/>
                <w:color w:val="auto"/>
              </w:rPr>
            </w:pPr>
          </w:p>
        </w:tc>
      </w:tr>
      <w:tr>
        <w:trPr>
          <w:trHeight w:val="226"/>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(842,147)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(1,125,509)</w:t>
            </w:r>
          </w:p>
        </w:tc>
        <w:tc>
          <w:tcPr>
            <w:tcW w:w="0" w:type="dxa"/>
            <w:vAlign w:val="bottom"/>
          </w:tcPr>
          <w:p>
            <w:pPr>
              <w:spacing w:after="0"/>
              <w:rPr>
                <w:sz w:val="1"/>
                <w:szCs w:val="1"/>
                <w:color w:val="auto"/>
              </w:rPr>
            </w:pPr>
          </w:p>
        </w:tc>
      </w:tr>
      <w:tr>
        <w:trPr>
          <w:trHeight w:val="226"/>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878,656</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733,586</w:t>
            </w:r>
          </w:p>
        </w:tc>
        <w:tc>
          <w:tcPr>
            <w:tcW w:w="0" w:type="dxa"/>
            <w:vAlign w:val="bottom"/>
          </w:tcPr>
          <w:p>
            <w:pPr>
              <w:spacing w:after="0"/>
              <w:rPr>
                <w:sz w:val="1"/>
                <w:szCs w:val="1"/>
                <w:color w:val="auto"/>
              </w:rPr>
            </w:pPr>
          </w:p>
        </w:tc>
      </w:tr>
      <w:tr>
        <w:trPr>
          <w:trHeight w:val="22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3,736,997</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3,085,734</w:t>
            </w:r>
          </w:p>
        </w:tc>
        <w:tc>
          <w:tcPr>
            <w:tcW w:w="0" w:type="dxa"/>
            <w:vAlign w:val="bottom"/>
          </w:tcPr>
          <w:p>
            <w:pPr>
              <w:spacing w:after="0"/>
              <w:rPr>
                <w:sz w:val="1"/>
                <w:szCs w:val="1"/>
                <w:color w:val="auto"/>
              </w:rPr>
            </w:pPr>
          </w:p>
        </w:tc>
      </w:tr>
      <w:tr>
        <w:trPr>
          <w:trHeight w:val="245"/>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11,393,359</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10,835,255</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JAZZ PHARMACEUTICALS PLC</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INCOME (LOSS)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0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5"/>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6"/>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6"/>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sales, net</w:t>
            </w: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3,736,943</w:t>
            </w:r>
          </w:p>
        </w:tc>
        <w:tc>
          <w:tcPr>
            <w:tcW w:w="460" w:type="dxa"/>
            <w:vAlign w:val="bottom"/>
            <w:gridSpan w:val="2"/>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3,641,429</w:t>
            </w:r>
          </w:p>
        </w:tc>
        <w:tc>
          <w:tcPr>
            <w:tcW w:w="10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3,079,001</w:t>
            </w:r>
          </w:p>
        </w:tc>
      </w:tr>
      <w:tr>
        <w:trPr>
          <w:trHeight w:val="226"/>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Royalties and contract revenues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97,261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15,237</w:t>
            </w:r>
          </w:p>
        </w:tc>
      </w:tr>
      <w:tr>
        <w:trPr>
          <w:trHeight w:val="220"/>
        </w:trPr>
        <w:tc>
          <w:tcPr>
            <w:tcW w:w="6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3,834,204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3,659,374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3,094,238</w:t>
            </w:r>
          </w:p>
        </w:tc>
      </w:tr>
      <w:tr>
        <w:trPr>
          <w:trHeight w:val="22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6"/>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product sales (excluding amortization of acquired developed technologies)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540,517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440,760</w:t>
            </w:r>
          </w:p>
        </w:tc>
      </w:tr>
      <w:tr>
        <w:trPr>
          <w:trHeight w:val="226"/>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1,343,105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1,416,967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1,451,683</w:t>
            </w:r>
          </w:p>
        </w:tc>
      </w:tr>
      <w:tr>
        <w:trPr>
          <w:trHeight w:val="226"/>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849,658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590,453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505,748</w:t>
            </w:r>
          </w:p>
        </w:tc>
      </w:tr>
      <w:tr>
        <w:trPr>
          <w:trHeight w:val="226"/>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599,169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525,769</w:t>
            </w:r>
          </w:p>
        </w:tc>
      </w:tr>
      <w:tr>
        <w:trPr>
          <w:trHeight w:val="226"/>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444,148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 impairment charge</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133,648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6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3,255,624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3,724,902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2,923,960</w:t>
            </w:r>
          </w:p>
        </w:tc>
      </w:tr>
      <w:tr>
        <w:trPr>
          <w:trHeight w:val="22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170,278</w:t>
            </w:r>
          </w:p>
        </w:tc>
      </w:tr>
      <w:tr>
        <w:trPr>
          <w:trHeight w:val="226"/>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(278,766)</w:t>
            </w:r>
          </w:p>
        </w:tc>
      </w:tr>
      <w:tr>
        <w:trPr>
          <w:trHeight w:val="226"/>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w:t>
            </w:r>
          </w:p>
        </w:tc>
      </w:tr>
      <w:tr>
        <w:trPr>
          <w:trHeight w:val="22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 expense (benefit) and equity in loss of investees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(372,784)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(112,838)</w:t>
            </w:r>
          </w:p>
        </w:tc>
      </w:tr>
      <w:tr>
        <w:trPr>
          <w:trHeight w:val="226"/>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216,116</w:t>
            </w:r>
          </w:p>
        </w:tc>
      </w:tr>
      <w:tr>
        <w:trPr>
          <w:trHeight w:val="226"/>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Equity in loss of investees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w:t>
            </w:r>
          </w:p>
        </w:tc>
      </w:tr>
      <w:tr>
        <w:trPr>
          <w:trHeight w:val="218"/>
        </w:trPr>
        <w:tc>
          <w:tcPr>
            <w:tcW w:w="6360" w:type="dxa"/>
            <w:vAlign w:val="bottom"/>
            <w:tcBorders>
              <w:bottom w:val="single" w:sz="8" w:color="CCEEFF"/>
            </w:tcBorders>
            <w:shd w:val="clear" w:color="auto" w:fill="CCEEFF"/>
          </w:tcPr>
          <w:p>
            <w:pPr>
              <w:ind w:left="20"/>
              <w:spacing w:after="0" w:line="193" w:lineRule="exact"/>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Borders>
              <w:bottom w:val="single" w:sz="8" w:color="auto"/>
            </w:tcBorders>
            <w:shd w:val="clear" w:color="auto" w:fill="CCEEFF"/>
          </w:tcPr>
          <w:p>
            <w:pPr>
              <w:jc w:val="right"/>
              <w:ind w:right="171"/>
              <w:spacing w:after="0" w:line="19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8"/>
                <w:szCs w:val="18"/>
                <w:color w:val="auto"/>
              </w:rPr>
              <w:t>414,832</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1"/>
              <w:spacing w:after="0" w:line="19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8"/>
                <w:szCs w:val="18"/>
                <w:color w:val="auto"/>
              </w:rPr>
              <w:t>(224,060)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1"/>
              <w:spacing w:after="0" w:line="19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8"/>
                <w:szCs w:val="18"/>
                <w:color w:val="auto"/>
              </w:rPr>
              <w:t>(329,668)</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6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ordinary share: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6"/>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460" w:type="dxa"/>
            <w:vAlign w:val="bottom"/>
            <w:gridSpan w:val="2"/>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45"/>
        </w:trPr>
        <w:tc>
          <w:tcPr>
            <w:tcW w:w="6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6360" w:type="dxa"/>
            <w:vAlign w:val="bottom"/>
          </w:tcPr>
          <w:p>
            <w:pPr>
              <w:ind w:left="140"/>
              <w:spacing w:after="0" w:line="200" w:lineRule="exact"/>
              <w:rPr>
                <w:sz w:val="20"/>
                <w:szCs w:val="20"/>
                <w:color w:val="auto"/>
              </w:rPr>
            </w:pPr>
            <w:r>
              <w:rPr>
                <w:rFonts w:ascii="Times New Roman" w:cs="Times New Roman" w:eastAsia="Times New Roman" w:hAnsi="Times New Roman"/>
                <w:sz w:val="18"/>
                <w:szCs w:val="18"/>
                <w:color w:val="auto"/>
              </w:rPr>
              <w:t>Weighted-average ordinary shares used in per share calculations - basic</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63,291</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62,539</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59,694</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5"/>
        </w:trPr>
        <w:tc>
          <w:tcPr>
            <w:tcW w:w="6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Weighted-average ordinary shares used in per share calculations - diluted</w:t>
            </w: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72,066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62,539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JAZZ PHARMACEUTICALS PLC</w:t>
      </w:r>
    </w:p>
    <w:p>
      <w:pPr>
        <w:spacing w:after="0" w:line="9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3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5"/>
        </w:trPr>
        <w:tc>
          <w:tcPr>
            <w:tcW w:w="6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414,832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(329,668)</w:t>
            </w:r>
          </w:p>
        </w:tc>
        <w:tc>
          <w:tcPr>
            <w:tcW w:w="0" w:type="dxa"/>
            <w:vAlign w:val="bottom"/>
          </w:tcPr>
          <w:p>
            <w:pPr>
              <w:spacing w:after="0"/>
              <w:rPr>
                <w:sz w:val="1"/>
                <w:szCs w:val="1"/>
                <w:color w:val="auto"/>
              </w:rPr>
            </w:pPr>
          </w:p>
        </w:tc>
      </w:tr>
      <w:tr>
        <w:trPr>
          <w:trHeight w:val="226"/>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(725,277)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(268,347)</w:t>
            </w:r>
          </w:p>
        </w:tc>
        <w:tc>
          <w:tcPr>
            <w:tcW w:w="0" w:type="dxa"/>
            <w:vAlign w:val="bottom"/>
          </w:tcPr>
          <w:p>
            <w:pPr>
              <w:spacing w:after="0"/>
              <w:rPr>
                <w:sz w:val="1"/>
                <w:szCs w:val="1"/>
                <w:color w:val="auto"/>
              </w:rPr>
            </w:pPr>
          </w:p>
        </w:tc>
      </w:tr>
      <w:tr>
        <w:trPr>
          <w:trHeight w:val="181"/>
        </w:trPr>
        <w:tc>
          <w:tcPr>
            <w:tcW w:w="6380" w:type="dxa"/>
            <w:vAlign w:val="bottom"/>
          </w:tcPr>
          <w:p>
            <w:pPr>
              <w:ind w:left="140"/>
              <w:spacing w:after="0" w:line="182" w:lineRule="exact"/>
              <w:rPr>
                <w:sz w:val="20"/>
                <w:szCs w:val="20"/>
                <w:color w:val="auto"/>
              </w:rPr>
            </w:pPr>
            <w:r>
              <w:rPr>
                <w:rFonts w:ascii="Times New Roman" w:cs="Times New Roman" w:eastAsia="Times New Roman" w:hAnsi="Times New Roman"/>
                <w:sz w:val="18"/>
                <w:szCs w:val="18"/>
                <w:color w:val="auto"/>
              </w:rPr>
              <w:t>Loss on fair value hedging activities reclassified from accumulated other</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380" w:type="dxa"/>
            <w:vAlign w:val="bottom"/>
          </w:tcPr>
          <w:p>
            <w:pPr>
              <w:ind w:left="140"/>
              <w:spacing w:after="0" w:line="178" w:lineRule="exact"/>
              <w:rPr>
                <w:sz w:val="20"/>
                <w:szCs w:val="20"/>
                <w:color w:val="auto"/>
              </w:rPr>
            </w:pPr>
            <w:r>
              <w:rPr>
                <w:rFonts w:ascii="Times New Roman" w:cs="Times New Roman" w:eastAsia="Times New Roman" w:hAnsi="Times New Roman"/>
                <w:sz w:val="18"/>
                <w:szCs w:val="18"/>
                <w:color w:val="auto"/>
                <w:w w:val="99"/>
              </w:rPr>
              <w:t>comprehensive income (loss) to foreign exchange gain (loss), net of income tax benefit</w:t>
            </w:r>
          </w:p>
        </w:tc>
        <w:tc>
          <w:tcPr>
            <w:tcW w:w="3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 $43, and $—, respectively</w:t>
            </w:r>
          </w:p>
        </w:tc>
        <w:tc>
          <w:tcPr>
            <w:tcW w:w="3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6380" w:type="dxa"/>
            <w:vAlign w:val="bottom"/>
            <w:shd w:val="clear" w:color="auto" w:fill="CCEEFF"/>
          </w:tcPr>
          <w:p>
            <w:pPr>
              <w:ind w:left="140"/>
              <w:spacing w:after="0" w:line="182" w:lineRule="exact"/>
              <w:rPr>
                <w:sz w:val="20"/>
                <w:szCs w:val="20"/>
                <w:color w:val="auto"/>
              </w:rPr>
            </w:pPr>
            <w:r>
              <w:rPr>
                <w:rFonts w:ascii="Times New Roman" w:cs="Times New Roman" w:eastAsia="Times New Roman" w:hAnsi="Times New Roman"/>
                <w:sz w:val="18"/>
                <w:szCs w:val="18"/>
                <w:color w:val="auto"/>
              </w:rPr>
              <w:t>Unrealized gain (loss) on cash flow hedging activities, net of income tax expense</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(benefit) of $1,215, $— and ($2), respectively</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81"/>
        </w:trPr>
        <w:tc>
          <w:tcPr>
            <w:tcW w:w="6380" w:type="dxa"/>
            <w:vAlign w:val="bottom"/>
          </w:tcPr>
          <w:p>
            <w:pPr>
              <w:ind w:left="140"/>
              <w:spacing w:after="0" w:line="182" w:lineRule="exact"/>
              <w:rPr>
                <w:sz w:val="20"/>
                <w:szCs w:val="20"/>
                <w:color w:val="auto"/>
              </w:rPr>
            </w:pPr>
            <w:r>
              <w:rPr>
                <w:rFonts w:ascii="Times New Roman" w:cs="Times New Roman" w:eastAsia="Times New Roman" w:hAnsi="Times New Roman"/>
                <w:sz w:val="18"/>
                <w:szCs w:val="18"/>
                <w:color w:val="auto"/>
              </w:rPr>
              <w:t>(Gain) loss on cash flow hedging activities reclassified from accumulated other</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380" w:type="dxa"/>
            <w:vAlign w:val="bottom"/>
          </w:tcPr>
          <w:p>
            <w:pPr>
              <w:ind w:left="140"/>
              <w:spacing w:after="0" w:line="178" w:lineRule="exact"/>
              <w:rPr>
                <w:sz w:val="20"/>
                <w:szCs w:val="20"/>
                <w:color w:val="auto"/>
              </w:rPr>
            </w:pPr>
            <w:r>
              <w:rPr>
                <w:rFonts w:ascii="Times New Roman" w:cs="Times New Roman" w:eastAsia="Times New Roman" w:hAnsi="Times New Roman"/>
                <w:sz w:val="18"/>
                <w:szCs w:val="18"/>
                <w:color w:val="auto"/>
              </w:rPr>
              <w:t>comprehensive income (loss) to interest expense, net of income tax expense (benefit)</w:t>
            </w:r>
          </w:p>
        </w:tc>
        <w:tc>
          <w:tcPr>
            <w:tcW w:w="3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0" w:type="dxa"/>
            <w:vAlign w:val="bottom"/>
          </w:tcPr>
          <w:p>
            <w:pPr>
              <w:spacing w:after="0"/>
              <w:rPr>
                <w:sz w:val="1"/>
                <w:szCs w:val="1"/>
                <w:color w:val="auto"/>
              </w:rPr>
            </w:pPr>
          </w:p>
        </w:tc>
      </w:tr>
      <w:tr>
        <w:trPr>
          <w:trHeight w:val="226"/>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$1,137, $— and ($355)</w:t>
            </w:r>
          </w:p>
        </w:tc>
        <w:tc>
          <w:tcPr>
            <w:tcW w:w="3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6380" w:type="dxa"/>
            <w:vAlign w:val="bottom"/>
            <w:shd w:val="clear" w:color="auto" w:fill="CCEEFF"/>
          </w:tcPr>
          <w:p>
            <w:pPr>
              <w:ind w:left="140"/>
              <w:spacing w:after="0" w:line="182" w:lineRule="exact"/>
              <w:rPr>
                <w:sz w:val="20"/>
                <w:szCs w:val="20"/>
                <w:color w:val="auto"/>
              </w:rPr>
            </w:pPr>
            <w:r>
              <w:rPr>
                <w:rFonts w:ascii="Times New Roman" w:cs="Times New Roman" w:eastAsia="Times New Roman" w:hAnsi="Times New Roman"/>
                <w:sz w:val="18"/>
                <w:szCs w:val="18"/>
                <w:color w:val="auto"/>
              </w:rPr>
              <w:t>Unrealized loss on fair value hedging activities, net of income tax benefit of $—, $—</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$43, respectively</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20"/>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283,362</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(725,149)</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(266,008)</w:t>
            </w:r>
          </w:p>
        </w:tc>
        <w:tc>
          <w:tcPr>
            <w:tcW w:w="0" w:type="dxa"/>
            <w:vAlign w:val="bottom"/>
          </w:tcPr>
          <w:p>
            <w:pPr>
              <w:spacing w:after="0"/>
              <w:rPr>
                <w:sz w:val="1"/>
                <w:szCs w:val="1"/>
                <w:color w:val="auto"/>
              </w:rPr>
            </w:pPr>
          </w:p>
        </w:tc>
      </w:tr>
      <w:tr>
        <w:trPr>
          <w:trHeight w:val="245"/>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698,194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(949,209)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(595,676)</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77470</wp:posOffset>
            </wp:positionV>
            <wp:extent cx="715962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JAZZ PHARMACEUTICALS PLC</w:t>
      </w:r>
    </w:p>
    <w:p>
      <w:pPr>
        <w:spacing w:after="0" w:line="9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3"/>
                <w:szCs w:val="13"/>
                <w:color w:val="auto"/>
              </w:rPr>
            </w:pPr>
          </w:p>
        </w:tc>
        <w:tc>
          <w:tcPr>
            <w:tcW w:w="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00" w:type="dxa"/>
            <w:vAlign w:val="bottom"/>
          </w:tcPr>
          <w:p>
            <w:pPr>
              <w:spacing w:after="0"/>
              <w:rPr>
                <w:sz w:val="12"/>
                <w:szCs w:val="12"/>
                <w:color w:val="auto"/>
              </w:rPr>
            </w:pPr>
          </w:p>
        </w:tc>
        <w:tc>
          <w:tcPr>
            <w:tcW w:w="1800" w:type="dxa"/>
            <w:vAlign w:val="bottom"/>
            <w:gridSpan w:val="5"/>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78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Non-voting Euro Deferred</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00" w:type="dxa"/>
            <w:vAlign w:val="bottom"/>
          </w:tcPr>
          <w:p>
            <w:pPr>
              <w:spacing w:after="0"/>
              <w:rPr>
                <w:sz w:val="9"/>
                <w:szCs w:val="9"/>
                <w:color w:val="auto"/>
              </w:rPr>
            </w:pPr>
          </w:p>
        </w:tc>
        <w:tc>
          <w:tcPr>
            <w:tcW w:w="1800" w:type="dxa"/>
            <w:vAlign w:val="bottom"/>
            <w:gridSpan w:val="5"/>
            <w:vMerge w:val="continue"/>
          </w:tcPr>
          <w:p>
            <w:pPr>
              <w:spacing w:after="0"/>
              <w:rPr>
                <w:sz w:val="9"/>
                <w:szCs w:val="9"/>
                <w:color w:val="auto"/>
              </w:rPr>
            </w:pPr>
          </w:p>
        </w:tc>
        <w:tc>
          <w:tcPr>
            <w:tcW w:w="178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vMerge w:val="restart"/>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rPr>
              <w:t>Redemption</w:t>
            </w:r>
          </w:p>
        </w:tc>
        <w:tc>
          <w:tcPr>
            <w:tcW w:w="120" w:type="dxa"/>
            <w:vAlign w:val="bottom"/>
          </w:tcPr>
          <w:p>
            <w:pPr>
              <w:spacing w:after="0"/>
              <w:rPr>
                <w:sz w:val="9"/>
                <w:szCs w:val="9"/>
                <w:color w:val="auto"/>
              </w:rPr>
            </w:pPr>
          </w:p>
        </w:tc>
        <w:tc>
          <w:tcPr>
            <w:tcW w:w="920" w:type="dxa"/>
            <w:vAlign w:val="bottom"/>
            <w:gridSpan w:val="2"/>
            <w:vMerge w:val="restart"/>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9"/>
                <w:szCs w:val="9"/>
                <w:color w:val="auto"/>
              </w:rPr>
            </w:pPr>
          </w:p>
        </w:tc>
        <w:tc>
          <w:tcPr>
            <w:tcW w:w="1280" w:type="dxa"/>
            <w:vAlign w:val="bottom"/>
            <w:gridSpan w:val="2"/>
            <w:vMerge w:val="restart"/>
          </w:tcPr>
          <w:p>
            <w:pPr>
              <w:jc w:val="center"/>
              <w:ind w:right="240"/>
              <w:spacing w:after="0" w:line="12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9"/>
                <w:szCs w:val="9"/>
                <w:color w:val="auto"/>
              </w:rPr>
            </w:pPr>
          </w:p>
        </w:tc>
        <w:tc>
          <w:tcPr>
            <w:tcW w:w="900" w:type="dxa"/>
            <w:vAlign w:val="bottom"/>
            <w:gridSpan w:val="2"/>
            <w:vMerge w:val="restart"/>
          </w:tcPr>
          <w:p>
            <w:pPr>
              <w:ind w:left="60"/>
              <w:spacing w:after="0" w:line="125"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9"/>
                <w:szCs w:val="9"/>
                <w:color w:val="auto"/>
              </w:rPr>
            </w:pPr>
          </w:p>
        </w:tc>
        <w:tc>
          <w:tcPr>
            <w:tcW w:w="760" w:type="dxa"/>
            <w:vAlign w:val="bottom"/>
            <w:vMerge w:val="restart"/>
          </w:tcPr>
          <w:p>
            <w:pPr>
              <w:jc w:val="right"/>
              <w:ind w:right="249"/>
              <w:spacing w:after="0" w:line="12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2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6"/>
                <w:szCs w:val="16"/>
                <w:color w:val="auto"/>
              </w:rPr>
            </w:pPr>
          </w:p>
        </w:tc>
        <w:tc>
          <w:tcPr>
            <w:tcW w:w="76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9"/>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2020</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56,171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2,633,670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(134,352)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1,159,894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3,659,745</w:t>
            </w:r>
          </w:p>
        </w:tc>
        <w:tc>
          <w:tcPr>
            <w:tcW w:w="0" w:type="dxa"/>
            <w:vAlign w:val="bottom"/>
          </w:tcPr>
          <w:p>
            <w:pPr>
              <w:spacing w:after="0"/>
              <w:rPr>
                <w:sz w:val="1"/>
                <w:szCs w:val="1"/>
                <w:color w:val="auto"/>
              </w:rPr>
            </w:pPr>
          </w:p>
        </w:tc>
      </w:tr>
      <w:tr>
        <w:trPr>
          <w:trHeight w:val="137"/>
        </w:trPr>
        <w:tc>
          <w:tcPr>
            <w:tcW w:w="200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0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color w:val="auto"/>
              </w:rPr>
              <w:t>connection with the acquisition of</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3,798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2"/>
                <w:szCs w:val="12"/>
                <w:color w:val="auto"/>
              </w:rPr>
            </w:pPr>
          </w:p>
        </w:tc>
        <w:tc>
          <w:tcPr>
            <w:tcW w:w="1020" w:type="dxa"/>
            <w:vAlign w:val="bottom"/>
            <w:gridSpan w:val="2"/>
            <w:vMerge w:val="restart"/>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608,456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608,456</w:t>
            </w:r>
          </w:p>
        </w:tc>
        <w:tc>
          <w:tcPr>
            <w:tcW w:w="0" w:type="dxa"/>
            <w:vAlign w:val="bottom"/>
          </w:tcPr>
          <w:p>
            <w:pPr>
              <w:spacing w:after="0"/>
              <w:rPr>
                <w:sz w:val="1"/>
                <w:szCs w:val="1"/>
                <w:color w:val="auto"/>
              </w:rPr>
            </w:pPr>
          </w:p>
        </w:tc>
      </w:tr>
      <w:tr>
        <w:trPr>
          <w:trHeight w:val="196"/>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GW Pharmaceuticals plc</w:t>
            </w: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00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color w:val="auto"/>
              </w:rPr>
              <w:t>Share-based payment -</w:t>
            </w: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precombination service in</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connection with the acquisition of</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3,555</w:t>
            </w:r>
          </w:p>
        </w:tc>
        <w:tc>
          <w:tcPr>
            <w:tcW w:w="0" w:type="dxa"/>
            <w:vAlign w:val="bottom"/>
          </w:tcPr>
          <w:p>
            <w:pPr>
              <w:spacing w:after="0"/>
              <w:rPr>
                <w:sz w:val="1"/>
                <w:szCs w:val="1"/>
                <w:color w:val="auto"/>
              </w:rPr>
            </w:pPr>
          </w:p>
        </w:tc>
      </w:tr>
      <w:tr>
        <w:trPr>
          <w:trHeight w:val="20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GW Pharmaceuticals plc</w:t>
            </w: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00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0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color w:val="auto"/>
              </w:rPr>
              <w:t>conjunction with exercise of share</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1,042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119,058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119,058</w:t>
            </w:r>
          </w:p>
        </w:tc>
        <w:tc>
          <w:tcPr>
            <w:tcW w:w="0" w:type="dxa"/>
            <w:vAlign w:val="bottom"/>
          </w:tcPr>
          <w:p>
            <w:pPr>
              <w:spacing w:after="0"/>
              <w:rPr>
                <w:sz w:val="1"/>
                <w:szCs w:val="1"/>
                <w:color w:val="auto"/>
              </w:rPr>
            </w:pPr>
          </w:p>
        </w:tc>
      </w:tr>
      <w:tr>
        <w:trPr>
          <w:trHeight w:val="19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0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Issuance of ordinary shares under</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16,203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16,203</w:t>
            </w:r>
          </w:p>
        </w:tc>
        <w:tc>
          <w:tcPr>
            <w:tcW w:w="0" w:type="dxa"/>
            <w:vAlign w:val="bottom"/>
          </w:tcPr>
          <w:p>
            <w:pPr>
              <w:spacing w:after="0"/>
              <w:rPr>
                <w:sz w:val="1"/>
                <w:szCs w:val="1"/>
                <w:color w:val="auto"/>
              </w:rPr>
            </w:pPr>
          </w:p>
        </w:tc>
      </w:tr>
      <w:tr>
        <w:trPr>
          <w:trHeight w:val="196"/>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00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0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color w:val="auto"/>
              </w:rPr>
              <w:t>conjunction with vesting of</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80" w:type="dxa"/>
            <w:vAlign w:val="bottom"/>
            <w:gridSpan w:val="2"/>
            <w:vMerge w:val="restart"/>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units</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0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Shares withheld for payment of</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employee's withholding tax</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(35,602)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(35,602)</w:t>
            </w:r>
          </w:p>
        </w:tc>
        <w:tc>
          <w:tcPr>
            <w:tcW w:w="0" w:type="dxa"/>
            <w:vAlign w:val="bottom"/>
          </w:tcPr>
          <w:p>
            <w:pPr>
              <w:spacing w:after="0"/>
              <w:rPr>
                <w:sz w:val="1"/>
                <w:szCs w:val="1"/>
                <w:color w:val="auto"/>
              </w:rPr>
            </w:pPr>
          </w:p>
        </w:tc>
      </w:tr>
      <w:tr>
        <w:trPr>
          <w:trHeight w:val="196"/>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liability</w:t>
            </w: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189,452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189,452</w:t>
            </w:r>
          </w:p>
        </w:tc>
        <w:tc>
          <w:tcPr>
            <w:tcW w:w="0" w:type="dxa"/>
            <w:vAlign w:val="bottom"/>
          </w:tcPr>
          <w:p>
            <w:pPr>
              <w:spacing w:after="0"/>
              <w:rPr>
                <w:sz w:val="1"/>
                <w:szCs w:val="1"/>
                <w:color w:val="auto"/>
              </w:rPr>
            </w:pPr>
          </w:p>
        </w:tc>
      </w:tr>
      <w:tr>
        <w:trPr>
          <w:trHeight w:val="207"/>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(266,008)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(266,008)</w:t>
            </w:r>
          </w:p>
        </w:tc>
        <w:tc>
          <w:tcPr>
            <w:tcW w:w="0" w:type="dxa"/>
            <w:vAlign w:val="bottom"/>
          </w:tcPr>
          <w:p>
            <w:pPr>
              <w:spacing w:after="0"/>
              <w:rPr>
                <w:sz w:val="1"/>
                <w:szCs w:val="1"/>
                <w:color w:val="auto"/>
              </w:rPr>
            </w:pPr>
          </w:p>
        </w:tc>
      </w:tr>
      <w:tr>
        <w:trPr>
          <w:trHeight w:val="193"/>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(329,668)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(329,668)</w:t>
            </w:r>
          </w:p>
        </w:tc>
        <w:tc>
          <w:tcPr>
            <w:tcW w:w="0" w:type="dxa"/>
            <w:vAlign w:val="bottom"/>
          </w:tcPr>
          <w:p>
            <w:pPr>
              <w:spacing w:after="0"/>
              <w:rPr>
                <w:sz w:val="1"/>
                <w:szCs w:val="1"/>
                <w:color w:val="auto"/>
              </w:rPr>
            </w:pPr>
          </w:p>
        </w:tc>
      </w:tr>
      <w:tr>
        <w:trPr>
          <w:trHeight w:val="200"/>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61,633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3,534,792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(400,360)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830,226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3,965,191</w:t>
            </w:r>
          </w:p>
        </w:tc>
        <w:tc>
          <w:tcPr>
            <w:tcW w:w="0" w:type="dxa"/>
            <w:vAlign w:val="bottom"/>
          </w:tcPr>
          <w:p>
            <w:pPr>
              <w:spacing w:after="0"/>
              <w:rPr>
                <w:sz w:val="1"/>
                <w:szCs w:val="1"/>
                <w:color w:val="auto"/>
              </w:rPr>
            </w:pPr>
          </w:p>
        </w:tc>
      </w:tr>
      <w:tr>
        <w:trPr>
          <w:trHeight w:val="137"/>
        </w:trPr>
        <w:tc>
          <w:tcPr>
            <w:tcW w:w="200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Cumulative effect adjustment</w:t>
            </w:r>
          </w:p>
        </w:tc>
        <w:tc>
          <w:tcPr>
            <w:tcW w:w="9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1"/>
                <w:szCs w:val="11"/>
                <w:color w:val="auto"/>
              </w:rPr>
            </w:pPr>
          </w:p>
        </w:tc>
        <w:tc>
          <w:tcPr>
            <w:tcW w:w="7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1"/>
                <w:szCs w:val="11"/>
                <w:color w:val="auto"/>
              </w:rPr>
            </w:pPr>
          </w:p>
        </w:tc>
        <w:tc>
          <w:tcPr>
            <w:tcW w:w="1020" w:type="dxa"/>
            <w:vAlign w:val="bottom"/>
            <w:gridSpan w:val="2"/>
            <w:vMerge w:val="restart"/>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(333,524)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127,474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(206,050)</w:t>
            </w:r>
          </w:p>
        </w:tc>
        <w:tc>
          <w:tcPr>
            <w:tcW w:w="0" w:type="dxa"/>
            <w:vAlign w:val="bottom"/>
          </w:tcPr>
          <w:p>
            <w:pPr>
              <w:spacing w:after="0"/>
              <w:rPr>
                <w:sz w:val="1"/>
                <w:szCs w:val="1"/>
                <w:color w:val="auto"/>
              </w:rPr>
            </w:pPr>
          </w:p>
        </w:tc>
      </w:tr>
      <w:tr>
        <w:trPr>
          <w:trHeight w:val="196"/>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from adoption of ASU 2020-06</w:t>
            </w: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00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conjunction with exercise of share</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82,897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82,897</w:t>
            </w:r>
          </w:p>
        </w:tc>
        <w:tc>
          <w:tcPr>
            <w:tcW w:w="0" w:type="dxa"/>
            <w:vAlign w:val="bottom"/>
          </w:tcPr>
          <w:p>
            <w:pPr>
              <w:spacing w:after="0"/>
              <w:rPr>
                <w:sz w:val="1"/>
                <w:szCs w:val="1"/>
                <w:color w:val="auto"/>
              </w:rPr>
            </w:pPr>
          </w:p>
        </w:tc>
      </w:tr>
      <w:tr>
        <w:trPr>
          <w:trHeight w:val="196"/>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00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Issuance of ordinary shares under</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15,123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15,123</w:t>
            </w:r>
          </w:p>
        </w:tc>
        <w:tc>
          <w:tcPr>
            <w:tcW w:w="0" w:type="dxa"/>
            <w:vAlign w:val="bottom"/>
          </w:tcPr>
          <w:p>
            <w:pPr>
              <w:spacing w:after="0"/>
              <w:rPr>
                <w:sz w:val="1"/>
                <w:szCs w:val="1"/>
                <w:color w:val="auto"/>
              </w:rPr>
            </w:pPr>
          </w:p>
        </w:tc>
      </w:tr>
      <w:tr>
        <w:trPr>
          <w:trHeight w:val="19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0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conjunction with vesting of</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units</w:t>
            </w: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00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Shares withheld for payment of</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0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color w:val="auto"/>
              </w:rPr>
              <w:t>employee's withholding tax</w:t>
            </w: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(45,443)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(45,443)</w:t>
            </w:r>
          </w:p>
        </w:tc>
        <w:tc>
          <w:tcPr>
            <w:tcW w:w="0" w:type="dxa"/>
            <w:vAlign w:val="bottom"/>
          </w:tcPr>
          <w:p>
            <w:pPr>
              <w:spacing w:after="0"/>
              <w:rPr>
                <w:sz w:val="1"/>
                <w:szCs w:val="1"/>
                <w:color w:val="auto"/>
              </w:rPr>
            </w:pPr>
          </w:p>
        </w:tc>
      </w:tr>
      <w:tr>
        <w:trPr>
          <w:trHeight w:val="19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liability</w:t>
            </w: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223,279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223,279</w:t>
            </w:r>
          </w:p>
        </w:tc>
        <w:tc>
          <w:tcPr>
            <w:tcW w:w="0" w:type="dxa"/>
            <w:vAlign w:val="bottom"/>
          </w:tcPr>
          <w:p>
            <w:pPr>
              <w:spacing w:after="0"/>
              <w:rPr>
                <w:sz w:val="1"/>
                <w:szCs w:val="1"/>
                <w:color w:val="auto"/>
              </w:rPr>
            </w:pPr>
          </w:p>
        </w:tc>
      </w:tr>
      <w:tr>
        <w:trPr>
          <w:trHeight w:val="192"/>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repurchased</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207"/>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(725,149)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(725,149)</w:t>
            </w:r>
          </w:p>
        </w:tc>
        <w:tc>
          <w:tcPr>
            <w:tcW w:w="0" w:type="dxa"/>
            <w:vAlign w:val="bottom"/>
          </w:tcPr>
          <w:p>
            <w:pPr>
              <w:spacing w:after="0"/>
              <w:rPr>
                <w:sz w:val="1"/>
                <w:szCs w:val="1"/>
                <w:color w:val="auto"/>
              </w:rPr>
            </w:pPr>
          </w:p>
        </w:tc>
      </w:tr>
      <w:tr>
        <w:trPr>
          <w:trHeight w:val="193"/>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(224,060)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(224,060)</w:t>
            </w:r>
          </w:p>
        </w:tc>
        <w:tc>
          <w:tcPr>
            <w:tcW w:w="0" w:type="dxa"/>
            <w:vAlign w:val="bottom"/>
          </w:tcPr>
          <w:p>
            <w:pPr>
              <w:spacing w:after="0"/>
              <w:rPr>
                <w:sz w:val="1"/>
                <w:szCs w:val="1"/>
                <w:color w:val="auto"/>
              </w:rPr>
            </w:pPr>
          </w:p>
        </w:tc>
      </w:tr>
      <w:tr>
        <w:trPr>
          <w:trHeight w:val="225"/>
        </w:trPr>
        <w:tc>
          <w:tcPr>
            <w:tcW w:w="2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63,214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3,477,124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(1,125,509)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733,586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3,085,734</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JAZZ PHARMACEUTICALS PLC</w:t>
      </w:r>
    </w:p>
    <w:p>
      <w:pPr>
        <w:spacing w:after="0" w:line="9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EQUITY—(Continued)</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3"/>
                <w:szCs w:val="13"/>
                <w:color w:val="auto"/>
              </w:rPr>
            </w:pPr>
          </w:p>
        </w:tc>
        <w:tc>
          <w:tcPr>
            <w:tcW w:w="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00" w:type="dxa"/>
            <w:vAlign w:val="bottom"/>
          </w:tcPr>
          <w:p>
            <w:pPr>
              <w:spacing w:after="0"/>
              <w:rPr>
                <w:sz w:val="12"/>
                <w:szCs w:val="12"/>
                <w:color w:val="auto"/>
              </w:rPr>
            </w:pPr>
          </w:p>
        </w:tc>
        <w:tc>
          <w:tcPr>
            <w:tcW w:w="1800" w:type="dxa"/>
            <w:vAlign w:val="bottom"/>
            <w:gridSpan w:val="5"/>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78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Non-voting Euro Deferred</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00" w:type="dxa"/>
            <w:vAlign w:val="bottom"/>
          </w:tcPr>
          <w:p>
            <w:pPr>
              <w:spacing w:after="0"/>
              <w:rPr>
                <w:sz w:val="9"/>
                <w:szCs w:val="9"/>
                <w:color w:val="auto"/>
              </w:rPr>
            </w:pPr>
          </w:p>
        </w:tc>
        <w:tc>
          <w:tcPr>
            <w:tcW w:w="1800" w:type="dxa"/>
            <w:vAlign w:val="bottom"/>
            <w:gridSpan w:val="5"/>
            <w:vMerge w:val="continue"/>
          </w:tcPr>
          <w:p>
            <w:pPr>
              <w:spacing w:after="0"/>
              <w:rPr>
                <w:sz w:val="9"/>
                <w:szCs w:val="9"/>
                <w:color w:val="auto"/>
              </w:rPr>
            </w:pPr>
          </w:p>
        </w:tc>
        <w:tc>
          <w:tcPr>
            <w:tcW w:w="178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vMerge w:val="restart"/>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rPr>
              <w:t>Redemption</w:t>
            </w:r>
          </w:p>
        </w:tc>
        <w:tc>
          <w:tcPr>
            <w:tcW w:w="120" w:type="dxa"/>
            <w:vAlign w:val="bottom"/>
          </w:tcPr>
          <w:p>
            <w:pPr>
              <w:spacing w:after="0"/>
              <w:rPr>
                <w:sz w:val="9"/>
                <w:szCs w:val="9"/>
                <w:color w:val="auto"/>
              </w:rPr>
            </w:pPr>
          </w:p>
        </w:tc>
        <w:tc>
          <w:tcPr>
            <w:tcW w:w="920" w:type="dxa"/>
            <w:vAlign w:val="bottom"/>
            <w:gridSpan w:val="2"/>
            <w:vMerge w:val="restart"/>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9"/>
                <w:szCs w:val="9"/>
                <w:color w:val="auto"/>
              </w:rPr>
            </w:pPr>
          </w:p>
        </w:tc>
        <w:tc>
          <w:tcPr>
            <w:tcW w:w="1280" w:type="dxa"/>
            <w:vAlign w:val="bottom"/>
            <w:gridSpan w:val="2"/>
            <w:vMerge w:val="restart"/>
          </w:tcPr>
          <w:p>
            <w:pPr>
              <w:jc w:val="center"/>
              <w:ind w:right="240"/>
              <w:spacing w:after="0" w:line="12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9"/>
                <w:szCs w:val="9"/>
                <w:color w:val="auto"/>
              </w:rPr>
            </w:pPr>
          </w:p>
        </w:tc>
        <w:tc>
          <w:tcPr>
            <w:tcW w:w="900" w:type="dxa"/>
            <w:vAlign w:val="bottom"/>
            <w:gridSpan w:val="2"/>
            <w:vMerge w:val="restart"/>
          </w:tcPr>
          <w:p>
            <w:pPr>
              <w:ind w:left="60"/>
              <w:spacing w:after="0" w:line="125"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9"/>
                <w:szCs w:val="9"/>
                <w:color w:val="auto"/>
              </w:rPr>
            </w:pPr>
          </w:p>
        </w:tc>
        <w:tc>
          <w:tcPr>
            <w:tcW w:w="760" w:type="dxa"/>
            <w:vAlign w:val="bottom"/>
            <w:vMerge w:val="restart"/>
          </w:tcPr>
          <w:p>
            <w:pPr>
              <w:jc w:val="right"/>
              <w:ind w:right="249"/>
              <w:spacing w:after="0" w:line="12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2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6"/>
                <w:szCs w:val="16"/>
                <w:color w:val="auto"/>
              </w:rPr>
            </w:pPr>
          </w:p>
        </w:tc>
        <w:tc>
          <w:tcPr>
            <w:tcW w:w="76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9"/>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63,214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3,477,124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(1,125,509)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733,586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3,085,734</w:t>
            </w:r>
          </w:p>
        </w:tc>
        <w:tc>
          <w:tcPr>
            <w:tcW w:w="0" w:type="dxa"/>
            <w:vAlign w:val="bottom"/>
          </w:tcPr>
          <w:p>
            <w:pPr>
              <w:spacing w:after="0"/>
              <w:rPr>
                <w:sz w:val="1"/>
                <w:szCs w:val="1"/>
                <w:color w:val="auto"/>
              </w:rPr>
            </w:pPr>
          </w:p>
        </w:tc>
      </w:tr>
      <w:tr>
        <w:trPr>
          <w:trHeight w:val="137"/>
        </w:trPr>
        <w:tc>
          <w:tcPr>
            <w:tcW w:w="200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0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color w:val="auto"/>
              </w:rPr>
              <w:t>conjunction with exercise of share</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30,189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30,189</w:t>
            </w:r>
          </w:p>
        </w:tc>
        <w:tc>
          <w:tcPr>
            <w:tcW w:w="0" w:type="dxa"/>
            <w:vAlign w:val="bottom"/>
          </w:tcPr>
          <w:p>
            <w:pPr>
              <w:spacing w:after="0"/>
              <w:rPr>
                <w:sz w:val="1"/>
                <w:szCs w:val="1"/>
                <w:color w:val="auto"/>
              </w:rPr>
            </w:pPr>
          </w:p>
        </w:tc>
      </w:tr>
      <w:tr>
        <w:trPr>
          <w:trHeight w:val="19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0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Issuance of ordinary shares under</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16,270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16,270</w:t>
            </w:r>
          </w:p>
        </w:tc>
        <w:tc>
          <w:tcPr>
            <w:tcW w:w="0" w:type="dxa"/>
            <w:vAlign w:val="bottom"/>
          </w:tcPr>
          <w:p>
            <w:pPr>
              <w:spacing w:after="0"/>
              <w:rPr>
                <w:sz w:val="1"/>
                <w:szCs w:val="1"/>
                <w:color w:val="auto"/>
              </w:rPr>
            </w:pPr>
          </w:p>
        </w:tc>
      </w:tr>
      <w:tr>
        <w:trPr>
          <w:trHeight w:val="196"/>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00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0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color w:val="auto"/>
              </w:rPr>
              <w:t>conjunction with vesting of</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units</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0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Shares withheld for payment of</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employee's withholding tax</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(50,952)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(50,952)</w:t>
            </w:r>
          </w:p>
        </w:tc>
        <w:tc>
          <w:tcPr>
            <w:tcW w:w="0" w:type="dxa"/>
            <w:vAlign w:val="bottom"/>
          </w:tcPr>
          <w:p>
            <w:pPr>
              <w:spacing w:after="0"/>
              <w:rPr>
                <w:sz w:val="1"/>
                <w:szCs w:val="1"/>
                <w:color w:val="auto"/>
              </w:rPr>
            </w:pPr>
          </w:p>
        </w:tc>
      </w:tr>
      <w:tr>
        <w:trPr>
          <w:trHeight w:val="196"/>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liability</w:t>
            </w: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227,323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227,323</w:t>
            </w:r>
          </w:p>
        </w:tc>
        <w:tc>
          <w:tcPr>
            <w:tcW w:w="0" w:type="dxa"/>
            <w:vAlign w:val="bottom"/>
          </w:tcPr>
          <w:p>
            <w:pPr>
              <w:spacing w:after="0"/>
              <w:rPr>
                <w:sz w:val="1"/>
                <w:szCs w:val="1"/>
                <w:color w:val="auto"/>
              </w:rPr>
            </w:pPr>
          </w:p>
        </w:tc>
      </w:tr>
      <w:tr>
        <w:trPr>
          <w:trHeight w:val="207"/>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repurchased</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(269,762)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(269,761)</w:t>
            </w:r>
          </w:p>
        </w:tc>
        <w:tc>
          <w:tcPr>
            <w:tcW w:w="0" w:type="dxa"/>
            <w:vAlign w:val="bottom"/>
          </w:tcPr>
          <w:p>
            <w:pPr>
              <w:spacing w:after="0"/>
              <w:rPr>
                <w:sz w:val="1"/>
                <w:szCs w:val="1"/>
                <w:color w:val="auto"/>
              </w:rPr>
            </w:pPr>
          </w:p>
        </w:tc>
      </w:tr>
      <w:tr>
        <w:trPr>
          <w:trHeight w:val="192"/>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283,362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283,362</w:t>
            </w:r>
          </w:p>
        </w:tc>
        <w:tc>
          <w:tcPr>
            <w:tcW w:w="0" w:type="dxa"/>
            <w:vAlign w:val="bottom"/>
          </w:tcPr>
          <w:p>
            <w:pPr>
              <w:spacing w:after="0"/>
              <w:rPr>
                <w:sz w:val="1"/>
                <w:szCs w:val="1"/>
                <w:color w:val="auto"/>
              </w:rPr>
            </w:pPr>
          </w:p>
        </w:tc>
      </w:tr>
      <w:tr>
        <w:trPr>
          <w:trHeight w:val="201"/>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414,832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414,832</w:t>
            </w:r>
          </w:p>
        </w:tc>
        <w:tc>
          <w:tcPr>
            <w:tcW w:w="0" w:type="dxa"/>
            <w:vAlign w:val="bottom"/>
          </w:tcPr>
          <w:p>
            <w:pPr>
              <w:spacing w:after="0"/>
              <w:rPr>
                <w:sz w:val="1"/>
                <w:szCs w:val="1"/>
                <w:color w:val="auto"/>
              </w:rPr>
            </w:pPr>
          </w:p>
        </w:tc>
      </w:tr>
      <w:tr>
        <w:trPr>
          <w:trHeight w:val="20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62,255</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3,699,954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(842,147)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878,656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3,736,997</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JAZZ PHARMACEUTICALS PLC</w:t>
      </w:r>
    </w:p>
    <w:p>
      <w:pPr>
        <w:spacing w:after="0" w:line="9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0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5"/>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6"/>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92"/>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414,832</w:t>
            </w:r>
          </w:p>
        </w:tc>
        <w:tc>
          <w:tcPr>
            <w:tcW w:w="460" w:type="dxa"/>
            <w:vAlign w:val="bottom"/>
            <w:gridSpan w:val="2"/>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(224,060)</w:t>
            </w:r>
          </w:p>
        </w:tc>
        <w:tc>
          <w:tcPr>
            <w:tcW w:w="100" w:type="dxa"/>
            <w:vAlign w:val="bottom"/>
          </w:tcPr>
          <w:p>
            <w:pPr>
              <w:spacing w:after="0"/>
              <w:rPr>
                <w:sz w:val="16"/>
                <w:szCs w:val="16"/>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(329,668)</w:t>
            </w:r>
          </w:p>
        </w:tc>
      </w:tr>
      <w:tr>
        <w:trPr>
          <w:trHeight w:val="207"/>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192"/>
        </w:trPr>
        <w:tc>
          <w:tcPr>
            <w:tcW w:w="6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Intangible asset amortization</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608,284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599,169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525,769</w:t>
            </w:r>
          </w:p>
        </w:tc>
      </w:tr>
      <w:tr>
        <w:trPr>
          <w:trHeight w:val="207"/>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Share-based compensation</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226,841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221,996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189,006</w:t>
            </w:r>
          </w:p>
        </w:tc>
      </w:tr>
      <w:tr>
        <w:trPr>
          <w:trHeight w:val="192"/>
        </w:trPr>
        <w:tc>
          <w:tcPr>
            <w:tcW w:w="6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Acquisition accounting inventory fair value step-up adjustment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151,446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273,392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223,085</w:t>
            </w:r>
          </w:p>
        </w:tc>
      </w:tr>
      <w:tr>
        <w:trPr>
          <w:trHeight w:val="207"/>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Impairment of property, plant and equipment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61,014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6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30,412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30,302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26,714</w:t>
            </w:r>
          </w:p>
        </w:tc>
      </w:tr>
      <w:tr>
        <w:trPr>
          <w:trHeight w:val="207"/>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Non-cash interest expense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22,378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37,973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92,655</w:t>
            </w:r>
          </w:p>
        </w:tc>
      </w:tr>
      <w:tr>
        <w:trPr>
          <w:trHeight w:val="192"/>
        </w:trPr>
        <w:tc>
          <w:tcPr>
            <w:tcW w:w="6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Acquired in-process research and development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444,148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Provision for losses on accounts receivable and inventory</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14,537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19,668</w:t>
            </w:r>
          </w:p>
        </w:tc>
      </w:tr>
      <w:tr>
        <w:trPr>
          <w:trHeight w:val="192"/>
        </w:trPr>
        <w:tc>
          <w:tcPr>
            <w:tcW w:w="6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tax expense (benefit)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(260,217)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(292,251)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69,198</w:t>
            </w:r>
          </w:p>
        </w:tc>
      </w:tr>
      <w:tr>
        <w:trPr>
          <w:trHeight w:val="207"/>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Intangible asset impairment charge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133,648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6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 on disposal of a business</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37,704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non-cash transactions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(14,486)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10,032</w:t>
            </w:r>
          </w:p>
        </w:tc>
      </w:tr>
      <w:tr>
        <w:trPr>
          <w:trHeight w:val="192"/>
        </w:trPr>
        <w:tc>
          <w:tcPr>
            <w:tcW w:w="6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7"/>
        </w:trPr>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Accounts receivable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(51,883)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(92,735)</w:t>
            </w:r>
          </w:p>
        </w:tc>
      </w:tr>
      <w:tr>
        <w:trPr>
          <w:trHeight w:val="192"/>
        </w:trPr>
        <w:tc>
          <w:tcPr>
            <w:tcW w:w="63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Inventories</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(49,642)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(48,861)</w:t>
            </w:r>
          </w:p>
        </w:tc>
      </w:tr>
      <w:tr>
        <w:trPr>
          <w:trHeight w:val="207"/>
        </w:trPr>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(126,179)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35,788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(83,320)</w:t>
            </w:r>
          </w:p>
        </w:tc>
      </w:tr>
      <w:tr>
        <w:trPr>
          <w:trHeight w:val="192"/>
        </w:trPr>
        <w:tc>
          <w:tcPr>
            <w:tcW w:w="63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Operating lease assets</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14,948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14,769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15,583</w:t>
            </w:r>
          </w:p>
        </w:tc>
      </w:tr>
      <w:tr>
        <w:trPr>
          <w:trHeight w:val="207"/>
        </w:trPr>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non-current assets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(24,038)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w:t>
            </w:r>
          </w:p>
        </w:tc>
      </w:tr>
      <w:tr>
        <w:trPr>
          <w:trHeight w:val="192"/>
        </w:trPr>
        <w:tc>
          <w:tcPr>
            <w:tcW w:w="63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payable</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57,021</w:t>
            </w:r>
          </w:p>
        </w:tc>
      </w:tr>
      <w:tr>
        <w:trPr>
          <w:trHeight w:val="207"/>
        </w:trPr>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liabilities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165,991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142,355</w:t>
            </w:r>
          </w:p>
        </w:tc>
      </w:tr>
      <w:tr>
        <w:trPr>
          <w:trHeight w:val="192"/>
        </w:trPr>
        <w:tc>
          <w:tcPr>
            <w:tcW w:w="63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Income taxes payable</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(15,524)</w:t>
            </w:r>
          </w:p>
        </w:tc>
      </w:tr>
      <w:tr>
        <w:trPr>
          <w:trHeight w:val="207"/>
        </w:trPr>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Deferred revenue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(2,305)</w:t>
            </w:r>
          </w:p>
        </w:tc>
      </w:tr>
      <w:tr>
        <w:trPr>
          <w:trHeight w:val="192"/>
        </w:trPr>
        <w:tc>
          <w:tcPr>
            <w:tcW w:w="63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Operating lease liabilities, less current portion</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(16,965)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(16,037)</w:t>
            </w:r>
          </w:p>
        </w:tc>
      </w:tr>
      <w:tr>
        <w:trPr>
          <w:trHeight w:val="207"/>
        </w:trPr>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(4,946)</w:t>
            </w:r>
          </w:p>
        </w:tc>
      </w:tr>
      <w:tr>
        <w:trPr>
          <w:trHeight w:val="186"/>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1,092,007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1,271,977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778,507</w:t>
            </w:r>
          </w:p>
        </w:tc>
      </w:tr>
      <w:tr>
        <w:trPr>
          <w:trHeight w:val="18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92"/>
        </w:trPr>
        <w:tc>
          <w:tcPr>
            <w:tcW w:w="6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maturity of investments</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270,000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1,095,000</w:t>
            </w:r>
          </w:p>
        </w:tc>
      </w:tr>
      <w:tr>
        <w:trPr>
          <w:trHeight w:val="207"/>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Acquired in-process research and development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(444,148)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6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(23,962)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(29,046)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(27,641)</w:t>
            </w:r>
          </w:p>
        </w:tc>
      </w:tr>
      <w:tr>
        <w:trPr>
          <w:trHeight w:val="207"/>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Acquisition of investments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(390,100)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(61,036)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(26,819)</w:t>
            </w:r>
          </w:p>
        </w:tc>
      </w:tr>
      <w:tr>
        <w:trPr>
          <w:trHeight w:val="192"/>
        </w:trPr>
        <w:tc>
          <w:tcPr>
            <w:tcW w:w="6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sale of a business</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Acquisition of intangible assets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(17,891)</w:t>
            </w:r>
          </w:p>
        </w:tc>
      </w:tr>
      <w:tr>
        <w:trPr>
          <w:trHeight w:val="193"/>
        </w:trPr>
        <w:tc>
          <w:tcPr>
            <w:tcW w:w="6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Acquisition of a business, net of cash acquired</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(6,234,792)</w:t>
            </w:r>
          </w:p>
        </w:tc>
      </w:tr>
      <w:tr>
        <w:trPr>
          <w:trHeight w:val="200"/>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(163,062)</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(446,230)</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(5,212,143)</w:t>
            </w:r>
          </w:p>
        </w:tc>
      </w:tr>
      <w:tr>
        <w:trPr>
          <w:trHeight w:val="173"/>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6"/>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employee equity incentive and purchase plans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46,459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98,020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135,261</w:t>
            </w:r>
          </w:p>
        </w:tc>
      </w:tr>
      <w:tr>
        <w:trPr>
          <w:trHeight w:val="192"/>
        </w:trPr>
        <w:tc>
          <w:tcPr>
            <w:tcW w:w="6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Repayments of long-term debt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(582,014)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(1,101,788)</w:t>
            </w:r>
          </w:p>
        </w:tc>
      </w:tr>
      <w:tr>
        <w:trPr>
          <w:trHeight w:val="207"/>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 of employee withholding taxes related to share-based awards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(50,952)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(45,443)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(35,602)</w:t>
            </w:r>
          </w:p>
        </w:tc>
      </w:tr>
      <w:tr>
        <w:trPr>
          <w:trHeight w:val="192"/>
        </w:trPr>
        <w:tc>
          <w:tcPr>
            <w:tcW w:w="6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 repurchases</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(269,761)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proceeds from issuance of borrowings under credit agreement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3,719,930</w:t>
            </w:r>
          </w:p>
        </w:tc>
      </w:tr>
      <w:tr>
        <w:trPr>
          <w:trHeight w:val="192"/>
        </w:trPr>
        <w:tc>
          <w:tcPr>
            <w:tcW w:w="6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proceeds from issuance of Senior Secured Notes, due 2029</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1,471,533</w:t>
            </w:r>
          </w:p>
        </w:tc>
      </w:tr>
      <w:tr>
        <w:trPr>
          <w:trHeight w:val="207"/>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Payments for repurchase of Exchangeable Senior Notes, due 2021</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(218,812)</w:t>
            </w:r>
          </w:p>
        </w:tc>
      </w:tr>
      <w:tr>
        <w:trPr>
          <w:trHeight w:val="186"/>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(305,254)</w:t>
            </w:r>
          </w:p>
        </w:tc>
        <w:tc>
          <w:tcPr>
            <w:tcW w:w="10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(529,491)</w:t>
            </w:r>
          </w:p>
        </w:tc>
        <w:tc>
          <w:tcPr>
            <w:tcW w:w="10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3,970,522</w:t>
            </w:r>
          </w:p>
        </w:tc>
      </w:tr>
      <w:tr>
        <w:trPr>
          <w:trHeight w:val="20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rates on cash and cash equivalents</w:t>
            </w: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(6,222)</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(3,207)</w:t>
            </w:r>
          </w:p>
        </w:tc>
      </w:tr>
      <w:tr>
        <w:trPr>
          <w:trHeight w:val="185"/>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624,828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290,034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(466,321)</w:t>
            </w:r>
          </w:p>
        </w:tc>
      </w:tr>
      <w:tr>
        <w:trPr>
          <w:trHeight w:val="207"/>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881,482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591,448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1,057,769</w:t>
            </w:r>
          </w:p>
        </w:tc>
      </w:tr>
      <w:tr>
        <w:trPr>
          <w:trHeight w:val="186"/>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1,506,310</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881,482</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591,448</w:t>
            </w:r>
          </w:p>
        </w:tc>
      </w:tr>
      <w:tr>
        <w:trPr>
          <w:trHeight w:val="27"/>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JAZZ PHARMACEUTICALS PLC</w:t>
      </w:r>
    </w:p>
    <w:p>
      <w:pPr>
        <w:spacing w:after="0" w:line="9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FLOWS—(Continued)</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5"/>
        </w:trPr>
        <w:tc>
          <w:tcPr>
            <w:tcW w:w="63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63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92"/>
        </w:trPr>
        <w:tc>
          <w:tcPr>
            <w:tcW w:w="6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paid for interest</w:t>
            </w:r>
          </w:p>
        </w:tc>
        <w:tc>
          <w:tcPr>
            <w:tcW w:w="96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333,112</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270,671</w:t>
            </w:r>
          </w:p>
        </w:tc>
        <w:tc>
          <w:tcPr>
            <w:tcW w:w="10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138,271</w:t>
            </w:r>
          </w:p>
        </w:tc>
      </w:tr>
      <w:tr>
        <w:trPr>
          <w:trHeight w:val="207"/>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paid for income taxes, net of refunds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177,880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94,681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271,217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77470</wp:posOffset>
            </wp:positionV>
            <wp:extent cx="715962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JAZZ PHARMACEUTICALS PLC</w:t>
      </w:r>
    </w:p>
    <w:p>
      <w:pPr>
        <w:spacing w:after="0" w:line="246"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114" w:lineRule="exact"/>
        <w:rPr>
          <w:sz w:val="20"/>
          <w:szCs w:val="20"/>
          <w:color w:val="auto"/>
        </w:rPr>
      </w:pPr>
    </w:p>
    <w:p>
      <w:pPr>
        <w:ind w:right="60" w:firstLine="439"/>
        <w:spacing w:after="0" w:line="254" w:lineRule="auto"/>
        <w:rPr>
          <w:sz w:val="20"/>
          <w:szCs w:val="20"/>
          <w:color w:val="auto"/>
        </w:rPr>
      </w:pPr>
      <w:r>
        <w:rPr>
          <w:rFonts w:ascii="Times New Roman" w:cs="Times New Roman" w:eastAsia="Times New Roman" w:hAnsi="Times New Roman"/>
          <w:sz w:val="18"/>
          <w:szCs w:val="18"/>
          <w:color w:val="auto"/>
        </w:rPr>
        <w:t>Jazz Pharmaceuticals plc is a global biopharmaceutical company whose purpose is to innovate to transform the lives of patients and their families. We are dedicated to developing life-changing medicines for people with serious diseases - often with limited or no therapeutic options. We have a diverse portfolio of marketed medicines and novel product candidates, from early- to late-stage development, in neuroscience and oncology. Within these therapeutic areas, we strive to identify new options for patients by actively exploring small molecules and biologics, and through innovative delivery technologies and cannabinoid science.</w:t>
      </w:r>
    </w:p>
    <w:p>
      <w:pPr>
        <w:spacing w:after="0" w:line="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lead marketed products, listed below, are approved in countries around the world to improve patient care.</w:t>
      </w:r>
    </w:p>
    <w:p>
      <w:pPr>
        <w:spacing w:after="0" w:line="1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Neuroscience</w:t>
      </w:r>
    </w:p>
    <w:p>
      <w:pPr>
        <w:spacing w:after="0" w:line="112" w:lineRule="exact"/>
        <w:rPr>
          <w:sz w:val="20"/>
          <w:szCs w:val="20"/>
          <w:color w:val="auto"/>
        </w:rPr>
      </w:pPr>
    </w:p>
    <w:p>
      <w:pPr>
        <w:ind w:left="720" w:right="40" w:hanging="314"/>
        <w:spacing w:after="0" w:line="257" w:lineRule="auto"/>
        <w:tabs>
          <w:tab w:leader="none" w:pos="7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Xywav® (calcium, magnesium, potassium, and sodium oxybates) oral solution</w:t>
      </w:r>
      <w:r>
        <w:rPr>
          <w:rFonts w:ascii="Times New Roman" w:cs="Times New Roman" w:eastAsia="Times New Roman" w:hAnsi="Times New Roman"/>
          <w:sz w:val="18"/>
          <w:szCs w:val="18"/>
          <w:color w:val="auto"/>
        </w:rPr>
        <w:t>, a product approved by the U.S. Food and Drug Administration,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FDA, in July 2020 and launched in the U.S. in November 2020 for the treatment of cataplexy or excessive daytime sleepiness, or EDS, in patients seven years of age and older with narcolepsy, and also approved by FDA in August 2021 for the treatment of idiopathic hypersomnia, or IH, in adults and launched in the U.S. in November 2021. Xywav contains 92% less sodium than Xyrem®;</w:t>
      </w:r>
    </w:p>
    <w:p>
      <w:pPr>
        <w:spacing w:after="0" w:line="71" w:lineRule="exact"/>
        <w:rPr>
          <w:rFonts w:ascii="Times New Roman" w:cs="Times New Roman" w:eastAsia="Times New Roman" w:hAnsi="Times New Roman"/>
          <w:sz w:val="18"/>
          <w:szCs w:val="18"/>
          <w:color w:val="auto"/>
        </w:rPr>
      </w:pPr>
    </w:p>
    <w:p>
      <w:pPr>
        <w:ind w:left="720" w:right="140" w:hanging="314"/>
        <w:spacing w:after="0" w:line="257" w:lineRule="auto"/>
        <w:tabs>
          <w:tab w:leader="none" w:pos="7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Xyrem (sodium oxybate) oral solution</w:t>
      </w:r>
      <w:r>
        <w:rPr>
          <w:rFonts w:ascii="Times New Roman" w:cs="Times New Roman" w:eastAsia="Times New Roman" w:hAnsi="Times New Roman"/>
          <w:sz w:val="18"/>
          <w:szCs w:val="18"/>
          <w:color w:val="auto"/>
        </w:rPr>
        <w:t>, a product approved by FDA and distributed in the U.S. for the treatment of cataplexy or EDS in patients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seven years of age or older with narcolepsy; Jazz also markets Xyrem in Canada for the treatment of cataplexy in patients with narcolepsy. Xyrem is also approved and distributed in the European Union, or EU (EU market authorizations include Northern Ireland), Great Britain and other markets through a licensing agreement; and</w:t>
      </w:r>
    </w:p>
    <w:p>
      <w:pPr>
        <w:spacing w:after="0" w:line="71" w:lineRule="exact"/>
        <w:rPr>
          <w:rFonts w:ascii="Times New Roman" w:cs="Times New Roman" w:eastAsia="Times New Roman" w:hAnsi="Times New Roman"/>
          <w:sz w:val="18"/>
          <w:szCs w:val="18"/>
          <w:color w:val="auto"/>
        </w:rPr>
      </w:pPr>
    </w:p>
    <w:p>
      <w:pPr>
        <w:ind w:left="720" w:right="100" w:hanging="314"/>
        <w:spacing w:after="0" w:line="254" w:lineRule="auto"/>
        <w:tabs>
          <w:tab w:leader="none" w:pos="7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Epidiolex® (cannabidiol) oral solution</w:t>
      </w:r>
      <w:r>
        <w:rPr>
          <w:rFonts w:ascii="Times New Roman" w:cs="Times New Roman" w:eastAsia="Times New Roman" w:hAnsi="Times New Roman"/>
          <w:sz w:val="18"/>
          <w:szCs w:val="18"/>
          <w:color w:val="auto"/>
        </w:rPr>
        <w:t>, a product approved by FDA and launched in the U.S. in 2018 by GW Pharmaceuticals plc, or GW,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currently indicated for the treatment of seizures associated with Lennox-Gastaut syndrome, or LGS, Dravet syndrome, or DS, or tuberous sclerosis complex, or TSC, in patients one year of age or older; in the EU and Great Britain (where it is marketed as Epidyolex®) and other markets, it is approved for adjunctive treatment of seizures associated with LGS or DS, in conjunction with clobazam (EU and Great Britain only), in patients 2 years of age and older and for adjunctive treatment of seizures associated with TSC in patients 2 years of age and older.</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Oncology</w:t>
      </w:r>
    </w:p>
    <w:p>
      <w:pPr>
        <w:spacing w:after="0" w:line="112" w:lineRule="exact"/>
        <w:rPr>
          <w:sz w:val="20"/>
          <w:szCs w:val="20"/>
          <w:color w:val="auto"/>
        </w:rPr>
      </w:pPr>
    </w:p>
    <w:p>
      <w:pPr>
        <w:ind w:left="720" w:right="200" w:hanging="314"/>
        <w:spacing w:after="0" w:line="277" w:lineRule="auto"/>
        <w:tabs>
          <w:tab w:leader="none" w:pos="715" w:val="left"/>
        </w:tabs>
        <w:numPr>
          <w:ilvl w:val="0"/>
          <w:numId w:val="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Rylaze® (asparaginase erwinia chrysanthemi (recombinant)-rywn)</w:t>
      </w:r>
      <w:r>
        <w:rPr>
          <w:rFonts w:ascii="Times New Roman" w:cs="Times New Roman" w:eastAsia="Times New Roman" w:hAnsi="Times New Roman"/>
          <w:sz w:val="17"/>
          <w:szCs w:val="17"/>
          <w:color w:val="auto"/>
        </w:rPr>
        <w:t>, a product approved by FDA in June 2021 and launched in the U.S.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July 2021 for use as a component of a multi-agent chemotherapeutic regimen for the treatment of acute lymphoblastic leukemia or lymphoblastic lymphoma in adults and pediatric patients aged one month or older who have developed hypersensitivity to </w:t>
      </w:r>
      <w:r>
        <w:rPr>
          <w:rFonts w:ascii="Times New Roman" w:cs="Times New Roman" w:eastAsia="Times New Roman" w:hAnsi="Times New Roman"/>
          <w:sz w:val="17"/>
          <w:szCs w:val="17"/>
          <w:i w:val="1"/>
          <w:iCs w:val="1"/>
          <w:color w:val="auto"/>
        </w:rPr>
        <w:t>E. coli</w:t>
      </w:r>
      <w:r>
        <w:rPr>
          <w:rFonts w:ascii="Times New Roman" w:cs="Times New Roman" w:eastAsia="Times New Roman" w:hAnsi="Times New Roman"/>
          <w:sz w:val="17"/>
          <w:szCs w:val="17"/>
          <w:color w:val="auto"/>
        </w:rPr>
        <w:t>-derived asparaginase. In September 2023, the European Commission granted marketing authorization for this therapy under the trade name Enrylaze; and</w:t>
      </w:r>
    </w:p>
    <w:p>
      <w:pPr>
        <w:spacing w:after="0" w:line="55" w:lineRule="exact"/>
        <w:rPr>
          <w:rFonts w:ascii="Times New Roman" w:cs="Times New Roman" w:eastAsia="Times New Roman" w:hAnsi="Times New Roman"/>
          <w:sz w:val="17"/>
          <w:szCs w:val="17"/>
          <w:b w:val="1"/>
          <w:bCs w:val="1"/>
          <w:color w:val="auto"/>
        </w:rPr>
      </w:pPr>
    </w:p>
    <w:p>
      <w:pPr>
        <w:ind w:left="720" w:right="40" w:hanging="314"/>
        <w:spacing w:after="0" w:line="257" w:lineRule="auto"/>
        <w:tabs>
          <w:tab w:leader="none" w:pos="7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Zepzelca® (lurbinectedin)</w:t>
      </w:r>
      <w:r>
        <w:rPr>
          <w:rFonts w:ascii="Times New Roman" w:cs="Times New Roman" w:eastAsia="Times New Roman" w:hAnsi="Times New Roman"/>
          <w:sz w:val="18"/>
          <w:szCs w:val="18"/>
          <w:color w:val="auto"/>
        </w:rPr>
        <w:t>, a product approved by FDA in June 2020 under FDA's accelerated approval pathway and launched in the U.S. in July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2020 for the treatment of adult patients with metastatic small cell lung cancer, or SCLC, with disease progression on or after platinum-based chemotherapy; in Canada, Zepzelca received conditional approval in September 2021 for the treatment of adults with Stage III or metastatic SCLC, who have progressed on or after platinum-containing therapy.</w:t>
      </w:r>
    </w:p>
    <w:p>
      <w:pPr>
        <w:spacing w:after="0" w:line="74" w:lineRule="exact"/>
        <w:rPr>
          <w:sz w:val="20"/>
          <w:szCs w:val="20"/>
          <w:color w:val="auto"/>
        </w:rPr>
      </w:pPr>
    </w:p>
    <w:p>
      <w:pPr>
        <w:ind w:right="360" w:firstLine="439"/>
        <w:spacing w:after="0" w:line="261" w:lineRule="auto"/>
        <w:rPr>
          <w:sz w:val="20"/>
          <w:szCs w:val="20"/>
          <w:color w:val="auto"/>
        </w:rPr>
      </w:pPr>
      <w:r>
        <w:rPr>
          <w:rFonts w:ascii="Times New Roman" w:cs="Times New Roman" w:eastAsia="Times New Roman" w:hAnsi="Times New Roman"/>
          <w:sz w:val="18"/>
          <w:szCs w:val="18"/>
          <w:color w:val="auto"/>
        </w:rPr>
        <w:t>Throughout this report, unless otherwise indicated or the context otherwise requires, all references to “Jazz Pharmaceuticals,” “the registrant,” "the Company", “we,” “us,” and “our” refer to Jazz Pharmaceuticals plc and its consolidated subsidiaries. Throughout this report, all references to “ordinary shares” refer to Jazz Pharmaceuticals plc’s ordinary shares.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16" w:lineRule="exact"/>
        <w:rPr>
          <w:sz w:val="20"/>
          <w:szCs w:val="20"/>
          <w:color w:val="auto"/>
        </w:rPr>
      </w:pPr>
    </w:p>
    <w:p>
      <w:pPr>
        <w:ind w:firstLine="439"/>
        <w:spacing w:after="0" w:line="276"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U.S. generally accepted accounting principles, or U.S. GAAP, and include the accounts of Jazz Pharmaceuticals plc and our subsidiaries. Intercompany</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74"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8"/>
          <w:szCs w:val="18"/>
          <w:color w:val="auto"/>
        </w:rPr>
        <w:t>transactions and balances have been eliminated. Our consolidated financial statements include the results of operations of businesses we have acquired from the date of each acquisition for the applicable reporting periods.</w:t>
      </w:r>
    </w:p>
    <w:p>
      <w:pPr>
        <w:spacing w:after="0" w:line="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16" w:lineRule="exact"/>
        <w:rPr>
          <w:sz w:val="20"/>
          <w:szCs w:val="20"/>
          <w:color w:val="auto"/>
        </w:rPr>
      </w:pPr>
    </w:p>
    <w:p>
      <w:pPr>
        <w:ind w:right="220" w:firstLine="439"/>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liabilities, revenues and expenses, and related disclosures in the consolidated financial statements and accompanying notes. Management bases its estimates on historical experience and on assumptions believed to be reasonable under the circumstances. Actual results could differ materially from those estimates.</w:t>
      </w:r>
    </w:p>
    <w:p>
      <w:pPr>
        <w:spacing w:after="0" w:line="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Standards</w:t>
      </w:r>
    </w:p>
    <w:p>
      <w:pPr>
        <w:spacing w:after="0" w:line="116" w:lineRule="exact"/>
        <w:rPr>
          <w:sz w:val="20"/>
          <w:szCs w:val="20"/>
          <w:color w:val="auto"/>
        </w:rPr>
      </w:pPr>
    </w:p>
    <w:p>
      <w:pPr>
        <w:ind w:right="100" w:firstLine="439"/>
        <w:spacing w:after="0" w:line="252" w:lineRule="auto"/>
        <w:rPr>
          <w:sz w:val="20"/>
          <w:szCs w:val="20"/>
          <w:color w:val="auto"/>
        </w:rPr>
      </w:pPr>
      <w:r>
        <w:rPr>
          <w:rFonts w:ascii="Times New Roman" w:cs="Times New Roman" w:eastAsia="Times New Roman" w:hAnsi="Times New Roman"/>
          <w:sz w:val="18"/>
          <w:szCs w:val="18"/>
          <w:color w:val="auto"/>
        </w:rPr>
        <w:t>In October 2021, the Financial Accounting Standards Board issued ASU 2021-08, “Business Combinations (Topic 805): Accounting for Contract Assets and Contract Liabilities from Contracts with Customers”, or ASU 2021-08, which requires entities to recognize and measure contract assets and contract liabilities acquired in a business combination in accordance with ASC 2014-09, “Revenue from Contracts with Customers (Topic 606)”. The update will generally result in an entity recognizing contract assets and contract liabilities at amounts consistent with those recorded by the acquiree immediately before the acquisition date rather than at fair value. ASU 2021-08 was effective for the Company from January 1, 2023 and adoption did not have a material impact on our consolidated financial statements. We will apply to future business combinations, if any.</w:t>
      </w:r>
    </w:p>
    <w:p>
      <w:pPr>
        <w:spacing w:after="0" w:line="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Significant Risks and Uncertainties</w:t>
      </w:r>
    </w:p>
    <w:p>
      <w:pPr>
        <w:spacing w:after="0" w:line="114" w:lineRule="exact"/>
        <w:rPr>
          <w:sz w:val="20"/>
          <w:szCs w:val="20"/>
          <w:color w:val="auto"/>
        </w:rPr>
      </w:pPr>
    </w:p>
    <w:p>
      <w:pPr>
        <w:ind w:right="100" w:firstLine="439"/>
        <w:spacing w:after="0" w:line="249" w:lineRule="auto"/>
        <w:rPr>
          <w:sz w:val="20"/>
          <w:szCs w:val="20"/>
          <w:color w:val="auto"/>
        </w:rPr>
      </w:pPr>
      <w:r>
        <w:rPr>
          <w:rFonts w:ascii="Times New Roman" w:cs="Times New Roman" w:eastAsia="Times New Roman" w:hAnsi="Times New Roman"/>
          <w:sz w:val="18"/>
          <w:szCs w:val="18"/>
          <w:color w:val="auto"/>
        </w:rPr>
        <w:t>Historically, our business was substantially dependent on Xyrem and while we expect that our business will continue to meaningfully depend on oxybate revenues from both Xywav and Xyrem, there is no guarantee that oxybate revenues will remain at current levels, or that oxybate revenues will otherwise grow in future periods. In this regard, our ability to maintain or increase oxybate revenues and realize the anticipated benefits from our investment in Xywav are subject to a number of risks and uncertainties including, without limitation, those related to the launch of Xywav for the treatment of IH in adults and adoption in that indication; competition from the recent introduction of two authorized generic, or AG, versions of high-sodium oxybate and new products, such as Avadel’s Lumryz, for treatment of cataplexy and/or EDS in narcolepsy in the U.S. market, as well as potential future competition from additional AG versions of high-sodium oxybate and from generic versions of high-sodium oxybate and from other competitors; increased pricing pressure from, changes in policies by, or restrictions on reimbursement imposed by, third party payors, including our ability to maintain adequate coverage and reimbursement for Xywav and Xyrem; increased rebates required to maintain access to our products; challenges to our intellectual property around Xywav and/or Xyrem, including from pending antitrust and intellectual property litigation; and continued acceptance of Xywav and Xyrem by physicians and patients. A significant decline in oxybate revenues could cause us to reduce our operating expenses or seek to raise additional funds, which would have a material adverse effect on our business, financial condition, results of operations and growth prospects, including on our ability to acquire, in-license or develop new products to grow our business.</w:t>
      </w:r>
    </w:p>
    <w:p>
      <w:pPr>
        <w:spacing w:after="0" w:line="84" w:lineRule="exact"/>
        <w:rPr>
          <w:sz w:val="20"/>
          <w:szCs w:val="20"/>
          <w:color w:val="auto"/>
        </w:rPr>
      </w:pPr>
    </w:p>
    <w:p>
      <w:pPr>
        <w:ind w:firstLine="439"/>
        <w:spacing w:after="0" w:line="249" w:lineRule="auto"/>
        <w:rPr>
          <w:sz w:val="20"/>
          <w:szCs w:val="20"/>
          <w:color w:val="auto"/>
        </w:rPr>
      </w:pPr>
      <w:r>
        <w:rPr>
          <w:rFonts w:ascii="Times New Roman" w:cs="Times New Roman" w:eastAsia="Times New Roman" w:hAnsi="Times New Roman"/>
          <w:sz w:val="18"/>
          <w:szCs w:val="18"/>
          <w:color w:val="auto"/>
        </w:rPr>
        <w:t>In addition to risks related specifically to Xywav and Xyrem, we are subject to other challenges and risks related to successfully commercializing a portfolio of oncology products and other neuroscience products, and other risks specific to our business and our ability to execute on our strategy, as well as risks and uncertainties common to companies in the pharmaceutical industry with development and commercial operations, including, without limitation, risks and uncertainties associated with: ongoing clinical research activity and related outcomes, obtaining regulatory approval of our late-stage product candidates; effectively commercializing our approved or acquired products such as Epidiolex, Rylaze and Zepzelca; obtaining and maintaining adequate coverage and reimbursement for our products; contracting and rebates to pharmacy benefit managers and similar organizations that reduce our net revenue; increasing scrutiny of pharmaceutical product pricing and resulting changes in healthcare laws and policy; market acceptance; regulatory concerns with controlled substances generally and the potential for abuse; future legislation, action by the U.S. Federal Government authorizing the sale, distribution, use, and insurance reimbursement of non-FDA approved cannabinoid products; delays or problems in the supply of our products, loss of single source suppliers or failure to comply with manufacturing regulations; delays or problems with third parties that are part of our manufacturing and supply chain; identifying, acquiring or in-licensing additional products or product candidates; our ability to realize the anticipated benefits of acquired or in-licensed products or product candidates, such as Epidiolex and Zanidatamab, at the expected levels, with the expected costs and within the expected timeframe; pharmaceutical product development and the inherent uncertainty of clinical success; the challenges of protecting and enhancing our intellectual property rights; complying with applicable regulatory requirements; and possible restrictions on our ability and flexibility to pursue certain future opportunities as a result of our substantial outstanding debt obligations.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Risk</w:t>
      </w:r>
    </w:p>
    <w:p>
      <w:pPr>
        <w:spacing w:after="0" w:line="116" w:lineRule="exact"/>
        <w:rPr>
          <w:sz w:val="20"/>
          <w:szCs w:val="20"/>
          <w:color w:val="auto"/>
        </w:rPr>
      </w:pPr>
    </w:p>
    <w:p>
      <w:pPr>
        <w:ind w:right="120" w:firstLine="439"/>
        <w:spacing w:after="0" w:line="272" w:lineRule="auto"/>
        <w:rPr>
          <w:sz w:val="20"/>
          <w:szCs w:val="20"/>
          <w:color w:val="auto"/>
        </w:rPr>
      </w:pPr>
      <w:r>
        <w:rPr>
          <w:rFonts w:ascii="Times New Roman" w:cs="Times New Roman" w:eastAsia="Times New Roman" w:hAnsi="Times New Roman"/>
          <w:sz w:val="17"/>
          <w:szCs w:val="17"/>
          <w:color w:val="auto"/>
        </w:rPr>
        <w:t>Financial instruments that potentially subject us to concentrations of credit risk consist of cash, cash equivalents, investments and derivative contracts. Our investment policy permits investments in U.S. federal government and federal agency securities, corporate bonds or commercial paper issued by U.S. corporations, money market instruments, certain qualifying money market mutual funds, certain repurchase agreements, and tax-exempt obligations of U.S. states, agencies and municipalities and places restrictions on credit ratings, maturities, and concentration by type and issuer. We are exposed to credit risk in the event of a default by the financial institutions holding our cash, cash equivalents and investments to the extent recorded on the balance sheet.</w:t>
      </w:r>
    </w:p>
    <w:p>
      <w:pPr>
        <w:spacing w:after="0" w:line="64" w:lineRule="exact"/>
        <w:rPr>
          <w:sz w:val="20"/>
          <w:szCs w:val="20"/>
          <w:color w:val="auto"/>
        </w:rPr>
      </w:pPr>
    </w:p>
    <w:p>
      <w:pPr>
        <w:ind w:right="200" w:firstLine="439"/>
        <w:spacing w:after="0" w:line="251" w:lineRule="auto"/>
        <w:rPr>
          <w:sz w:val="20"/>
          <w:szCs w:val="20"/>
          <w:color w:val="auto"/>
        </w:rPr>
      </w:pPr>
      <w:r>
        <w:rPr>
          <w:rFonts w:ascii="Times New Roman" w:cs="Times New Roman" w:eastAsia="Times New Roman" w:hAnsi="Times New Roman"/>
          <w:sz w:val="18"/>
          <w:szCs w:val="18"/>
          <w:color w:val="auto"/>
        </w:rPr>
        <w:t>We manage our foreign currency transaction risk and interest rate risk within specified guidelines through the use of derivatives. All of our derivative instruments are utilized for risk management purposes, and we do not use derivatives for speculative trading purposes. As of December 31, 2023 and 2022, we had foreign exchange forward contracts with notional amounts totaling $511.7 million and $505.0 million, respectively. As of December 31, 2023 and 2022, the outstanding foreign exchange forward contracts had a net asset fair value of $17.4 million. As of December 31, 2023, we had interest rate swap contracts with notional amounts totaling $500.0 million. These outstanding interest rate swap contracts had a net asset fair value of $0.4 million as of December 31, 2023. The counterparties to these contracts are large multinational commercial banks, and we believe the risk of nonperformance is not significant.</w:t>
      </w:r>
    </w:p>
    <w:p>
      <w:pPr>
        <w:spacing w:after="0" w:line="82" w:lineRule="exact"/>
        <w:rPr>
          <w:sz w:val="20"/>
          <w:szCs w:val="20"/>
          <w:color w:val="auto"/>
        </w:rPr>
      </w:pPr>
    </w:p>
    <w:p>
      <w:pPr>
        <w:ind w:firstLine="439"/>
        <w:spacing w:after="0" w:line="249" w:lineRule="auto"/>
        <w:rPr>
          <w:sz w:val="20"/>
          <w:szCs w:val="20"/>
          <w:color w:val="auto"/>
        </w:rPr>
      </w:pPr>
      <w:r>
        <w:rPr>
          <w:rFonts w:ascii="Times New Roman" w:cs="Times New Roman" w:eastAsia="Times New Roman" w:hAnsi="Times New Roman"/>
          <w:sz w:val="18"/>
          <w:szCs w:val="18"/>
          <w:color w:val="auto"/>
        </w:rPr>
        <w:t>We are also subject to credit risk from our accounts receivable related to our product sales. We monitor our exposure within accounts receivable and record a reserve against uncollectible accounts receivable as necessary. We extend credit to pharmaceutical wholesale distributors and specialty pharmaceutical distribution companies, primarily in the U.S., and to other international distributors and hospitals. Customer creditworthiness is monitored and collateral is not required. We monitor economic conditions in certain European countries which may result in variability of the timing of cash receipts and an increase in the average length of time that it takes to collect accounts receivable outstanding. Historically, we have not experienced significant credit losses on our accounts receivable and as of December 31, 2023, allowances on receivables were not material. As of December 31, 2023, five customers accounted for 79% of gross accounts receivable, including Express Scripts Specialty Distribution Services, Inc. and its affiliates, or ESSDS, which accounted for 41% of gross accounts receivable, ASD Specialty Healthcare LLC, which accounted for 13% of gross accounts receivable and McKesson Corporation and affiliates, or McKesson, which accounted for 11% of gross accounts receivable. As of December 31, 2022, five customers accounted for 87% of gross accounts receivable, including ESSDS, which accounted for 55% of gross accounts receivable, Cardinal Health Inc, which accounted for 10% of gross accounts receivable and McKesson, which accounted for 9% of gross accounts receivable.</w:t>
      </w:r>
    </w:p>
    <w:p>
      <w:pPr>
        <w:spacing w:after="0" w:line="87" w:lineRule="exact"/>
        <w:rPr>
          <w:sz w:val="20"/>
          <w:szCs w:val="20"/>
          <w:color w:val="auto"/>
        </w:rPr>
      </w:pPr>
    </w:p>
    <w:p>
      <w:pPr>
        <w:ind w:right="40" w:firstLine="439"/>
        <w:spacing w:after="0" w:line="261" w:lineRule="auto"/>
        <w:rPr>
          <w:sz w:val="20"/>
          <w:szCs w:val="20"/>
          <w:color w:val="auto"/>
        </w:rPr>
      </w:pPr>
      <w:r>
        <w:rPr>
          <w:rFonts w:ascii="Times New Roman" w:cs="Times New Roman" w:eastAsia="Times New Roman" w:hAnsi="Times New Roman"/>
          <w:sz w:val="18"/>
          <w:szCs w:val="18"/>
          <w:color w:val="auto"/>
        </w:rPr>
        <w:t>We depend on single source suppliers for most of our products, product candidates and their active pharmaceutical ingredients, or APIs. With respect to our oxybate products, the API is manufactured for us by a single source supplier and the finished products are manufactured both by us in our facility in Athlone, Ireland and by our U.S.-based supplier.</w:t>
      </w:r>
    </w:p>
    <w:p>
      <w:pPr>
        <w:spacing w:after="0" w:line="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Business Acquisitions</w:t>
      </w:r>
    </w:p>
    <w:p>
      <w:pPr>
        <w:spacing w:after="0" w:line="116" w:lineRule="exact"/>
        <w:rPr>
          <w:sz w:val="20"/>
          <w:szCs w:val="20"/>
          <w:color w:val="auto"/>
        </w:rPr>
      </w:pPr>
    </w:p>
    <w:p>
      <w:pPr>
        <w:ind w:right="20" w:firstLine="439"/>
        <w:spacing w:after="0" w:line="251" w:lineRule="auto"/>
        <w:rPr>
          <w:sz w:val="20"/>
          <w:szCs w:val="20"/>
          <w:color w:val="auto"/>
        </w:rPr>
      </w:pPr>
      <w:r>
        <w:rPr>
          <w:rFonts w:ascii="Times New Roman" w:cs="Times New Roman" w:eastAsia="Times New Roman" w:hAnsi="Times New Roman"/>
          <w:sz w:val="18"/>
          <w:szCs w:val="18"/>
          <w:color w:val="auto"/>
        </w:rPr>
        <w:t>Our consolidated financial statements include the results of operations of an acquired business from the date of acquisition. We account for acquired businesses using the acquisition method of accounting. The acquisition method of accounting for acquired businesses requires, among other things, that assets acquired, liabilities assumed and any noncontrolling interests in the acquired business be recognized at their estimated fair values as of the acquisition date, with limited exceptions, and that the fair value of acquired in-process research and development, or IPR&amp;D, be recorded on the balance sheet. Also, transaction costs are expensed as incurred. Any excess of the acquisition consideration over the assigned values of the net assets acquired is recorded as goodwill. Contingent consideration is included within the acquisition cost and is recognized at its fair value on the acquisition date. A liability resulting from contingent consideration is remeasured to fair value at each reporting date until the contingency is resolved and changes in fair value are recognized in earnings.</w:t>
      </w:r>
    </w:p>
    <w:p>
      <w:pPr>
        <w:spacing w:after="0" w:line="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 and Investments</w:t>
      </w:r>
    </w:p>
    <w:p>
      <w:pPr>
        <w:spacing w:after="0" w:line="116" w:lineRule="exact"/>
        <w:rPr>
          <w:sz w:val="20"/>
          <w:szCs w:val="20"/>
          <w:color w:val="auto"/>
        </w:rPr>
      </w:pPr>
    </w:p>
    <w:p>
      <w:pPr>
        <w:ind w:right="680" w:firstLine="439"/>
        <w:spacing w:after="0" w:line="276" w:lineRule="auto"/>
        <w:rPr>
          <w:sz w:val="20"/>
          <w:szCs w:val="20"/>
          <w:color w:val="auto"/>
        </w:rPr>
      </w:pPr>
      <w:r>
        <w:rPr>
          <w:rFonts w:ascii="Times New Roman" w:cs="Times New Roman" w:eastAsia="Times New Roman" w:hAnsi="Times New Roman"/>
          <w:sz w:val="18"/>
          <w:szCs w:val="18"/>
          <w:color w:val="auto"/>
        </w:rPr>
        <w:t>We consider all highly liquid investments, readily convertible to cash, that mature within three months or less from date of purchase to be cash equivalents.</w:t>
      </w:r>
    </w:p>
    <w:p>
      <w:pPr>
        <w:spacing w:after="0" w:line="56" w:lineRule="exact"/>
        <w:rPr>
          <w:sz w:val="20"/>
          <w:szCs w:val="20"/>
          <w:color w:val="auto"/>
        </w:rPr>
      </w:pPr>
    </w:p>
    <w:p>
      <w:pPr>
        <w:ind w:right="140" w:firstLine="439"/>
        <w:spacing w:after="0" w:line="276" w:lineRule="auto"/>
        <w:rPr>
          <w:sz w:val="20"/>
          <w:szCs w:val="20"/>
          <w:color w:val="auto"/>
        </w:rPr>
      </w:pPr>
      <w:r>
        <w:rPr>
          <w:rFonts w:ascii="Times New Roman" w:cs="Times New Roman" w:eastAsia="Times New Roman" w:hAnsi="Times New Roman"/>
          <w:sz w:val="17"/>
          <w:szCs w:val="17"/>
          <w:color w:val="auto"/>
        </w:rPr>
        <w:t>Investments consist of time deposits with initial maturities of greater than three months. Collectively, cash equivalents and investments are considered available-for-sale and are recorded at fair value. Unrealized gains and losses, net of tax, are recorded in accumulated other comprehensive loss in shareholders’ equity. We use the specific-identification method for calculating realized gains and losses on securities sold. Realized gains and losses and declines in value judged to be other than temporary on investments are included in interest expense, net in the consolidated statements of income (loss).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 and Hedging Activities</w:t>
      </w:r>
    </w:p>
    <w:p>
      <w:pPr>
        <w:spacing w:after="0" w:line="116" w:lineRule="exact"/>
        <w:rPr>
          <w:sz w:val="20"/>
          <w:szCs w:val="20"/>
          <w:color w:val="auto"/>
        </w:rPr>
      </w:pPr>
    </w:p>
    <w:p>
      <w:pPr>
        <w:ind w:right="140" w:firstLine="439"/>
        <w:spacing w:after="0" w:line="256" w:lineRule="auto"/>
        <w:rPr>
          <w:sz w:val="20"/>
          <w:szCs w:val="20"/>
          <w:color w:val="auto"/>
        </w:rPr>
      </w:pPr>
      <w:r>
        <w:rPr>
          <w:rFonts w:ascii="Times New Roman" w:cs="Times New Roman" w:eastAsia="Times New Roman" w:hAnsi="Times New Roman"/>
          <w:sz w:val="18"/>
          <w:szCs w:val="18"/>
          <w:color w:val="auto"/>
        </w:rPr>
        <w:t>We record the fair value of derivative instruments as either assets or liabilities on the consolidated balance sheets. Changes in the fair value of derivative instruments are recorded each period in current earnings or other comprehensive income (loss), depending on whether a derivative instrument is designated as part of a hedging transaction and, if it is, the type of hedging transaction. For a derivative to qualify as a hedge at inception and throughout the hedged period, we formally document the nature and relationships between the hedging instruments and hedged item.</w:t>
      </w:r>
    </w:p>
    <w:p>
      <w:pPr>
        <w:spacing w:after="0" w:line="75" w:lineRule="exact"/>
        <w:rPr>
          <w:sz w:val="20"/>
          <w:szCs w:val="20"/>
          <w:color w:val="auto"/>
        </w:rPr>
      </w:pPr>
    </w:p>
    <w:p>
      <w:pPr>
        <w:ind w:right="40" w:firstLine="439"/>
        <w:spacing w:after="0" w:line="276" w:lineRule="auto"/>
        <w:rPr>
          <w:sz w:val="20"/>
          <w:szCs w:val="20"/>
          <w:color w:val="auto"/>
        </w:rPr>
      </w:pPr>
      <w:r>
        <w:rPr>
          <w:rFonts w:ascii="Times New Roman" w:cs="Times New Roman" w:eastAsia="Times New Roman" w:hAnsi="Times New Roman"/>
          <w:sz w:val="18"/>
          <w:szCs w:val="18"/>
          <w:color w:val="auto"/>
        </w:rPr>
        <w:t>For derivatives formally designated as hedges, we assess both at inception and quarterly thereafter, whether the hedging derivatives are highly effective in offsetting changes in either the fair value or cash flows of the hedged item.</w:t>
      </w:r>
    </w:p>
    <w:p>
      <w:pPr>
        <w:spacing w:after="0" w:line="56" w:lineRule="exact"/>
        <w:rPr>
          <w:sz w:val="20"/>
          <w:szCs w:val="20"/>
          <w:color w:val="auto"/>
        </w:rPr>
      </w:pPr>
    </w:p>
    <w:p>
      <w:pPr>
        <w:jc w:val="both"/>
        <w:ind w:right="320" w:firstLine="439"/>
        <w:spacing w:after="0" w:line="261" w:lineRule="auto"/>
        <w:rPr>
          <w:sz w:val="20"/>
          <w:szCs w:val="20"/>
          <w:color w:val="auto"/>
        </w:rPr>
      </w:pPr>
      <w:r>
        <w:rPr>
          <w:rFonts w:ascii="Times New Roman" w:cs="Times New Roman" w:eastAsia="Times New Roman" w:hAnsi="Times New Roman"/>
          <w:sz w:val="18"/>
          <w:szCs w:val="18"/>
          <w:color w:val="auto"/>
        </w:rPr>
        <w:t>Gains or losses on cash flow hedges are reclassified from other comprehensive income (loss) to earnings when the hedged transaction occurs. If we determine that a forecasted transaction is no longer probable of occurring, we discontinue hedge accounting and any related unrealized gain or loss on the derivative instrument is recognized in current earnings.</w:t>
      </w:r>
    </w:p>
    <w:p>
      <w:pPr>
        <w:spacing w:after="0" w:line="70" w:lineRule="exact"/>
        <w:rPr>
          <w:sz w:val="20"/>
          <w:szCs w:val="20"/>
          <w:color w:val="auto"/>
        </w:rPr>
      </w:pPr>
    </w:p>
    <w:p>
      <w:pPr>
        <w:ind w:right="140" w:firstLine="439"/>
        <w:spacing w:after="0" w:line="252" w:lineRule="auto"/>
        <w:rPr>
          <w:sz w:val="20"/>
          <w:szCs w:val="20"/>
          <w:color w:val="auto"/>
        </w:rPr>
      </w:pPr>
      <w:r>
        <w:rPr>
          <w:rFonts w:ascii="Times New Roman" w:cs="Times New Roman" w:eastAsia="Times New Roman" w:hAnsi="Times New Roman"/>
          <w:sz w:val="18"/>
          <w:szCs w:val="18"/>
          <w:color w:val="auto"/>
        </w:rPr>
        <w:t>We designate cross-currency interest rate swaps as fair value hedges to hedge foreign currency risks related to our borrowings denominated in currencies other than the U.S. dollar. Fair value hedge amounts included in the assessment of hedge effectiveness are recognized in foreign exchange gain (loss) within the consolidated statements of income (loss), along with the offsetting gains and losses of the related hedged item. We have elected to exclude the total forward points or currency basis from the assessment of hedge effectiveness and account for them as excluded components. The initial fair value of the excluded component is amortized to foreign exchange gain (loss) and the difference between changes in fair value of the excluded component and the amount recorded in earnings is recorded in other comprehensive income (loss).</w:t>
      </w:r>
    </w:p>
    <w:p>
      <w:pPr>
        <w:spacing w:after="0" w:line="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Derivatives that are not designated and do not qualify as hedges are adjusted to fair value through current earnings.</w:t>
      </w:r>
    </w:p>
    <w:p>
      <w:pPr>
        <w:spacing w:after="0" w:line="1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16" w:lineRule="exact"/>
        <w:rPr>
          <w:sz w:val="20"/>
          <w:szCs w:val="20"/>
          <w:color w:val="auto"/>
        </w:rPr>
      </w:pPr>
    </w:p>
    <w:p>
      <w:pPr>
        <w:ind w:firstLine="439"/>
        <w:spacing w:after="0" w:line="254" w:lineRule="auto"/>
        <w:rPr>
          <w:sz w:val="20"/>
          <w:szCs w:val="20"/>
          <w:color w:val="auto"/>
        </w:rPr>
      </w:pPr>
      <w:r>
        <w:rPr>
          <w:rFonts w:ascii="Times New Roman" w:cs="Times New Roman" w:eastAsia="Times New Roman" w:hAnsi="Times New Roman"/>
          <w:sz w:val="18"/>
          <w:szCs w:val="18"/>
          <w:color w:val="auto"/>
        </w:rPr>
        <w:t>Inventories are valued at the lower of cost or net realizable value. Cost is determined using the first-in, first-out method for all inventories. Our policy is to write down inventory that has become obsolete, inventory that has a cost basis in excess of its expected net realizable value and inventory in excess of expected requirements. The estimate of excess quantities is subjective and primarily dependent on our estimates of future demand for a particular product. If our estimate of future demand changes, we consider the impact on the reserve for excess inventory and adjust the reserve as required. Increases in the reserve are recorded as charges in cost of product sales.</w:t>
      </w:r>
    </w:p>
    <w:p>
      <w:pPr>
        <w:spacing w:after="0" w:line="76" w:lineRule="exact"/>
        <w:rPr>
          <w:sz w:val="20"/>
          <w:szCs w:val="20"/>
          <w:color w:val="auto"/>
        </w:rPr>
      </w:pPr>
    </w:p>
    <w:p>
      <w:pPr>
        <w:ind w:right="20" w:firstLine="439"/>
        <w:spacing w:after="0" w:line="254" w:lineRule="auto"/>
        <w:rPr>
          <w:sz w:val="20"/>
          <w:szCs w:val="20"/>
          <w:color w:val="auto"/>
        </w:rPr>
      </w:pPr>
      <w:r>
        <w:rPr>
          <w:rFonts w:ascii="Times New Roman" w:cs="Times New Roman" w:eastAsia="Times New Roman" w:hAnsi="Times New Roman"/>
          <w:sz w:val="18"/>
          <w:szCs w:val="18"/>
          <w:color w:val="auto"/>
        </w:rPr>
        <w:t>We capitalize inventory costs associated with our products prior to regulatory approval when, based on management's judgment, future commercialization is considered probable and the future economic benefit is expected to be realized; otherwise, such costs are expensed as research and development. The determination to capitalize inventory costs is based on various factors, including status and expectations of the regulatory approval process, any known safety or efficacy concerns, potential labeling restrictions, and any other impediments to obtaining regulatory approval. We had no pre-approval inventory on our consolidated balance sheet as of December 31, 2023 or 2022.</w:t>
      </w:r>
    </w:p>
    <w:p>
      <w:pPr>
        <w:spacing w:after="0" w:line="76" w:lineRule="exact"/>
        <w:rPr>
          <w:sz w:val="20"/>
          <w:szCs w:val="20"/>
          <w:color w:val="auto"/>
        </w:rPr>
      </w:pPr>
    </w:p>
    <w:p>
      <w:pPr>
        <w:ind w:right="340" w:firstLine="439"/>
        <w:spacing w:after="0" w:line="261" w:lineRule="auto"/>
        <w:rPr>
          <w:sz w:val="20"/>
          <w:szCs w:val="20"/>
          <w:color w:val="auto"/>
        </w:rPr>
      </w:pPr>
      <w:r>
        <w:rPr>
          <w:rFonts w:ascii="Times New Roman" w:cs="Times New Roman" w:eastAsia="Times New Roman" w:hAnsi="Times New Roman"/>
          <w:sz w:val="18"/>
          <w:szCs w:val="18"/>
          <w:color w:val="auto"/>
        </w:rPr>
        <w:t>Our inventory production process for our cannabinoid products includes the cultivation of botanical raw material. Because of the duration of the cultivation process, a portion of our inventory will not be sold within one year. Consistent with the practice in other industries that cultivate botanical raw materials, all inventory is classified as a current asset.</w:t>
      </w:r>
    </w:p>
    <w:p>
      <w:pPr>
        <w:spacing w:after="0" w:line="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16" w:lineRule="exact"/>
        <w:rPr>
          <w:sz w:val="20"/>
          <w:szCs w:val="20"/>
          <w:color w:val="auto"/>
        </w:rPr>
      </w:pPr>
    </w:p>
    <w:p>
      <w:pPr>
        <w:ind w:right="520" w:firstLine="439"/>
        <w:spacing w:after="0" w:line="276" w:lineRule="auto"/>
        <w:rPr>
          <w:sz w:val="20"/>
          <w:szCs w:val="20"/>
          <w:color w:val="auto"/>
        </w:rPr>
      </w:pPr>
      <w:r>
        <w:rPr>
          <w:rFonts w:ascii="Times New Roman" w:cs="Times New Roman" w:eastAsia="Times New Roman" w:hAnsi="Times New Roman"/>
          <w:sz w:val="18"/>
          <w:szCs w:val="18"/>
          <w:color w:val="auto"/>
        </w:rPr>
        <w:t>Property, plant and equipment are stated at cost, less accumulated depreciation. Depreciation is computed using the straight-line method over the estimated useful lives of the assets. Estimated useful lives are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4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years</w:t>
            </w:r>
          </w:p>
        </w:tc>
      </w:tr>
      <w:tr>
        <w:trPr>
          <w:trHeight w:val="226"/>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Manufacturing equipment and machinery</w:t>
            </w:r>
          </w:p>
        </w:tc>
        <w:tc>
          <w:tcPr>
            <w:tcW w:w="4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 years</w:t>
            </w:r>
          </w:p>
        </w:tc>
      </w:tr>
      <w:tr>
        <w:trPr>
          <w:trHeight w:val="22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software and equipment</w:t>
            </w:r>
          </w:p>
        </w:tc>
        <w:tc>
          <w:tcPr>
            <w:tcW w:w="4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years</w:t>
            </w:r>
          </w:p>
        </w:tc>
      </w:tr>
      <w:tr>
        <w:trPr>
          <w:trHeight w:val="232"/>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4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189" w:lineRule="exact"/>
        <w:rPr>
          <w:sz w:val="20"/>
          <w:szCs w:val="20"/>
          <w:color w:val="auto"/>
        </w:rPr>
      </w:pPr>
    </w:p>
    <w:p>
      <w:pPr>
        <w:jc w:val="both"/>
        <w:ind w:right="20" w:firstLine="439"/>
        <w:spacing w:after="0" w:line="276" w:lineRule="auto"/>
        <w:rPr>
          <w:sz w:val="20"/>
          <w:szCs w:val="20"/>
          <w:color w:val="auto"/>
        </w:rPr>
      </w:pPr>
      <w:r>
        <w:rPr>
          <w:rFonts w:ascii="Times New Roman" w:cs="Times New Roman" w:eastAsia="Times New Roman" w:hAnsi="Times New Roman"/>
          <w:sz w:val="18"/>
          <w:szCs w:val="18"/>
          <w:color w:val="auto"/>
        </w:rPr>
        <w:t>Leasehold improvements are amortized over the shorter of the noncancelable term of our leases or their economic useful lives. Maintenance and repairs are expensed as incurred.</w:t>
      </w:r>
    </w:p>
    <w:p>
      <w:pPr>
        <w:spacing w:after="0" w:line="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6" w:lineRule="exact"/>
        <w:rPr>
          <w:sz w:val="20"/>
          <w:szCs w:val="20"/>
          <w:color w:val="auto"/>
        </w:rPr>
      </w:pPr>
    </w:p>
    <w:p>
      <w:pPr>
        <w:ind w:right="320" w:firstLine="439"/>
        <w:spacing w:after="0" w:line="261" w:lineRule="auto"/>
        <w:rPr>
          <w:sz w:val="20"/>
          <w:szCs w:val="20"/>
          <w:color w:val="auto"/>
        </w:rPr>
      </w:pPr>
      <w:r>
        <w:rPr>
          <w:rFonts w:ascii="Times New Roman" w:cs="Times New Roman" w:eastAsia="Times New Roman" w:hAnsi="Times New Roman"/>
          <w:sz w:val="18"/>
          <w:szCs w:val="18"/>
          <w:color w:val="auto"/>
        </w:rPr>
        <w:t>We determine if an arrangement is a lease at inception. Leases are classified at lease commencement as either operating leases or finance leases. Operating leases are included in operating lease assets, accrued liabilities, and operating lease liabilities on our consolidated balance sheets. Finance lease assets are included in property, plant and equipment, net, and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7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finance lease liabilities are included in accrued liabilities and other non-current liabilities in our consolidated balance sheets. Lease assets and lease liabilities are recognized based on the present value of the future minimum lease payments over the lease term at commencement date. In determining the net present value of lease payments, we use our incremental borrowing rate based on the information available at the lease commencement date. The lease asset also includes any lease payments made, reduced by lease incentives and increased by initial direct costs incurred. Our lease terms may include options to extend or terminate the lease when it is reasonably certain that we will exercise that option. Operating lease expense for minimum lease payments is recognized on a straight-line basis over the lease term. Finance lease expense is recognized as depreciation expense of property, plant and equipment and interest expense on finance lease liabilities.</w:t>
      </w:r>
    </w:p>
    <w:p>
      <w:pPr>
        <w:spacing w:after="0" w:line="82" w:lineRule="exact"/>
        <w:rPr>
          <w:sz w:val="20"/>
          <w:szCs w:val="20"/>
          <w:color w:val="auto"/>
        </w:rPr>
      </w:pPr>
    </w:p>
    <w:p>
      <w:pPr>
        <w:ind w:right="280" w:firstLine="439"/>
        <w:spacing w:after="0" w:line="276" w:lineRule="auto"/>
        <w:rPr>
          <w:sz w:val="20"/>
          <w:szCs w:val="20"/>
          <w:color w:val="auto"/>
        </w:rPr>
      </w:pPr>
      <w:r>
        <w:rPr>
          <w:rFonts w:ascii="Times New Roman" w:cs="Times New Roman" w:eastAsia="Times New Roman" w:hAnsi="Times New Roman"/>
          <w:sz w:val="18"/>
          <w:szCs w:val="18"/>
          <w:color w:val="auto"/>
        </w:rPr>
        <w:t>We have lease agreements with lease and non-lease components, which are generally accounted for separately. For vehicle leases we account for the lease and non-lease components as a single lease component.</w:t>
      </w:r>
    </w:p>
    <w:p>
      <w:pPr>
        <w:spacing w:after="0" w:line="56" w:lineRule="exact"/>
        <w:rPr>
          <w:sz w:val="20"/>
          <w:szCs w:val="20"/>
          <w:color w:val="auto"/>
        </w:rPr>
      </w:pPr>
    </w:p>
    <w:p>
      <w:pPr>
        <w:ind w:right="120" w:firstLine="439"/>
        <w:spacing w:after="0" w:line="276" w:lineRule="auto"/>
        <w:rPr>
          <w:sz w:val="20"/>
          <w:szCs w:val="20"/>
          <w:color w:val="auto"/>
        </w:rPr>
      </w:pPr>
      <w:r>
        <w:rPr>
          <w:rFonts w:ascii="Times New Roman" w:cs="Times New Roman" w:eastAsia="Times New Roman" w:hAnsi="Times New Roman"/>
          <w:sz w:val="18"/>
          <w:szCs w:val="18"/>
          <w:color w:val="auto"/>
        </w:rPr>
        <w:t>We have elected the short-term lease exemption and, therefore, do not recognize a lease asset or corresponding liability for lease arrangements with an original term of 12 months or less. Rent expense under short-term leases is recognized on a straight-line basis over the lease term.</w:t>
      </w:r>
    </w:p>
    <w:p>
      <w:pPr>
        <w:spacing w:after="0" w:line="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16" w:lineRule="exact"/>
        <w:rPr>
          <w:sz w:val="20"/>
          <w:szCs w:val="20"/>
          <w:color w:val="auto"/>
        </w:rPr>
      </w:pPr>
    </w:p>
    <w:p>
      <w:pPr>
        <w:ind w:right="40" w:firstLine="439"/>
        <w:spacing w:after="0" w:line="252" w:lineRule="auto"/>
        <w:rPr>
          <w:sz w:val="20"/>
          <w:szCs w:val="20"/>
          <w:color w:val="auto"/>
        </w:rPr>
      </w:pPr>
      <w:r>
        <w:rPr>
          <w:rFonts w:ascii="Times New Roman" w:cs="Times New Roman" w:eastAsia="Times New Roman" w:hAnsi="Times New Roman"/>
          <w:sz w:val="18"/>
          <w:szCs w:val="18"/>
          <w:color w:val="auto"/>
        </w:rPr>
        <w:t>Goodwill represents the excess of the acquisition consideration over the fair value of assets acquired and liabilities assumed. We have determined that we operate in a single segment and have a single reporting unit associated with the development and commercialization of pharmaceutical products. In performing the annual impairment test, the fair value of the reporting unit is compared to its corresponding carrying value, including goodwill. If the carrying value exceeds the fair value of the reporting unit an impairment loss will be recognized for the amount by which the reporting unit’s carrying amount exceeds its fair value, not to exceed the carrying amount of goodwill. We test goodwill for impairment annually in October and when events or changes in circumstances indicate that the carrying value may not be recoverable.</w:t>
      </w:r>
    </w:p>
    <w:p>
      <w:pPr>
        <w:spacing w:after="0" w:line="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Acquired In-Process Research and Development</w:t>
      </w:r>
    </w:p>
    <w:p>
      <w:pPr>
        <w:spacing w:after="0" w:line="116" w:lineRule="exact"/>
        <w:rPr>
          <w:sz w:val="20"/>
          <w:szCs w:val="20"/>
          <w:color w:val="auto"/>
        </w:rPr>
      </w:pPr>
    </w:p>
    <w:p>
      <w:pPr>
        <w:ind w:right="120" w:firstLine="439"/>
        <w:spacing w:after="0" w:line="256" w:lineRule="auto"/>
        <w:rPr>
          <w:sz w:val="20"/>
          <w:szCs w:val="20"/>
          <w:color w:val="auto"/>
        </w:rPr>
      </w:pPr>
      <w:r>
        <w:rPr>
          <w:rFonts w:ascii="Times New Roman" w:cs="Times New Roman" w:eastAsia="Times New Roman" w:hAnsi="Times New Roman"/>
          <w:sz w:val="18"/>
          <w:szCs w:val="18"/>
          <w:color w:val="auto"/>
        </w:rPr>
        <w:t>The initial costs of rights to IPR&amp;D projects acquired in an asset acquisition are expensed as IPR&amp;D unless the project has an alternative future use. The fair value of IPR&amp;D projects acquired in a business combination are capitalized and accounted for as indefinite-lived intangible assets until the underlying project receives regulatory approval, at which point the intangible asset will be accounted for as a finite-lived intangible asset, or discontinued, at which point the intangible asset will be written off. Development costs incurred after an acquisition are expensed as incurred.</w:t>
      </w:r>
    </w:p>
    <w:p>
      <w:pPr>
        <w:spacing w:after="0" w:line="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16" w:lineRule="exact"/>
        <w:rPr>
          <w:sz w:val="20"/>
          <w:szCs w:val="20"/>
          <w:color w:val="auto"/>
        </w:rPr>
      </w:pPr>
    </w:p>
    <w:p>
      <w:pPr>
        <w:ind w:right="200" w:firstLine="439"/>
        <w:spacing w:after="0" w:line="252" w:lineRule="auto"/>
        <w:rPr>
          <w:sz w:val="20"/>
          <w:szCs w:val="20"/>
          <w:color w:val="auto"/>
        </w:rPr>
      </w:pPr>
      <w:r>
        <w:rPr>
          <w:rFonts w:ascii="Times New Roman" w:cs="Times New Roman" w:eastAsia="Times New Roman" w:hAnsi="Times New Roman"/>
          <w:sz w:val="18"/>
          <w:szCs w:val="18"/>
          <w:color w:val="auto"/>
        </w:rPr>
        <w:t>Intangible assets with finite useful lives consist primarily of purchased developed technology and are amortized on a straight-line basis over their estimated useful lives, which range from seven to sixteen years. The estimated useful lives associated with finite-lived intangible assets are consistent with the estimated lives of the associated products and may be modified when circumstances warrant. Such assets are reviewed for impairment when events or circumstances indicate that the carrying value of an asset may not be recoverable. An impairment loss would be recognized when estimated undiscounted future cash flows expected to result from the use of an asset and its eventual disposition are less than its carrying amount. The amount of any impairment is measured as the difference between the carrying amount and the fair value of the impaired asset.</w:t>
      </w:r>
    </w:p>
    <w:p>
      <w:pPr>
        <w:spacing w:after="0" w:line="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6" w:lineRule="exact"/>
        <w:rPr>
          <w:sz w:val="20"/>
          <w:szCs w:val="20"/>
          <w:color w:val="auto"/>
        </w:rPr>
      </w:pPr>
    </w:p>
    <w:p>
      <w:pPr>
        <w:ind w:right="160" w:firstLine="439"/>
        <w:spacing w:after="0" w:line="254" w:lineRule="auto"/>
        <w:rPr>
          <w:sz w:val="20"/>
          <w:szCs w:val="20"/>
          <w:color w:val="auto"/>
        </w:rPr>
      </w:pPr>
      <w:r>
        <w:rPr>
          <w:rFonts w:ascii="Times New Roman" w:cs="Times New Roman" w:eastAsia="Times New Roman" w:hAnsi="Times New Roman"/>
          <w:sz w:val="18"/>
          <w:szCs w:val="18"/>
          <w:color w:val="auto"/>
        </w:rPr>
        <w:t>Our revenue comprises product sales, net and royalty and contract revenues. Revenues are recognized when control of the promised goods or services is transferred to our customers, in an amount that reflects the consideration we expect to be entitled to in exchange for those goods or services. Prior to recognizing revenue, we make estimates of the transaction price, including variable consideration that is subject to a constraint. Amounts of variable consideration are included in the transaction price to the extent that it is probable that a significant reversal in the amount of cumulative revenue recognized will not occur when the uncertainty associated with the variable consideration is subsequently resolved.</w:t>
      </w:r>
    </w:p>
    <w:p>
      <w:pPr>
        <w:spacing w:after="0" w:line="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Product Sales, Net</w:t>
      </w:r>
    </w:p>
    <w:p>
      <w:pPr>
        <w:spacing w:after="0" w:line="114" w:lineRule="exact"/>
        <w:rPr>
          <w:sz w:val="20"/>
          <w:szCs w:val="20"/>
          <w:color w:val="auto"/>
        </w:rPr>
      </w:pPr>
    </w:p>
    <w:p>
      <w:pPr>
        <w:jc w:val="both"/>
        <w:ind w:right="140" w:firstLine="439"/>
        <w:spacing w:after="0" w:line="261" w:lineRule="auto"/>
        <w:rPr>
          <w:sz w:val="20"/>
          <w:szCs w:val="20"/>
          <w:color w:val="auto"/>
        </w:rPr>
      </w:pPr>
      <w:r>
        <w:rPr>
          <w:rFonts w:ascii="Times New Roman" w:cs="Times New Roman" w:eastAsia="Times New Roman" w:hAnsi="Times New Roman"/>
          <w:sz w:val="18"/>
          <w:szCs w:val="18"/>
          <w:color w:val="auto"/>
        </w:rPr>
        <w:t>Product sales revenue is recognized when control has transferred to the customer, which occurs at a point in time, which is typically on delivery to the customer or, in the case of products that are subject to consignment agreements, when the customer removes product from our consigned inventory location for shipment directly to a patient.</w:t>
      </w:r>
    </w:p>
    <w:p>
      <w:pPr>
        <w:spacing w:after="0" w:line="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Reserves for Variable Consideration</w:t>
      </w:r>
    </w:p>
    <w:p>
      <w:pPr>
        <w:spacing w:after="0" w:line="114" w:lineRule="exact"/>
        <w:rPr>
          <w:sz w:val="20"/>
          <w:szCs w:val="20"/>
          <w:color w:val="auto"/>
        </w:rPr>
      </w:pPr>
    </w:p>
    <w:p>
      <w:pPr>
        <w:ind w:right="140" w:firstLine="439"/>
        <w:spacing w:after="0" w:line="261" w:lineRule="auto"/>
        <w:rPr>
          <w:sz w:val="20"/>
          <w:szCs w:val="20"/>
          <w:color w:val="auto"/>
        </w:rPr>
      </w:pPr>
      <w:r>
        <w:rPr>
          <w:rFonts w:ascii="Times New Roman" w:cs="Times New Roman" w:eastAsia="Times New Roman" w:hAnsi="Times New Roman"/>
          <w:sz w:val="18"/>
          <w:szCs w:val="18"/>
          <w:color w:val="auto"/>
        </w:rPr>
        <w:t>Revenues from sales of products are recorded at the net sales price, which includes estimates of variable consideration for which reserves are established and which relate to returns, specialty distributor fees, wholesaler fees, prompt payment discounts, government rebates, government chargebacks, coupon programs and rebates under managed care plans and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74"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commercial payor contracts. Calculating certain of these reserves involves estimates and judgments and we determine their expected value based on sales or invoice data, contractual terms, historical utilization rates, new information regarding changes in these programs’ regulations and guidelines that would impact the amount of the actual rebates, our expectations regarding future utilization rates for these programs and channel inventory data. These reserves reflect our best estimates of the amount of consideration to which we are entitled based on the terms of the contract. The amount of variable consideration that is included in the transaction price may be constrained, and is included in the net sales price only to the extent that it is probable that a significant reversal in the amount of the cumulative revenue recognized will not occur in a future period. We reassess our reserves for variable consideration at each reporting date. Historically, adjustments to estimates for these reserves have not been material.</w:t>
      </w:r>
    </w:p>
    <w:p>
      <w:pPr>
        <w:spacing w:after="0" w:line="82" w:lineRule="exact"/>
        <w:rPr>
          <w:sz w:val="20"/>
          <w:szCs w:val="20"/>
          <w:color w:val="auto"/>
        </w:rPr>
      </w:pPr>
    </w:p>
    <w:p>
      <w:pPr>
        <w:jc w:val="both"/>
        <w:ind w:right="480" w:firstLine="439"/>
        <w:spacing w:after="0" w:line="261" w:lineRule="auto"/>
        <w:rPr>
          <w:sz w:val="20"/>
          <w:szCs w:val="20"/>
          <w:color w:val="auto"/>
        </w:rPr>
      </w:pPr>
      <w:r>
        <w:rPr>
          <w:rFonts w:ascii="Times New Roman" w:cs="Times New Roman" w:eastAsia="Times New Roman" w:hAnsi="Times New Roman"/>
          <w:sz w:val="18"/>
          <w:szCs w:val="18"/>
          <w:color w:val="auto"/>
        </w:rPr>
        <w:t>Reserves for returns, specialty distributor fees, wholesaler fees, government rebates, coupon programs and rebates under managed care plans and commercial payor contracts are included within current liabilities in our consolidated balance sheets. Reserves for government chargebacks and prompt payment discounts are shown as a reduction in accounts receivable.</w:t>
      </w:r>
    </w:p>
    <w:p>
      <w:pPr>
        <w:spacing w:after="0" w:line="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Royalties and Contract Revenues</w:t>
      </w:r>
    </w:p>
    <w:p>
      <w:pPr>
        <w:spacing w:after="0" w:line="114" w:lineRule="exact"/>
        <w:rPr>
          <w:sz w:val="20"/>
          <w:szCs w:val="20"/>
          <w:color w:val="auto"/>
        </w:rPr>
      </w:pPr>
    </w:p>
    <w:p>
      <w:pPr>
        <w:ind w:right="20" w:firstLine="439"/>
        <w:spacing w:after="0" w:line="251" w:lineRule="auto"/>
        <w:rPr>
          <w:sz w:val="20"/>
          <w:szCs w:val="20"/>
          <w:color w:val="auto"/>
        </w:rPr>
      </w:pPr>
      <w:r>
        <w:rPr>
          <w:rFonts w:ascii="Times New Roman" w:cs="Times New Roman" w:eastAsia="Times New Roman" w:hAnsi="Times New Roman"/>
          <w:sz w:val="18"/>
          <w:szCs w:val="18"/>
          <w:color w:val="auto"/>
        </w:rPr>
        <w:t>We enter into out-licensing agreements under which we license certain rights to our products or product candidates to third parties. If a licensing arrangement includes multiple goods or services, we consider whether the license is distinct. If the license to our intellectual property is determined to be distinct from the other performance obligations identified in the arrangement, we recognize revenue from non-refundable, upfront fees allocated to the license when the license is transferred to the licensee and the licensee is able to use and benefit from the license. If the license to our intellectual property is determined not to be distinct, it is combined with other goods or services into a combined performance obligation. We consider whether the combined performance obligation is satisfied over time or at a point in time and, if over time, the appropriate method of measuring progress for purposes of recognizing revenue from non-refundable, upfront fees. We evaluate the measure of progress each reporting date and, if necessary, adjust the measure of performance and related revenue recognition.</w:t>
      </w:r>
    </w:p>
    <w:p>
      <w:pPr>
        <w:spacing w:after="0" w:line="79" w:lineRule="exact"/>
        <w:rPr>
          <w:sz w:val="20"/>
          <w:szCs w:val="20"/>
          <w:color w:val="auto"/>
        </w:rPr>
      </w:pPr>
    </w:p>
    <w:p>
      <w:pPr>
        <w:ind w:right="40" w:firstLine="439"/>
        <w:spacing w:after="0" w:line="251" w:lineRule="auto"/>
        <w:rPr>
          <w:sz w:val="20"/>
          <w:szCs w:val="20"/>
          <w:color w:val="auto"/>
        </w:rPr>
      </w:pPr>
      <w:r>
        <w:rPr>
          <w:rFonts w:ascii="Times New Roman" w:cs="Times New Roman" w:eastAsia="Times New Roman" w:hAnsi="Times New Roman"/>
          <w:sz w:val="18"/>
          <w:szCs w:val="18"/>
          <w:color w:val="auto"/>
        </w:rPr>
        <w:t>At the inception of each arrangement that includes development milestone payments, we evaluate whether the milestones are considered probable of being reached and estimate the amount to be included in the transaction price using the most likely amount method. If it is probable that a significant revenue reversal would not occur, the associated milestone value is included in the transaction price. Milestone payments that are not within our control or that of the licensee, such as regulatory approvals, are not considered probable of being achieved until those approvals are received. The transaction price is allocated to each performance obligation on a relative stand-alone selling price basis, for which we recognize revenue as or when the performance obligations under the contract are satisfied. At the end of each subsequent reporting period, we re-evaluate the probability of achievement of such development milestones and any related constraint, and if necessary, adjust our estimate of the overall transaction price.</w:t>
      </w:r>
    </w:p>
    <w:p>
      <w:pPr>
        <w:spacing w:after="0" w:line="82" w:lineRule="exact"/>
        <w:rPr>
          <w:sz w:val="20"/>
          <w:szCs w:val="20"/>
          <w:color w:val="auto"/>
        </w:rPr>
      </w:pPr>
    </w:p>
    <w:p>
      <w:pPr>
        <w:ind w:firstLine="439"/>
        <w:spacing w:after="0" w:line="261" w:lineRule="auto"/>
        <w:rPr>
          <w:sz w:val="20"/>
          <w:szCs w:val="20"/>
          <w:color w:val="auto"/>
        </w:rPr>
      </w:pPr>
      <w:r>
        <w:rPr>
          <w:rFonts w:ascii="Times New Roman" w:cs="Times New Roman" w:eastAsia="Times New Roman" w:hAnsi="Times New Roman"/>
          <w:sz w:val="18"/>
          <w:szCs w:val="18"/>
          <w:color w:val="auto"/>
        </w:rPr>
        <w:t>For arrangements that include sales-based royalties and milestone payments based on the level of sales, and the license is deemed to be the predominant item to which the royalties and sales-based milestones relate, we recognize revenue at the later of (i) when the related sales occur, or (ii) when the performance obligation to which some or all of the royalty or sales-based milestone has been allocated has been satisfied (or partially satisfied).</w:t>
      </w:r>
    </w:p>
    <w:p>
      <w:pPr>
        <w:spacing w:after="0" w:line="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Sales</w:t>
      </w:r>
    </w:p>
    <w:p>
      <w:pPr>
        <w:spacing w:after="0" w:line="116" w:lineRule="exact"/>
        <w:rPr>
          <w:sz w:val="20"/>
          <w:szCs w:val="20"/>
          <w:color w:val="auto"/>
        </w:rPr>
      </w:pPr>
    </w:p>
    <w:p>
      <w:pPr>
        <w:ind w:right="140" w:firstLine="439"/>
        <w:spacing w:after="0" w:line="256" w:lineRule="auto"/>
        <w:rPr>
          <w:sz w:val="20"/>
          <w:szCs w:val="20"/>
          <w:color w:val="auto"/>
        </w:rPr>
      </w:pPr>
      <w:r>
        <w:rPr>
          <w:rFonts w:ascii="Times New Roman" w:cs="Times New Roman" w:eastAsia="Times New Roman" w:hAnsi="Times New Roman"/>
          <w:sz w:val="18"/>
          <w:szCs w:val="18"/>
          <w:color w:val="auto"/>
        </w:rPr>
        <w:t>Cost of product sales includes manufacturing and distribution costs, the cost of drug substance, royalties due to third parties on product sales, product liability and cargo insurance, FDA user fees, freight, shipping, handling and storage costs and salaries and related costs of employees involved with production. Excluded from cost of product sales shown on the consolidated statements of income (loss) is amortization of acquired developed technology of $608.3 million, $599.2 million and $525.8 million in 2023, 2022 and 2021, respectively.</w:t>
      </w:r>
    </w:p>
    <w:p>
      <w:pPr>
        <w:spacing w:after="0" w:line="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16" w:lineRule="exact"/>
        <w:rPr>
          <w:sz w:val="20"/>
          <w:szCs w:val="20"/>
          <w:color w:val="auto"/>
        </w:rPr>
      </w:pPr>
    </w:p>
    <w:p>
      <w:pPr>
        <w:ind w:firstLine="439"/>
        <w:spacing w:after="0" w:line="251"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related to clinical studies and outside services, personnel expenses, milestone expenses and other research and development costs, including milestone payments incurred prior to regulatory approval of products. Clinical study and outside services costs relate primarily to services performed by clinical research organizations, clinical studies performed at clinical sites, materials and supplies, and other third party fees. Personnel expenses relate primarily to salaries, benefits and share-based compensation. Other research and development expenses primarily include overhead allocations consisting of various support and facilities-related costs. Research and development costs are expensed as incurred. For product candidates that have not been approved by FDA, inventory used in clinical trials is expensed at the time of production and recorded as research and development expense. For products that have been approved by FDA, inventory used in clinical trials is expensed at the time the inventory is packaged for the trial.</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Advertising Expenses</w:t>
      </w:r>
    </w:p>
    <w:p>
      <w:pPr>
        <w:spacing w:after="0" w:line="116" w:lineRule="exact"/>
        <w:rPr>
          <w:sz w:val="20"/>
          <w:szCs w:val="20"/>
          <w:color w:val="auto"/>
        </w:rPr>
      </w:pPr>
    </w:p>
    <w:p>
      <w:pPr>
        <w:ind w:right="580" w:firstLine="439"/>
        <w:spacing w:after="0" w:line="276" w:lineRule="auto"/>
        <w:rPr>
          <w:sz w:val="20"/>
          <w:szCs w:val="20"/>
          <w:color w:val="auto"/>
        </w:rPr>
      </w:pPr>
      <w:r>
        <w:rPr>
          <w:rFonts w:ascii="Times New Roman" w:cs="Times New Roman" w:eastAsia="Times New Roman" w:hAnsi="Times New Roman"/>
          <w:sz w:val="18"/>
          <w:szCs w:val="18"/>
          <w:color w:val="auto"/>
        </w:rPr>
        <w:t>We expense the costs of advertising, including promotional expenses, as incurred. Advertising expenses were $92.2 million, $108.8 million and $161.5 million in 2023, 2022 and 2021, respectively.</w:t>
      </w:r>
    </w:p>
    <w:p>
      <w:pPr>
        <w:spacing w:after="0" w:line="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6" w:lineRule="exact"/>
        <w:rPr>
          <w:sz w:val="20"/>
          <w:szCs w:val="20"/>
          <w:color w:val="auto"/>
        </w:rPr>
      </w:pPr>
    </w:p>
    <w:p>
      <w:pPr>
        <w:ind w:firstLine="439"/>
        <w:spacing w:after="0" w:line="252" w:lineRule="auto"/>
        <w:rPr>
          <w:sz w:val="20"/>
          <w:szCs w:val="20"/>
          <w:color w:val="auto"/>
        </w:rPr>
      </w:pPr>
      <w:r>
        <w:rPr>
          <w:rFonts w:ascii="Times New Roman" w:cs="Times New Roman" w:eastAsia="Times New Roman" w:hAnsi="Times New Roman"/>
          <w:sz w:val="18"/>
          <w:szCs w:val="18"/>
          <w:color w:val="auto"/>
        </w:rPr>
        <w:t>We use the asset and liability method of accounting for income taxes. Under this method, deferred tax assets and liabilities are determined based on differences between the financial statement carrying amount and the tax basis of assets and liabilities and are measured using enacted tax rates and laws that will be in effect when the differences are expected to reverse. A valuation allowance is provided to reduce deferred tax assets to the amount that is more-likely-than-not to be realized. We recognize the benefits of a tax position if it is more-likely-than-not of being sustained. A recognized tax benefit is then measured as the largest amount of tax benefit that is greater than fifty percent likely of being realized upon settlement. Interest and penalties related to income taxes are included in the income tax expense and classified with the related liability on the consolidated balance sheets.</w:t>
      </w:r>
    </w:p>
    <w:p>
      <w:pPr>
        <w:spacing w:after="0" w:line="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16" w:lineRule="exact"/>
        <w:rPr>
          <w:sz w:val="20"/>
          <w:szCs w:val="20"/>
          <w:color w:val="auto"/>
        </w:rPr>
      </w:pPr>
    </w:p>
    <w:p>
      <w:pPr>
        <w:ind w:right="40" w:firstLine="439"/>
        <w:spacing w:after="0" w:line="256" w:lineRule="auto"/>
        <w:rPr>
          <w:sz w:val="20"/>
          <w:szCs w:val="20"/>
          <w:color w:val="auto"/>
        </w:rPr>
      </w:pPr>
      <w:r>
        <w:rPr>
          <w:rFonts w:ascii="Times New Roman" w:cs="Times New Roman" w:eastAsia="Times New Roman" w:hAnsi="Times New Roman"/>
          <w:sz w:val="18"/>
          <w:szCs w:val="18"/>
          <w:color w:val="auto"/>
        </w:rPr>
        <w:t>Our functional and reporting currency is the U.S. dollar. The assets and liabilities of our subsidiaries that have a functional currency other than the U.S. dollar are translated into U.S. dollars at the exchange rate prevailing at the balance sheet date with the results of operations of subsidiaries translated at the weighted average exchange rate for the reporting period. The cumulative foreign currency translation adjustment is recorded as a component of accumulated other comprehensive income (loss) in shareholders’ equity.</w:t>
      </w:r>
    </w:p>
    <w:p>
      <w:pPr>
        <w:spacing w:after="0" w:line="75" w:lineRule="exact"/>
        <w:rPr>
          <w:sz w:val="20"/>
          <w:szCs w:val="20"/>
          <w:color w:val="auto"/>
        </w:rPr>
      </w:pPr>
    </w:p>
    <w:p>
      <w:pPr>
        <w:ind w:right="20" w:firstLine="439"/>
        <w:spacing w:after="0" w:line="256" w:lineRule="auto"/>
        <w:rPr>
          <w:sz w:val="20"/>
          <w:szCs w:val="20"/>
          <w:color w:val="auto"/>
        </w:rPr>
      </w:pPr>
      <w:r>
        <w:rPr>
          <w:rFonts w:ascii="Times New Roman" w:cs="Times New Roman" w:eastAsia="Times New Roman" w:hAnsi="Times New Roman"/>
          <w:sz w:val="18"/>
          <w:szCs w:val="18"/>
          <w:color w:val="auto"/>
        </w:rPr>
        <w:t>Transactions in foreign currencies are translated into the functional currency of the relevant subsidiary at the weighted average exchange rate for the reporting period. Any monetary assets and liabilities arising from these transactions are translated into the relevant functional currency at exchange rates prevailing at the balance sheet date or on settlement. Resulting gains and losses are recorded in foreign exchange gain (loss) in our consolidated statements of income (loss).</w:t>
      </w:r>
    </w:p>
    <w:p>
      <w:pPr>
        <w:spacing w:after="0" w:line="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Deferred Financing Costs</w:t>
      </w:r>
    </w:p>
    <w:p>
      <w:pPr>
        <w:spacing w:after="0" w:line="116" w:lineRule="exact"/>
        <w:rPr>
          <w:sz w:val="20"/>
          <w:szCs w:val="20"/>
          <w:color w:val="auto"/>
        </w:rPr>
      </w:pPr>
    </w:p>
    <w:p>
      <w:pPr>
        <w:ind w:right="160" w:firstLine="439"/>
        <w:spacing w:after="0" w:line="261" w:lineRule="auto"/>
        <w:rPr>
          <w:sz w:val="20"/>
          <w:szCs w:val="20"/>
          <w:color w:val="auto"/>
        </w:rPr>
      </w:pPr>
      <w:r>
        <w:rPr>
          <w:rFonts w:ascii="Times New Roman" w:cs="Times New Roman" w:eastAsia="Times New Roman" w:hAnsi="Times New Roman"/>
          <w:sz w:val="18"/>
          <w:szCs w:val="18"/>
          <w:color w:val="auto"/>
        </w:rPr>
        <w:t>Deferred financing costs are reported at cost, less accumulated amortization and are presented in the consolidated balance sheets as a direct deduction from the carrying value of the associated debt, with the exception of deferred financing costs associated with revolving-debt arrangements which are presented as assets. The related amortization expense is included in interest expense, net in our consolidated statements of income (loss).</w:t>
      </w:r>
    </w:p>
    <w:p>
      <w:pPr>
        <w:spacing w:after="0" w:line="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16" w:lineRule="exact"/>
        <w:rPr>
          <w:sz w:val="20"/>
          <w:szCs w:val="20"/>
          <w:color w:val="auto"/>
        </w:rPr>
      </w:pPr>
    </w:p>
    <w:p>
      <w:pPr>
        <w:ind w:right="240" w:firstLine="439"/>
        <w:spacing w:after="0" w:line="283" w:lineRule="auto"/>
        <w:rPr>
          <w:sz w:val="20"/>
          <w:szCs w:val="20"/>
          <w:color w:val="auto"/>
        </w:rPr>
      </w:pPr>
      <w:r>
        <w:rPr>
          <w:rFonts w:ascii="Times New Roman" w:cs="Times New Roman" w:eastAsia="Times New Roman" w:hAnsi="Times New Roman"/>
          <w:sz w:val="17"/>
          <w:szCs w:val="17"/>
          <w:color w:val="auto"/>
        </w:rPr>
        <w:t>From time to time, we may become involved in claims and other legal matters arising in the ordinary course of business. We record accruals for loss contingencies to the extent that we conclude that it is probable that a liability has been incurred and the amount of the related loss can be reasonably estimated. Legal fees and other expenses related to litigation are expensed as incurred and included in selling, general and administrative expenses.</w:t>
      </w:r>
    </w:p>
    <w:p>
      <w:pPr>
        <w:spacing w:after="0" w:line="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16" w:lineRule="exact"/>
        <w:rPr>
          <w:sz w:val="20"/>
          <w:szCs w:val="20"/>
          <w:color w:val="auto"/>
        </w:rPr>
      </w:pPr>
    </w:p>
    <w:p>
      <w:pPr>
        <w:jc w:val="both"/>
        <w:ind w:right="80" w:firstLine="439"/>
        <w:spacing w:after="0" w:line="256" w:lineRule="auto"/>
        <w:rPr>
          <w:sz w:val="20"/>
          <w:szCs w:val="20"/>
          <w:color w:val="auto"/>
        </w:rPr>
      </w:pPr>
      <w:r>
        <w:rPr>
          <w:rFonts w:ascii="Times New Roman" w:cs="Times New Roman" w:eastAsia="Times New Roman" w:hAnsi="Times New Roman"/>
          <w:sz w:val="18"/>
          <w:szCs w:val="18"/>
          <w:color w:val="auto"/>
        </w:rPr>
        <w:t>We account for compensation cost for all share-based awards at fair value on the date of grant. The fair value is recognized as expense over the service period, net of estimated forfeitures, using the straight-line method. The estimation of share-based awards that will ultimately vest requires judgment, and, to the extent actual results or updated estimates differ from current estimates, such amounts will be recorded as a cumulative adjustment in the period estimates are revised. We primarily consider historical experience when estimating expected forfeitures.</w:t>
      </w:r>
    </w:p>
    <w:p>
      <w:pPr>
        <w:spacing w:after="0" w:line="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 Awards</w:t>
      </w:r>
    </w:p>
    <w:p>
      <w:pPr>
        <w:spacing w:after="0" w:line="116" w:lineRule="exact"/>
        <w:rPr>
          <w:sz w:val="20"/>
          <w:szCs w:val="20"/>
          <w:color w:val="auto"/>
        </w:rPr>
      </w:pPr>
    </w:p>
    <w:p>
      <w:pPr>
        <w:ind w:right="160" w:firstLine="439"/>
        <w:spacing w:after="0" w:line="254" w:lineRule="auto"/>
        <w:rPr>
          <w:sz w:val="20"/>
          <w:szCs w:val="20"/>
          <w:color w:val="auto"/>
        </w:rPr>
      </w:pPr>
      <w:r>
        <w:rPr>
          <w:rFonts w:ascii="Times New Roman" w:cs="Times New Roman" w:eastAsia="Times New Roman" w:hAnsi="Times New Roman"/>
          <w:sz w:val="18"/>
          <w:szCs w:val="18"/>
          <w:color w:val="auto"/>
        </w:rPr>
        <w:t>Performance-based restricted stock units, or PRSUs, awarded to employees vest upon the achievement of certain performance criteria at the end of a specified performance period, subject to a relative total shareholder return, or TSR, modifier. The estimated fair value of these PRSUs is based on a Monte Carlo simulation model. Compensation expense for PRSUs is recognized from the date the Company determines the performance criteria probable of being achieved to the date the award, or relevant portion of the award, is expected to vest. Cumulative adjustments are recorded on a quarterly basis to reflect subsequent changes to the estimated outcome of the performance criteria until the date results are determined.</w:t>
      </w:r>
    </w:p>
    <w:p>
      <w:pPr>
        <w:spacing w:after="0" w:line="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Entity</w:t>
      </w:r>
    </w:p>
    <w:p>
      <w:pPr>
        <w:spacing w:after="0" w:line="116" w:lineRule="exact"/>
        <w:rPr>
          <w:sz w:val="20"/>
          <w:szCs w:val="20"/>
          <w:color w:val="auto"/>
        </w:rPr>
      </w:pPr>
    </w:p>
    <w:p>
      <w:pPr>
        <w:ind w:right="20" w:firstLine="439"/>
        <w:spacing w:after="0" w:line="261" w:lineRule="auto"/>
        <w:rPr>
          <w:sz w:val="20"/>
          <w:szCs w:val="20"/>
          <w:color w:val="auto"/>
        </w:rPr>
      </w:pPr>
      <w:r>
        <w:rPr>
          <w:rFonts w:ascii="Times New Roman" w:cs="Times New Roman" w:eastAsia="Times New Roman" w:hAnsi="Times New Roman"/>
          <w:sz w:val="18"/>
          <w:szCs w:val="18"/>
          <w:color w:val="auto"/>
        </w:rPr>
        <w:t>In the year ended December 31, 2021, we invested in a cell of a protected cell company, or the protected cell, as part of our directors’ and officers’ liability risk financing strategy. Based on our control and the structure of the protected cell, we concluded that Jazz is the primary beneficiary of the protected cell and is required to consolidate the protected cell. The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74" w:lineRule="exact"/>
        <w:rPr>
          <w:sz w:val="20"/>
          <w:szCs w:val="20"/>
          <w:color w:val="auto"/>
        </w:rPr>
      </w:pPr>
    </w:p>
    <w:p>
      <w:pPr>
        <w:ind w:right="740"/>
        <w:spacing w:after="0" w:line="276" w:lineRule="auto"/>
        <w:rPr>
          <w:sz w:val="20"/>
          <w:szCs w:val="20"/>
          <w:color w:val="auto"/>
        </w:rPr>
      </w:pPr>
      <w:r>
        <w:rPr>
          <w:rFonts w:ascii="Times New Roman" w:cs="Times New Roman" w:eastAsia="Times New Roman" w:hAnsi="Times New Roman"/>
          <w:sz w:val="18"/>
          <w:szCs w:val="18"/>
          <w:color w:val="auto"/>
        </w:rPr>
        <w:t>insurance premium payable to the protected cell for the years ended December 31, 2022 and 2021 and the protected cell’s assets and liabilities as of December 31, 2023 and 2022 were immaterial. No premium was payable for the year ended December 31, 2023.</w:t>
      </w:r>
    </w:p>
    <w:p>
      <w:pPr>
        <w:spacing w:after="0" w:line="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6" w:lineRule="exact"/>
        <w:rPr>
          <w:sz w:val="20"/>
          <w:szCs w:val="20"/>
          <w:color w:val="auto"/>
        </w:rPr>
      </w:pPr>
    </w:p>
    <w:p>
      <w:pPr>
        <w:ind w:right="20" w:firstLine="439"/>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 Improvements to Reportable Segment Disclosures”, which requires enhanced disclosures about significant segment expenses. The amendments are effective retrospectively to all prior periods presented in the financial statements, for fiscal years beginning after December 15, 2023. We are currently evaluating the impact of adopting this new accounting guidance.</w:t>
      </w:r>
    </w:p>
    <w:p>
      <w:pPr>
        <w:spacing w:after="0" w:line="70" w:lineRule="exact"/>
        <w:rPr>
          <w:sz w:val="20"/>
          <w:szCs w:val="20"/>
          <w:color w:val="auto"/>
        </w:rPr>
      </w:pPr>
    </w:p>
    <w:p>
      <w:pPr>
        <w:ind w:right="40" w:firstLine="439"/>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 Improvements to Income Tax Disclosures”, which requires additional enhanced tax disclosures. The amendments are effective on a prospective basis, with the option to apply it retrospectively, for fiscal years beginning after December 15, 2024. We are currently evaluating the impact of adopting this new accounting guidance.</w:t>
      </w:r>
    </w:p>
    <w:p>
      <w:pPr>
        <w:spacing w:after="0" w:line="308" w:lineRule="exact"/>
        <w:rPr>
          <w:sz w:val="20"/>
          <w:szCs w:val="20"/>
          <w:color w:val="auto"/>
        </w:rPr>
      </w:pPr>
    </w:p>
    <w:p>
      <w:pPr>
        <w:ind w:left="200" w:right="6900" w:hanging="194"/>
        <w:spacing w:after="0" w:line="371" w:lineRule="auto"/>
        <w:tabs>
          <w:tab w:leader="none" w:pos="178"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Collaborations, Disposition and Business Combination </w:t>
      </w:r>
      <w:r>
        <w:rPr>
          <w:rFonts w:ascii="Times New Roman" w:cs="Times New Roman" w:eastAsia="Times New Roman" w:hAnsi="Times New Roman"/>
          <w:sz w:val="18"/>
          <w:szCs w:val="18"/>
          <w:b w:val="1"/>
          <w:bCs w:val="1"/>
          <w:i w:val="1"/>
          <w:iCs w:val="1"/>
          <w:color w:val="auto"/>
        </w:rPr>
        <w:t>License Agreements</w:t>
      </w:r>
    </w:p>
    <w:p>
      <w:pPr>
        <w:spacing w:after="0" w:line="1" w:lineRule="exact"/>
        <w:rPr>
          <w:sz w:val="20"/>
          <w:szCs w:val="20"/>
          <w:color w:val="auto"/>
        </w:rPr>
      </w:pPr>
    </w:p>
    <w:p>
      <w:pPr>
        <w:ind w:right="20" w:firstLine="439"/>
        <w:spacing w:after="0" w:line="254" w:lineRule="auto"/>
        <w:rPr>
          <w:sz w:val="20"/>
          <w:szCs w:val="20"/>
          <w:color w:val="auto"/>
        </w:rPr>
      </w:pPr>
      <w:r>
        <w:rPr>
          <w:rFonts w:ascii="Times New Roman" w:cs="Times New Roman" w:eastAsia="Times New Roman" w:hAnsi="Times New Roman"/>
          <w:sz w:val="18"/>
          <w:szCs w:val="18"/>
          <w:color w:val="auto"/>
        </w:rPr>
        <w:t>In November 2023, we entered into an exclusive licensing and collaboration agreement with Autifony Therapeutics Limited, or Autifony, to discover and develop drug candidates targeting two different ion channel targets associated with neurological disorders. Under the terms of the agreement, we made an upfront payment of $18.0 million to Autifony, which was recorded as acquired IPR&amp;D expense in our consolidated statements of income (loss) for the year ended December 31, 2023. Autifony is eligible to receive development and commercial milestone payments of up to $752.5 million and, if a product is approved, a tiered, mid-single-digit percentage royalty on net sales of that product.</w:t>
      </w:r>
    </w:p>
    <w:p>
      <w:pPr>
        <w:spacing w:after="0" w:line="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October 2022, we entered into an exclusive licensing and collaboration agreement with Zymeworks Inc., or Zymeworks, providing us the right to</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 development and commercialization rights to Zymeworks' zanidatamab across all indications in the United States, Europe, Japan and all other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territories except for those Asia/Pacific territories previously licensed by Zymeworks. In December 2022, we exercised the option to continue with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exclusive development and commercialization rights to zanidatamab. Zanidatamab is a bispecific antibody that can simultaneously bind two non-overlapping</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epitopes of HER2, known as biparatopic binding. Under the terms of the agreement, Zymeworks received an upfront payment of $50.0 million,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our decision to continue the collaboration after the readout of the top-line clinical data from HERIZON-BTC-01, a second, one-time payment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$325.0 million. We recorded the $375.0 million as acquired IPR&amp;D expense in our consolidated statements of income (loss) for the year ended December 31,</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2022. Zymeworks is also eligible to receive regulatory and commercial milestone payments of up to $1.4 billion, for total potential payments of $1.76 billion.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Pending approval, Zymeworks is eligible to receive tiered royalties between 10% and 20% on our net sales.</w:t>
      </w:r>
    </w:p>
    <w:p>
      <w:pPr>
        <w:spacing w:after="0" w:line="93" w:lineRule="exact"/>
        <w:rPr>
          <w:sz w:val="20"/>
          <w:szCs w:val="20"/>
          <w:color w:val="auto"/>
        </w:rPr>
      </w:pPr>
    </w:p>
    <w:p>
      <w:pPr>
        <w:ind w:firstLine="439"/>
        <w:spacing w:after="0" w:line="252" w:lineRule="auto"/>
        <w:rPr>
          <w:sz w:val="20"/>
          <w:szCs w:val="20"/>
          <w:color w:val="auto"/>
        </w:rPr>
      </w:pPr>
      <w:r>
        <w:rPr>
          <w:rFonts w:ascii="Times New Roman" w:cs="Times New Roman" w:eastAsia="Times New Roman" w:hAnsi="Times New Roman"/>
          <w:sz w:val="18"/>
          <w:szCs w:val="18"/>
          <w:color w:val="auto"/>
        </w:rPr>
        <w:t>In May 2022, we entered into a licensing agreement with Sumitomo Pharma Co., Ltd, or Sumitomo, to acquire exclusive development and commercialization rights in the U.S., Europe and other territories for DSP-0187, now referred to as JZP441. JZP441 is a potent, highly selective oral orexin-2 receptor agonist with potential application for the treatment of narcolepsy, IH and other sleep disorders. Under the terms of the agreement, we made an upfront payment of $50.0 million to Sumitomo, which was recorded as acquired IPR&amp;D expense in our consolidated statements of income (loss) for the year ended December 31, 2022. Sumitomo is eligible to receive development, regulatory and commercial milestone payments of up to $1.09 billion and, if JZP441 is approved, a tiered, low double-digit royalty on Jazz's net sales of JZP441.</w:t>
      </w:r>
    </w:p>
    <w:p>
      <w:pPr>
        <w:spacing w:after="0" w:line="80" w:lineRule="exact"/>
        <w:rPr>
          <w:sz w:val="20"/>
          <w:szCs w:val="20"/>
          <w:color w:val="auto"/>
        </w:rPr>
      </w:pPr>
    </w:p>
    <w:p>
      <w:pPr>
        <w:ind w:right="80" w:firstLine="439"/>
        <w:spacing w:after="0" w:line="251" w:lineRule="auto"/>
        <w:rPr>
          <w:sz w:val="20"/>
          <w:szCs w:val="20"/>
          <w:color w:val="auto"/>
        </w:rPr>
      </w:pPr>
      <w:r>
        <w:rPr>
          <w:rFonts w:ascii="Times New Roman" w:cs="Times New Roman" w:eastAsia="Times New Roman" w:hAnsi="Times New Roman"/>
          <w:sz w:val="18"/>
          <w:szCs w:val="18"/>
          <w:color w:val="auto"/>
        </w:rPr>
        <w:t>In April 2022, we entered into a licensing and collaboration agreement with Werewolf Therapeutics, Inc., or Werewolf, to acquire exclusive global development and commercialization rights to Werewolf's investigational WTX-613, now referred to as JZP898. JZP898 is a differentiated, conditionally-activated interferon alpha (IFNα) INDUKINE™ molecule. We made an upfront payment of $15.0 million to Werewolf in 2022, which was recorded as acquired IPR&amp;D expense in our consolidated statements of income (loss) for the year ended December 31, 2022, and a milestone payment of $5.0 million in September 2023 which was recorded within research and development expense in our consolidated statements of income (loss) for the year ended December 31, 2023. Werewolf is eligible to receive further development, regulatory and commercial milestone payments of up to $1.26 billion and, if JZP898 is approved, a tiered, mid-single-digit percentage royalty on net sales of JZP898.</w:t>
      </w:r>
    </w:p>
    <w:p>
      <w:pPr>
        <w:spacing w:after="0" w:line="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Sunosi Disposition</w:t>
      </w:r>
    </w:p>
    <w:p>
      <w:pPr>
        <w:spacing w:after="0" w:line="116" w:lineRule="exact"/>
        <w:rPr>
          <w:sz w:val="20"/>
          <w:szCs w:val="20"/>
          <w:color w:val="auto"/>
        </w:rPr>
      </w:pPr>
    </w:p>
    <w:p>
      <w:pPr>
        <w:jc w:val="both"/>
        <w:ind w:right="20" w:firstLine="439"/>
        <w:spacing w:after="0" w:line="261" w:lineRule="auto"/>
        <w:rPr>
          <w:sz w:val="20"/>
          <w:szCs w:val="20"/>
          <w:color w:val="auto"/>
        </w:rPr>
      </w:pPr>
      <w:r>
        <w:rPr>
          <w:rFonts w:ascii="Times New Roman" w:cs="Times New Roman" w:eastAsia="Times New Roman" w:hAnsi="Times New Roman"/>
          <w:sz w:val="18"/>
          <w:szCs w:val="18"/>
          <w:color w:val="auto"/>
        </w:rPr>
        <w:t>In March 2022, we entered into a definitive agreement to divest Sunosi to Axsome Therapeutics, Inc., or Axsome. In May 2022, we completed the U.S. divestiture and in November 2022, the ex-U.S. divestiture was completed. Under the terms of the sale agreement, Axsome received the rights to Sunosi in all of the existing territories available to us. We received an</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74"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8"/>
          <w:szCs w:val="18"/>
          <w:color w:val="auto"/>
        </w:rPr>
        <w:t>upfront payment of $53.0 million, and have the right to receive a high single-digit royalty on Axsome’s U.S. net sales of Sunosi in current indications and a mid-single-digit royalty on Axsome’s U.S. net sales of Sunosi in future indications.</w:t>
      </w:r>
    </w:p>
    <w:p>
      <w:pPr>
        <w:spacing w:after="0" w:line="56" w:lineRule="exact"/>
        <w:rPr>
          <w:sz w:val="20"/>
          <w:szCs w:val="20"/>
          <w:color w:val="auto"/>
        </w:rPr>
      </w:pPr>
    </w:p>
    <w:p>
      <w:pPr>
        <w:ind w:right="180" w:firstLine="439"/>
        <w:spacing w:after="0" w:line="306" w:lineRule="auto"/>
        <w:rPr>
          <w:sz w:val="20"/>
          <w:szCs w:val="20"/>
          <w:color w:val="auto"/>
        </w:rPr>
      </w:pPr>
      <w:r>
        <w:rPr>
          <w:rFonts w:ascii="Times New Roman" w:cs="Times New Roman" w:eastAsia="Times New Roman" w:hAnsi="Times New Roman"/>
          <w:sz w:val="17"/>
          <w:szCs w:val="17"/>
          <w:color w:val="auto"/>
        </w:rPr>
        <w:t>Upon closing, we recognized a loss on disposal of $40.8 million within selling, general and administrative expenses in our consolidated statements of income (loss) in the year ended December 31, 2022. We are accounting for the contingent consideration in the form of the future royalty as it is earned.</w:t>
      </w:r>
    </w:p>
    <w:p>
      <w:pPr>
        <w:spacing w:after="0" w:line="34" w:lineRule="exact"/>
        <w:rPr>
          <w:sz w:val="20"/>
          <w:szCs w:val="20"/>
          <w:color w:val="auto"/>
        </w:rPr>
      </w:pPr>
    </w:p>
    <w:p>
      <w:pPr>
        <w:ind w:right="80" w:firstLine="439"/>
        <w:spacing w:after="0" w:line="276" w:lineRule="auto"/>
        <w:rPr>
          <w:sz w:val="20"/>
          <w:szCs w:val="20"/>
          <w:color w:val="auto"/>
        </w:rPr>
      </w:pPr>
      <w:r>
        <w:rPr>
          <w:rFonts w:ascii="Times New Roman" w:cs="Times New Roman" w:eastAsia="Times New Roman" w:hAnsi="Times New Roman"/>
          <w:sz w:val="18"/>
          <w:szCs w:val="18"/>
          <w:color w:val="auto"/>
        </w:rPr>
        <w:t>We determined that the disposal of Sunosi did not qualify for reporting as a discontinued operation since it did not represent a strategic shift that has or will have a major effect on our operations and financial results.</w:t>
      </w:r>
    </w:p>
    <w:p>
      <w:pPr>
        <w:spacing w:after="0" w:line="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GW Acquisition</w:t>
      </w:r>
    </w:p>
    <w:p>
      <w:pPr>
        <w:spacing w:after="0" w:line="116" w:lineRule="exact"/>
        <w:rPr>
          <w:sz w:val="20"/>
          <w:szCs w:val="20"/>
          <w:color w:val="auto"/>
        </w:rPr>
      </w:pPr>
    </w:p>
    <w:p>
      <w:pPr>
        <w:ind w:right="120" w:firstLine="439"/>
        <w:spacing w:after="0" w:line="276" w:lineRule="auto"/>
        <w:rPr>
          <w:sz w:val="20"/>
          <w:szCs w:val="20"/>
          <w:color w:val="auto"/>
        </w:rPr>
      </w:pPr>
      <w:r>
        <w:rPr>
          <w:rFonts w:ascii="Times New Roman" w:cs="Times New Roman" w:eastAsia="Times New Roman" w:hAnsi="Times New Roman"/>
          <w:sz w:val="18"/>
          <w:szCs w:val="18"/>
          <w:color w:val="auto"/>
        </w:rPr>
        <w:t>On May 5, 2021, or the Closing Date, we acquired the entire issued share capital of GW. As a result, GW became an indirect wholly owned subsidiary of the Company.</w:t>
      </w:r>
    </w:p>
    <w:p>
      <w:pPr>
        <w:spacing w:after="0" w:line="56" w:lineRule="exact"/>
        <w:rPr>
          <w:sz w:val="20"/>
          <w:szCs w:val="20"/>
          <w:color w:val="auto"/>
        </w:rPr>
      </w:pPr>
    </w:p>
    <w:p>
      <w:pPr>
        <w:jc w:val="both"/>
        <w:ind w:right="40" w:firstLine="439"/>
        <w:spacing w:after="0" w:line="261" w:lineRule="auto"/>
        <w:rPr>
          <w:sz w:val="20"/>
          <w:szCs w:val="20"/>
          <w:color w:val="auto"/>
        </w:rPr>
      </w:pPr>
      <w:r>
        <w:rPr>
          <w:rFonts w:ascii="Times New Roman" w:cs="Times New Roman" w:eastAsia="Times New Roman" w:hAnsi="Times New Roman"/>
          <w:sz w:val="18"/>
          <w:szCs w:val="18"/>
          <w:color w:val="auto"/>
        </w:rPr>
        <w:t>We acquired GW with the objective of broadening our neuroscience portfolio, further diversifying our revenue and driving sustainable, long-term value creation opportunities. GW was a global leader in discovering, developing, manufacturing and commercializing novel, regulatory approved therapeutics from its proprietary cannabinoid research to address a broad range of diseases.</w:t>
      </w:r>
    </w:p>
    <w:p>
      <w:pPr>
        <w:spacing w:after="0" w:line="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aggregate consideration for the GW Acquisition was $7.2 billion as follows (all amounts in thousands except American Depositary Shares, or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 and per GW ADS amounts):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GW ADS outstanding May 5, 2021</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31,556,200</w:t>
            </w:r>
          </w:p>
        </w:tc>
      </w:tr>
      <w:tr>
        <w:trPr>
          <w:trHeight w:val="226"/>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consideration per GW ADS</w:t>
            </w:r>
          </w:p>
        </w:tc>
        <w:tc>
          <w:tcPr>
            <w:tcW w:w="4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consideration to GW ADS holders</w:t>
            </w: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6,311,240</w:t>
            </w:r>
          </w:p>
        </w:tc>
      </w:tr>
      <w:tr>
        <w:trPr>
          <w:trHeight w:val="226"/>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consideration to GW share option holders (inclusive of payroll taxes)</w:t>
            </w: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267,450</w:t>
            </w:r>
          </w:p>
        </w:tc>
      </w:tr>
      <w:tr>
        <w:trPr>
          <w:trHeight w:val="22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consideration</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6,578,690</w:t>
            </w: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Equity consideration to GW ADS holders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34225" cy="1435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27">
                      <a:extLst>
                        <a:ext uri="{28A0092B-C50C-407E-A947-70E740481C1C}"/>
                      </a:extLst>
                    </a:blip>
                    <a:srcRect/>
                    <a:stretch>
                      <a:fillRect/>
                    </a:stretch>
                  </pic:blipFill>
                  <pic:spPr bwMode="auto">
                    <a:xfrm>
                      <a:off x="0" y="0"/>
                      <a:ext cx="7134225" cy="143510"/>
                    </a:xfrm>
                    <a:prstGeom prst="rect">
                      <a:avLst/>
                    </a:prstGeom>
                    <a:noFill/>
                  </pic:spPr>
                </pic:pic>
              </a:graphicData>
            </a:graphic>
          </wp:anchor>
        </w:drawing>
      </w:r>
    </w:p>
    <w:p>
      <w:pPr>
        <w:ind w:left="20" w:right="3560"/>
        <w:spacing w:after="0" w:line="289" w:lineRule="auto"/>
        <w:rPr>
          <w:sz w:val="20"/>
          <w:szCs w:val="20"/>
          <w:color w:val="auto"/>
        </w:rPr>
      </w:pPr>
      <w:r>
        <w:rPr>
          <w:rFonts w:ascii="Times New Roman" w:cs="Times New Roman" w:eastAsia="Times New Roman" w:hAnsi="Times New Roman"/>
          <w:sz w:val="18"/>
          <w:szCs w:val="18"/>
          <w:color w:val="auto"/>
        </w:rPr>
        <w:t>Consideration related to replacement share option pre-combination service Total equity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7134225" cy="168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28">
                      <a:extLst>
                        <a:ext uri="{28A0092B-C50C-407E-A947-70E740481C1C}"/>
                      </a:extLst>
                    </a:blip>
                    <a:srcRect/>
                    <a:stretch>
                      <a:fillRect/>
                    </a:stretch>
                  </pic:blipFill>
                  <pic:spPr bwMode="auto">
                    <a:xfrm>
                      <a:off x="0" y="0"/>
                      <a:ext cx="7134225" cy="16891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Total purchase consideration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0" w:lineRule="exact"/>
        <w:rPr>
          <w:sz w:val="20"/>
          <w:szCs w:val="20"/>
          <w:color w:val="auto"/>
        </w:rPr>
      </w:pPr>
      <w:r>
        <w:rPr>
          <w:sz w:val="20"/>
          <w:szCs w:val="20"/>
          <w:color w:val="auto"/>
        </w:rPr>
        <w:br w:type="column"/>
      </w:r>
    </w:p>
    <w:p>
      <w:pPr>
        <w:jc w:val="right"/>
        <w:ind w:right="60"/>
        <w:spacing w:after="0"/>
        <w:rPr>
          <w:sz w:val="20"/>
          <w:szCs w:val="20"/>
          <w:color w:val="auto"/>
        </w:rPr>
      </w:pPr>
      <w:r>
        <w:rPr>
          <w:rFonts w:ascii="Times New Roman" w:cs="Times New Roman" w:eastAsia="Times New Roman" w:hAnsi="Times New Roman"/>
          <w:sz w:val="18"/>
          <w:szCs w:val="18"/>
          <w:color w:val="auto"/>
        </w:rPr>
        <w:t>608,456</w:t>
      </w:r>
    </w:p>
    <w:p>
      <w:pPr>
        <w:spacing w:after="0" w:line="2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3,555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104838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29">
                      <a:extLst>
                        <a:ext uri="{28A0092B-C50C-407E-A947-70E740481C1C}"/>
                      </a:extLst>
                    </a:blip>
                    <a:srcRect/>
                    <a:stretch>
                      <a:fillRect/>
                    </a:stretch>
                  </pic:blipFill>
                  <pic:spPr bwMode="auto">
                    <a:xfrm>
                      <a:off x="0" y="0"/>
                      <a:ext cx="1048385" cy="8255"/>
                    </a:xfrm>
                    <a:prstGeom prst="rect">
                      <a:avLst/>
                    </a:prstGeom>
                    <a:noFill/>
                  </pic:spPr>
                </pic:pic>
              </a:graphicData>
            </a:graphic>
          </wp:anchor>
        </w:drawing>
      </w:r>
    </w:p>
    <w:p>
      <w:pPr>
        <w:spacing w:after="0" w:line="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612,011</w:t>
      </w:r>
    </w:p>
    <w:p>
      <w:pPr>
        <w:spacing w:after="0" w:line="33" w:lineRule="exact"/>
        <w:rPr>
          <w:sz w:val="20"/>
          <w:szCs w:val="20"/>
          <w:color w:val="auto"/>
        </w:rPr>
      </w:pPr>
    </w:p>
    <w:p>
      <w:pPr>
        <w:ind w:left="860" w:hanging="851"/>
        <w:spacing w:after="0"/>
        <w:tabs>
          <w:tab w:leader="none" w:pos="8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7,190,701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104838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30">
                      <a:extLst>
                        <a:ext uri="{28A0092B-C50C-407E-A947-70E740481C1C}"/>
                      </a:extLst>
                    </a:blip>
                    <a:srcRect/>
                    <a:stretch>
                      <a:fillRect/>
                    </a:stretch>
                  </pic:blipFill>
                  <pic:spPr bwMode="auto">
                    <a:xfrm>
                      <a:off x="0" y="0"/>
                      <a:ext cx="1048385" cy="8255"/>
                    </a:xfrm>
                    <a:prstGeom prst="rect">
                      <a:avLst/>
                    </a:prstGeom>
                    <a:noFill/>
                  </pic:spPr>
                </pic:pic>
              </a:graphicData>
            </a:graphic>
          </wp:anchor>
        </w:drawing>
      </w:r>
    </w:p>
    <w:p>
      <w:pPr>
        <w:spacing w:after="0" w:line="386" w:lineRule="exact"/>
        <w:rPr>
          <w:sz w:val="20"/>
          <w:szCs w:val="20"/>
          <w:color w:val="auto"/>
        </w:rPr>
      </w:pPr>
    </w:p>
    <w:p>
      <w:pPr>
        <w:sectPr>
          <w:pgSz w:w="11900" w:h="16838" w:orient="portrait"/>
          <w:cols w:equalWidth="0" w:num="2">
            <w:col w:w="8880" w:space="720"/>
            <w:col w:w="1640"/>
          </w:cols>
          <w:pgMar w:left="320" w:top="121" w:right="339" w:bottom="1440" w:gutter="0" w:footer="0" w:header="0"/>
          <w:type w:val="continuous"/>
        </w:sectPr>
      </w:pPr>
    </w:p>
    <w:p>
      <w:pPr>
        <w:ind w:right="40" w:firstLine="6"/>
        <w:spacing w:after="0" w:line="253" w:lineRule="auto"/>
        <w:tabs>
          <w:tab w:leader="none" w:pos="226"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3.8 million ordinary shares were issued to GW ADS holders. The closing price of the ordinary shares on May 4, 2021 ($160.20) was used to determine the fair value of this equity consideration because the closing of the transaction on May 5, 2021 occurred prior to the opening of regular trading.</w:t>
      </w:r>
    </w:p>
    <w:p>
      <w:pPr>
        <w:spacing w:after="0" w:line="70" w:lineRule="exact"/>
        <w:rPr>
          <w:sz w:val="20"/>
          <w:szCs w:val="20"/>
          <w:color w:val="auto"/>
        </w:rPr>
      </w:pPr>
    </w:p>
    <w:p>
      <w:pPr>
        <w:ind w:right="60" w:firstLine="439"/>
        <w:spacing w:after="0" w:line="252" w:lineRule="auto"/>
        <w:rPr>
          <w:sz w:val="20"/>
          <w:szCs w:val="20"/>
          <w:color w:val="auto"/>
        </w:rPr>
      </w:pPr>
      <w:r>
        <w:rPr>
          <w:rFonts w:ascii="Times New Roman" w:cs="Times New Roman" w:eastAsia="Times New Roman" w:hAnsi="Times New Roman"/>
          <w:sz w:val="18"/>
          <w:szCs w:val="18"/>
          <w:color w:val="auto"/>
        </w:rPr>
        <w:t>In April 2021, we closed an offering of $1.5 billion in aggregate principal amount of 4.375% senior secured notes, due 2029, or the Secured Notes. In May 2021, we entered into a credit agreement, or the Credit Agreement, that provides for (i) a seven-year $3.1 billion term loan B facility, or the Dollar Term Loan, (ii) a seven-year €625.0 million term loan B facility, or the Euro Term Loan and, together with the Dollar Term Loan, collectively known as the Term Loan and (iii) a five-year $500.0 million revolving credit facility, or the Revolving Credit Facility. We financed the cash portion of the GW Acquisition consideration through a combination of cash on hand and borrowings under the Term Loan and the Secured Notes. For further information on the Term Loan and the Secured Notes, please see Note 12.</w:t>
      </w:r>
    </w:p>
    <w:p>
      <w:pPr>
        <w:spacing w:after="0" w:line="80" w:lineRule="exact"/>
        <w:rPr>
          <w:sz w:val="20"/>
          <w:szCs w:val="20"/>
          <w:color w:val="auto"/>
        </w:rPr>
      </w:pPr>
    </w:p>
    <w:p>
      <w:pPr>
        <w:ind w:right="20" w:firstLine="439"/>
        <w:spacing w:after="0" w:line="256" w:lineRule="auto"/>
        <w:rPr>
          <w:sz w:val="20"/>
          <w:szCs w:val="20"/>
          <w:color w:val="auto"/>
        </w:rPr>
      </w:pPr>
      <w:r>
        <w:rPr>
          <w:rFonts w:ascii="Times New Roman" w:cs="Times New Roman" w:eastAsia="Times New Roman" w:hAnsi="Times New Roman"/>
          <w:sz w:val="18"/>
          <w:szCs w:val="18"/>
          <w:color w:val="auto"/>
        </w:rPr>
        <w:t>The GW Acquisition was accounted for as a business combination using the acquisition method under which assets and liabilities of GW were recorded at their respective estimated fair values as of the Closing Date and added to the assets and liabilities of the Company, including an amount for goodwill representing the difference between the acquisition consideration and the estimated fair value of the identifiable net assets. The results of operations of GW have been included in our consolidated financial statements since the Closing Date.</w:t>
      </w:r>
    </w:p>
    <w:p>
      <w:pPr>
        <w:spacing w:after="0" w:line="75" w:lineRule="exact"/>
        <w:rPr>
          <w:sz w:val="20"/>
          <w:szCs w:val="20"/>
          <w:color w:val="auto"/>
        </w:rPr>
      </w:pPr>
    </w:p>
    <w:p>
      <w:pPr>
        <w:ind w:right="60" w:firstLine="439"/>
        <w:spacing w:after="0" w:line="256" w:lineRule="auto"/>
        <w:rPr>
          <w:sz w:val="20"/>
          <w:szCs w:val="20"/>
          <w:color w:val="auto"/>
        </w:rPr>
      </w:pPr>
      <w:r>
        <w:rPr>
          <w:rFonts w:ascii="Times New Roman" w:cs="Times New Roman" w:eastAsia="Times New Roman" w:hAnsi="Times New Roman"/>
          <w:sz w:val="18"/>
          <w:szCs w:val="18"/>
          <w:color w:val="auto"/>
        </w:rPr>
        <w:t>In 2021, we incurred $81.9 million in acquisition-related costs related to the GW Acquisition, which primarily consisted of banking, legal, accounting and valuation-related expenses. These expenses were recorded in selling, general and administrative expense in the accompanying consolidated statements of income (loss). In 2021, our consolidated statements of income (loss) included revenues of $476.4 million and a net loss of $704.6 million from the acquired GW business, as measured from the Closing Date.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tcPr>
          <w:p>
            <w:pPr>
              <w:ind w:left="27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679"/>
        </w:trPr>
        <w:tc>
          <w:tcPr>
            <w:tcW w:w="9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fair values of assets acquired and liabilities assumed at the Closing Date (in thousands):</w:t>
            </w: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67"/>
        </w:trPr>
        <w:tc>
          <w:tcPr>
            <w:tcW w:w="9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Fair Values of Assets</w:t>
            </w:r>
          </w:p>
        </w:tc>
      </w:tr>
      <w:tr>
        <w:trPr>
          <w:trHeight w:val="144"/>
        </w:trPr>
        <w:tc>
          <w:tcPr>
            <w:tcW w:w="9600" w:type="dxa"/>
            <w:vAlign w:val="bottom"/>
          </w:tcPr>
          <w:p>
            <w:pPr>
              <w:spacing w:after="0"/>
              <w:rPr>
                <w:sz w:val="12"/>
                <w:szCs w:val="12"/>
                <w:color w:val="auto"/>
              </w:rPr>
            </w:pPr>
          </w:p>
        </w:tc>
        <w:tc>
          <w:tcPr>
            <w:tcW w:w="164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Acquired and Liabilities</w:t>
            </w:r>
          </w:p>
        </w:tc>
      </w:tr>
      <w:tr>
        <w:trPr>
          <w:trHeight w:val="193"/>
        </w:trPr>
        <w:tc>
          <w:tcPr>
            <w:tcW w:w="96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Assumed</w:t>
            </w:r>
          </w:p>
        </w:tc>
      </w:tr>
      <w:tr>
        <w:trPr>
          <w:trHeight w:val="226"/>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343,898</w:t>
            </w:r>
          </w:p>
        </w:tc>
      </w:tr>
      <w:tr>
        <w:trPr>
          <w:trHeight w:val="226"/>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76,355</w:t>
            </w:r>
          </w:p>
        </w:tc>
      </w:tr>
      <w:tr>
        <w:trPr>
          <w:trHeight w:val="226"/>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1,206,290</w:t>
            </w:r>
          </w:p>
        </w:tc>
      </w:tr>
      <w:tr>
        <w:trPr>
          <w:trHeight w:val="226"/>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72,758</w:t>
            </w:r>
          </w:p>
        </w:tc>
      </w:tr>
      <w:tr>
        <w:trPr>
          <w:trHeight w:val="226"/>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154,407</w:t>
            </w:r>
          </w:p>
        </w:tc>
      </w:tr>
      <w:tr>
        <w:trPr>
          <w:trHeight w:val="226"/>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Acquired developed technologies</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5,480,000</w:t>
            </w:r>
          </w:p>
        </w:tc>
      </w:tr>
      <w:tr>
        <w:trPr>
          <w:trHeight w:val="253"/>
        </w:trPr>
        <w:tc>
          <w:tcPr>
            <w:tcW w:w="9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160,000</w:t>
            </w:r>
          </w:p>
        </w:tc>
      </w:tr>
      <w:tr>
        <w:trPr>
          <w:trHeight w:val="220"/>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acquired identifiable intangible assets</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5,640,000</w:t>
            </w:r>
          </w:p>
        </w:tc>
      </w:tr>
      <w:tr>
        <w:trPr>
          <w:trHeight w:val="226"/>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933,234</w:t>
            </w:r>
          </w:p>
        </w:tc>
      </w:tr>
      <w:tr>
        <w:trPr>
          <w:trHeight w:val="226"/>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(1,069,076)</w:t>
            </w:r>
          </w:p>
        </w:tc>
      </w:tr>
      <w:tr>
        <w:trPr>
          <w:trHeight w:val="226"/>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(131,971)</w:t>
            </w:r>
          </w:p>
        </w:tc>
      </w:tr>
      <w:tr>
        <w:trPr>
          <w:trHeight w:val="226"/>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assets/liabilities</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(35,194)</w:t>
            </w:r>
          </w:p>
        </w:tc>
      </w:tr>
      <w:tr>
        <w:trPr>
          <w:trHeight w:val="245"/>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7,190,701</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114" w:lineRule="exact"/>
        <w:rPr>
          <w:sz w:val="20"/>
          <w:szCs w:val="20"/>
          <w:color w:val="auto"/>
        </w:rPr>
      </w:pPr>
    </w:p>
    <w:p>
      <w:pPr>
        <w:ind w:right="100" w:firstLine="439"/>
        <w:spacing w:after="0" w:line="254" w:lineRule="auto"/>
        <w:rPr>
          <w:sz w:val="20"/>
          <w:szCs w:val="20"/>
          <w:color w:val="auto"/>
        </w:rPr>
      </w:pPr>
      <w:r>
        <w:rPr>
          <w:rFonts w:ascii="Times New Roman" w:cs="Times New Roman" w:eastAsia="Times New Roman" w:hAnsi="Times New Roman"/>
          <w:sz w:val="18"/>
          <w:szCs w:val="18"/>
          <w:color w:val="auto"/>
        </w:rPr>
        <w:t>Inventories acquired included raw materials, work in progress and finished goods. Inventories were recorded at their estimated fair values. The inventory was valued at estimated selling price less the estimated costs to be incurred to complete (in the case of work in progress) and sell the inventory, the associated margins on these activities and holding costs. A step-up in value of inventory of $1,062.6 million was recorded in connection with the GW Acquisition. The step-up expense will be recorded in cost of product sales on our consolidated statements of income (loss) as the inventory is sold to customers from the Closing Date.</w:t>
      </w:r>
    </w:p>
    <w:p>
      <w:pPr>
        <w:spacing w:after="0" w:line="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14" w:lineRule="exact"/>
        <w:rPr>
          <w:sz w:val="20"/>
          <w:szCs w:val="20"/>
          <w:color w:val="auto"/>
        </w:rPr>
      </w:pPr>
    </w:p>
    <w:p>
      <w:pPr>
        <w:ind w:right="140" w:firstLine="439"/>
        <w:spacing w:after="0" w:line="276" w:lineRule="auto"/>
        <w:rPr>
          <w:sz w:val="20"/>
          <w:szCs w:val="20"/>
          <w:color w:val="auto"/>
        </w:rPr>
      </w:pPr>
      <w:r>
        <w:rPr>
          <w:rFonts w:ascii="Times New Roman" w:cs="Times New Roman" w:eastAsia="Times New Roman" w:hAnsi="Times New Roman"/>
          <w:sz w:val="18"/>
          <w:szCs w:val="18"/>
          <w:color w:val="auto"/>
        </w:rPr>
        <w:t>The fair value of acquired intangible assets was $5,640.0 million. The intangible assets included acquired developed technologies, primarily related to Epidiolex, and IPR&amp;D.</w:t>
      </w:r>
    </w:p>
    <w:p>
      <w:pPr>
        <w:spacing w:after="0" w:line="56" w:lineRule="exact"/>
        <w:rPr>
          <w:sz w:val="20"/>
          <w:szCs w:val="20"/>
          <w:color w:val="auto"/>
        </w:rPr>
      </w:pPr>
    </w:p>
    <w:p>
      <w:pPr>
        <w:ind w:right="160" w:firstLine="439"/>
        <w:spacing w:after="0" w:line="256" w:lineRule="auto"/>
        <w:rPr>
          <w:sz w:val="20"/>
          <w:szCs w:val="20"/>
          <w:color w:val="auto"/>
        </w:rPr>
      </w:pPr>
      <w:r>
        <w:rPr>
          <w:rFonts w:ascii="Times New Roman" w:cs="Times New Roman" w:eastAsia="Times New Roman" w:hAnsi="Times New Roman"/>
          <w:sz w:val="18"/>
          <w:szCs w:val="18"/>
          <w:color w:val="auto"/>
        </w:rPr>
        <w:t>The fair value of the Epidiolex acquired developed technology asset was determined by applying the income approach, which recognizes that the fair value of an asset is premised upon the expected receipt of future economic benefits such as earnings and cash inflows based on current sales projections and estimated direct costs, using a discount rate of 9.4% that reflects the return requirements of the market. This intangible asset is being amortized over an estimated useful life of 12 years.</w:t>
      </w:r>
    </w:p>
    <w:p>
      <w:pPr>
        <w:spacing w:after="0" w:line="75" w:lineRule="exact"/>
        <w:rPr>
          <w:sz w:val="20"/>
          <w:szCs w:val="20"/>
          <w:color w:val="auto"/>
        </w:rPr>
      </w:pPr>
    </w:p>
    <w:p>
      <w:pPr>
        <w:ind w:right="220" w:firstLine="439"/>
        <w:spacing w:after="0" w:line="276" w:lineRule="auto"/>
        <w:rPr>
          <w:sz w:val="20"/>
          <w:szCs w:val="20"/>
          <w:color w:val="auto"/>
        </w:rPr>
      </w:pPr>
      <w:r>
        <w:rPr>
          <w:rFonts w:ascii="Times New Roman" w:cs="Times New Roman" w:eastAsia="Times New Roman" w:hAnsi="Times New Roman"/>
          <w:sz w:val="18"/>
          <w:szCs w:val="18"/>
          <w:color w:val="auto"/>
        </w:rPr>
        <w:t>We acquired a nabiximols IPR&amp;D asset in the acquisition. In 2022, we recorded an impairment charge of $133.6 million to write off the value of this asset as a result of our decision to discontinue the program.</w:t>
      </w:r>
    </w:p>
    <w:p>
      <w:pPr>
        <w:spacing w:after="0" w:line="56" w:lineRule="exact"/>
        <w:rPr>
          <w:sz w:val="20"/>
          <w:szCs w:val="20"/>
          <w:color w:val="auto"/>
        </w:rPr>
      </w:pPr>
    </w:p>
    <w:p>
      <w:pPr>
        <w:ind w:right="40" w:firstLine="439"/>
        <w:spacing w:after="0" w:line="256" w:lineRule="auto"/>
        <w:rPr>
          <w:sz w:val="20"/>
          <w:szCs w:val="20"/>
          <w:color w:val="auto"/>
        </w:rPr>
      </w:pPr>
      <w:r>
        <w:rPr>
          <w:rFonts w:ascii="Times New Roman" w:cs="Times New Roman" w:eastAsia="Times New Roman" w:hAnsi="Times New Roman"/>
          <w:sz w:val="18"/>
          <w:szCs w:val="18"/>
          <w:color w:val="auto"/>
        </w:rPr>
        <w:t>Some of the more significant assumptions inherent in the development of intangible asset fair values include: the amount and timing of projected future cash flows (including revenue, cost of sales, research and development cost and sales and marketing expenses); probability of success; the discount rate selected to measure inherent risk of future cash flows; and the assessment of the asset’s life cycle and the competitive trends impacting the asset, among other factors.</w:t>
      </w:r>
    </w:p>
    <w:p>
      <w:pPr>
        <w:spacing w:after="0" w:line="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Deferred tax liabilities, net</w:t>
      </w:r>
    </w:p>
    <w:p>
      <w:pPr>
        <w:spacing w:after="0" w:line="114" w:lineRule="exact"/>
        <w:rPr>
          <w:sz w:val="20"/>
          <w:szCs w:val="20"/>
          <w:color w:val="auto"/>
        </w:rPr>
      </w:pPr>
    </w:p>
    <w:p>
      <w:pPr>
        <w:ind w:right="280" w:firstLine="439"/>
        <w:spacing w:after="0" w:line="276" w:lineRule="auto"/>
        <w:rPr>
          <w:sz w:val="20"/>
          <w:szCs w:val="20"/>
          <w:color w:val="auto"/>
        </w:rPr>
      </w:pPr>
      <w:r>
        <w:rPr>
          <w:rFonts w:ascii="Times New Roman" w:cs="Times New Roman" w:eastAsia="Times New Roman" w:hAnsi="Times New Roman"/>
          <w:sz w:val="18"/>
          <w:szCs w:val="18"/>
          <w:color w:val="auto"/>
        </w:rPr>
        <w:t>The net deferred tax liability relates to the difference between the financial statement carrying amount and the tax basis of acquired intangible assets and inventory, partially offset by acquired net operating loss carryforwards and other temporary differences.</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Other tangible assets and liabilities</w:t>
      </w:r>
    </w:p>
    <w:p>
      <w:pPr>
        <w:spacing w:after="0" w:line="114" w:lineRule="exact"/>
        <w:rPr>
          <w:sz w:val="20"/>
          <w:szCs w:val="20"/>
          <w:color w:val="auto"/>
        </w:rPr>
      </w:pPr>
    </w:p>
    <w:p>
      <w:pPr>
        <w:ind w:right="300" w:firstLine="439"/>
        <w:spacing w:after="0" w:line="276" w:lineRule="auto"/>
        <w:rPr>
          <w:sz w:val="20"/>
          <w:szCs w:val="20"/>
          <w:color w:val="auto"/>
        </w:rPr>
      </w:pPr>
      <w:r>
        <w:rPr>
          <w:rFonts w:ascii="Times New Roman" w:cs="Times New Roman" w:eastAsia="Times New Roman" w:hAnsi="Times New Roman"/>
          <w:sz w:val="18"/>
          <w:szCs w:val="18"/>
          <w:color w:val="auto"/>
        </w:rPr>
        <w:t>Other tangible assets and liabilities were valued at their respective carrying amounts as management believes that these amounts approximated their acquisition-date fair values.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14" w:lineRule="exact"/>
        <w:rPr>
          <w:sz w:val="20"/>
          <w:szCs w:val="20"/>
          <w:color w:val="auto"/>
        </w:rPr>
      </w:pPr>
    </w:p>
    <w:p>
      <w:pPr>
        <w:ind w:right="220" w:firstLine="439"/>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total purchase consideration over the estimated fair value of net assets acquired and was recorded in the consolidated balance sheet as of the Closing Date. The goodwill was primarily attributable to the establishment of the deferred tax liability for the acquired intangible assets and inventory. We do not expect any portion of this goodwill to be deductible for income tax purposes.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Cash and Available-for-Sale Securities</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Cash, cash equivalents and investments consisted of the following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80" w:type="dxa"/>
            <w:vAlign w:val="bottom"/>
            <w:gridSpan w:val="9"/>
          </w:tcPr>
          <w:p>
            <w:pPr>
              <w:ind w:left="6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0"/>
                <w:szCs w:val="10"/>
                <w:color w:val="auto"/>
              </w:rPr>
            </w:pPr>
          </w:p>
        </w:tc>
        <w:tc>
          <w:tcPr>
            <w:tcW w:w="1320" w:type="dxa"/>
            <w:vAlign w:val="bottom"/>
            <w:gridSpan w:val="4"/>
          </w:tcPr>
          <w:p>
            <w:pPr>
              <w:jc w:val="center"/>
              <w:ind w:right="380"/>
              <w:spacing w:after="0" w:line="127"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20" w:type="dxa"/>
            <w:vAlign w:val="bottom"/>
          </w:tcPr>
          <w:p>
            <w:pPr>
              <w:spacing w:after="0"/>
              <w:rPr>
                <w:sz w:val="10"/>
                <w:szCs w:val="10"/>
                <w:color w:val="auto"/>
              </w:rPr>
            </w:pPr>
          </w:p>
        </w:tc>
        <w:tc>
          <w:tcPr>
            <w:tcW w:w="1320" w:type="dxa"/>
            <w:vAlign w:val="bottom"/>
            <w:gridSpan w:val="4"/>
          </w:tcPr>
          <w:p>
            <w:pPr>
              <w:jc w:val="center"/>
              <w:ind w:right="340"/>
              <w:spacing w:after="0" w:line="127"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60" w:type="dxa"/>
            <w:vAlign w:val="bottom"/>
          </w:tcPr>
          <w:p>
            <w:pPr>
              <w:spacing w:after="0"/>
              <w:rPr>
                <w:sz w:val="10"/>
                <w:szCs w:val="10"/>
                <w:color w:val="auto"/>
              </w:rPr>
            </w:pPr>
          </w:p>
        </w:tc>
        <w:tc>
          <w:tcPr>
            <w:tcW w:w="1300" w:type="dxa"/>
            <w:vAlign w:val="bottom"/>
            <w:gridSpan w:val="4"/>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20" w:type="dxa"/>
            <w:vAlign w:val="bottom"/>
          </w:tcPr>
          <w:p>
            <w:pPr>
              <w:spacing w:after="0"/>
              <w:rPr>
                <w:sz w:val="10"/>
                <w:szCs w:val="10"/>
                <w:color w:val="auto"/>
              </w:rPr>
            </w:pPr>
          </w:p>
        </w:tc>
        <w:tc>
          <w:tcPr>
            <w:tcW w:w="1340" w:type="dxa"/>
            <w:vAlign w:val="bottom"/>
            <w:gridSpan w:val="4"/>
          </w:tcPr>
          <w:p>
            <w:pPr>
              <w:jc w:val="center"/>
              <w:ind w:right="360"/>
              <w:spacing w:after="0" w:line="127" w:lineRule="exact"/>
              <w:rPr>
                <w:sz w:val="20"/>
                <w:szCs w:val="20"/>
                <w:color w:val="auto"/>
              </w:rPr>
            </w:pPr>
            <w:r>
              <w:rPr>
                <w:rFonts w:ascii="Times New Roman" w:cs="Times New Roman" w:eastAsia="Times New Roman" w:hAnsi="Times New Roman"/>
                <w:sz w:val="14"/>
                <w:szCs w:val="14"/>
                <w:b w:val="1"/>
                <w:bCs w:val="1"/>
                <w:color w:val="auto"/>
              </w:rPr>
              <w:t>Cash and</w:t>
            </w: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4"/>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320" w:type="dxa"/>
            <w:vAlign w:val="bottom"/>
            <w:gridSpan w:val="4"/>
          </w:tcPr>
          <w:p>
            <w:pPr>
              <w:jc w:val="center"/>
              <w:ind w:right="340"/>
              <w:spacing w:after="0" w:line="14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4"/>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w w:val="98"/>
              </w:rPr>
              <w:t>Cash</w:t>
            </w:r>
          </w:p>
        </w:tc>
        <w:tc>
          <w:tcPr>
            <w:tcW w:w="180" w:type="dxa"/>
            <w:vAlign w:val="bottom"/>
          </w:tcPr>
          <w:p>
            <w:pPr>
              <w:spacing w:after="0"/>
              <w:rPr>
                <w:sz w:val="12"/>
                <w:szCs w:val="12"/>
                <w:color w:val="auto"/>
              </w:rPr>
            </w:pPr>
          </w:p>
        </w:tc>
        <w:tc>
          <w:tcPr>
            <w:tcW w:w="112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193"/>
        </w:trPr>
        <w:tc>
          <w:tcPr>
            <w:tcW w:w="2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6"/>
                <w:szCs w:val="16"/>
                <w:color w:val="auto"/>
              </w:rPr>
            </w:pPr>
          </w:p>
        </w:tc>
        <w:tc>
          <w:tcPr>
            <w:tcW w:w="132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6"/>
                <w:szCs w:val="16"/>
                <w:color w:val="auto"/>
              </w:rPr>
            </w:pPr>
          </w:p>
        </w:tc>
        <w:tc>
          <w:tcPr>
            <w:tcW w:w="13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260" w:type="dxa"/>
            <w:vAlign w:val="bottom"/>
          </w:tcPr>
          <w:p>
            <w:pPr>
              <w:spacing w:after="0"/>
              <w:rPr>
                <w:sz w:val="16"/>
                <w:szCs w:val="16"/>
                <w:color w:val="auto"/>
              </w:rPr>
            </w:pPr>
          </w:p>
        </w:tc>
        <w:tc>
          <w:tcPr>
            <w:tcW w:w="130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20" w:type="dxa"/>
            <w:vAlign w:val="bottom"/>
          </w:tcPr>
          <w:p>
            <w:pPr>
              <w:spacing w:after="0"/>
              <w:rPr>
                <w:sz w:val="16"/>
                <w:szCs w:val="16"/>
                <w:color w:val="auto"/>
              </w:rPr>
            </w:pPr>
          </w:p>
        </w:tc>
        <w:tc>
          <w:tcPr>
            <w:tcW w:w="134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437,724</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437,724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437,724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4"/>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gridSpan w:val="4"/>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0" w:type="dxa"/>
            <w:vAlign w:val="bottom"/>
          </w:tcPr>
          <w:p>
            <w:pPr>
              <w:spacing w:after="0"/>
              <w:rPr>
                <w:sz w:val="1"/>
                <w:szCs w:val="1"/>
                <w:color w:val="auto"/>
              </w:rPr>
            </w:pPr>
          </w:p>
        </w:tc>
      </w:tr>
      <w:tr>
        <w:trPr>
          <w:trHeight w:val="226"/>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768,586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768,586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768,586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Totals</w:t>
            </w:r>
          </w:p>
        </w:tc>
        <w:tc>
          <w:tcPr>
            <w:tcW w:w="26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1,626,310</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1,626,310</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1,506,310</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2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80" w:type="dxa"/>
            <w:vAlign w:val="bottom"/>
            <w:gridSpan w:val="9"/>
          </w:tcPr>
          <w:p>
            <w:pPr>
              <w:ind w:left="6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4"/>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0"/>
                <w:szCs w:val="10"/>
                <w:color w:val="auto"/>
              </w:rPr>
            </w:pPr>
          </w:p>
        </w:tc>
        <w:tc>
          <w:tcPr>
            <w:tcW w:w="1320" w:type="dxa"/>
            <w:vAlign w:val="bottom"/>
            <w:gridSpan w:val="4"/>
          </w:tcPr>
          <w:p>
            <w:pPr>
              <w:jc w:val="center"/>
              <w:ind w:right="400"/>
              <w:spacing w:after="0" w:line="127"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0"/>
                <w:szCs w:val="10"/>
                <w:color w:val="auto"/>
              </w:rPr>
            </w:pPr>
          </w:p>
        </w:tc>
        <w:tc>
          <w:tcPr>
            <w:tcW w:w="1320" w:type="dxa"/>
            <w:vAlign w:val="bottom"/>
            <w:gridSpan w:val="4"/>
          </w:tcPr>
          <w:p>
            <w:pPr>
              <w:jc w:val="center"/>
              <w:ind w:right="360"/>
              <w:spacing w:after="0" w:line="127" w:lineRule="exact"/>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0"/>
                <w:szCs w:val="10"/>
                <w:color w:val="auto"/>
              </w:rPr>
            </w:pPr>
          </w:p>
        </w:tc>
        <w:tc>
          <w:tcPr>
            <w:tcW w:w="1300" w:type="dxa"/>
            <w:vAlign w:val="bottom"/>
            <w:gridSpan w:val="4"/>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20" w:type="dxa"/>
            <w:vAlign w:val="bottom"/>
          </w:tcPr>
          <w:p>
            <w:pPr>
              <w:spacing w:after="0"/>
              <w:rPr>
                <w:sz w:val="10"/>
                <w:szCs w:val="10"/>
                <w:color w:val="auto"/>
              </w:rPr>
            </w:pPr>
          </w:p>
        </w:tc>
        <w:tc>
          <w:tcPr>
            <w:tcW w:w="1340" w:type="dxa"/>
            <w:vAlign w:val="bottom"/>
            <w:gridSpan w:val="4"/>
          </w:tcPr>
          <w:p>
            <w:pPr>
              <w:jc w:val="center"/>
              <w:ind w:right="400"/>
              <w:spacing w:after="0" w:line="127" w:lineRule="exact"/>
              <w:rPr>
                <w:sz w:val="20"/>
                <w:szCs w:val="20"/>
                <w:color w:val="auto"/>
              </w:rPr>
            </w:pPr>
            <w:r>
              <w:rPr>
                <w:rFonts w:ascii="Times New Roman" w:cs="Times New Roman" w:eastAsia="Times New Roman" w:hAnsi="Times New Roman"/>
                <w:sz w:val="14"/>
                <w:szCs w:val="14"/>
                <w:b w:val="1"/>
                <w:bCs w:val="1"/>
                <w:color w:val="auto"/>
              </w:rPr>
              <w:t>Cash and</w:t>
            </w: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4"/>
          </w:tcPr>
          <w:p>
            <w:pPr>
              <w:jc w:val="center"/>
              <w:ind w:right="420"/>
              <w:spacing w:after="0" w:line="14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320" w:type="dxa"/>
            <w:vAlign w:val="bottom"/>
            <w:gridSpan w:val="4"/>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4"/>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w w:val="98"/>
              </w:rPr>
              <w:t>Cash</w:t>
            </w:r>
          </w:p>
        </w:tc>
        <w:tc>
          <w:tcPr>
            <w:tcW w:w="180" w:type="dxa"/>
            <w:vAlign w:val="bottom"/>
          </w:tcPr>
          <w:p>
            <w:pPr>
              <w:spacing w:after="0"/>
              <w:rPr>
                <w:sz w:val="12"/>
                <w:szCs w:val="12"/>
                <w:color w:val="auto"/>
              </w:rPr>
            </w:pPr>
          </w:p>
        </w:tc>
        <w:tc>
          <w:tcPr>
            <w:tcW w:w="112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193"/>
        </w:trPr>
        <w:tc>
          <w:tcPr>
            <w:tcW w:w="2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260" w:type="dxa"/>
            <w:vAlign w:val="bottom"/>
          </w:tcPr>
          <w:p>
            <w:pPr>
              <w:spacing w:after="0"/>
              <w:rPr>
                <w:sz w:val="16"/>
                <w:szCs w:val="16"/>
                <w:color w:val="auto"/>
              </w:rPr>
            </w:pPr>
          </w:p>
        </w:tc>
        <w:tc>
          <w:tcPr>
            <w:tcW w:w="132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6"/>
                <w:szCs w:val="16"/>
                <w:color w:val="auto"/>
              </w:rPr>
            </w:pPr>
          </w:p>
        </w:tc>
        <w:tc>
          <w:tcPr>
            <w:tcW w:w="132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6"/>
                <w:szCs w:val="16"/>
                <w:color w:val="auto"/>
              </w:rPr>
            </w:pPr>
          </w:p>
        </w:tc>
        <w:tc>
          <w:tcPr>
            <w:tcW w:w="130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20" w:type="dxa"/>
            <w:vAlign w:val="bottom"/>
          </w:tcPr>
          <w:p>
            <w:pPr>
              <w:spacing w:after="0"/>
              <w:rPr>
                <w:sz w:val="16"/>
                <w:szCs w:val="16"/>
                <w:color w:val="auto"/>
              </w:rPr>
            </w:pPr>
          </w:p>
        </w:tc>
        <w:tc>
          <w:tcPr>
            <w:tcW w:w="134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334,018</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334,018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334,018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4"/>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gridSpan w:val="4"/>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517,464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Totals</w:t>
            </w:r>
          </w:p>
        </w:tc>
        <w:tc>
          <w:tcPr>
            <w:tcW w:w="26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881,482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881,482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881,482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right="20" w:firstLine="439"/>
        <w:spacing w:after="0" w:line="256" w:lineRule="auto"/>
        <w:rPr>
          <w:sz w:val="20"/>
          <w:szCs w:val="20"/>
          <w:color w:val="auto"/>
        </w:rPr>
      </w:pPr>
      <w:r>
        <w:rPr>
          <w:rFonts w:ascii="Times New Roman" w:cs="Times New Roman" w:eastAsia="Times New Roman" w:hAnsi="Times New Roman"/>
          <w:sz w:val="18"/>
          <w:szCs w:val="18"/>
          <w:color w:val="auto"/>
        </w:rPr>
        <w:t>Cash equivalents and investments are considered available-for-sale securities. We use the specific-identification method for calculating realized gains and losses on securities sold and include them in interest expense, net in the consolidated statements of income (loss). Our investment balances represent time deposits with original maturities of greater than three months and less than one year. Interest income from available-for-sale securities was $65.1 million, $11.5 million and $1.8 million in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w:t>
      </w:r>
    </w:p>
    <w:p>
      <w:pPr>
        <w:spacing w:after="0" w:line="114" w:lineRule="exact"/>
        <w:rPr>
          <w:sz w:val="20"/>
          <w:szCs w:val="20"/>
          <w:color w:val="auto"/>
        </w:rPr>
      </w:pPr>
    </w:p>
    <w:p>
      <w:pPr>
        <w:ind w:right="100" w:firstLine="439"/>
        <w:spacing w:after="0" w:line="276" w:lineRule="auto"/>
        <w:rPr>
          <w:sz w:val="20"/>
          <w:szCs w:val="20"/>
          <w:color w:val="auto"/>
        </w:rPr>
      </w:pPr>
      <w:r>
        <w:rPr>
          <w:rFonts w:ascii="Times New Roman" w:cs="Times New Roman" w:eastAsia="Times New Roman" w:hAnsi="Times New Roman"/>
          <w:sz w:val="18"/>
          <w:szCs w:val="18"/>
          <w:color w:val="auto"/>
        </w:rPr>
        <w:t>The following table summarizes, by major security type, our available-for-sale securities and derivative contracts that were measured at fair value on a recurring basis and were categorized using the fair value hierarchy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Quoted</w:t>
            </w: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w w:val="99"/>
              </w:rPr>
              <w:t>Quoted</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60" w:type="dxa"/>
            <w:vAlign w:val="bottom"/>
          </w:tcPr>
          <w:p>
            <w:pPr>
              <w:spacing w:after="0"/>
              <w:rPr>
                <w:sz w:val="12"/>
                <w:szCs w:val="12"/>
                <w:color w:val="auto"/>
              </w:rPr>
            </w:pP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60" w:type="dxa"/>
            <w:vAlign w:val="bottom"/>
          </w:tcPr>
          <w:p>
            <w:pPr>
              <w:spacing w:after="0"/>
              <w:rPr>
                <w:sz w:val="12"/>
                <w:szCs w:val="12"/>
                <w:color w:val="auto"/>
              </w:rPr>
            </w:pPr>
          </w:p>
        </w:tc>
        <w:tc>
          <w:tcPr>
            <w:tcW w:w="11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Active</w:t>
            </w: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00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3"/>
        </w:trPr>
        <w:tc>
          <w:tcPr>
            <w:tcW w:w="3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60" w:type="dxa"/>
            <w:vAlign w:val="bottom"/>
          </w:tcPr>
          <w:p>
            <w:pPr>
              <w:spacing w:after="0"/>
              <w:rPr>
                <w:sz w:val="11"/>
                <w:szCs w:val="11"/>
                <w:color w:val="auto"/>
              </w:rPr>
            </w:pPr>
          </w:p>
        </w:tc>
        <w:tc>
          <w:tcPr>
            <w:tcW w:w="1100" w:type="dxa"/>
            <w:vAlign w:val="bottom"/>
            <w:gridSpan w:val="2"/>
          </w:tcPr>
          <w:p>
            <w:pPr>
              <w:jc w:val="center"/>
              <w:ind w:right="280"/>
              <w:spacing w:after="0" w:line="133"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80"/>
              <w:spacing w:after="0" w:line="133" w:lineRule="exact"/>
              <w:rPr>
                <w:sz w:val="20"/>
                <w:szCs w:val="20"/>
                <w:color w:val="auto"/>
              </w:rPr>
            </w:pPr>
            <w:r>
              <w:rPr>
                <w:rFonts w:ascii="Times New Roman" w:cs="Times New Roman" w:eastAsia="Times New Roman" w:hAnsi="Times New Roman"/>
                <w:sz w:val="14"/>
                <w:szCs w:val="14"/>
                <w:b w:val="1"/>
                <w:bCs w:val="1"/>
                <w:color w:val="auto"/>
                <w:w w:val="98"/>
              </w:rPr>
              <w:t>Identical</w:t>
            </w:r>
          </w:p>
        </w:tc>
        <w:tc>
          <w:tcPr>
            <w:tcW w:w="160" w:type="dxa"/>
            <w:vAlign w:val="bottom"/>
          </w:tcPr>
          <w:p>
            <w:pPr>
              <w:spacing w:after="0"/>
              <w:rPr>
                <w:sz w:val="11"/>
                <w:szCs w:val="11"/>
                <w:color w:val="auto"/>
              </w:rPr>
            </w:pPr>
          </w:p>
        </w:tc>
        <w:tc>
          <w:tcPr>
            <w:tcW w:w="1120" w:type="dxa"/>
            <w:vAlign w:val="bottom"/>
            <w:gridSpan w:val="2"/>
          </w:tcPr>
          <w:p>
            <w:pPr>
              <w:jc w:val="center"/>
              <w:ind w:right="280"/>
              <w:spacing w:after="0" w:line="133" w:lineRule="exact"/>
              <w:rPr>
                <w:sz w:val="20"/>
                <w:szCs w:val="20"/>
                <w:color w:val="auto"/>
              </w:rPr>
            </w:pPr>
            <w:r>
              <w:rPr>
                <w:rFonts w:ascii="Times New Roman" w:cs="Times New Roman" w:eastAsia="Times New Roman" w:hAnsi="Times New Roman"/>
                <w:sz w:val="14"/>
                <w:szCs w:val="14"/>
                <w:b w:val="1"/>
                <w:bCs w:val="1"/>
                <w:color w:val="auto"/>
                <w:w w:val="99"/>
              </w:rPr>
              <w:t>Observable</w:t>
            </w:r>
          </w:p>
        </w:tc>
        <w:tc>
          <w:tcPr>
            <w:tcW w:w="16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180" w:type="dxa"/>
            <w:vAlign w:val="bottom"/>
          </w:tcPr>
          <w:p>
            <w:pPr>
              <w:spacing w:after="0"/>
              <w:rPr>
                <w:sz w:val="12"/>
                <w:szCs w:val="12"/>
                <w:color w:val="auto"/>
              </w:rPr>
            </w:pPr>
          </w:p>
        </w:tc>
        <w:tc>
          <w:tcPr>
            <w:tcW w:w="110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4"/>
                <w:szCs w:val="14"/>
                <w:b w:val="1"/>
                <w:bCs w:val="1"/>
                <w:color w:val="auto"/>
                <w:w w:val="98"/>
              </w:rPr>
              <w:t>Estimated</w:t>
            </w: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w w:val="96"/>
              </w:rPr>
              <w:t>Assets</w:t>
            </w: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1000" w:type="dxa"/>
            <w:vAlign w:val="bottom"/>
          </w:tcPr>
          <w:p>
            <w:pPr>
              <w:jc w:val="right"/>
              <w:ind w:right="196"/>
              <w:spacing w:after="0" w:line="147"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4"/>
        </w:trPr>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6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6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2"/>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Time deposits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26"/>
        </w:trPr>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768,586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768,586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517,464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517,464</w:t>
            </w:r>
          </w:p>
        </w:tc>
        <w:tc>
          <w:tcPr>
            <w:tcW w:w="0" w:type="dxa"/>
            <w:vAlign w:val="bottom"/>
          </w:tcPr>
          <w:p>
            <w:pPr>
              <w:spacing w:after="0"/>
              <w:rPr>
                <w:sz w:val="1"/>
                <w:szCs w:val="1"/>
                <w:color w:val="auto"/>
              </w:rPr>
            </w:pPr>
          </w:p>
        </w:tc>
      </w:tr>
      <w:tr>
        <w:trPr>
          <w:trHeight w:val="22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17,356</w:t>
            </w:r>
          </w:p>
        </w:tc>
        <w:tc>
          <w:tcPr>
            <w:tcW w:w="0" w:type="dxa"/>
            <w:vAlign w:val="bottom"/>
          </w:tcPr>
          <w:p>
            <w:pPr>
              <w:spacing w:after="0"/>
              <w:rPr>
                <w:sz w:val="1"/>
                <w:szCs w:val="1"/>
                <w:color w:val="auto"/>
              </w:rPr>
            </w:pPr>
          </w:p>
        </w:tc>
      </w:tr>
      <w:tr>
        <w:trPr>
          <w:trHeight w:val="245"/>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768,586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441,819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1,210,405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517,464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564,820</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7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contracts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right="40" w:firstLine="439"/>
        <w:spacing w:after="0" w:line="254" w:lineRule="auto"/>
        <w:rPr>
          <w:sz w:val="20"/>
          <w:szCs w:val="20"/>
          <w:color w:val="auto"/>
        </w:rPr>
      </w:pPr>
      <w:r>
        <w:rPr>
          <w:rFonts w:ascii="Times New Roman" w:cs="Times New Roman" w:eastAsia="Times New Roman" w:hAnsi="Times New Roman"/>
          <w:sz w:val="18"/>
          <w:szCs w:val="18"/>
          <w:color w:val="auto"/>
        </w:rPr>
        <w:t>As of December 31, 2023 and 2022, our available-for-sale securities included money market funds and time deposits and their carrying values were approximately equal to their fair values. Money market funds were measured using quoted prices in active markets, which represent Level 1 inputs and time deposits were measured at fair value using Level 2 inputs. Level 2 inputs are obtained from various third party data providers and represent quoted prices for similar assets in active markets, or these inputs were derived from observable market data, or if not directly observable, were derived from or corroborated by other observable market data.</w:t>
      </w:r>
    </w:p>
    <w:p>
      <w:pPr>
        <w:spacing w:after="0" w:line="76" w:lineRule="exact"/>
        <w:rPr>
          <w:sz w:val="20"/>
          <w:szCs w:val="20"/>
          <w:color w:val="auto"/>
        </w:rPr>
      </w:pPr>
    </w:p>
    <w:p>
      <w:pPr>
        <w:jc w:val="both"/>
        <w:ind w:right="20" w:firstLine="439"/>
        <w:spacing w:after="0" w:line="261" w:lineRule="auto"/>
        <w:rPr>
          <w:sz w:val="20"/>
          <w:szCs w:val="20"/>
          <w:color w:val="auto"/>
        </w:rPr>
      </w:pPr>
      <w:r>
        <w:rPr>
          <w:rFonts w:ascii="Times New Roman" w:cs="Times New Roman" w:eastAsia="Times New Roman" w:hAnsi="Times New Roman"/>
          <w:sz w:val="18"/>
          <w:szCs w:val="18"/>
          <w:color w:val="auto"/>
        </w:rPr>
        <w:t>Our derivative assets and liabilities include interest rate and foreign exchange derivatives that are measured at fair value using observable market inputs such as forward rates, interest rates, our own credit risk as well as an evaluation of our counterparties’ credit risks. Based on these inputs, the derivative assets and liabilities are classified within Level 2 of the fair value hierarchy.</w:t>
      </w:r>
    </w:p>
    <w:p>
      <w:pPr>
        <w:spacing w:after="0" w:line="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were no transfers between the different levels of the fair value hierarchy in 2023 or in 2022.</w:t>
      </w:r>
    </w:p>
    <w:p>
      <w:pPr>
        <w:spacing w:after="0" w:line="112" w:lineRule="exact"/>
        <w:rPr>
          <w:sz w:val="20"/>
          <w:szCs w:val="20"/>
          <w:color w:val="auto"/>
        </w:rPr>
      </w:pPr>
    </w:p>
    <w:p>
      <w:pPr>
        <w:ind w:right="120" w:firstLine="439"/>
        <w:spacing w:after="0" w:line="261" w:lineRule="auto"/>
        <w:rPr>
          <w:sz w:val="20"/>
          <w:szCs w:val="20"/>
          <w:color w:val="auto"/>
        </w:rPr>
      </w:pPr>
      <w:r>
        <w:rPr>
          <w:rFonts w:ascii="Times New Roman" w:cs="Times New Roman" w:eastAsia="Times New Roman" w:hAnsi="Times New Roman"/>
          <w:sz w:val="18"/>
          <w:szCs w:val="18"/>
          <w:color w:val="auto"/>
        </w:rPr>
        <w:t>As of December 31, 2023 and 2022, the carrying amount of investments measured using the measurement alternative for equity investments without a readily determinable fair value was $4.7 million and $5.5 million, respectively. The carrying amount, which is recorded within other non-current assets, is based on the latest observable transaction price.</w:t>
      </w:r>
    </w:p>
    <w:p>
      <w:pPr>
        <w:spacing w:after="0" w:line="70" w:lineRule="exact"/>
        <w:rPr>
          <w:sz w:val="20"/>
          <w:szCs w:val="20"/>
          <w:color w:val="auto"/>
        </w:rPr>
      </w:pPr>
    </w:p>
    <w:p>
      <w:pPr>
        <w:ind w:right="120" w:firstLine="439"/>
        <w:spacing w:after="0" w:line="256" w:lineRule="auto"/>
        <w:rPr>
          <w:sz w:val="20"/>
          <w:szCs w:val="20"/>
          <w:color w:val="auto"/>
        </w:rPr>
      </w:pPr>
      <w:r>
        <w:rPr>
          <w:rFonts w:ascii="Times New Roman" w:cs="Times New Roman" w:eastAsia="Times New Roman" w:hAnsi="Times New Roman"/>
          <w:sz w:val="18"/>
          <w:szCs w:val="18"/>
          <w:color w:val="auto"/>
        </w:rPr>
        <w:t>As of December 31, 2023, the estimated fair values of the 1.50% exchangeable senior notes due 2024, or 2024 Notes and the 2.00% exchangeable senior notes due 2026, or 2026 Notes, which we refer to collectively as the Exchangeable Senior Notes, were approximately $559.0 million and $1.0 billion, respectively. As of December 31, 2023, the estimated fair value of the Secured Notes and the Dollar Term Loan were approximately $1.4 billion and $2.7 billion, respectively. The fair values of each of these debt facilities was estimated using quoted market prices obtained from brokers (Level 2).</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Derivative Instruments and Hedging Activities</w:t>
      </w:r>
    </w:p>
    <w:p>
      <w:pPr>
        <w:spacing w:after="0" w:line="114" w:lineRule="exact"/>
        <w:rPr>
          <w:sz w:val="20"/>
          <w:szCs w:val="20"/>
          <w:color w:val="auto"/>
        </w:rPr>
      </w:pPr>
    </w:p>
    <w:p>
      <w:pPr>
        <w:ind w:right="180" w:firstLine="439"/>
        <w:spacing w:after="0" w:line="276" w:lineRule="auto"/>
        <w:rPr>
          <w:sz w:val="20"/>
          <w:szCs w:val="20"/>
          <w:color w:val="auto"/>
        </w:rPr>
      </w:pPr>
      <w:r>
        <w:rPr>
          <w:rFonts w:ascii="Times New Roman" w:cs="Times New Roman" w:eastAsia="Times New Roman" w:hAnsi="Times New Roman"/>
          <w:sz w:val="17"/>
          <w:szCs w:val="17"/>
          <w:color w:val="auto"/>
        </w:rPr>
        <w:t>We are exposed to certain risks arising from operating internationally, including fluctuations in foreign exchange rates primarily related to the translation of sterling and euro-denominated net monetary liabilities, including intercompany balances, held by subsidiaries with a U.S. dollar functional currency and fluctuations in interest rates on our outstanding term loan borrowings. We manage these exposures within specified guidelines through the use of derivatives. All of our derivative instruments are utilized for risk management purposes, and we do not use derivatives for speculative trading purposes.</w:t>
      </w:r>
    </w:p>
    <w:p>
      <w:pPr>
        <w:spacing w:after="0" w:line="59" w:lineRule="exact"/>
        <w:rPr>
          <w:sz w:val="20"/>
          <w:szCs w:val="20"/>
          <w:color w:val="auto"/>
        </w:rPr>
      </w:pPr>
    </w:p>
    <w:p>
      <w:pPr>
        <w:ind w:right="40" w:firstLine="439"/>
        <w:spacing w:after="0" w:line="261" w:lineRule="auto"/>
        <w:rPr>
          <w:sz w:val="20"/>
          <w:szCs w:val="20"/>
          <w:color w:val="auto"/>
        </w:rPr>
      </w:pPr>
      <w:r>
        <w:rPr>
          <w:rFonts w:ascii="Times New Roman" w:cs="Times New Roman" w:eastAsia="Times New Roman" w:hAnsi="Times New Roman"/>
          <w:sz w:val="18"/>
          <w:szCs w:val="18"/>
          <w:color w:val="auto"/>
        </w:rPr>
        <w:t>We enter into foreign exchange forward contracts, with durations of up to 12 months, designed to limit the exposure to fluctuations in foreign exchange rates related to the translation of certain non-U.S. dollar denominated liabilities, including intercompany balances. Hedge accounting is not applied to these derivative instruments as gains and losses on these hedge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74" w:lineRule="exact"/>
        <w:rPr>
          <w:sz w:val="20"/>
          <w:szCs w:val="20"/>
          <w:color w:val="auto"/>
        </w:rPr>
      </w:pPr>
    </w:p>
    <w:p>
      <w:pPr>
        <w:ind w:right="540"/>
        <w:spacing w:after="0" w:line="276" w:lineRule="auto"/>
        <w:rPr>
          <w:sz w:val="20"/>
          <w:szCs w:val="20"/>
          <w:color w:val="auto"/>
        </w:rPr>
      </w:pPr>
      <w:r>
        <w:rPr>
          <w:rFonts w:ascii="Times New Roman" w:cs="Times New Roman" w:eastAsia="Times New Roman" w:hAnsi="Times New Roman"/>
          <w:sz w:val="18"/>
          <w:szCs w:val="18"/>
          <w:color w:val="auto"/>
        </w:rPr>
        <w:t>transactions are designed to offset gains and losses on underlying balance sheet exposures. As of December 31, 2023 and 2022, the notional amount of foreign exchange contracts where hedge accounting was not applied was $511.7 million and $505.0 million, respectively.</w:t>
      </w:r>
    </w:p>
    <w:p>
      <w:pPr>
        <w:spacing w:after="0" w:line="70" w:lineRule="exact"/>
        <w:rPr>
          <w:sz w:val="20"/>
          <w:szCs w:val="20"/>
          <w:color w:val="auto"/>
        </w:rPr>
      </w:pPr>
    </w:p>
    <w:p>
      <w:pPr>
        <w:ind w:right="580" w:firstLine="399"/>
        <w:spacing w:after="0" w:line="276" w:lineRule="auto"/>
        <w:rPr>
          <w:sz w:val="20"/>
          <w:szCs w:val="20"/>
          <w:color w:val="auto"/>
        </w:rPr>
      </w:pPr>
      <w:r>
        <w:rPr>
          <w:rFonts w:ascii="Times New Roman" w:cs="Times New Roman" w:eastAsia="Times New Roman" w:hAnsi="Times New Roman"/>
          <w:sz w:val="18"/>
          <w:szCs w:val="18"/>
          <w:color w:val="auto"/>
        </w:rPr>
        <w:t>The foreign exchange gain (loss) in our consolidated statements of income (loss) included the following gains and losses associated with foreign exchange contracts not designated as hedging instruments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Foreign Exchange Forward Contracts:</w:t>
            </w: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40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51"/>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(loss) recognized in foreign exchange gain (loss)</w:t>
            </w:r>
          </w:p>
        </w:tc>
        <w:tc>
          <w:tcPr>
            <w:tcW w:w="940" w:type="dxa"/>
            <w:vAlign w:val="bottom"/>
            <w:tcBorders>
              <w:bottom w:val="single" w:sz="8" w:color="auto"/>
            </w:tcBorders>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(58,755)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(19,585)</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firstLine="439"/>
        <w:spacing w:after="0" w:line="256" w:lineRule="auto"/>
        <w:rPr>
          <w:sz w:val="20"/>
          <w:szCs w:val="20"/>
          <w:color w:val="auto"/>
        </w:rPr>
      </w:pPr>
      <w:r>
        <w:rPr>
          <w:rFonts w:ascii="Times New Roman" w:cs="Times New Roman" w:eastAsia="Times New Roman" w:hAnsi="Times New Roman"/>
          <w:sz w:val="18"/>
          <w:szCs w:val="18"/>
          <w:color w:val="auto"/>
        </w:rPr>
        <w:t>To achieve a desired mix of floating and fixed interest rates on our variable rate debt, we entered into interest rate swap agreements in April 2023 which are effective until April 2026. These agreements hedge contractual term loan interest rates. As of December 31, 2023, the interest rate swap agreements had a notional amount of $500.0 million. As a result of these agreements, the interest rate on a portion of our term loan borrowings is fixed at 3.9086%, plus the borrowing spread, until April 30, 2026.</w:t>
      </w:r>
    </w:p>
    <w:p>
      <w:pPr>
        <w:spacing w:after="0" w:line="75" w:lineRule="exact"/>
        <w:rPr>
          <w:sz w:val="20"/>
          <w:szCs w:val="20"/>
          <w:color w:val="auto"/>
        </w:rPr>
      </w:pPr>
    </w:p>
    <w:p>
      <w:pPr>
        <w:jc w:val="both"/>
        <w:ind w:right="300" w:firstLine="439"/>
        <w:spacing w:after="0" w:line="306" w:lineRule="auto"/>
        <w:rPr>
          <w:sz w:val="20"/>
          <w:szCs w:val="20"/>
          <w:color w:val="auto"/>
        </w:rPr>
      </w:pPr>
      <w:r>
        <w:rPr>
          <w:rFonts w:ascii="Times New Roman" w:cs="Times New Roman" w:eastAsia="Times New Roman" w:hAnsi="Times New Roman"/>
          <w:sz w:val="17"/>
          <w:szCs w:val="17"/>
          <w:color w:val="auto"/>
        </w:rPr>
        <w:t>Our previous interest rate swap was entered into in March 2017. In May 2021, we repaid the term loan to which these interest rate swap agreements related, at which point the interest rate swap contracts were de-designated as cash flow hedges. These interest rate swap agreements matured in July 2021.</w:t>
      </w:r>
    </w:p>
    <w:p>
      <w:pPr>
        <w:spacing w:after="0" w:line="34" w:lineRule="exact"/>
        <w:rPr>
          <w:sz w:val="20"/>
          <w:szCs w:val="20"/>
          <w:color w:val="auto"/>
        </w:rPr>
      </w:pPr>
    </w:p>
    <w:p>
      <w:pPr>
        <w:ind w:right="380" w:firstLine="439"/>
        <w:spacing w:after="0" w:line="276" w:lineRule="auto"/>
        <w:rPr>
          <w:sz w:val="20"/>
          <w:szCs w:val="20"/>
          <w:color w:val="auto"/>
        </w:rPr>
      </w:pPr>
      <w:r>
        <w:rPr>
          <w:rFonts w:ascii="Times New Roman" w:cs="Times New Roman" w:eastAsia="Times New Roman" w:hAnsi="Times New Roman"/>
          <w:sz w:val="18"/>
          <w:szCs w:val="18"/>
          <w:color w:val="auto"/>
        </w:rPr>
        <w:t>The impact on accumulated other comprehensive income (loss) and earnings from derivative instruments that qualified as cash flow hedges was as follows (in thousands):</w:t>
      </w:r>
    </w:p>
    <w:p>
      <w:pPr>
        <w:spacing w:after="0" w:line="9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100" w:type="dxa"/>
            <w:vAlign w:val="bottom"/>
            <w:gridSpan w:val="5"/>
          </w:tcPr>
          <w:p>
            <w:pPr>
              <w:jc w:val="center"/>
              <w:ind w:right="291"/>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Interest Rate Contracts: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38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recognized in accumulated other comprehensive income (loss), net of tax</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81"/>
        </w:trPr>
        <w:tc>
          <w:tcPr>
            <w:tcW w:w="63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(Gain) loss reclassified from accumulated other comprehensive income (loss) to interest</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expense, net of tax</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Assuming no change in the U.S dollar Secured Overnight Financing Rate, or Term SOFR based interest rates from market rates as of</w:t>
      </w:r>
    </w:p>
    <w:p>
      <w:pPr>
        <w:spacing w:after="0" w:line="25"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December 31, 2023, $2.8 million of gains, net of tax, recognized in accumulated other comprehensive income (loss) will be reclassified to earnings over the next 12 months.</w:t>
      </w:r>
    </w:p>
    <w:p>
      <w:pPr>
        <w:spacing w:after="0" w:line="104" w:lineRule="exact"/>
        <w:rPr>
          <w:sz w:val="20"/>
          <w:szCs w:val="20"/>
          <w:color w:val="auto"/>
        </w:rPr>
      </w:pPr>
    </w:p>
    <w:p>
      <w:pPr>
        <w:ind w:right="280" w:firstLine="439"/>
        <w:spacing w:after="0" w:line="254" w:lineRule="auto"/>
        <w:rPr>
          <w:sz w:val="20"/>
          <w:szCs w:val="20"/>
          <w:color w:val="auto"/>
        </w:rPr>
      </w:pPr>
      <w:r>
        <w:rPr>
          <w:rFonts w:ascii="Times New Roman" w:cs="Times New Roman" w:eastAsia="Times New Roman" w:hAnsi="Times New Roman"/>
          <w:sz w:val="18"/>
          <w:szCs w:val="18"/>
          <w:color w:val="auto"/>
        </w:rPr>
        <w:t>In order to hedge our exposure to foreign currency exchange risk associated with our Euro Term Loan, we entered into a cross-currency interest rate swap contract in May 2021, which matured in March 2022, and was de-designated as a fair value hedge. The terms of this contract converted the principal repayments and interest payments on the Euro Term Loan into U.S. dollars. The carrying amount of the Euro Term Loan and the fair value of the cross-currency interest rate swap contract were remeasured on a monthly basis, with changes in the euro to U.S. dollar foreign exchange rates recognized within foreign exchange gain (loss) in the consolidated statements of income (loss).</w:t>
      </w:r>
    </w:p>
    <w:p>
      <w:pPr>
        <w:spacing w:after="0" w:line="89" w:lineRule="exact"/>
        <w:rPr>
          <w:sz w:val="20"/>
          <w:szCs w:val="20"/>
          <w:color w:val="auto"/>
        </w:rPr>
      </w:pPr>
    </w:p>
    <w:p>
      <w:pPr>
        <w:ind w:right="380" w:firstLine="439"/>
        <w:spacing w:after="0" w:line="276" w:lineRule="auto"/>
        <w:rPr>
          <w:sz w:val="20"/>
          <w:szCs w:val="20"/>
          <w:color w:val="auto"/>
        </w:rPr>
      </w:pPr>
      <w:r>
        <w:rPr>
          <w:rFonts w:ascii="Times New Roman" w:cs="Times New Roman" w:eastAsia="Times New Roman" w:hAnsi="Times New Roman"/>
          <w:sz w:val="18"/>
          <w:szCs w:val="18"/>
          <w:color w:val="auto"/>
        </w:rPr>
        <w:t>The impact on accumulated other comprehensive income (loss) and earnings from the cross-currency interest rate swap contract was as follows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80" w:type="dxa"/>
            <w:vAlign w:val="bottom"/>
            <w:gridSpan w:val="4"/>
          </w:tcPr>
          <w:p>
            <w:pPr>
              <w:jc w:val="right"/>
              <w:ind w:right="81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5"/>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Cross-Currency Interest Rate Contract:</w:t>
            </w: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86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recognized in accumulated other comprehensive income (loss), net of tax</w:t>
            </w: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26"/>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reclassified from accumulated other comprehensive income (loss) to foreign exchange loss, net of tax</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recognized in foreign exchange loss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35,885</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300" w:firstLine="439"/>
        <w:spacing w:after="0" w:line="276" w:lineRule="auto"/>
        <w:rPr>
          <w:sz w:val="20"/>
          <w:szCs w:val="20"/>
          <w:color w:val="auto"/>
        </w:rPr>
      </w:pPr>
      <w:r>
        <w:rPr>
          <w:rFonts w:ascii="Times New Roman" w:cs="Times New Roman" w:eastAsia="Times New Roman" w:hAnsi="Times New Roman"/>
          <w:sz w:val="18"/>
          <w:szCs w:val="18"/>
          <w:color w:val="auto"/>
        </w:rPr>
        <w:t>The cash flow effects of our derivative contracts are included within net cash provided by operating activities in the consolidated statements of cash flows, except for the settlement of notional amounts of the cross-currency swap, which were included in net cash used in financing activities.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tables summarize the fair value of outstanding derivatives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80" w:type="dxa"/>
            <w:vAlign w:val="bottom"/>
            <w:gridSpan w:val="7"/>
          </w:tcPr>
          <w:p>
            <w:pPr>
              <w:ind w:left="7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186"/>
        </w:trPr>
        <w:tc>
          <w:tcPr>
            <w:tcW w:w="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jc w:val="right"/>
              <w:ind w:right="958"/>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6"/>
          </w:tcPr>
          <w:p>
            <w:pPr>
              <w:jc w:val="right"/>
              <w:ind w:right="876"/>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20" w:type="dxa"/>
            <w:vAlign w:val="bottom"/>
          </w:tcPr>
          <w:p>
            <w:pPr>
              <w:spacing w:after="0"/>
              <w:rPr>
                <w:sz w:val="16"/>
                <w:szCs w:val="16"/>
                <w:color w:val="auto"/>
              </w:rPr>
            </w:pPr>
          </w:p>
        </w:tc>
      </w:tr>
      <w:tr>
        <w:trPr>
          <w:trHeight w:val="193"/>
        </w:trPr>
        <w:tc>
          <w:tcPr>
            <w:tcW w:w="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6"/>
                <w:szCs w:val="16"/>
                <w:color w:val="auto"/>
              </w:rPr>
            </w:pPr>
          </w:p>
        </w:tc>
      </w:tr>
      <w:tr>
        <w:trPr>
          <w:trHeight w:val="213"/>
        </w:trPr>
        <w:tc>
          <w:tcPr>
            <w:tcW w:w="47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6"/>
        </w:trPr>
        <w:tc>
          <w:tcPr>
            <w:tcW w:w="40" w:type="dxa"/>
            <w:vAlign w:val="bottom"/>
          </w:tcPr>
          <w:p>
            <w:pPr>
              <w:spacing w:after="0"/>
              <w:rPr>
                <w:sz w:val="19"/>
                <w:szCs w:val="19"/>
                <w:color w:val="auto"/>
              </w:rPr>
            </w:pPr>
          </w:p>
        </w:tc>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rate contracts</w:t>
            </w:r>
          </w:p>
        </w:tc>
        <w:tc>
          <w:tcPr>
            <w:tcW w:w="40" w:type="dxa"/>
            <w:vAlign w:val="bottom"/>
          </w:tcPr>
          <w:p>
            <w:pPr>
              <w:spacing w:after="0"/>
              <w:rPr>
                <w:sz w:val="19"/>
                <w:szCs w:val="19"/>
                <w:color w:val="auto"/>
              </w:rPr>
            </w:pPr>
          </w:p>
        </w:tc>
        <w:tc>
          <w:tcPr>
            <w:tcW w:w="15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7"/>
              </w:rPr>
              <w:t>Other current assets</w:t>
            </w:r>
          </w:p>
        </w:tc>
        <w:tc>
          <w:tcPr>
            <w:tcW w:w="30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Accrued liabilities</w:t>
            </w:r>
          </w:p>
        </w:tc>
        <w:tc>
          <w:tcPr>
            <w:tcW w:w="28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173"/>
        </w:trPr>
        <w:tc>
          <w:tcPr>
            <w:tcW w:w="40" w:type="dxa"/>
            <w:vAlign w:val="bottom"/>
            <w:shd w:val="clear" w:color="auto" w:fill="CCEEFF"/>
          </w:tcPr>
          <w:p>
            <w:pPr>
              <w:spacing w:after="0"/>
              <w:rPr>
                <w:sz w:val="15"/>
                <w:szCs w:val="15"/>
                <w:color w:val="auto"/>
              </w:rPr>
            </w:pPr>
          </w:p>
        </w:tc>
        <w:tc>
          <w:tcPr>
            <w:tcW w:w="4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580" w:type="dxa"/>
            <w:vAlign w:val="bottom"/>
            <w:gridSpan w:val="3"/>
            <w:shd w:val="clear" w:color="auto" w:fill="CCEEFF"/>
          </w:tcPr>
          <w:p>
            <w:pPr>
              <w:jc w:val="center"/>
              <w:ind w:right="140"/>
              <w:spacing w:after="0" w:line="173" w:lineRule="exact"/>
              <w:rPr>
                <w:sz w:val="20"/>
                <w:szCs w:val="20"/>
                <w:color w:val="auto"/>
              </w:rPr>
            </w:pPr>
            <w:r>
              <w:rPr>
                <w:rFonts w:ascii="Times New Roman" w:cs="Times New Roman" w:eastAsia="Times New Roman" w:hAnsi="Times New Roman"/>
                <w:sz w:val="18"/>
                <w:szCs w:val="18"/>
                <w:color w:val="auto"/>
                <w:w w:val="98"/>
              </w:rPr>
              <w:t>Other non-current</w:t>
            </w: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jc w:val="center"/>
              <w:ind w:right="140"/>
              <w:spacing w:after="0" w:line="173" w:lineRule="exact"/>
              <w:rPr>
                <w:sz w:val="20"/>
                <w:szCs w:val="20"/>
                <w:color w:val="auto"/>
              </w:rPr>
            </w:pPr>
            <w:r>
              <w:rPr>
                <w:rFonts w:ascii="Times New Roman" w:cs="Times New Roman" w:eastAsia="Times New Roman" w:hAnsi="Times New Roman"/>
                <w:sz w:val="18"/>
                <w:szCs w:val="18"/>
                <w:color w:val="auto"/>
                <w:w w:val="98"/>
              </w:rPr>
              <w:t>Other non-current</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40"/>
        </w:trPr>
        <w:tc>
          <w:tcPr>
            <w:tcW w:w="40" w:type="dxa"/>
            <w:vAlign w:val="bottom"/>
            <w:shd w:val="clear" w:color="auto" w:fill="CCEEFF"/>
          </w:tcPr>
          <w:p>
            <w:pPr>
              <w:spacing w:after="0"/>
              <w:rPr>
                <w:sz w:val="20"/>
                <w:szCs w:val="20"/>
                <w:color w:val="auto"/>
              </w:rPr>
            </w:pPr>
          </w:p>
        </w:tc>
        <w:tc>
          <w:tcPr>
            <w:tcW w:w="47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58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assets</w:t>
            </w: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2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8"/>
              </w:rPr>
              <w:t>liabilities</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20" w:type="dxa"/>
            <w:vAlign w:val="bottom"/>
          </w:tcPr>
          <w:p>
            <w:pPr>
              <w:spacing w:after="0"/>
              <w:rPr>
                <w:sz w:val="20"/>
                <w:szCs w:val="20"/>
                <w:color w:val="auto"/>
              </w:rPr>
            </w:pPr>
          </w:p>
        </w:tc>
      </w:tr>
      <w:tr>
        <w:trPr>
          <w:trHeight w:val="226"/>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6"/>
        </w:trPr>
        <w:tc>
          <w:tcPr>
            <w:tcW w:w="40" w:type="dxa"/>
            <w:vAlign w:val="bottom"/>
            <w:shd w:val="clear" w:color="auto" w:fill="CCEEFF"/>
          </w:tcPr>
          <w:p>
            <w:pPr>
              <w:spacing w:after="0"/>
              <w:rPr>
                <w:sz w:val="19"/>
                <w:szCs w:val="19"/>
                <w:color w:val="auto"/>
              </w:rPr>
            </w:pPr>
          </w:p>
        </w:tc>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4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7"/>
              </w:rPr>
              <w:t>Other current assets</w:t>
            </w: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96"/>
              </w:rPr>
              <w:t>18,035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Accrued liabilities</w:t>
            </w: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0" w:type="dxa"/>
            <w:vAlign w:val="bottom"/>
          </w:tcPr>
          <w:p>
            <w:pPr>
              <w:spacing w:after="0"/>
              <w:rPr>
                <w:sz w:val="19"/>
                <w:szCs w:val="19"/>
                <w:color w:val="auto"/>
              </w:rPr>
            </w:pPr>
          </w:p>
        </w:tc>
      </w:tr>
      <w:tr>
        <w:trPr>
          <w:trHeight w:val="220"/>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fair value of derivative instruments</w:t>
            </w:r>
          </w:p>
        </w:tc>
        <w:tc>
          <w:tcPr>
            <w:tcW w:w="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2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8"/>
        </w:trPr>
        <w:tc>
          <w:tcPr>
            <w:tcW w:w="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80" w:type="dxa"/>
            <w:vAlign w:val="bottom"/>
            <w:gridSpan w:val="7"/>
          </w:tcPr>
          <w:p>
            <w:pPr>
              <w:ind w:left="7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40" w:type="dxa"/>
            <w:vAlign w:val="bottom"/>
          </w:tcPr>
          <w:p>
            <w:pPr>
              <w:spacing w:after="0"/>
              <w:rPr>
                <w:sz w:val="2"/>
                <w:szCs w:val="2"/>
                <w:color w:val="auto"/>
              </w:rPr>
            </w:pPr>
          </w:p>
        </w:tc>
        <w:tc>
          <w:tcPr>
            <w:tcW w:w="3100" w:type="dxa"/>
            <w:vAlign w:val="bottom"/>
            <w:tcBorders>
              <w:bottom w:val="single" w:sz="8" w:color="auto"/>
            </w:tcBorders>
            <w:gridSpan w:val="6"/>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6"/>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6"/>
        </w:trPr>
        <w:tc>
          <w:tcPr>
            <w:tcW w:w="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100" w:type="dxa"/>
            <w:vAlign w:val="bottom"/>
            <w:tcBorders>
              <w:bottom w:val="single" w:sz="8" w:color="auto"/>
            </w:tcBorders>
            <w:gridSpan w:val="6"/>
          </w:tcPr>
          <w:p>
            <w:pPr>
              <w:jc w:val="right"/>
              <w:ind w:right="938"/>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40" w:type="dxa"/>
            <w:vAlign w:val="bottom"/>
            <w:tcBorders>
              <w:bottom w:val="single" w:sz="8" w:color="auto"/>
            </w:tcBorders>
            <w:gridSpan w:val="6"/>
          </w:tcPr>
          <w:p>
            <w:pPr>
              <w:jc w:val="right"/>
              <w:ind w:right="856"/>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20" w:type="dxa"/>
            <w:vAlign w:val="bottom"/>
            <w:tcBorders>
              <w:bottom w:val="single" w:sz="8" w:color="auto"/>
            </w:tcBorders>
          </w:tcPr>
          <w:p>
            <w:pPr>
              <w:spacing w:after="0"/>
              <w:rPr>
                <w:sz w:val="16"/>
                <w:szCs w:val="16"/>
                <w:color w:val="auto"/>
              </w:rPr>
            </w:pPr>
          </w:p>
        </w:tc>
      </w:tr>
      <w:tr>
        <w:trPr>
          <w:trHeight w:val="193"/>
        </w:trPr>
        <w:tc>
          <w:tcPr>
            <w:tcW w:w="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6"/>
                <w:szCs w:val="16"/>
                <w:color w:val="auto"/>
              </w:rPr>
            </w:pPr>
          </w:p>
        </w:tc>
      </w:tr>
      <w:tr>
        <w:trPr>
          <w:trHeight w:val="213"/>
        </w:trPr>
        <w:tc>
          <w:tcPr>
            <w:tcW w:w="4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r>
      <w:tr>
        <w:trPr>
          <w:trHeight w:val="226"/>
        </w:trPr>
        <w:tc>
          <w:tcPr>
            <w:tcW w:w="40" w:type="dxa"/>
            <w:vAlign w:val="bottom"/>
          </w:tcPr>
          <w:p>
            <w:pPr>
              <w:spacing w:after="0"/>
              <w:rPr>
                <w:sz w:val="19"/>
                <w:szCs w:val="19"/>
                <w:color w:val="auto"/>
              </w:rPr>
            </w:pPr>
          </w:p>
        </w:tc>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40" w:type="dxa"/>
            <w:vAlign w:val="bottom"/>
          </w:tcPr>
          <w:p>
            <w:pPr>
              <w:spacing w:after="0"/>
              <w:rPr>
                <w:sz w:val="19"/>
                <w:szCs w:val="19"/>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Accrued liabilities</w:t>
            </w:r>
          </w:p>
        </w:tc>
        <w:tc>
          <w:tcPr>
            <w:tcW w:w="28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45"/>
        </w:trPr>
        <w:tc>
          <w:tcPr>
            <w:tcW w:w="40" w:type="dxa"/>
            <w:vAlign w:val="bottom"/>
          </w:tcPr>
          <w:p>
            <w:pPr>
              <w:spacing w:after="0"/>
              <w:rPr>
                <w:sz w:val="20"/>
                <w:szCs w:val="20"/>
                <w:color w:val="auto"/>
              </w:rPr>
            </w:pPr>
          </w:p>
        </w:tc>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fair value of derivative instruments</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17,356</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50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firstLine="439"/>
        <w:spacing w:after="0" w:line="254" w:lineRule="auto"/>
        <w:rPr>
          <w:sz w:val="20"/>
          <w:szCs w:val="20"/>
          <w:color w:val="auto"/>
        </w:rPr>
      </w:pPr>
      <w:r>
        <w:rPr>
          <w:rFonts w:ascii="Times New Roman" w:cs="Times New Roman" w:eastAsia="Times New Roman" w:hAnsi="Times New Roman"/>
          <w:sz w:val="18"/>
          <w:szCs w:val="18"/>
          <w:color w:val="auto"/>
        </w:rPr>
        <w:t>Although we do not offset derivative assets and liabilities within our consolidated balance sheets, our International Swap and Derivatives Association agreements provide for net settlement of transactions that are due to or from the same counterparty upon early termination of the agreement due to an event of default or other termination event. These provisions were not applicable as of December 31, 2022 since all derivatives were in an asset position. The following table summarizes the potential effect on our consolidated balance sheets of offsetting our interest rate contracts and foreign exchange forward contracts subject to such provisions as of December 31, 2023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5"/>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64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381"/>
        </w:trPr>
        <w:tc>
          <w:tcPr>
            <w:tcW w:w="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Amounts of</w:t>
            </w:r>
          </w:p>
        </w:tc>
        <w:tc>
          <w:tcPr>
            <w:tcW w:w="3760" w:type="dxa"/>
            <w:vAlign w:val="bottom"/>
            <w:gridSpan w:val="10"/>
          </w:tcPr>
          <w:p>
            <w:pPr>
              <w:jc w:val="center"/>
              <w:spacing w:after="0"/>
              <w:rPr>
                <w:sz w:val="20"/>
                <w:szCs w:val="20"/>
                <w:color w:val="auto"/>
              </w:rPr>
            </w:pPr>
            <w:r>
              <w:rPr>
                <w:rFonts w:ascii="Times New Roman" w:cs="Times New Roman" w:eastAsia="Times New Roman" w:hAnsi="Times New Roman"/>
                <w:sz w:val="14"/>
                <w:szCs w:val="14"/>
                <w:b w:val="1"/>
                <w:bCs w:val="1"/>
                <w:color w:val="auto"/>
              </w:rPr>
              <w:t>Gross Amounts Not Offset in the Consolidated Balance Sheet</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2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00" w:type="dxa"/>
            <w:vAlign w:val="bottom"/>
            <w:gridSpan w:val="3"/>
          </w:tcPr>
          <w:p>
            <w:pPr>
              <w:jc w:val="center"/>
              <w:ind w:right="80"/>
              <w:spacing w:after="0" w:line="140" w:lineRule="exact"/>
              <w:rPr>
                <w:sz w:val="20"/>
                <w:szCs w:val="20"/>
                <w:color w:val="auto"/>
              </w:rPr>
            </w:pPr>
            <w:r>
              <w:rPr>
                <w:rFonts w:ascii="Times New Roman" w:cs="Times New Roman" w:eastAsia="Times New Roman" w:hAnsi="Times New Roman"/>
                <w:sz w:val="14"/>
                <w:szCs w:val="14"/>
                <w:b w:val="1"/>
                <w:bCs w:val="1"/>
                <w:color w:val="auto"/>
              </w:rPr>
              <w:t>Assets/ Liabilities</w:t>
            </w:r>
          </w:p>
        </w:tc>
        <w:tc>
          <w:tcPr>
            <w:tcW w:w="160" w:type="dxa"/>
            <w:vAlign w:val="bottom"/>
          </w:tcPr>
          <w:p>
            <w:pPr>
              <w:spacing w:after="0"/>
              <w:rPr>
                <w:sz w:val="12"/>
                <w:szCs w:val="12"/>
                <w:color w:val="auto"/>
              </w:rPr>
            </w:pPr>
          </w:p>
        </w:tc>
        <w:tc>
          <w:tcPr>
            <w:tcW w:w="1020" w:type="dxa"/>
            <w:vAlign w:val="bottom"/>
            <w:gridSpan w:val="2"/>
            <w:vMerge w:val="restart"/>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9"/>
              </w:rPr>
              <w:t>Derivative</w:t>
            </w:r>
          </w:p>
        </w:tc>
        <w:tc>
          <w:tcPr>
            <w:tcW w:w="120" w:type="dxa"/>
            <w:vAlign w:val="bottom"/>
          </w:tcPr>
          <w:p>
            <w:pPr>
              <w:spacing w:after="0"/>
              <w:rPr>
                <w:sz w:val="12"/>
                <w:szCs w:val="12"/>
                <w:color w:val="auto"/>
              </w:rPr>
            </w:pPr>
          </w:p>
        </w:tc>
        <w:tc>
          <w:tcPr>
            <w:tcW w:w="1440" w:type="dxa"/>
            <w:vAlign w:val="bottom"/>
            <w:gridSpan w:val="5"/>
            <w:vMerge w:val="restart"/>
          </w:tcPr>
          <w:p>
            <w:pPr>
              <w:jc w:val="center"/>
              <w:ind w:right="191"/>
              <w:spacing w:after="0"/>
              <w:rPr>
                <w:sz w:val="20"/>
                <w:szCs w:val="20"/>
                <w:color w:val="auto"/>
              </w:rPr>
            </w:pPr>
            <w:r>
              <w:rPr>
                <w:rFonts w:ascii="Times New Roman" w:cs="Times New Roman" w:eastAsia="Times New Roman" w:hAnsi="Times New Roman"/>
                <w:sz w:val="14"/>
                <w:szCs w:val="14"/>
                <w:b w:val="1"/>
                <w:bCs w:val="1"/>
                <w:color w:val="auto"/>
              </w:rPr>
              <w:t>Cash Collateral</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4"/>
                <w:szCs w:val="14"/>
                <w:b w:val="1"/>
                <w:bCs w:val="1"/>
                <w:color w:val="auto"/>
                <w:w w:val="99"/>
              </w:rPr>
              <w:t>Presented in the</w:t>
            </w:r>
          </w:p>
        </w:tc>
        <w:tc>
          <w:tcPr>
            <w:tcW w:w="16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5"/>
            <w:vMerge w:val="continue"/>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120" w:type="dxa"/>
            <w:vAlign w:val="bottom"/>
          </w:tcPr>
          <w:p>
            <w:pPr>
              <w:spacing w:after="0"/>
              <w:rPr>
                <w:sz w:val="12"/>
                <w:szCs w:val="12"/>
                <w:color w:val="auto"/>
              </w:rPr>
            </w:pPr>
          </w:p>
        </w:tc>
        <w:tc>
          <w:tcPr>
            <w:tcW w:w="116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60" w:type="dxa"/>
            <w:vAlign w:val="bottom"/>
          </w:tcPr>
          <w:p>
            <w:pPr>
              <w:spacing w:after="0"/>
              <w:rPr>
                <w:sz w:val="12"/>
                <w:szCs w:val="12"/>
                <w:color w:val="auto"/>
              </w:rPr>
            </w:pPr>
          </w:p>
        </w:tc>
        <w:tc>
          <w:tcPr>
            <w:tcW w:w="1020" w:type="dxa"/>
            <w:vAlign w:val="bottom"/>
            <w:gridSpan w:val="2"/>
          </w:tcPr>
          <w:p>
            <w:pPr>
              <w:jc w:val="center"/>
              <w:ind w:right="71"/>
              <w:spacing w:after="0" w:line="147"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120" w:type="dxa"/>
            <w:vAlign w:val="bottom"/>
          </w:tcPr>
          <w:p>
            <w:pPr>
              <w:spacing w:after="0"/>
              <w:rPr>
                <w:sz w:val="12"/>
                <w:szCs w:val="12"/>
                <w:color w:val="auto"/>
              </w:rPr>
            </w:pPr>
          </w:p>
        </w:tc>
        <w:tc>
          <w:tcPr>
            <w:tcW w:w="920" w:type="dxa"/>
            <w:vAlign w:val="bottom"/>
            <w:gridSpan w:val="2"/>
          </w:tcPr>
          <w:p>
            <w:pPr>
              <w:jc w:val="center"/>
              <w:ind w:left="185"/>
              <w:spacing w:after="0" w:line="147" w:lineRule="exact"/>
              <w:rPr>
                <w:sz w:val="20"/>
                <w:szCs w:val="20"/>
                <w:color w:val="auto"/>
              </w:rPr>
            </w:pPr>
            <w:r>
              <w:rPr>
                <w:rFonts w:ascii="Times New Roman" w:cs="Times New Roman" w:eastAsia="Times New Roman" w:hAnsi="Times New Roman"/>
                <w:sz w:val="14"/>
                <w:szCs w:val="14"/>
                <w:b w:val="1"/>
                <w:bCs w:val="1"/>
                <w:color w:val="auto"/>
              </w:rPr>
              <w:t>Received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560" w:type="dxa"/>
            <w:vAlign w:val="bottom"/>
            <w:vMerge w:val="continue"/>
          </w:tcPr>
          <w:p>
            <w:pPr>
              <w:spacing w:after="0"/>
              <w:rPr>
                <w:sz w:val="16"/>
                <w:szCs w:val="16"/>
                <w:color w:val="auto"/>
              </w:rPr>
            </w:pP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Assets/ Liabilities</w:t>
            </w:r>
          </w:p>
        </w:tc>
        <w:tc>
          <w:tcPr>
            <w:tcW w:w="12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2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60" w:type="dxa"/>
            <w:vAlign w:val="bottom"/>
          </w:tcPr>
          <w:p>
            <w:pPr>
              <w:spacing w:after="0"/>
              <w:rPr>
                <w:sz w:val="16"/>
                <w:szCs w:val="16"/>
                <w:color w:val="auto"/>
              </w:rPr>
            </w:pPr>
          </w:p>
        </w:tc>
        <w:tc>
          <w:tcPr>
            <w:tcW w:w="1020" w:type="dxa"/>
            <w:vAlign w:val="bottom"/>
            <w:gridSpan w:val="2"/>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20" w:type="dxa"/>
            <w:vAlign w:val="bottom"/>
          </w:tcPr>
          <w:p>
            <w:pPr>
              <w:spacing w:after="0"/>
              <w:rPr>
                <w:sz w:val="16"/>
                <w:szCs w:val="16"/>
                <w:color w:val="auto"/>
              </w:rPr>
            </w:pPr>
          </w:p>
        </w:tc>
        <w:tc>
          <w:tcPr>
            <w:tcW w:w="920" w:type="dxa"/>
            <w:vAlign w:val="bottom"/>
            <w:gridSpan w:val="2"/>
          </w:tcPr>
          <w:p>
            <w:pPr>
              <w:jc w:val="center"/>
              <w:ind w:left="185"/>
              <w:spacing w:after="0"/>
              <w:rPr>
                <w:sz w:val="20"/>
                <w:szCs w:val="20"/>
                <w:color w:val="auto"/>
              </w:rPr>
            </w:pPr>
            <w:r>
              <w:rPr>
                <w:rFonts w:ascii="Times New Roman" w:cs="Times New Roman" w:eastAsia="Times New Roman" w:hAnsi="Times New Roman"/>
                <w:sz w:val="14"/>
                <w:szCs w:val="14"/>
                <w:b w:val="1"/>
                <w:bCs w:val="1"/>
                <w:color w:val="auto"/>
              </w:rPr>
              <w:t>(Pledged)</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21,819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21,819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45"/>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17,728</w:t>
            </w: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180" w:type="dxa"/>
            <w:vAlign w:val="bottom"/>
          </w:tcPr>
          <w:p>
            <w:pPr>
              <w:spacing w:after="0"/>
              <w:rPr>
                <w:sz w:val="20"/>
                <w:szCs w:val="20"/>
                <w:color w:val="auto"/>
              </w:rPr>
            </w:pPr>
          </w:p>
        </w:tc>
        <w:tc>
          <w:tcPr>
            <w:tcW w:w="1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(4,091)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8"/>
              </w:rPr>
              <w:t>(4,091)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61"/>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Inventories</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40" w:type="dxa"/>
            <w:vAlign w:val="bottom"/>
          </w:tcPr>
          <w:p>
            <w:pPr>
              <w:spacing w:after="0"/>
              <w:rPr>
                <w:sz w:val="24"/>
                <w:szCs w:val="24"/>
                <w:color w:val="auto"/>
              </w:rPr>
            </w:pPr>
          </w:p>
        </w:tc>
        <w:tc>
          <w:tcPr>
            <w:tcW w:w="484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Inventories consisted of the following (in thousands):</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5"/>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0" w:type="dxa"/>
            <w:vAlign w:val="bottom"/>
            <w:tcBorders>
              <w:bottom w:val="single" w:sz="8" w:color="CCEEFF"/>
            </w:tcBorders>
          </w:tcPr>
          <w:p>
            <w:pPr>
              <w:spacing w:after="0"/>
              <w:rPr>
                <w:sz w:val="16"/>
                <w:szCs w:val="16"/>
                <w:color w:val="auto"/>
              </w:rPr>
            </w:pPr>
          </w:p>
        </w:tc>
        <w:tc>
          <w:tcPr>
            <w:tcW w:w="356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54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6"/>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25,595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20,786</w:t>
            </w:r>
          </w:p>
        </w:tc>
        <w:tc>
          <w:tcPr>
            <w:tcW w:w="0" w:type="dxa"/>
            <w:vAlign w:val="bottom"/>
          </w:tcPr>
          <w:p>
            <w:pPr>
              <w:spacing w:after="0"/>
              <w:rPr>
                <w:sz w:val="1"/>
                <w:szCs w:val="1"/>
                <w:color w:val="auto"/>
              </w:rPr>
            </w:pPr>
          </w:p>
        </w:tc>
      </w:tr>
      <w:tr>
        <w:trPr>
          <w:trHeight w:val="226"/>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gridSpan w:val="2"/>
          </w:tcPr>
          <w:p>
            <w:pPr>
              <w:jc w:val="right"/>
              <w:ind w:right="5"/>
              <w:spacing w:after="0"/>
              <w:rPr>
                <w:sz w:val="20"/>
                <w:szCs w:val="20"/>
                <w:color w:val="auto"/>
              </w:rPr>
            </w:pPr>
            <w:r>
              <w:rPr>
                <w:rFonts w:ascii="Times New Roman" w:cs="Times New Roman" w:eastAsia="Times New Roman" w:hAnsi="Times New Roman"/>
                <w:sz w:val="18"/>
                <w:szCs w:val="18"/>
                <w:color w:val="auto"/>
              </w:rPr>
              <w:t>431,732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517,670</w:t>
            </w:r>
          </w:p>
        </w:tc>
        <w:tc>
          <w:tcPr>
            <w:tcW w:w="0" w:type="dxa"/>
            <w:vAlign w:val="bottom"/>
          </w:tcPr>
          <w:p>
            <w:pPr>
              <w:spacing w:after="0"/>
              <w:rPr>
                <w:sz w:val="1"/>
                <w:szCs w:val="1"/>
                <w:color w:val="auto"/>
              </w:rPr>
            </w:pPr>
          </w:p>
        </w:tc>
      </w:tr>
      <w:tr>
        <w:trPr>
          <w:trHeight w:val="226"/>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139,712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175,605</w:t>
            </w:r>
          </w:p>
        </w:tc>
        <w:tc>
          <w:tcPr>
            <w:tcW w:w="0" w:type="dxa"/>
            <w:vAlign w:val="bottom"/>
          </w:tcPr>
          <w:p>
            <w:pPr>
              <w:spacing w:after="0"/>
              <w:rPr>
                <w:sz w:val="1"/>
                <w:szCs w:val="1"/>
                <w:color w:val="auto"/>
              </w:rPr>
            </w:pPr>
          </w:p>
        </w:tc>
      </w:tr>
      <w:tr>
        <w:trPr>
          <w:trHeight w:val="220"/>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2"/>
          </w:tcPr>
          <w:p>
            <w:pPr>
              <w:jc w:val="right"/>
              <w:ind w:right="5"/>
              <w:spacing w:after="0"/>
              <w:rPr>
                <w:sz w:val="20"/>
                <w:szCs w:val="20"/>
                <w:color w:val="auto"/>
              </w:rPr>
            </w:pPr>
            <w:r>
              <w:rPr>
                <w:rFonts w:ascii="Times New Roman" w:cs="Times New Roman" w:eastAsia="Times New Roman" w:hAnsi="Times New Roman"/>
                <w:sz w:val="18"/>
                <w:szCs w:val="18"/>
                <w:color w:val="auto"/>
              </w:rPr>
              <w:t>597,039</w:t>
            </w:r>
          </w:p>
        </w:tc>
        <w:tc>
          <w:tcPr>
            <w:tcW w:w="100" w:type="dxa"/>
            <w:vAlign w:val="bottom"/>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714,061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right="60" w:firstLine="439"/>
        <w:spacing w:after="0" w:line="276" w:lineRule="auto"/>
        <w:rPr>
          <w:sz w:val="20"/>
          <w:szCs w:val="20"/>
          <w:color w:val="auto"/>
        </w:rPr>
      </w:pPr>
      <w:r>
        <w:rPr>
          <w:rFonts w:ascii="Times New Roman" w:cs="Times New Roman" w:eastAsia="Times New Roman" w:hAnsi="Times New Roman"/>
          <w:sz w:val="18"/>
          <w:szCs w:val="18"/>
          <w:color w:val="auto"/>
        </w:rPr>
        <w:t>As of December 31, 2023 and 2022, inventories included $328.0 million and $457.6 million, respectively, related to the purchase accounting inventory fair value step-up on inventory acquired in the GW Acquisition.</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Other Current Assets</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Other current assets consisted of the following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8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charge for income taxes on intercompany profit</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171,507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176,057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149,302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91,135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320,809</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gridSpan w:val="2"/>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267,192</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Property, Plant and Equipment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78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7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(in thousands):</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7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gridSpan w:val="5"/>
          </w:tcPr>
          <w:p>
            <w:pPr>
              <w:ind w:left="8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7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8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 equipment and machinery</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82,897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and buildings</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70,912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67,722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38,134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Construction-in-progress</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18,661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15,398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Subtotal</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302,997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9"/>
              </w:rPr>
              <w:t>(133,351)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169,646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right="420" w:firstLine="439"/>
        <w:spacing w:after="0" w:line="276" w:lineRule="auto"/>
        <w:rPr>
          <w:sz w:val="20"/>
          <w:szCs w:val="20"/>
          <w:color w:val="auto"/>
        </w:rPr>
      </w:pPr>
      <w:r>
        <w:rPr>
          <w:rFonts w:ascii="Times New Roman" w:cs="Times New Roman" w:eastAsia="Times New Roman" w:hAnsi="Times New Roman"/>
          <w:sz w:val="18"/>
          <w:szCs w:val="18"/>
          <w:color w:val="auto"/>
        </w:rPr>
        <w:t>Depreciation and amortization expense on property, plant and equipment amounted to $30.4 million, $30.3 million and $26.7 million for the years ended December 31, 2023, 2022 and 2021, respectively.</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Goodwill and Intangible Assets</w:t>
            </w: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19"/>
        </w:trPr>
        <w:tc>
          <w:tcPr>
            <w:tcW w:w="9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gross carrying amount of goodwill was as follows (in thousands):</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32"/>
        </w:trPr>
        <w:tc>
          <w:tcPr>
            <w:tcW w:w="9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226"/>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1,692,662</w:t>
            </w:r>
          </w:p>
        </w:tc>
      </w:tr>
      <w:tr>
        <w:trPr>
          <w:trHeight w:val="226"/>
        </w:trPr>
        <w:tc>
          <w:tcPr>
            <w:tcW w:w="9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60,468</w:t>
            </w:r>
          </w:p>
        </w:tc>
      </w:tr>
      <w:tr>
        <w:trPr>
          <w:trHeight w:val="245"/>
        </w:trPr>
        <w:tc>
          <w:tcPr>
            <w:tcW w:w="9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1,753,130</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gross carrying amounts and net book values of our intangible assets were as follows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34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340" w:type="dxa"/>
            <w:vAlign w:val="bottom"/>
          </w:tcPr>
          <w:p>
            <w:pPr>
              <w:spacing w:after="0"/>
              <w:rPr>
                <w:sz w:val="10"/>
                <w:szCs w:val="10"/>
                <w:color w:val="auto"/>
              </w:rPr>
            </w:pPr>
          </w:p>
        </w:tc>
        <w:tc>
          <w:tcPr>
            <w:tcW w:w="1360" w:type="dxa"/>
            <w:vAlign w:val="bottom"/>
            <w:gridSpan w:val="2"/>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40" w:type="dxa"/>
            <w:vAlign w:val="bottom"/>
          </w:tcPr>
          <w:p>
            <w:pPr>
              <w:spacing w:after="0"/>
              <w:rPr>
                <w:sz w:val="11"/>
                <w:szCs w:val="11"/>
                <w:color w:val="auto"/>
              </w:rPr>
            </w:pPr>
          </w:p>
        </w:tc>
        <w:tc>
          <w:tcPr>
            <w:tcW w:w="13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200" w:type="dxa"/>
            <w:vAlign w:val="bottom"/>
          </w:tcPr>
          <w:p>
            <w:pPr>
              <w:spacing w:after="0"/>
              <w:rPr>
                <w:sz w:val="11"/>
                <w:szCs w:val="11"/>
                <w:color w:val="auto"/>
              </w:rPr>
            </w:pPr>
          </w:p>
        </w:tc>
        <w:tc>
          <w:tcPr>
            <w:tcW w:w="10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340" w:type="dxa"/>
            <w:vAlign w:val="bottom"/>
          </w:tcPr>
          <w:p>
            <w:pPr>
              <w:spacing w:after="0"/>
              <w:rPr>
                <w:sz w:val="12"/>
                <w:szCs w:val="12"/>
                <w:color w:val="auto"/>
              </w:rPr>
            </w:pPr>
          </w:p>
        </w:tc>
        <w:tc>
          <w:tcPr>
            <w:tcW w:w="136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Average Useful</w:t>
            </w: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2"/>
                <w:szCs w:val="12"/>
                <w:color w:val="auto"/>
              </w:rPr>
            </w:pPr>
          </w:p>
        </w:tc>
        <w:tc>
          <w:tcPr>
            <w:tcW w:w="10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960" w:type="dxa"/>
            <w:vAlign w:val="bottom"/>
            <w:vMerge w:val="restart"/>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0" w:type="dxa"/>
            <w:vAlign w:val="bottom"/>
          </w:tcPr>
          <w:p>
            <w:pPr>
              <w:spacing w:after="0"/>
              <w:rPr>
                <w:sz w:val="1"/>
                <w:szCs w:val="1"/>
                <w:color w:val="auto"/>
              </w:rPr>
            </w:pPr>
          </w:p>
        </w:tc>
      </w:tr>
      <w:tr>
        <w:trPr>
          <w:trHeight w:val="146"/>
        </w:trPr>
        <w:tc>
          <w:tcPr>
            <w:tcW w:w="2340" w:type="dxa"/>
            <w:vAlign w:val="bottom"/>
          </w:tcPr>
          <w:p>
            <w:pPr>
              <w:spacing w:after="0"/>
              <w:rPr>
                <w:sz w:val="12"/>
                <w:szCs w:val="12"/>
                <w:color w:val="auto"/>
              </w:rPr>
            </w:pPr>
          </w:p>
        </w:tc>
        <w:tc>
          <w:tcPr>
            <w:tcW w:w="1360" w:type="dxa"/>
            <w:vAlign w:val="bottom"/>
            <w:gridSpan w:val="2"/>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200" w:type="dxa"/>
            <w:vAlign w:val="bottom"/>
          </w:tcPr>
          <w:p>
            <w:pPr>
              <w:spacing w:after="0"/>
              <w:rPr>
                <w:sz w:val="12"/>
                <w:szCs w:val="12"/>
                <w:color w:val="auto"/>
              </w:rPr>
            </w:pPr>
          </w:p>
        </w:tc>
        <w:tc>
          <w:tcPr>
            <w:tcW w:w="106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340" w:type="dxa"/>
            <w:vAlign w:val="bottom"/>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96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60"/>
        </w:trPr>
        <w:tc>
          <w:tcPr>
            <w:tcW w:w="2340" w:type="dxa"/>
            <w:vAlign w:val="bottom"/>
            <w:tcBorders>
              <w:top w:val="single" w:sz="8" w:color="CCEEFF"/>
            </w:tcBorders>
            <w:shd w:val="clear" w:color="auto" w:fill="CCEEFF"/>
          </w:tcPr>
          <w:p>
            <w:pPr>
              <w:ind w:left="20"/>
              <w:spacing w:after="0" w:line="160" w:lineRule="exact"/>
              <w:rPr>
                <w:sz w:val="20"/>
                <w:szCs w:val="20"/>
                <w:color w:val="auto"/>
              </w:rPr>
            </w:pPr>
            <w:r>
              <w:rPr>
                <w:rFonts w:ascii="Times New Roman" w:cs="Times New Roman" w:eastAsia="Times New Roman" w:hAnsi="Times New Roman"/>
                <w:sz w:val="18"/>
                <w:szCs w:val="18"/>
                <w:color w:val="auto"/>
              </w:rPr>
              <w:t>Acquired developed</w:t>
            </w:r>
          </w:p>
        </w:tc>
        <w:tc>
          <w:tcPr>
            <w:tcW w:w="12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technologies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8.8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7,785,495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(2,367,456)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5,418,039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7,491,994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(1,697,557)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5,794,437</w:t>
            </w:r>
          </w:p>
        </w:tc>
        <w:tc>
          <w:tcPr>
            <w:tcW w:w="0" w:type="dxa"/>
            <w:vAlign w:val="bottom"/>
          </w:tcPr>
          <w:p>
            <w:pPr>
              <w:spacing w:after="0"/>
              <w:rPr>
                <w:sz w:val="1"/>
                <w:szCs w:val="1"/>
                <w:color w:val="auto"/>
              </w:rPr>
            </w:pPr>
          </w:p>
        </w:tc>
      </w:tr>
      <w:tr>
        <w:trPr>
          <w:trHeight w:val="226"/>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Manufacturing contracts</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3"/>
        </w:trPr>
        <w:tc>
          <w:tcPr>
            <w:tcW w:w="2340" w:type="dxa"/>
            <w:vAlign w:val="bottom"/>
          </w:tcPr>
          <w:p>
            <w:pPr>
              <w:ind w:left="20"/>
              <w:spacing w:after="0" w:line="153" w:lineRule="exact"/>
              <w:rPr>
                <w:sz w:val="20"/>
                <w:szCs w:val="20"/>
                <w:color w:val="auto"/>
              </w:rPr>
            </w:pPr>
            <w:r>
              <w:rPr>
                <w:rFonts w:ascii="Times New Roman" w:cs="Times New Roman" w:eastAsia="Times New Roman" w:hAnsi="Times New Roman"/>
                <w:sz w:val="17"/>
                <w:szCs w:val="17"/>
                <w:color w:val="auto"/>
              </w:rPr>
              <w:t>Total finite-lived intangible</w:t>
            </w: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7,800,209</w:t>
            </w:r>
          </w:p>
        </w:tc>
        <w:tc>
          <w:tcPr>
            <w:tcW w:w="10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(2,382,170)</w:t>
            </w:r>
          </w:p>
        </w:tc>
        <w:tc>
          <w:tcPr>
            <w:tcW w:w="100" w:type="dxa"/>
            <w:vAlign w:val="bottom"/>
          </w:tcPr>
          <w:p>
            <w:pPr>
              <w:spacing w:after="0"/>
              <w:rPr>
                <w:sz w:val="13"/>
                <w:szCs w:val="13"/>
                <w:color w:val="auto"/>
              </w:rPr>
            </w:pPr>
          </w:p>
        </w:tc>
        <w:tc>
          <w:tcPr>
            <w:tcW w:w="22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5,418,039</w:t>
            </w:r>
          </w:p>
        </w:tc>
        <w:tc>
          <w:tcPr>
            <w:tcW w:w="12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7,506,287</w:t>
            </w:r>
          </w:p>
        </w:tc>
        <w:tc>
          <w:tcPr>
            <w:tcW w:w="100" w:type="dxa"/>
            <w:vAlign w:val="bottom"/>
          </w:tcPr>
          <w:p>
            <w:pPr>
              <w:spacing w:after="0"/>
              <w:rPr>
                <w:sz w:val="13"/>
                <w:szCs w:val="13"/>
                <w:color w:val="auto"/>
              </w:rPr>
            </w:pPr>
          </w:p>
        </w:tc>
        <w:tc>
          <w:tcPr>
            <w:tcW w:w="1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(1,711,850)</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5,794,437</w:t>
            </w:r>
          </w:p>
        </w:tc>
        <w:tc>
          <w:tcPr>
            <w:tcW w:w="0" w:type="dxa"/>
            <w:vAlign w:val="bottom"/>
          </w:tcPr>
          <w:p>
            <w:pPr>
              <w:spacing w:after="0"/>
              <w:rPr>
                <w:sz w:val="1"/>
                <w:szCs w:val="1"/>
                <w:color w:val="auto"/>
              </w:rPr>
            </w:pPr>
          </w:p>
        </w:tc>
      </w:tr>
      <w:tr>
        <w:trPr>
          <w:trHeight w:val="218"/>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right="580" w:firstLine="439"/>
        <w:spacing w:after="0" w:line="276" w:lineRule="auto"/>
        <w:rPr>
          <w:sz w:val="20"/>
          <w:szCs w:val="20"/>
          <w:color w:val="auto"/>
        </w:rPr>
      </w:pPr>
      <w:r>
        <w:rPr>
          <w:rFonts w:ascii="Times New Roman" w:cs="Times New Roman" w:eastAsia="Times New Roman" w:hAnsi="Times New Roman"/>
          <w:sz w:val="18"/>
          <w:szCs w:val="18"/>
          <w:color w:val="auto"/>
        </w:rPr>
        <w:t>The increase in the gross carrying amount of intangible assets as of December 31, 2023 compared to December 31, 2022 primarily relates to the positive impact of foreign currency translation adjustments due to the strengthening of sterling against the U.S. dollar.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77470</wp:posOffset>
            </wp:positionV>
            <wp:extent cx="715962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74" w:lineRule="exact"/>
        <w:rPr>
          <w:sz w:val="20"/>
          <w:szCs w:val="20"/>
          <w:color w:val="auto"/>
        </w:rPr>
      </w:pPr>
    </w:p>
    <w:p>
      <w:pPr>
        <w:jc w:val="both"/>
        <w:ind w:right="20" w:firstLine="439"/>
        <w:spacing w:after="0" w:line="261" w:lineRule="auto"/>
        <w:rPr>
          <w:sz w:val="20"/>
          <w:szCs w:val="20"/>
          <w:color w:val="auto"/>
        </w:rPr>
      </w:pPr>
      <w:r>
        <w:rPr>
          <w:rFonts w:ascii="Times New Roman" w:cs="Times New Roman" w:eastAsia="Times New Roman" w:hAnsi="Times New Roman"/>
          <w:sz w:val="18"/>
          <w:szCs w:val="18"/>
          <w:color w:val="auto"/>
        </w:rPr>
        <w:t>The assumptions and estimates used to determine future cash flows and remaining useful lives of our intangible and other long-lived assets are complex and subjective. They can be affected by various factors, including external factors, such as industry and economic trends, and internal factors such as changes in our business strategy and our forecasts for specific product lines.</w:t>
      </w:r>
    </w:p>
    <w:p>
      <w:pPr>
        <w:spacing w:after="0" w:line="70" w:lineRule="exact"/>
        <w:rPr>
          <w:sz w:val="20"/>
          <w:szCs w:val="20"/>
          <w:color w:val="auto"/>
        </w:rPr>
      </w:pPr>
    </w:p>
    <w:p>
      <w:pPr>
        <w:ind w:right="80" w:firstLine="439"/>
        <w:spacing w:after="0" w:line="276" w:lineRule="auto"/>
        <w:rPr>
          <w:sz w:val="20"/>
          <w:szCs w:val="20"/>
          <w:color w:val="auto"/>
        </w:rPr>
      </w:pPr>
      <w:r>
        <w:rPr>
          <w:rFonts w:ascii="Times New Roman" w:cs="Times New Roman" w:eastAsia="Times New Roman" w:hAnsi="Times New Roman"/>
          <w:sz w:val="18"/>
          <w:szCs w:val="18"/>
          <w:color w:val="auto"/>
        </w:rPr>
        <w:t>Based on finite-lived intangible assets recorded as of December 31, 2023, and assuming the underlying assets will not be impaired and that we will not change the expected lives of any other assets, future amortization expenses were estimated as follows (in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Amortization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gridSpan w:val="2"/>
          </w:tcPr>
          <w:p>
            <w:pPr>
              <w:ind w:left="80"/>
              <w:spacing w:after="0" w:line="125" w:lineRule="exact"/>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620" w:type="dxa"/>
            <w:vAlign w:val="bottom"/>
            <w:tcBorders>
              <w:top w:val="single" w:sz="8" w:color="auto"/>
              <w:bottom w:val="single" w:sz="8" w:color="CCEEFF"/>
            </w:tcBorders>
          </w:tcPr>
          <w:p>
            <w:pPr>
              <w:spacing w:after="0"/>
              <w:rPr>
                <w:sz w:val="2"/>
                <w:szCs w:val="2"/>
                <w:color w:val="auto"/>
              </w:rPr>
            </w:pPr>
          </w:p>
        </w:tc>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6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624,651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6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624,651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6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624,651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624,651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6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623,319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2,296,116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5,418,039</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64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 Accrued Liabilities</w:t>
            </w: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0"/>
        </w:trPr>
        <w:tc>
          <w:tcPr>
            <w:tcW w:w="804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0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gridSpan w:val="4"/>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620" w:type="dxa"/>
            <w:vAlign w:val="bottom"/>
            <w:tcBorders>
              <w:bottom w:val="single" w:sz="8" w:color="CCEEFF"/>
            </w:tcBorders>
          </w:tcPr>
          <w:p>
            <w:pPr>
              <w:spacing w:after="0"/>
              <w:rPr>
                <w:sz w:val="16"/>
                <w:szCs w:val="16"/>
                <w:color w:val="auto"/>
              </w:rPr>
            </w:pPr>
          </w:p>
        </w:tc>
        <w:tc>
          <w:tcPr>
            <w:tcW w:w="64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Rebates and other sales deductions</w:t>
            </w: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325,711</w:t>
            </w:r>
          </w:p>
        </w:tc>
        <w:tc>
          <w:tcPr>
            <w:tcW w:w="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121,209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facilities expenses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55,455</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Clinical trial accruals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44,757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36,443</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royalties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return reserve</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20,435</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Consulting and professional services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19,447</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and marketing accruals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Inventory-related accruals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13,977</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collaboration expenses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construction-in-progress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instrument liabilities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75,513</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accrued liabilities</w:t>
            </w:r>
          </w:p>
        </w:tc>
        <w:tc>
          <w:tcPr>
            <w:tcW w:w="3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793,914</w:t>
            </w:r>
          </w:p>
        </w:tc>
        <w:tc>
          <w:tcPr>
            <w:tcW w:w="100" w:type="dxa"/>
            <w:vAlign w:val="bottom"/>
          </w:tcPr>
          <w:p>
            <w:pPr>
              <w:spacing w:after="0"/>
              <w:rPr>
                <w:sz w:val="19"/>
                <w:szCs w:val="19"/>
                <w:color w:val="auto"/>
              </w:rPr>
            </w:pPr>
          </w:p>
        </w:tc>
        <w:tc>
          <w:tcPr>
            <w:tcW w:w="460" w:type="dxa"/>
            <w:vAlign w:val="bottom"/>
            <w:tcBorders>
              <w:bottom w:val="single" w:sz="8" w:color="auto"/>
            </w:tcBorders>
            <w:gridSpan w:val="2"/>
          </w:tcPr>
          <w:p>
            <w:pPr>
              <w:jc w:val="right"/>
              <w:ind w:right="257"/>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803,255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Debt</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carrying amount of our indebtedness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60" w:type="dxa"/>
            <w:vAlign w:val="bottom"/>
            <w:gridSpan w:val="3"/>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Pr>
          <w:p>
            <w:pPr>
              <w:spacing w:after="0"/>
              <w:rPr>
                <w:sz w:val="16"/>
                <w:szCs w:val="16"/>
                <w:color w:val="auto"/>
              </w:rPr>
            </w:pPr>
          </w:p>
        </w:tc>
      </w:tr>
      <w:tr>
        <w:trPr>
          <w:trHeight w:val="25"/>
        </w:trPr>
        <w:tc>
          <w:tcPr>
            <w:tcW w:w="400" w:type="dxa"/>
            <w:vAlign w:val="bottom"/>
          </w:tcPr>
          <w:p>
            <w:pPr>
              <w:spacing w:after="0"/>
              <w:rPr>
                <w:sz w:val="2"/>
                <w:szCs w:val="2"/>
                <w:color w:val="auto"/>
              </w:rPr>
            </w:pPr>
          </w:p>
        </w:tc>
        <w:tc>
          <w:tcPr>
            <w:tcW w:w="76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6"/>
        </w:trPr>
        <w:tc>
          <w:tcPr>
            <w:tcW w:w="400" w:type="dxa"/>
            <w:vAlign w:val="bottom"/>
            <w:tcBorders>
              <w:bottom w:val="single" w:sz="8" w:color="CCEEFF"/>
            </w:tcBorders>
          </w:tcPr>
          <w:p>
            <w:pPr>
              <w:spacing w:after="0"/>
              <w:rPr>
                <w:sz w:val="16"/>
                <w:szCs w:val="16"/>
                <w:color w:val="auto"/>
              </w:rPr>
            </w:pPr>
          </w:p>
        </w:tc>
        <w:tc>
          <w:tcPr>
            <w:tcW w:w="76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6"/>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2024</w:t>
            </w:r>
          </w:p>
        </w:tc>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w:t>
            </w:r>
          </w:p>
        </w:tc>
      </w:tr>
      <w:tr>
        <w:trPr>
          <w:trHeight w:val="226"/>
        </w:trPr>
        <w:tc>
          <w:tcPr>
            <w:tcW w:w="8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Unamortized - debt issuance costs</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w:t>
            </w:r>
          </w:p>
        </w:tc>
      </w:tr>
      <w:tr>
        <w:trPr>
          <w:trHeight w:val="22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2024</w:t>
            </w:r>
          </w:p>
        </w:tc>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net</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573,954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572,262</w:t>
            </w:r>
          </w:p>
        </w:tc>
      </w:tr>
      <w:tr>
        <w:trPr>
          <w:trHeight w:val="246"/>
        </w:trPr>
        <w:tc>
          <w:tcPr>
            <w:tcW w:w="400" w:type="dxa"/>
            <w:vAlign w:val="bottom"/>
          </w:tcPr>
          <w:p>
            <w:pPr>
              <w:spacing w:after="0"/>
              <w:rPr>
                <w:sz w:val="21"/>
                <w:szCs w:val="21"/>
                <w:color w:val="auto"/>
              </w:rPr>
            </w:pPr>
          </w:p>
        </w:tc>
        <w:tc>
          <w:tcPr>
            <w:tcW w:w="7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26"/>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26"/>
        </w:trPr>
        <w:tc>
          <w:tcPr>
            <w:tcW w:w="8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Unamortized - debt issuance costs</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(8,932)</w:t>
            </w:r>
          </w:p>
        </w:tc>
      </w:tr>
      <w:tr>
        <w:trPr>
          <w:trHeight w:val="22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net</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993,600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991,068</w:t>
            </w:r>
          </w:p>
        </w:tc>
      </w:tr>
      <w:tr>
        <w:trPr>
          <w:trHeight w:val="246"/>
        </w:trPr>
        <w:tc>
          <w:tcPr>
            <w:tcW w:w="400" w:type="dxa"/>
            <w:vAlign w:val="bottom"/>
          </w:tcPr>
          <w:p>
            <w:pPr>
              <w:spacing w:after="0"/>
              <w:rPr>
                <w:sz w:val="21"/>
                <w:szCs w:val="21"/>
                <w:color w:val="auto"/>
              </w:rPr>
            </w:pPr>
          </w:p>
        </w:tc>
        <w:tc>
          <w:tcPr>
            <w:tcW w:w="7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26"/>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Notes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1,480,214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1,476,938</w:t>
            </w:r>
          </w:p>
        </w:tc>
      </w:tr>
      <w:tr>
        <w:trPr>
          <w:trHeight w:val="266"/>
        </w:trPr>
        <w:tc>
          <w:tcPr>
            <w:tcW w:w="8040" w:type="dxa"/>
            <w:vAlign w:val="bottom"/>
            <w:gridSpan w:val="2"/>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26"/>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2,665,174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2,684,073</w:t>
            </w:r>
          </w:p>
        </w:tc>
      </w:tr>
      <w:tr>
        <w:trPr>
          <w:trHeight w:val="220"/>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5,712,942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5,724,341</w:t>
            </w:r>
          </w:p>
        </w:tc>
      </w:tr>
      <w:tr>
        <w:trPr>
          <w:trHeight w:val="226"/>
        </w:trPr>
        <w:tc>
          <w:tcPr>
            <w:tcW w:w="8040" w:type="dxa"/>
            <w:vAlign w:val="bottom"/>
            <w:gridSpan w:val="2"/>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Less current portion </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604,954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31,000</w:t>
            </w:r>
          </w:p>
        </w:tc>
      </w:tr>
      <w:tr>
        <w:trPr>
          <w:trHeight w:val="220"/>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3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5,107,988</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5,693,341</w:t>
            </w:r>
          </w:p>
        </w:tc>
      </w:tr>
      <w:tr>
        <w:trPr>
          <w:trHeight w:val="20"/>
        </w:trPr>
        <w:tc>
          <w:tcPr>
            <w:tcW w:w="40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Balance as of December 31, 2023 includes the 2024 Notes since they mature in August 2024.</w:t>
      </w:r>
    </w:p>
    <w:p>
      <w:pPr>
        <w:spacing w:after="0" w:line="1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16" w:lineRule="exact"/>
        <w:rPr>
          <w:sz w:val="20"/>
          <w:szCs w:val="20"/>
          <w:color w:val="auto"/>
        </w:rPr>
      </w:pPr>
    </w:p>
    <w:p>
      <w:pPr>
        <w:ind w:right="100" w:firstLine="439"/>
        <w:spacing w:after="0" w:line="254" w:lineRule="auto"/>
        <w:rPr>
          <w:sz w:val="20"/>
          <w:szCs w:val="20"/>
          <w:color w:val="auto"/>
        </w:rPr>
      </w:pPr>
      <w:r>
        <w:rPr>
          <w:rFonts w:ascii="Times New Roman" w:cs="Times New Roman" w:eastAsia="Times New Roman" w:hAnsi="Times New Roman"/>
          <w:sz w:val="18"/>
          <w:szCs w:val="18"/>
          <w:color w:val="auto"/>
        </w:rPr>
        <w:t>On May 5, 2021, the Company, Jazz Financing Lux S.à.r.l., or Jazz Lux, and certain of our other subsidiaries, as borrowers, or collectively with the Company and Jazz Lux, the “Borrowers”, entered into the Credit Agreement by and among the Borrowers, the lenders and issuing banks from time to time party thereto, Bank of America, N.A., as administrative agent and U.S. Bank Trust Company, National Association, as collateral trustee, or the Credit Agreement, that provided for (i) the Dollar Term Loan which was drawn by Jazz Lux on the Closing Date in U.S. dollars (ii) the Euro Term Loan which was drawn by Jazz Lux on the Closing Date in Euros and (iii) the Revolving Credit Facility.</w:t>
      </w:r>
    </w:p>
    <w:p>
      <w:pPr>
        <w:spacing w:after="0" w:line="76" w:lineRule="exact"/>
        <w:rPr>
          <w:sz w:val="20"/>
          <w:szCs w:val="20"/>
          <w:color w:val="auto"/>
        </w:rPr>
      </w:pPr>
    </w:p>
    <w:p>
      <w:pPr>
        <w:ind w:right="140" w:firstLine="439"/>
        <w:spacing w:after="0" w:line="269" w:lineRule="auto"/>
        <w:rPr>
          <w:sz w:val="20"/>
          <w:szCs w:val="20"/>
          <w:color w:val="auto"/>
        </w:rPr>
      </w:pPr>
      <w:r>
        <w:rPr>
          <w:rFonts w:ascii="Times New Roman" w:cs="Times New Roman" w:eastAsia="Times New Roman" w:hAnsi="Times New Roman"/>
          <w:sz w:val="17"/>
          <w:szCs w:val="17"/>
          <w:color w:val="auto"/>
        </w:rPr>
        <w:t>We used the proceeds from the Term Loan (i) to repay in full $575.9 million under that certain credit agreement, dated as of June 18, 2015 (as amended) among the Company, and certain of our other subsidiaries as borrowers, the lenders party thereto and Bank of America, N.A., as administrative agent and collateral agent, or the Existing Credit Agreement, (ii) to fund, in part, the cash consideration payable in connection with the GW Acquisition and</w:t>
      </w:r>
    </w:p>
    <w:p>
      <w:pPr>
        <w:spacing w:after="0" w:line="1" w:lineRule="exact"/>
        <w:rPr>
          <w:sz w:val="20"/>
          <w:szCs w:val="20"/>
          <w:color w:val="auto"/>
        </w:rPr>
      </w:pPr>
    </w:p>
    <w:p>
      <w:pPr>
        <w:ind w:right="20" w:firstLine="6"/>
        <w:spacing w:after="0" w:line="253" w:lineRule="auto"/>
        <w:tabs>
          <w:tab w:leader="none" w:pos="31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related fees and expenses. Upon the repayment in full of loans under the Existing Credit Agreement, it was terminated and all guarantees and liens thereunder were released.</w:t>
      </w:r>
    </w:p>
    <w:p>
      <w:pPr>
        <w:spacing w:after="0" w:line="77" w:lineRule="exact"/>
        <w:rPr>
          <w:sz w:val="20"/>
          <w:szCs w:val="20"/>
          <w:color w:val="auto"/>
        </w:rPr>
      </w:pPr>
    </w:p>
    <w:p>
      <w:pPr>
        <w:ind w:right="120" w:firstLine="439"/>
        <w:spacing w:after="0" w:line="256" w:lineRule="auto"/>
        <w:rPr>
          <w:sz w:val="20"/>
          <w:szCs w:val="20"/>
          <w:color w:val="auto"/>
        </w:rPr>
      </w:pPr>
      <w:r>
        <w:rPr>
          <w:rFonts w:ascii="Times New Roman" w:cs="Times New Roman" w:eastAsia="Times New Roman" w:hAnsi="Times New Roman"/>
          <w:sz w:val="18"/>
          <w:szCs w:val="18"/>
          <w:color w:val="auto"/>
        </w:rPr>
        <w:t>In 2021, we made voluntary prepayments on the Euro Term Loan totaling €416.7 million, or $502.0 million, and in March 2022 we repaid the remaining outstanding principal of €208.3 million, or $251.0 million. The Euro Term Loan bore interest at the Euro Inter-Bank Offered Rate, or EURIBOR, plus an applicable margin. The applicable margin for the Euro Term Loan was 3.50%. During the term of the Euro Term Loan, the interest rate and effective interest rate were 4.43% and 4.93%, respectively.</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 January 2024, Jazz Lux entered into an amendment, or Repricing Amendment, to the Credit Agreement. Upon entry into the Repricing Amendment,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existing lenders converted outstanding Dollar Term Loans into a new tranche of U.S. dollar term loans, or the Tranche B-1 Dollar Term Loans,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Jazz Lux borrowed $201.9 million aggregate principal amount of additional Tranche B-1 Dollar Term Loans, the proceeds of which were used to repay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outstanding Dollar Term Loans that were not converted. The Tranche B-1 Dollar Term Loans are a separate class of term loans under the Credit Agreement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the same material terms (including with respect to maturity, prepayment, security, covenants and events of default) as the previously outstanding Dollar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Term Loans, with the interest rate amended as described below. The principal amount of Dollar Term Loans outstanding immediately prior to the Repricing</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and the outstanding principal amount of Tranche B-1 Dollar Term Loans immediately following the Repricing Amendment, each totaled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$2.723 billion. The Tranche B-1 Dollar Term Loans bear interest at a rate equal to either (a) Term SOFR or (b) the prime lending rate, in each case, plus an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margin. The applicable margin for the Tranche B-1 Dollar Term Loans is 3.00% (in the case of Term SOFR borrowings) and</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74"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17"/>
          <w:szCs w:val="17"/>
          <w:color w:val="auto"/>
        </w:rPr>
        <w:t>2.00% (in the case of borrowings at the prime lending rate), a decrease of 50 basis points from the applicable margin on the Initial Dollar Term Loans. The Tranche B-1 Dollar Term Loans are subject to a Term SOFR floor of 0.50%. The applicable margin for the Revolving Credit Facility ranges from 3.25% to</w:t>
      </w:r>
    </w:p>
    <w:p>
      <w:pPr>
        <w:spacing w:after="0" w:line="248" w:lineRule="auto"/>
        <w:rPr>
          <w:sz w:val="20"/>
          <w:szCs w:val="20"/>
          <w:color w:val="auto"/>
        </w:rPr>
      </w:pPr>
      <w:r>
        <w:rPr>
          <w:rFonts w:ascii="Times New Roman" w:cs="Times New Roman" w:eastAsia="Times New Roman" w:hAnsi="Times New Roman"/>
          <w:sz w:val="18"/>
          <w:szCs w:val="18"/>
          <w:color w:val="auto"/>
        </w:rPr>
        <w:t>2.75% (in the case of Term SOFR borrowings) and 2.25% to 1.75% (in the case of borrowings at the prime lending rate), depending on our first lien secured net leverage ratio level. The Tranche B-1 Dollar Term Loan is subject to a Term SOFR floor of 0.50% and loans under the Revolving Credit Facility are not subject to a floor. The Revolving Credit Facility has a commitment fee payable on the undrawn amount ranging from 0.50% to 0.40% per annum based upon our first lien secured net leverage ratio. As of December 31, 2023, the interest rate and effective interest rate on the Dollar Term Loan were 8.97% and 4.56%, respectively. Pursuant to the Repricing Amendment, the interest rate and effective interest rate on the Tranche B-1 Dollar Term Loans are 8.90% and 9.50%, respectively. As of December 31 ,2023, we had an undrawn Revolving Credit Facility totaling $500.0 million.</w:t>
      </w:r>
    </w:p>
    <w:p>
      <w:pPr>
        <w:spacing w:after="0" w:line="82" w:lineRule="exact"/>
        <w:rPr>
          <w:sz w:val="20"/>
          <w:szCs w:val="20"/>
          <w:color w:val="auto"/>
        </w:rPr>
      </w:pPr>
    </w:p>
    <w:p>
      <w:pPr>
        <w:ind w:right="200" w:firstLine="439"/>
        <w:spacing w:after="0" w:line="252" w:lineRule="auto"/>
        <w:rPr>
          <w:sz w:val="20"/>
          <w:szCs w:val="20"/>
          <w:color w:val="auto"/>
        </w:rPr>
      </w:pPr>
      <w:r>
        <w:rPr>
          <w:rFonts w:ascii="Times New Roman" w:cs="Times New Roman" w:eastAsia="Times New Roman" w:hAnsi="Times New Roman"/>
          <w:sz w:val="18"/>
          <w:szCs w:val="18"/>
          <w:color w:val="auto"/>
        </w:rPr>
        <w:t>We may make voluntary prepayments at any time without payment of a premium or penalty, subject to certain exceptions, and are required to make certain mandatory prepayments of outstanding indebtedness under the Credit Agreement in certain circumstances. Principal repayments of the Dollar Term Loan, which were due quarterly, began in September 2021 and were equal to 1.0% per annum of the original principal amount of $3.1 billion with any remaining balance payable on the maturity date. In September 2022, we made a voluntary repayment on the Dollar Term Loan totaling $300.0 million. The Tranche B-1 Dollar Term Loans will amortize in quarterly installments equal to 0.284664830% of the initial principal amount thereof, with the remaining balance payable on May 5, 2028.</w:t>
      </w:r>
    </w:p>
    <w:p>
      <w:pPr>
        <w:spacing w:after="0" w:line="80" w:lineRule="exact"/>
        <w:rPr>
          <w:sz w:val="20"/>
          <w:szCs w:val="20"/>
          <w:color w:val="auto"/>
        </w:rPr>
      </w:pPr>
    </w:p>
    <w:p>
      <w:pPr>
        <w:ind w:right="140" w:firstLine="439"/>
        <w:spacing w:after="0" w:line="261" w:lineRule="auto"/>
        <w:rPr>
          <w:sz w:val="20"/>
          <w:szCs w:val="20"/>
          <w:color w:val="auto"/>
        </w:rPr>
      </w:pPr>
      <w:r>
        <w:rPr>
          <w:rFonts w:ascii="Times New Roman" w:cs="Times New Roman" w:eastAsia="Times New Roman" w:hAnsi="Times New Roman"/>
          <w:sz w:val="18"/>
          <w:szCs w:val="18"/>
          <w:color w:val="auto"/>
        </w:rPr>
        <w:t>The Borrowers’ obligations under the Credit Agreement and any hedging or cash management obligations entered into with any lender thereunder are guaranteed by the Company, the other borrowers, and each of the Company’s other existing or subsequently acquired or organized direct and indirect subsidiaries (subject to certain exceptions), or the Guarantors. We refer to the Borrowers and the Guarantors collectively as the “Loan Parties.”</w:t>
      </w:r>
    </w:p>
    <w:p>
      <w:pPr>
        <w:spacing w:after="0" w:line="70" w:lineRule="exact"/>
        <w:rPr>
          <w:sz w:val="20"/>
          <w:szCs w:val="20"/>
          <w:color w:val="auto"/>
        </w:rPr>
      </w:pPr>
    </w:p>
    <w:p>
      <w:pPr>
        <w:jc w:val="both"/>
        <w:ind w:right="20" w:firstLine="439"/>
        <w:spacing w:after="0" w:line="261" w:lineRule="auto"/>
        <w:rPr>
          <w:sz w:val="20"/>
          <w:szCs w:val="20"/>
          <w:color w:val="auto"/>
        </w:rPr>
      </w:pPr>
      <w:r>
        <w:rPr>
          <w:rFonts w:ascii="Times New Roman" w:cs="Times New Roman" w:eastAsia="Times New Roman" w:hAnsi="Times New Roman"/>
          <w:sz w:val="18"/>
          <w:szCs w:val="18"/>
          <w:color w:val="auto"/>
        </w:rPr>
        <w:t>The Loan Parties’ obligations under the Credit Agreement are secured, subject to customary permitted liens and other exceptions, by a security interest in (a) all tangible and intangible assets of the Loan Parties, except for certain excluded assets, and (b) all of the equity interests of the subsidiaries of the Loan Parties held by the Loan Parties.</w:t>
      </w:r>
    </w:p>
    <w:p>
      <w:pPr>
        <w:spacing w:after="0" w:line="70" w:lineRule="exact"/>
        <w:rPr>
          <w:sz w:val="20"/>
          <w:szCs w:val="20"/>
          <w:color w:val="auto"/>
        </w:rPr>
      </w:pPr>
    </w:p>
    <w:p>
      <w:pPr>
        <w:ind w:firstLine="439"/>
        <w:spacing w:after="0" w:line="251" w:lineRule="auto"/>
        <w:rPr>
          <w:sz w:val="20"/>
          <w:szCs w:val="20"/>
          <w:color w:val="auto"/>
        </w:rPr>
      </w:pPr>
      <w:r>
        <w:rPr>
          <w:rFonts w:ascii="Times New Roman" w:cs="Times New Roman" w:eastAsia="Times New Roman" w:hAnsi="Times New Roman"/>
          <w:sz w:val="18"/>
          <w:szCs w:val="18"/>
          <w:color w:val="auto"/>
        </w:rPr>
        <w:t>The Credit Agreement contains customary representations and warranties and customary affirmative and negative covenants applicable to the Company and its restricted subsidiaries, including, among other things, restrictions on indebtedness, liens, investments, mergers, dispositions, prepayment of junior indebtedness and dividends and other distributions. The Credit Agreement contains financial covenants that require the Company and its restricted subsidiaries to (a) not exceed a maximum first lien secured net leverage ratio and (b) not fall below a minimum interest coverage ratio, provided that such covenants apply only to the Revolving Credit Facility and are applicable only if amounts are drawn (or non-cash collateralized letters of credit in excess of $50 million are outstanding) under the Revolving Credit Facility. The Credit Agreement also contains customary events of default relating to, among other things, failure to make payments, breach of covenants and breach of representations.</w:t>
      </w:r>
    </w:p>
    <w:p>
      <w:pPr>
        <w:spacing w:after="0" w:line="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2029 Senior Secured Notes</w:t>
      </w:r>
    </w:p>
    <w:p>
      <w:pPr>
        <w:spacing w:after="0" w:line="116" w:lineRule="exact"/>
        <w:rPr>
          <w:sz w:val="20"/>
          <w:szCs w:val="20"/>
          <w:color w:val="auto"/>
        </w:rPr>
      </w:pPr>
    </w:p>
    <w:p>
      <w:pPr>
        <w:ind w:right="400" w:firstLine="439"/>
        <w:spacing w:after="0" w:line="261" w:lineRule="auto"/>
        <w:rPr>
          <w:sz w:val="20"/>
          <w:szCs w:val="20"/>
          <w:color w:val="auto"/>
        </w:rPr>
      </w:pPr>
      <w:r>
        <w:rPr>
          <w:rFonts w:ascii="Times New Roman" w:cs="Times New Roman" w:eastAsia="Times New Roman" w:hAnsi="Times New Roman"/>
          <w:sz w:val="18"/>
          <w:szCs w:val="18"/>
          <w:color w:val="auto"/>
        </w:rPr>
        <w:t>On April 29, 2021, Jazz Securities Designated Activity Company, or Jazz Securities, a direct wholly owned subsidiary of the Company, closed the offering of the Secured Notes in a private placement. We used the proceeds from the Secured Notes to fund, in part, the cash consideration payable in connection with the GW Acquisition.</w:t>
      </w:r>
    </w:p>
    <w:p>
      <w:pPr>
        <w:spacing w:after="0" w:line="70" w:lineRule="exact"/>
        <w:rPr>
          <w:sz w:val="20"/>
          <w:szCs w:val="20"/>
          <w:color w:val="auto"/>
        </w:rPr>
      </w:pPr>
    </w:p>
    <w:p>
      <w:pPr>
        <w:ind w:right="240" w:firstLine="439"/>
        <w:spacing w:after="0" w:line="276" w:lineRule="auto"/>
        <w:rPr>
          <w:sz w:val="20"/>
          <w:szCs w:val="20"/>
          <w:color w:val="auto"/>
        </w:rPr>
      </w:pPr>
      <w:r>
        <w:rPr>
          <w:rFonts w:ascii="Times New Roman" w:cs="Times New Roman" w:eastAsia="Times New Roman" w:hAnsi="Times New Roman"/>
          <w:sz w:val="18"/>
          <w:szCs w:val="18"/>
          <w:color w:val="auto"/>
        </w:rPr>
        <w:t>Interest on the Secured Notes is payable semi-annually in arrears on January 15 and July 15 of each year, beginning on January 15, 2022, at a rate of 4.375% per year. The Secured Notes mature on January 15, 2029.</w:t>
      </w:r>
    </w:p>
    <w:p>
      <w:pPr>
        <w:spacing w:after="0" w:line="56" w:lineRule="exact"/>
        <w:rPr>
          <w:sz w:val="20"/>
          <w:szCs w:val="20"/>
          <w:color w:val="auto"/>
        </w:rPr>
      </w:pPr>
    </w:p>
    <w:p>
      <w:pPr>
        <w:ind w:right="40" w:firstLine="439"/>
        <w:spacing w:after="0" w:line="261" w:lineRule="auto"/>
        <w:rPr>
          <w:sz w:val="20"/>
          <w:szCs w:val="20"/>
          <w:color w:val="auto"/>
        </w:rPr>
      </w:pPr>
      <w:r>
        <w:rPr>
          <w:rFonts w:ascii="Times New Roman" w:cs="Times New Roman" w:eastAsia="Times New Roman" w:hAnsi="Times New Roman"/>
          <w:sz w:val="18"/>
          <w:szCs w:val="18"/>
          <w:color w:val="auto"/>
        </w:rPr>
        <w:t>The Secured Notes are jointly and severally guaranteed by the Company and each of its restricted subsidiaries, other than Jazz Securities, that is a borrower, or a guarantor, under the Credit Agreement. The Secured Notes and related guarantees are secured by a first priority lien (subject to permitted liens and certain other exceptions), equally and ratably with the Credit Agreement, on the collateral securing the Credit Agreement.</w:t>
      </w:r>
    </w:p>
    <w:p>
      <w:pPr>
        <w:spacing w:after="0" w:line="70" w:lineRule="exact"/>
        <w:rPr>
          <w:sz w:val="20"/>
          <w:szCs w:val="20"/>
          <w:color w:val="auto"/>
        </w:rPr>
      </w:pPr>
    </w:p>
    <w:p>
      <w:pPr>
        <w:ind w:right="40" w:firstLine="439"/>
        <w:spacing w:after="0" w:line="250" w:lineRule="auto"/>
        <w:rPr>
          <w:sz w:val="20"/>
          <w:szCs w:val="20"/>
          <w:color w:val="auto"/>
        </w:rPr>
      </w:pPr>
      <w:r>
        <w:rPr>
          <w:rFonts w:ascii="Times New Roman" w:cs="Times New Roman" w:eastAsia="Times New Roman" w:hAnsi="Times New Roman"/>
          <w:sz w:val="18"/>
          <w:szCs w:val="18"/>
          <w:color w:val="auto"/>
        </w:rPr>
        <w:t>Except as described below, the Secured Notes may not be optionally redeemed before July 15, 2024. Thereafter, some or all of the Secured Notes, may be redeemed at any time and from time to time at a specified redemption prices, plus accrued and unpaid interest, if any, to, but excluding, to the redemption date. Jazz Securities may redeem all but not part of the Secured Notes at its option at any time in connection with certain tax-related events and may redeem some or all of the Secured Notes at any time and from time to time prior to July 15, 2024 at a price equal to 100% of the principal amount of the Secured Notes to be redeemed plus a “make whole” premium, plus accrued and unpaid interest, if any, to, but excluding, the redemption date. In addition, Jazz Securities may redeem up to 40% of the aggregate principal amount of the Secured Notes at any time and from time to time prior to July 15, 2024, with the net proceeds of certain equity offerings at a price of 104.375% of the principal amount of such Secured Notes, plus accrued and unpaid interest, if any, to, but excluding, the redemption date. In addition, during each of the three consecutive twelve-month periods commencing on the issue date of the Secured Notes, Jazz Securities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74"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8"/>
          <w:szCs w:val="18"/>
          <w:color w:val="auto"/>
        </w:rPr>
        <w:t>may redeem up to 10% of the original aggregate initial principal amount of the Secured Notes at a redemption price of 103% of the principal amount of such Secured Notes, plus accrued and unpaid interest, if any, to, but excluding, the redemption date.</w:t>
      </w:r>
    </w:p>
    <w:p>
      <w:pPr>
        <w:spacing w:after="0" w:line="56" w:lineRule="exact"/>
        <w:rPr>
          <w:sz w:val="20"/>
          <w:szCs w:val="20"/>
          <w:color w:val="auto"/>
        </w:rPr>
      </w:pPr>
    </w:p>
    <w:p>
      <w:pPr>
        <w:ind w:firstLine="439"/>
        <w:spacing w:after="0" w:line="306" w:lineRule="auto"/>
        <w:rPr>
          <w:sz w:val="20"/>
          <w:szCs w:val="20"/>
          <w:color w:val="auto"/>
        </w:rPr>
      </w:pPr>
      <w:r>
        <w:rPr>
          <w:rFonts w:ascii="Times New Roman" w:cs="Times New Roman" w:eastAsia="Times New Roman" w:hAnsi="Times New Roman"/>
          <w:sz w:val="17"/>
          <w:szCs w:val="17"/>
          <w:color w:val="auto"/>
        </w:rPr>
        <w:t>If Jazz undergoes a change of control, Jazz Securities will be required to make an offer to purchase all of the Secured Notes at a purchase price in cash equal to 101% of the principal amount thereof, plus accrued and unpaid interest, if any, to, but excluding, the date of repurchase, subject to certain exceptions.</w:t>
      </w:r>
    </w:p>
    <w:p>
      <w:pPr>
        <w:spacing w:after="0" w:line="34" w:lineRule="exact"/>
        <w:rPr>
          <w:sz w:val="20"/>
          <w:szCs w:val="20"/>
          <w:color w:val="auto"/>
        </w:rPr>
      </w:pPr>
    </w:p>
    <w:p>
      <w:pPr>
        <w:ind w:right="260" w:firstLine="439"/>
        <w:spacing w:after="0" w:line="254" w:lineRule="auto"/>
        <w:rPr>
          <w:sz w:val="20"/>
          <w:szCs w:val="20"/>
          <w:color w:val="auto"/>
        </w:rPr>
      </w:pPr>
      <w:r>
        <w:rPr>
          <w:rFonts w:ascii="Times New Roman" w:cs="Times New Roman" w:eastAsia="Times New Roman" w:hAnsi="Times New Roman"/>
          <w:sz w:val="18"/>
          <w:szCs w:val="18"/>
          <w:color w:val="auto"/>
        </w:rPr>
        <w:t>The indenture governing the Secured Notes contains customary affirmative covenants and negative covenants applicable to the Company and its restricted subsidiaries, including, among other things, restrictions on indebtedness, liens, investments, mergers, dispositions, prepayment of junior indebtedness and dividends and other distributions. If Jazz Securities or the Company’s restricted subsidiaries engage in certain asset sales, Jazz Securities will be required under certain circumstances to make an offer to purchase the Secured Notes at 100% of the principal amount, plus accrued and unpaid interest, if any, to, but excluding, the repurchase date.</w:t>
      </w:r>
    </w:p>
    <w:p>
      <w:pPr>
        <w:spacing w:after="0" w:line="76" w:lineRule="exact"/>
        <w:rPr>
          <w:sz w:val="20"/>
          <w:szCs w:val="20"/>
          <w:color w:val="auto"/>
        </w:rPr>
      </w:pPr>
    </w:p>
    <w:p>
      <w:pPr>
        <w:ind w:left="200" w:right="1600" w:firstLine="240"/>
        <w:spacing w:after="0" w:line="370" w:lineRule="auto"/>
        <w:rPr>
          <w:sz w:val="20"/>
          <w:szCs w:val="20"/>
          <w:color w:val="auto"/>
        </w:rPr>
      </w:pPr>
      <w:r>
        <w:rPr>
          <w:rFonts w:ascii="Times New Roman" w:cs="Times New Roman" w:eastAsia="Times New Roman" w:hAnsi="Times New Roman"/>
          <w:sz w:val="18"/>
          <w:szCs w:val="18"/>
          <w:color w:val="auto"/>
        </w:rPr>
        <w:t xml:space="preserve">As of December 31, 2023, the interest rate and effective interest rate on the Secured Notes were 4.375% and 4.64%, respectively. </w:t>
      </w:r>
      <w:r>
        <w:rPr>
          <w:rFonts w:ascii="Times New Roman" w:cs="Times New Roman" w:eastAsia="Times New Roman" w:hAnsi="Times New Roman"/>
          <w:sz w:val="18"/>
          <w:szCs w:val="18"/>
          <w:b w:val="1"/>
          <w:bCs w:val="1"/>
          <w:i w:val="1"/>
          <w:iCs w:val="1"/>
          <w:color w:val="auto"/>
        </w:rPr>
        <w:t>Exchangeable Senior Notes Due 2026</w:t>
      </w:r>
    </w:p>
    <w:p>
      <w:pPr>
        <w:spacing w:after="0" w:line="1" w:lineRule="exact"/>
        <w:rPr>
          <w:sz w:val="20"/>
          <w:szCs w:val="20"/>
          <w:color w:val="auto"/>
        </w:rPr>
      </w:pPr>
    </w:p>
    <w:p>
      <w:pPr>
        <w:ind w:right="80" w:firstLine="439"/>
        <w:spacing w:after="0" w:line="252" w:lineRule="auto"/>
        <w:rPr>
          <w:sz w:val="20"/>
          <w:szCs w:val="20"/>
          <w:color w:val="auto"/>
        </w:rPr>
      </w:pPr>
      <w:r>
        <w:rPr>
          <w:rFonts w:ascii="Times New Roman" w:cs="Times New Roman" w:eastAsia="Times New Roman" w:hAnsi="Times New Roman"/>
          <w:sz w:val="18"/>
          <w:szCs w:val="18"/>
          <w:color w:val="auto"/>
        </w:rPr>
        <w:t>In 2020 we completed a private placement of $1.0 billion principal amount of the 2026 Notes. We used a portion of the net proceeds from this offering to repurchase for cash $332.9 million aggregate principal amount of the 1.875% exchangeable senior notes due 2021, or 2021 Notes, through privately-negotiated transactions concurrently with the offering of the 2026 Notes. Interest on the 2026 Notes is payable semi-annually in cash in arrears on June 15 and December 15 of each year, beginning on December 15, 2020, at a rate of 2.00% per year. In certain circumstances, we may be required to pay additional amounts as a result of any applicable tax withholding or deductions required in respect of payments on the 2026 Notes. The 2026 Notes mature on June 15, 2026, unless earlier exchanged, repurchased or redeemed.</w:t>
      </w:r>
    </w:p>
    <w:p>
      <w:pPr>
        <w:spacing w:after="0" w:line="80" w:lineRule="exact"/>
        <w:rPr>
          <w:sz w:val="20"/>
          <w:szCs w:val="20"/>
          <w:color w:val="auto"/>
        </w:rPr>
      </w:pPr>
    </w:p>
    <w:p>
      <w:pPr>
        <w:ind w:right="20" w:firstLine="439"/>
        <w:spacing w:after="0" w:line="267" w:lineRule="auto"/>
        <w:rPr>
          <w:sz w:val="20"/>
          <w:szCs w:val="20"/>
          <w:color w:val="auto"/>
        </w:rPr>
      </w:pPr>
      <w:r>
        <w:rPr>
          <w:rFonts w:ascii="Times New Roman" w:cs="Times New Roman" w:eastAsia="Times New Roman" w:hAnsi="Times New Roman"/>
          <w:sz w:val="17"/>
          <w:szCs w:val="17"/>
          <w:color w:val="auto"/>
        </w:rPr>
        <w:t>The holders of the 2026 Notes have the ability to require us to repurchase all or a portion of their 2026 Notes for cash in the event we undergo certain fundamental changes, such as specified change of control transactions, our liquidation or dissolution or the delisting of our ordinary shares from any of The New York Stock Exchange, The Nasdaq Global Market, The Nasdaq Global Select Market or The Nasdaq Capital Market (or any of their respective successors). Additionally, the terms and covenants in the indenture related to the 2026 Notes include certain events of default after which the 2026 Notes may be due and payable immediately. Prior to June 15, 2026, we may redeem the 2026 Notes, in whole but not in part, subject to compliance with certain conditions, if we have, or on the next interest payment date would, become obligated to pay to the holder of any 2026 Notes additional amounts as a result of certain tax-related events. We also may redeem the 2026 Notes on or after June 20, 2023 and prior to March 15, 2026, in whole or in part, if the last reported sale price per ordinary share has been at least 130% of the exchange price then in effect for at least 20 trading days (whether or not consecutive) during any 30 consecutive trading day period ending on, and including, the trading day immediately preceding the date on which we provide the notice of redemption.</w:t>
      </w:r>
    </w:p>
    <w:p>
      <w:pPr>
        <w:spacing w:after="0" w:line="66" w:lineRule="exact"/>
        <w:rPr>
          <w:sz w:val="20"/>
          <w:szCs w:val="20"/>
          <w:color w:val="auto"/>
        </w:rPr>
      </w:pPr>
    </w:p>
    <w:p>
      <w:pPr>
        <w:ind w:right="20" w:firstLine="439"/>
        <w:spacing w:after="0" w:line="250" w:lineRule="auto"/>
        <w:rPr>
          <w:sz w:val="20"/>
          <w:szCs w:val="20"/>
          <w:color w:val="auto"/>
        </w:rPr>
      </w:pPr>
      <w:r>
        <w:rPr>
          <w:rFonts w:ascii="Times New Roman" w:cs="Times New Roman" w:eastAsia="Times New Roman" w:hAnsi="Times New Roman"/>
          <w:sz w:val="18"/>
          <w:szCs w:val="18"/>
          <w:color w:val="auto"/>
        </w:rPr>
        <w:t>The 2026 Notes are exchangeable at an initial exchange rate of 6.4182 ordinary shares per $1,000 principal amount of 2026 Notes, which is equivalent to an initial exchange price of approximately $155.81 per ordinary share. Upon exchange, the 2026 Notes may be settled in cash, ordinary shares or a combination of cash and ordinary shares, at our election. Our intent and policy is to settle the principal amount of the 2026 Notes in cash upon exchange. The exchange rate will be subject to adjustment in some events but will not be adjusted for any accrued and unpaid interest. In addition, following certain make-whole fundamental changes occurring prior to the maturity date of the 2026 Notes or upon our issuance of a notice of redemption, we will in certain circumstances increase the exchange rate for holders of the 2026 Notes who elect to exchange their 2026 Notes in connection with that make-whole fundamental change or during the related redemption period. Prior to March 15, 2026, the 2026 Notes will be exchangeable only upon satisfaction of certain conditions and during certain periods, and thereafter, at any time until the close of business on the second scheduled trading day immediately preceding the maturity date.</w:t>
      </w:r>
    </w:p>
    <w:p>
      <w:pPr>
        <w:spacing w:after="0" w:line="83" w:lineRule="exact"/>
        <w:rPr>
          <w:sz w:val="20"/>
          <w:szCs w:val="20"/>
          <w:color w:val="auto"/>
        </w:rPr>
      </w:pPr>
    </w:p>
    <w:p>
      <w:pPr>
        <w:ind w:right="60" w:firstLine="439"/>
        <w:spacing w:after="0" w:line="276" w:lineRule="auto"/>
        <w:rPr>
          <w:sz w:val="20"/>
          <w:szCs w:val="20"/>
          <w:color w:val="auto"/>
        </w:rPr>
      </w:pPr>
      <w:r>
        <w:rPr>
          <w:rFonts w:ascii="Times New Roman" w:cs="Times New Roman" w:eastAsia="Times New Roman" w:hAnsi="Times New Roman"/>
          <w:sz w:val="18"/>
          <w:szCs w:val="18"/>
          <w:color w:val="auto"/>
        </w:rPr>
        <w:t>As of December 31, 2023, the “if converted value” did not exceed the principal amount of the 2026 Notes. As of December 31, 2022, the “if converted value” of the 2026 Notes exceeded the principal amount by $22.5 million.</w:t>
      </w:r>
    </w:p>
    <w:p>
      <w:pPr>
        <w:spacing w:after="0" w:line="56" w:lineRule="exact"/>
        <w:rPr>
          <w:sz w:val="20"/>
          <w:szCs w:val="20"/>
          <w:color w:val="auto"/>
        </w:rPr>
      </w:pPr>
    </w:p>
    <w:p>
      <w:pPr>
        <w:ind w:right="160" w:firstLine="439"/>
        <w:spacing w:after="0" w:line="276" w:lineRule="auto"/>
        <w:rPr>
          <w:sz w:val="20"/>
          <w:szCs w:val="20"/>
          <w:color w:val="auto"/>
        </w:rPr>
      </w:pPr>
      <w:r>
        <w:rPr>
          <w:rFonts w:ascii="Times New Roman" w:cs="Times New Roman" w:eastAsia="Times New Roman" w:hAnsi="Times New Roman"/>
          <w:sz w:val="18"/>
          <w:szCs w:val="18"/>
          <w:color w:val="auto"/>
        </w:rPr>
        <w:t>The total liability is reflected net of issuance costs of $15.3 million which will be amortized over the term of the 2026 Notes. We have determined the expected life of the 2026 Notes to be equal to the original six-year term. The effective interest rate of the 2026 Notes is 2.26%.</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Exchangeable Senior Notes Due 2024</w:t>
      </w:r>
    </w:p>
    <w:p>
      <w:pPr>
        <w:spacing w:after="0" w:line="116" w:lineRule="exact"/>
        <w:rPr>
          <w:sz w:val="20"/>
          <w:szCs w:val="20"/>
          <w:color w:val="auto"/>
        </w:rPr>
      </w:pPr>
    </w:p>
    <w:p>
      <w:pPr>
        <w:ind w:right="140" w:firstLine="439"/>
        <w:spacing w:after="0" w:line="252" w:lineRule="auto"/>
        <w:rPr>
          <w:sz w:val="20"/>
          <w:szCs w:val="20"/>
          <w:color w:val="auto"/>
        </w:rPr>
      </w:pPr>
      <w:r>
        <w:rPr>
          <w:rFonts w:ascii="Times New Roman" w:cs="Times New Roman" w:eastAsia="Times New Roman" w:hAnsi="Times New Roman"/>
          <w:sz w:val="18"/>
          <w:szCs w:val="18"/>
          <w:color w:val="auto"/>
        </w:rPr>
        <w:t>In 2017, we completed a private placement of $575.0 million principal amount of 2024 Notes. We used the net proceeds from this offering to repay $500.0 million in outstanding loans under the revolving credit facility and to pay related fees and expenses. We used the remainder of the net proceeds for general corporate purposes. Interest on the 2024 Notes is payable semi-annually in cash in arrears on February 15 and August 15 of each year, beginning on February 15, 2018, at a rate of 1.50% per year. In certain circumstances, we may be required to pay additional amounts as a result of any applicable tax withholding or deductions required in respect of payments on the 2024 Notes. The 2024 Notes mature on August 15, 2024, unless earlier exchanged, repurchased or redeemed.</w:t>
      </w:r>
    </w:p>
    <w:p>
      <w:pPr>
        <w:spacing w:after="0" w:line="80" w:lineRule="exact"/>
        <w:rPr>
          <w:sz w:val="20"/>
          <w:szCs w:val="20"/>
          <w:color w:val="auto"/>
        </w:rPr>
      </w:pPr>
    </w:p>
    <w:p>
      <w:pPr>
        <w:ind w:firstLine="439"/>
        <w:spacing w:after="0" w:line="251" w:lineRule="auto"/>
        <w:rPr>
          <w:sz w:val="20"/>
          <w:szCs w:val="20"/>
          <w:color w:val="auto"/>
        </w:rPr>
      </w:pPr>
      <w:r>
        <w:rPr>
          <w:rFonts w:ascii="Times New Roman" w:cs="Times New Roman" w:eastAsia="Times New Roman" w:hAnsi="Times New Roman"/>
          <w:sz w:val="18"/>
          <w:szCs w:val="18"/>
          <w:color w:val="auto"/>
        </w:rPr>
        <w:t>The holders of the 2024 Notes have the ability to require us to repurchase all or a portion of their 2024 Notes for cash in the event we undergo certain fundamental changes, such as specified change of control transactions, our liquidation or dissolution or the delisting of our ordinary shares from The Nasdaq Global Select Market. Prior to August 15, 2024, we may redeem the 2024 Notes, in whole but not in part, subject to compliance with certain conditions, if we have, or on the next interest payment date would, become obligated to pay to the holder of any 2024 Notes additional amounts as a result of certain tax-related events. We also may redeem the 2024 Notes on or after August 20, 2021, in whole or in part, if the last reported sale price per ordinary share has been at least 130% of the exchange price then in effect for at least 20 trading days (whether or not consecutive) during any 30 consecutive trading day period ending on, and including, the trading day immediately preceding the date on which we provide the notice of redemption.</w:t>
      </w:r>
    </w:p>
    <w:p>
      <w:pPr>
        <w:spacing w:after="0" w:line="82" w:lineRule="exact"/>
        <w:rPr>
          <w:sz w:val="20"/>
          <w:szCs w:val="20"/>
          <w:color w:val="auto"/>
        </w:rPr>
      </w:pPr>
    </w:p>
    <w:p>
      <w:pPr>
        <w:ind w:right="60" w:firstLine="439"/>
        <w:spacing w:after="0" w:line="250" w:lineRule="auto"/>
        <w:rPr>
          <w:sz w:val="20"/>
          <w:szCs w:val="20"/>
          <w:color w:val="auto"/>
        </w:rPr>
      </w:pPr>
      <w:r>
        <w:rPr>
          <w:rFonts w:ascii="Times New Roman" w:cs="Times New Roman" w:eastAsia="Times New Roman" w:hAnsi="Times New Roman"/>
          <w:sz w:val="18"/>
          <w:szCs w:val="18"/>
          <w:color w:val="auto"/>
        </w:rPr>
        <w:t>The 2024 Notes are exchangeable at an initial exchange rate of 4.5659 ordinary shares per $1,000 principal amount of 2024 Notes, which is equivalent to an initial exchange price of approximately $219.02 per ordinary share. In August 2023, we made an irrevocable election to fix the settlement method for exchanges of the 2024 Notes to a combination of cash and ordinary shares of the Company with a specified cash amount per $1,000 principal amount of the 2024 Notes of $1,000. The exchange rate will be subject to adjustment in some events but will not be adjusted for any accrued and unpaid interest. In addition, following certain make-whole fundamental changes occurring prior to the maturity date of the 2024 Notes or upon our issuance of a notice of redemption, we will in certain circumstances increase the exchange rate for holders of the 2024 Notes who elect to exchange their 2024 Notes in connection with that make-whole fundamental change or during the related redemption period. Prior to May 15, 2024, the 2024 Notes will be exchangeable only upon satisfaction of certain conditions and during certain periods, and thereafter, at any time until the close of business on the second scheduled trading day immediately preceding the maturity date.</w:t>
      </w:r>
    </w:p>
    <w:p>
      <w:pPr>
        <w:spacing w:after="0" w:line="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December 31, 2023 and 2022, the “if-converted value” did not exceed the principal amount of the 2024 Notes.</w:t>
      </w:r>
    </w:p>
    <w:p>
      <w:pPr>
        <w:spacing w:after="0" w:line="112" w:lineRule="exact"/>
        <w:rPr>
          <w:sz w:val="20"/>
          <w:szCs w:val="20"/>
          <w:color w:val="auto"/>
        </w:rPr>
      </w:pPr>
    </w:p>
    <w:p>
      <w:pPr>
        <w:ind w:right="140" w:firstLine="439"/>
        <w:spacing w:after="0" w:line="276" w:lineRule="auto"/>
        <w:rPr>
          <w:sz w:val="20"/>
          <w:szCs w:val="20"/>
          <w:color w:val="auto"/>
        </w:rPr>
      </w:pPr>
      <w:r>
        <w:rPr>
          <w:rFonts w:ascii="Times New Roman" w:cs="Times New Roman" w:eastAsia="Times New Roman" w:hAnsi="Times New Roman"/>
          <w:sz w:val="18"/>
          <w:szCs w:val="18"/>
          <w:color w:val="auto"/>
        </w:rPr>
        <w:t>The total liability is reflected net of issuance costs of $11.4 million which will be amortized over the term of the 2024 Notes. We have determined the expected life of the 2024 Notes to be equal to the original seven-year term. The effective interest rate of the 2024 Notes is 1.79%.</w:t>
      </w:r>
    </w:p>
    <w:p>
      <w:pPr>
        <w:spacing w:after="0" w:line="56" w:lineRule="exact"/>
        <w:rPr>
          <w:sz w:val="20"/>
          <w:szCs w:val="20"/>
          <w:color w:val="auto"/>
        </w:rPr>
      </w:pPr>
    </w:p>
    <w:p>
      <w:pPr>
        <w:ind w:firstLine="439"/>
        <w:spacing w:after="0" w:line="251" w:lineRule="auto"/>
        <w:rPr>
          <w:sz w:val="20"/>
          <w:szCs w:val="20"/>
          <w:color w:val="auto"/>
        </w:rPr>
      </w:pPr>
      <w:r>
        <w:rPr>
          <w:rFonts w:ascii="Times New Roman" w:cs="Times New Roman" w:eastAsia="Times New Roman" w:hAnsi="Times New Roman"/>
          <w:sz w:val="18"/>
          <w:szCs w:val="18"/>
          <w:color w:val="auto"/>
        </w:rPr>
        <w:t>The Exchangeable Senior Notes were issued by Jazz Investments I Limited, or the Issuer, a 100%-owned finance subsidiary of Jazz Pharmaceuticals plc. The Exchangeable Senior Notes are senior unsecured obligations of the Issuer and are fully and unconditionally guaranteed on a senior unsecured basis by Jazz Pharmaceuticals plc. No subsidiary of Jazz Pharmaceuticals plc guaranteed the Exchangeable Senior Notes. Subject to certain local law restrictions on payment of dividends, among other things, and potential negative tax consequences, we are not aware of any significant restrictions on the ability of Jazz Pharmaceuticals plc to obtain funds from the Issuer or Jazz Pharmaceuticals plc’s other subsidiaries by dividend or loan, or any legal or economic restrictions on the ability of the Issuer or Jazz Pharmaceuticals plc’s other subsidiaries to transfer funds to Jazz Pharmaceuticals plc in the form of cash dividends, loans or advances. There is no assurance that in the future such restrictions will not be adopted.</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74" w:lineRule="exact"/>
        <w:rPr>
          <w:sz w:val="20"/>
          <w:szCs w:val="20"/>
          <w:color w:val="auto"/>
        </w:rPr>
      </w:pPr>
    </w:p>
    <w:p>
      <w:pPr>
        <w:ind w:right="100" w:firstLine="439"/>
        <w:spacing w:after="0" w:line="256" w:lineRule="auto"/>
        <w:rPr>
          <w:sz w:val="20"/>
          <w:szCs w:val="20"/>
          <w:color w:val="auto"/>
        </w:rPr>
      </w:pPr>
      <w:r>
        <w:rPr>
          <w:rFonts w:ascii="Times New Roman" w:cs="Times New Roman" w:eastAsia="Times New Roman" w:hAnsi="Times New Roman"/>
          <w:sz w:val="18"/>
          <w:szCs w:val="18"/>
          <w:color w:val="auto"/>
        </w:rPr>
        <w:t>For the years ended December 31, 2023 and 2022, we recognized $32.8 million, in interest expense, net, of which, $28.6 million related to the contractual coupon rate and $4.2 million related the amortization of the debt issuance costs on the Exchangeable Senior Notes. For the year ended December 31, 2021, we recognized $89.9 million in interest expense, net, of which, $31.2 million related to the contractual coupon rate, $4.4 million related to the debt issuance costs and $54.3 million related to the amortization of the debt discount costs.</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Scheduled maturities with respect to our long-term debt are as follows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40" w:type="dxa"/>
            <w:vAlign w:val="bottom"/>
          </w:tcPr>
          <w:p>
            <w:pPr>
              <w:spacing w:after="0"/>
              <w:rPr>
                <w:sz w:val="13"/>
                <w:szCs w:val="13"/>
                <w:color w:val="auto"/>
              </w:rPr>
            </w:pPr>
          </w:p>
        </w:tc>
        <w:tc>
          <w:tcPr>
            <w:tcW w:w="184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w w:val="99"/>
              </w:rPr>
              <w:t>Scheduled Long-Term Debt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tcPr>
          <w:p>
            <w:pPr>
              <w:jc w:val="right"/>
              <w:ind w:right="595"/>
              <w:spacing w:after="0" w:line="125" w:lineRule="exact"/>
              <w:rPr>
                <w:sz w:val="20"/>
                <w:szCs w:val="20"/>
                <w:color w:val="auto"/>
              </w:rPr>
            </w:pPr>
            <w:r>
              <w:rPr>
                <w:rFonts w:ascii="Times New Roman" w:cs="Times New Roman" w:eastAsia="Times New Roman" w:hAnsi="Times New Roman"/>
                <w:sz w:val="14"/>
                <w:szCs w:val="14"/>
                <w:b w:val="1"/>
                <w:bCs w:val="1"/>
                <w:color w:val="auto"/>
              </w:rPr>
              <w:t>Maturities</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1620" w:type="dxa"/>
            <w:vAlign w:val="bottom"/>
            <w:tcBorders>
              <w:top w:val="single" w:sz="8" w:color="auto"/>
              <w:bottom w:val="single" w:sz="8" w:color="CCEEFF"/>
            </w:tcBorders>
          </w:tcPr>
          <w:p>
            <w:pPr>
              <w:spacing w:after="0"/>
              <w:rPr>
                <w:sz w:val="2"/>
                <w:szCs w:val="2"/>
                <w:color w:val="auto"/>
              </w:rPr>
            </w:pPr>
          </w:p>
        </w:tc>
        <w:tc>
          <w:tcPr>
            <w:tcW w:w="7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6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606,000</w:t>
            </w:r>
          </w:p>
        </w:tc>
        <w:tc>
          <w:tcPr>
            <w:tcW w:w="0" w:type="dxa"/>
            <w:vAlign w:val="bottom"/>
          </w:tcPr>
          <w:p>
            <w:pPr>
              <w:spacing w:after="0"/>
              <w:rPr>
                <w:sz w:val="1"/>
                <w:szCs w:val="1"/>
                <w:color w:val="auto"/>
              </w:rPr>
            </w:pPr>
          </w:p>
        </w:tc>
      </w:tr>
      <w:tr>
        <w:trPr>
          <w:trHeight w:val="226"/>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0" w:type="dxa"/>
            <w:vAlign w:val="bottom"/>
          </w:tcPr>
          <w:p>
            <w:pPr>
              <w:spacing w:after="0"/>
              <w:rPr>
                <w:sz w:val="1"/>
                <w:szCs w:val="1"/>
                <w:color w:val="auto"/>
              </w:rPr>
            </w:pPr>
          </w:p>
        </w:tc>
      </w:tr>
      <w:tr>
        <w:trPr>
          <w:trHeight w:val="226"/>
        </w:trPr>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1,031,000</w:t>
            </w:r>
          </w:p>
        </w:tc>
        <w:tc>
          <w:tcPr>
            <w:tcW w:w="0" w:type="dxa"/>
            <w:vAlign w:val="bottom"/>
          </w:tcPr>
          <w:p>
            <w:pPr>
              <w:spacing w:after="0"/>
              <w:rPr>
                <w:sz w:val="1"/>
                <w:szCs w:val="1"/>
                <w:color w:val="auto"/>
              </w:rPr>
            </w:pPr>
          </w:p>
        </w:tc>
      </w:tr>
      <w:tr>
        <w:trPr>
          <w:trHeight w:val="226"/>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0" w:type="dxa"/>
            <w:vAlign w:val="bottom"/>
          </w:tcPr>
          <w:p>
            <w:pPr>
              <w:spacing w:after="0"/>
              <w:rPr>
                <w:sz w:val="1"/>
                <w:szCs w:val="1"/>
                <w:color w:val="auto"/>
              </w:rPr>
            </w:pPr>
          </w:p>
        </w:tc>
      </w:tr>
      <w:tr>
        <w:trPr>
          <w:trHeight w:val="226"/>
        </w:trPr>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2,598,500</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9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0" w:type="dxa"/>
            <w:vAlign w:val="bottom"/>
          </w:tcPr>
          <w:p>
            <w:pPr>
              <w:spacing w:after="0"/>
              <w:rPr>
                <w:sz w:val="1"/>
                <w:szCs w:val="1"/>
                <w:color w:val="auto"/>
              </w:rPr>
            </w:pPr>
          </w:p>
        </w:tc>
      </w:tr>
      <w:tr>
        <w:trPr>
          <w:trHeight w:val="245"/>
        </w:trPr>
        <w:tc>
          <w:tcPr>
            <w:tcW w:w="20" w:type="dxa"/>
            <w:vAlign w:val="bottom"/>
            <w:tcBorders>
              <w:bottom w:val="single" w:sz="8" w:color="CCEEFF"/>
            </w:tcBorders>
            <w:shd w:val="clear" w:color="auto" w:fill="CCEEFF"/>
          </w:tcPr>
          <w:p>
            <w:pPr>
              <w:spacing w:after="0"/>
              <w:rPr>
                <w:sz w:val="20"/>
                <w:szCs w:val="20"/>
                <w:color w:val="auto"/>
              </w:rPr>
            </w:pPr>
          </w:p>
        </w:tc>
        <w:tc>
          <w:tcPr>
            <w:tcW w:w="9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5,797,500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7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Leases</w:t>
      </w:r>
    </w:p>
    <w:p>
      <w:pPr>
        <w:spacing w:after="0" w:line="114" w:lineRule="exact"/>
        <w:rPr>
          <w:sz w:val="20"/>
          <w:szCs w:val="20"/>
          <w:color w:val="auto"/>
        </w:rPr>
      </w:pPr>
    </w:p>
    <w:p>
      <w:pPr>
        <w:jc w:val="both"/>
        <w:ind w:right="40" w:firstLine="439"/>
        <w:spacing w:after="0" w:line="276" w:lineRule="auto"/>
        <w:rPr>
          <w:sz w:val="20"/>
          <w:szCs w:val="20"/>
          <w:color w:val="auto"/>
        </w:rPr>
      </w:pPr>
      <w:r>
        <w:rPr>
          <w:rFonts w:ascii="Times New Roman" w:cs="Times New Roman" w:eastAsia="Times New Roman" w:hAnsi="Times New Roman"/>
          <w:sz w:val="18"/>
          <w:szCs w:val="18"/>
          <w:color w:val="auto"/>
        </w:rPr>
        <w:t>We have noncancelable leases for our buildings and growing facilities and we are obligated to make payments under noncancelable operating leases for automobiles used by our sales force.</w:t>
      </w:r>
    </w:p>
    <w:p>
      <w:pPr>
        <w:spacing w:after="0" w:line="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components of the lease expense for the years ended December 31, 2023, 2022 and 2021 were as follows (in thousands):</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Lease Cost</w:t>
            </w:r>
          </w:p>
        </w:tc>
        <w:tc>
          <w:tcPr>
            <w:tcW w:w="11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6700" w:type="dxa"/>
            <w:vAlign w:val="bottom"/>
            <w:vMerge w:val="continue"/>
          </w:tcPr>
          <w:p>
            <w:pPr>
              <w:spacing w:after="0"/>
              <w:rPr>
                <w:sz w:val="15"/>
                <w:szCs w:val="15"/>
                <w:color w:val="auto"/>
              </w:rPr>
            </w:pPr>
          </w:p>
        </w:tc>
        <w:tc>
          <w:tcPr>
            <w:tcW w:w="118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180" w:type="dxa"/>
            <w:vAlign w:val="bottom"/>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6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7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cost</w:t>
            </w:r>
          </w:p>
        </w:tc>
        <w:tc>
          <w:tcPr>
            <w:tcW w:w="500" w:type="dxa"/>
            <w:vAlign w:val="bottom"/>
            <w:tcBorders>
              <w:top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19,394</w:t>
            </w:r>
          </w:p>
        </w:tc>
        <w:tc>
          <w:tcPr>
            <w:tcW w:w="10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19,670</w:t>
            </w:r>
          </w:p>
        </w:tc>
        <w:tc>
          <w:tcPr>
            <w:tcW w:w="10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23,869</w:t>
            </w:r>
          </w:p>
        </w:tc>
      </w:tr>
      <w:tr>
        <w:trPr>
          <w:trHeight w:val="226"/>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lease cost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w:t>
            </w:r>
          </w:p>
        </w:tc>
      </w:tr>
      <w:tr>
        <w:trPr>
          <w:trHeight w:val="226"/>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Variable lease cost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6"/>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Sublease income</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Finance Lease Cost</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26"/>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leased asset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26"/>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2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lease cost</w:t>
            </w:r>
          </w:p>
        </w:tc>
        <w:tc>
          <w:tcPr>
            <w:tcW w:w="5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26,601</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25,664</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30,038</w:t>
            </w:r>
          </w:p>
        </w:tc>
      </w:tr>
      <w:tr>
        <w:trPr>
          <w:trHeight w:val="20"/>
        </w:trPr>
        <w:tc>
          <w:tcPr>
            <w:tcW w:w="67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Supplemental balance sheet information related to operating and finance leases was as follows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0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3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300" w:type="dxa"/>
            <w:vAlign w:val="bottom"/>
            <w:tcBorders>
              <w:bottom w:val="single" w:sz="8" w:color="CCEEFF"/>
            </w:tcBorders>
            <w:vMerge w:val="continue"/>
          </w:tcPr>
          <w:p>
            <w:pPr>
              <w:spacing w:after="0"/>
              <w:rPr>
                <w:sz w:val="16"/>
                <w:szCs w:val="16"/>
                <w:color w:val="auto"/>
              </w:rPr>
            </w:pPr>
          </w:p>
        </w:tc>
        <w:tc>
          <w:tcPr>
            <w:tcW w:w="34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assets</w:t>
            </w: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65,340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73,326</w:t>
            </w:r>
          </w:p>
        </w:tc>
        <w:tc>
          <w:tcPr>
            <w:tcW w:w="0" w:type="dxa"/>
            <w:vAlign w:val="bottom"/>
          </w:tcPr>
          <w:p>
            <w:pPr>
              <w:spacing w:after="0"/>
              <w:rPr>
                <w:sz w:val="1"/>
                <w:szCs w:val="1"/>
                <w:color w:val="auto"/>
              </w:rPr>
            </w:pPr>
          </w:p>
        </w:tc>
      </w:tr>
      <w:tr>
        <w:trPr>
          <w:trHeight w:val="226"/>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 assets</w:t>
            </w: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4,450</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w:t>
            </w:r>
          </w:p>
        </w:tc>
        <w:tc>
          <w:tcPr>
            <w:tcW w:w="0" w:type="dxa"/>
            <w:vAlign w:val="bottom"/>
          </w:tcPr>
          <w:p>
            <w:pPr>
              <w:spacing w:after="0"/>
              <w:rPr>
                <w:sz w:val="1"/>
                <w:szCs w:val="1"/>
                <w:color w:val="auto"/>
              </w:rPr>
            </w:pPr>
          </w:p>
        </w:tc>
      </w:tr>
      <w:tr>
        <w:trPr>
          <w:trHeight w:val="220"/>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assets</w:t>
            </w:r>
          </w:p>
        </w:tc>
        <w:tc>
          <w:tcPr>
            <w:tcW w:w="3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69,790</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77,997</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300" w:type="dxa"/>
            <w:vAlign w:val="bottom"/>
            <w:shd w:val="clear" w:color="auto" w:fill="CCEEFF"/>
          </w:tcPr>
          <w:p>
            <w:pPr>
              <w:spacing w:after="0"/>
              <w:rPr>
                <w:sz w:val="20"/>
                <w:szCs w:val="20"/>
                <w:color w:val="auto"/>
              </w:rPr>
            </w:pPr>
          </w:p>
        </w:tc>
        <w:tc>
          <w:tcPr>
            <w:tcW w:w="34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19,019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15,557</w:t>
            </w:r>
          </w:p>
        </w:tc>
        <w:tc>
          <w:tcPr>
            <w:tcW w:w="0" w:type="dxa"/>
            <w:vAlign w:val="bottom"/>
          </w:tcPr>
          <w:p>
            <w:pPr>
              <w:spacing w:after="0"/>
              <w:rPr>
                <w:sz w:val="1"/>
                <w:szCs w:val="1"/>
                <w:color w:val="auto"/>
              </w:rPr>
            </w:pPr>
          </w:p>
        </w:tc>
      </w:tr>
      <w:tr>
        <w:trPr>
          <w:trHeight w:val="226"/>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428</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2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3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59,225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71,838</w:t>
            </w:r>
          </w:p>
        </w:tc>
        <w:tc>
          <w:tcPr>
            <w:tcW w:w="0" w:type="dxa"/>
            <w:vAlign w:val="bottom"/>
          </w:tcPr>
          <w:p>
            <w:pPr>
              <w:spacing w:after="0"/>
              <w:rPr>
                <w:sz w:val="1"/>
                <w:szCs w:val="1"/>
                <w:color w:val="auto"/>
              </w:rPr>
            </w:pPr>
          </w:p>
        </w:tc>
      </w:tr>
      <w:tr>
        <w:trPr>
          <w:trHeight w:val="226"/>
        </w:trPr>
        <w:tc>
          <w:tcPr>
            <w:tcW w:w="3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3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5,039</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5,210</w:t>
            </w:r>
          </w:p>
        </w:tc>
        <w:tc>
          <w:tcPr>
            <w:tcW w:w="0" w:type="dxa"/>
            <w:vAlign w:val="bottom"/>
          </w:tcPr>
          <w:p>
            <w:pPr>
              <w:spacing w:after="0"/>
              <w:rPr>
                <w:sz w:val="1"/>
                <w:szCs w:val="1"/>
                <w:color w:val="auto"/>
              </w:rPr>
            </w:pPr>
          </w:p>
        </w:tc>
      </w:tr>
      <w:tr>
        <w:trPr>
          <w:trHeight w:val="245"/>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34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83,711</w:t>
            </w: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92,986</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33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gridSpan w:val="6"/>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Lease Term and Discount Rate</w:t>
            </w:r>
          </w:p>
        </w:tc>
        <w:tc>
          <w:tcPr>
            <w:tcW w:w="3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300" w:type="dxa"/>
            <w:vAlign w:val="bottom"/>
            <w:tcBorders>
              <w:bottom w:val="single" w:sz="8" w:color="CCEEFF"/>
            </w:tcBorders>
            <w:vMerge w:val="continue"/>
          </w:tcPr>
          <w:p>
            <w:pPr>
              <w:spacing w:after="0"/>
              <w:rPr>
                <w:sz w:val="16"/>
                <w:szCs w:val="16"/>
                <w:color w:val="auto"/>
              </w:rPr>
            </w:pPr>
          </w:p>
        </w:tc>
        <w:tc>
          <w:tcPr>
            <w:tcW w:w="344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3"/>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3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6"/>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3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2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3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32"/>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3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421"/>
        </w:trPr>
        <w:tc>
          <w:tcPr>
            <w:tcW w:w="818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and finance leases was as follows (in thousands):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33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3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300" w:type="dxa"/>
            <w:vAlign w:val="bottom"/>
            <w:tcBorders>
              <w:bottom w:val="single" w:sz="8" w:color="CCEEFF"/>
            </w:tcBorders>
          </w:tcPr>
          <w:p>
            <w:pPr>
              <w:spacing w:after="0"/>
              <w:rPr>
                <w:sz w:val="16"/>
                <w:szCs w:val="16"/>
                <w:color w:val="auto"/>
              </w:rPr>
            </w:pPr>
          </w:p>
        </w:tc>
        <w:tc>
          <w:tcPr>
            <w:tcW w:w="34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3"/>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20,646</w:t>
            </w:r>
          </w:p>
        </w:tc>
        <w:tc>
          <w:tcPr>
            <w:tcW w:w="3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20,544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24,847</w:t>
            </w:r>
          </w:p>
        </w:tc>
        <w:tc>
          <w:tcPr>
            <w:tcW w:w="0" w:type="dxa"/>
            <w:vAlign w:val="bottom"/>
          </w:tcPr>
          <w:p>
            <w:pPr>
              <w:spacing w:after="0"/>
              <w:rPr>
                <w:sz w:val="1"/>
                <w:szCs w:val="1"/>
                <w:color w:val="auto"/>
              </w:rPr>
            </w:pPr>
          </w:p>
        </w:tc>
      </w:tr>
      <w:tr>
        <w:trPr>
          <w:trHeight w:val="226"/>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7"/>
              </w:rPr>
              <w:t>Operating cash outflows from finance leases</w:t>
            </w:r>
          </w:p>
        </w:tc>
        <w:tc>
          <w:tcPr>
            <w:tcW w:w="3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806</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26"/>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7"/>
              </w:rPr>
              <w:t>Financing cash outflows from finance leases</w:t>
            </w:r>
          </w:p>
        </w:tc>
        <w:tc>
          <w:tcPr>
            <w:tcW w:w="3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26"/>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operating activities:</w:t>
            </w:r>
          </w:p>
        </w:tc>
        <w:tc>
          <w:tcPr>
            <w:tcW w:w="3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 assets obtained in exchange for new operating lease liabilities</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9,953</w:t>
            </w:r>
          </w:p>
        </w:tc>
        <w:tc>
          <w:tcPr>
            <w:tcW w:w="3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4,312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8,188</w:t>
            </w:r>
          </w:p>
        </w:tc>
        <w:tc>
          <w:tcPr>
            <w:tcW w:w="0" w:type="dxa"/>
            <w:vAlign w:val="bottom"/>
          </w:tcPr>
          <w:p>
            <w:pPr>
              <w:spacing w:after="0"/>
              <w:rPr>
                <w:sz w:val="1"/>
                <w:szCs w:val="1"/>
                <w:color w:val="auto"/>
              </w:rPr>
            </w:pPr>
          </w:p>
        </w:tc>
      </w:tr>
      <w:tr>
        <w:trPr>
          <w:trHeight w:val="226"/>
        </w:trPr>
        <w:tc>
          <w:tcPr>
            <w:tcW w:w="6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 assets obtained in exchange for new finance lease liabilities</w:t>
            </w: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26"/>
        </w:trPr>
        <w:tc>
          <w:tcPr>
            <w:tcW w:w="6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De-recognition of operating lease asset on lease assignment / termination</w:t>
            </w:r>
          </w:p>
        </w:tc>
        <w:tc>
          <w:tcPr>
            <w:tcW w:w="3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4,169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56,968</w:t>
            </w:r>
          </w:p>
        </w:tc>
        <w:tc>
          <w:tcPr>
            <w:tcW w:w="0" w:type="dxa"/>
            <w:vAlign w:val="bottom"/>
          </w:tcPr>
          <w:p>
            <w:pPr>
              <w:spacing w:after="0"/>
              <w:rPr>
                <w:sz w:val="1"/>
                <w:szCs w:val="1"/>
                <w:color w:val="auto"/>
              </w:rPr>
            </w:pPr>
          </w:p>
        </w:tc>
      </w:tr>
      <w:tr>
        <w:trPr>
          <w:trHeight w:val="226"/>
        </w:trPr>
        <w:tc>
          <w:tcPr>
            <w:tcW w:w="6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De-recognition of operating lease liability on lease assignment / termination</w:t>
            </w: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4,457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Maturities of operating and finance lease liabilities were as follows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80" w:type="dxa"/>
            <w:vAlign w:val="bottom"/>
          </w:tcPr>
          <w:p>
            <w:pPr>
              <w:spacing w:after="0"/>
              <w:rPr>
                <w:sz w:val="13"/>
                <w:szCs w:val="13"/>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00" w:type="dxa"/>
            <w:vAlign w:val="bottom"/>
          </w:tcPr>
          <w:p>
            <w:pPr>
              <w:spacing w:after="0"/>
              <w:rPr>
                <w:sz w:val="13"/>
                <w:szCs w:val="13"/>
                <w:color w:val="auto"/>
              </w:rPr>
            </w:pPr>
          </w:p>
        </w:tc>
        <w:tc>
          <w:tcPr>
            <w:tcW w:w="13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33"/>
        </w:trPr>
        <w:tc>
          <w:tcPr>
            <w:tcW w:w="20" w:type="dxa"/>
            <w:vAlign w:val="bottom"/>
            <w:tcBorders>
              <w:bottom w:val="single" w:sz="8" w:color="CCEEFF"/>
            </w:tcBorders>
          </w:tcPr>
          <w:p>
            <w:pPr>
              <w:spacing w:after="0"/>
              <w:rPr>
                <w:sz w:val="2"/>
                <w:szCs w:val="2"/>
                <w:color w:val="auto"/>
              </w:rPr>
            </w:pPr>
          </w:p>
        </w:tc>
        <w:tc>
          <w:tcPr>
            <w:tcW w:w="1620" w:type="dxa"/>
            <w:vAlign w:val="bottom"/>
            <w:tcBorders>
              <w:top w:val="single" w:sz="8" w:color="auto"/>
              <w:bottom w:val="single" w:sz="8" w:color="CCEEFF"/>
            </w:tcBorders>
          </w:tcPr>
          <w:p>
            <w:pPr>
              <w:spacing w:after="0"/>
              <w:rPr>
                <w:sz w:val="2"/>
                <w:szCs w:val="2"/>
                <w:color w:val="auto"/>
              </w:rPr>
            </w:pPr>
          </w:p>
        </w:tc>
        <w:tc>
          <w:tcPr>
            <w:tcW w:w="6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0"/>
        </w:trPr>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4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center"/>
              <w:ind w:left="633"/>
              <w:spacing w:after="0"/>
              <w:rPr>
                <w:sz w:val="20"/>
                <w:szCs w:val="20"/>
                <w:color w:val="auto"/>
              </w:rPr>
            </w:pPr>
            <w:r>
              <w:rPr>
                <w:rFonts w:ascii="Times New Roman" w:cs="Times New Roman" w:eastAsia="Times New Roman" w:hAnsi="Times New Roman"/>
                <w:sz w:val="18"/>
                <w:szCs w:val="18"/>
                <w:color w:val="auto"/>
                <w:w w:val="96"/>
              </w:rPr>
              <w:t>22,841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r>
      <w:tr>
        <w:trPr>
          <w:trHeight w:val="226"/>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center"/>
              <w:ind w:left="633"/>
              <w:spacing w:after="0"/>
              <w:rPr>
                <w:sz w:val="20"/>
                <w:szCs w:val="20"/>
                <w:color w:val="auto"/>
              </w:rPr>
            </w:pPr>
            <w:r>
              <w:rPr>
                <w:rFonts w:ascii="Times New Roman" w:cs="Times New Roman" w:eastAsia="Times New Roman" w:hAnsi="Times New Roman"/>
                <w:sz w:val="18"/>
                <w:szCs w:val="18"/>
                <w:color w:val="auto"/>
                <w:w w:val="96"/>
              </w:rPr>
              <w:t>16,891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r>
      <w:tr>
        <w:trPr>
          <w:trHeight w:val="226"/>
        </w:trPr>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633"/>
              <w:spacing w:after="0"/>
              <w:rPr>
                <w:sz w:val="20"/>
                <w:szCs w:val="20"/>
                <w:color w:val="auto"/>
              </w:rPr>
            </w:pPr>
            <w:r>
              <w:rPr>
                <w:rFonts w:ascii="Times New Roman" w:cs="Times New Roman" w:eastAsia="Times New Roman" w:hAnsi="Times New Roman"/>
                <w:sz w:val="18"/>
                <w:szCs w:val="18"/>
                <w:color w:val="auto"/>
                <w:w w:val="96"/>
              </w:rPr>
              <w:t>14,184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r>
      <w:tr>
        <w:trPr>
          <w:trHeight w:val="226"/>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center"/>
              <w:ind w:left="633"/>
              <w:spacing w:after="0"/>
              <w:rPr>
                <w:sz w:val="20"/>
                <w:szCs w:val="20"/>
                <w:color w:val="auto"/>
              </w:rPr>
            </w:pPr>
            <w:r>
              <w:rPr>
                <w:rFonts w:ascii="Times New Roman" w:cs="Times New Roman" w:eastAsia="Times New Roman" w:hAnsi="Times New Roman"/>
                <w:sz w:val="18"/>
                <w:szCs w:val="18"/>
                <w:color w:val="auto"/>
                <w:w w:val="96"/>
              </w:rPr>
              <w:t>12,675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r>
      <w:tr>
        <w:trPr>
          <w:trHeight w:val="226"/>
        </w:trPr>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633"/>
              <w:spacing w:after="0"/>
              <w:rPr>
                <w:sz w:val="20"/>
                <w:szCs w:val="20"/>
                <w:color w:val="auto"/>
              </w:rPr>
            </w:pPr>
            <w:r>
              <w:rPr>
                <w:rFonts w:ascii="Times New Roman" w:cs="Times New Roman" w:eastAsia="Times New Roman" w:hAnsi="Times New Roman"/>
                <w:sz w:val="18"/>
                <w:szCs w:val="18"/>
                <w:color w:val="auto"/>
                <w:w w:val="96"/>
              </w:rPr>
              <w:t>12,008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26"/>
        </w:trPr>
        <w:tc>
          <w:tcPr>
            <w:tcW w:w="2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633"/>
              <w:spacing w:after="0"/>
              <w:rPr>
                <w:sz w:val="20"/>
                <w:szCs w:val="20"/>
                <w:color w:val="auto"/>
              </w:rPr>
            </w:pPr>
            <w:r>
              <w:rPr>
                <w:rFonts w:ascii="Times New Roman" w:cs="Times New Roman" w:eastAsia="Times New Roman" w:hAnsi="Times New Roman"/>
                <w:sz w:val="18"/>
                <w:szCs w:val="18"/>
                <w:color w:val="auto"/>
                <w:w w:val="96"/>
              </w:rPr>
              <w:t>11,819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4,382</w:t>
            </w:r>
          </w:p>
        </w:tc>
      </w:tr>
      <w:tr>
        <w:trPr>
          <w:trHeight w:val="22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8,230</w:t>
            </w:r>
          </w:p>
        </w:tc>
      </w:tr>
      <w:tr>
        <w:trPr>
          <w:trHeight w:val="226"/>
        </w:trPr>
        <w:tc>
          <w:tcPr>
            <w:tcW w:w="2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613"/>
              <w:spacing w:after="0"/>
              <w:rPr>
                <w:sz w:val="20"/>
                <w:szCs w:val="20"/>
                <w:color w:val="auto"/>
              </w:rPr>
            </w:pPr>
            <w:r>
              <w:rPr>
                <w:rFonts w:ascii="Times New Roman" w:cs="Times New Roman" w:eastAsia="Times New Roman" w:hAnsi="Times New Roman"/>
                <w:sz w:val="18"/>
                <w:szCs w:val="18"/>
                <w:color w:val="auto"/>
              </w:rPr>
              <w:t>(12,174)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(2,763)</w:t>
            </w:r>
          </w:p>
        </w:tc>
      </w:tr>
      <w:tr>
        <w:trPr>
          <w:trHeight w:val="245"/>
        </w:trPr>
        <w:tc>
          <w:tcPr>
            <w:tcW w:w="20" w:type="dxa"/>
            <w:vAlign w:val="bottom"/>
            <w:tcBorders>
              <w:bottom w:val="single" w:sz="8" w:color="CCEEFF"/>
            </w:tcBorders>
            <w:shd w:val="clear" w:color="auto" w:fill="CCEEFF"/>
          </w:tcPr>
          <w:p>
            <w:pPr>
              <w:spacing w:after="0"/>
              <w:rPr>
                <w:sz w:val="20"/>
                <w:szCs w:val="20"/>
                <w:color w:val="auto"/>
              </w:rPr>
            </w:pPr>
          </w:p>
        </w:tc>
        <w:tc>
          <w:tcPr>
            <w:tcW w:w="8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center"/>
              <w:ind w:left="633"/>
              <w:spacing w:after="0"/>
              <w:rPr>
                <w:sz w:val="20"/>
                <w:szCs w:val="20"/>
                <w:color w:val="auto"/>
              </w:rPr>
            </w:pPr>
            <w:r>
              <w:rPr>
                <w:rFonts w:ascii="Times New Roman" w:cs="Times New Roman" w:eastAsia="Times New Roman" w:hAnsi="Times New Roman"/>
                <w:sz w:val="18"/>
                <w:szCs w:val="18"/>
                <w:color w:val="auto"/>
                <w:w w:val="96"/>
              </w:rPr>
              <w:t>78,244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16" w:lineRule="exact"/>
        <w:rPr>
          <w:sz w:val="20"/>
          <w:szCs w:val="20"/>
          <w:color w:val="auto"/>
        </w:rPr>
      </w:pPr>
    </w:p>
    <w:p>
      <w:pPr>
        <w:ind w:right="240" w:firstLine="439"/>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we enter into agreements that contain a variety of representations and warranties and provide for general indemnification, including indemnification associated with product liability or infringement of intellectual property rights. Our exposure under these agreements is unknown because it involves future claims that may be made but have not yet been made against us. To date, we have not paid any claims or been required to defend any action related to these indemnification obligations.</w:t>
      </w:r>
    </w:p>
    <w:p>
      <w:pPr>
        <w:spacing w:after="0" w:line="75" w:lineRule="exact"/>
        <w:rPr>
          <w:sz w:val="20"/>
          <w:szCs w:val="20"/>
          <w:color w:val="auto"/>
        </w:rPr>
      </w:pPr>
    </w:p>
    <w:p>
      <w:pPr>
        <w:ind w:right="20" w:firstLine="439"/>
        <w:spacing w:after="0" w:line="251" w:lineRule="auto"/>
        <w:rPr>
          <w:sz w:val="20"/>
          <w:szCs w:val="20"/>
          <w:color w:val="auto"/>
        </w:rPr>
      </w:pPr>
      <w:r>
        <w:rPr>
          <w:rFonts w:ascii="Times New Roman" w:cs="Times New Roman" w:eastAsia="Times New Roman" w:hAnsi="Times New Roman"/>
          <w:sz w:val="18"/>
          <w:szCs w:val="18"/>
          <w:color w:val="auto"/>
        </w:rPr>
        <w:t>We have agreed to indemnify our executive officers, directors and certain other employees for losses and costs incurred in connection with certain events or occurrences, including advancing money to cover certain costs, subject to certain limitations. The maximum potential amount of future payments we could be required to make under the indemnification obligations is unlimited; however, we maintain insurance policies that may limit our exposure and may enable us to recover a portion of any future amounts paid. Assuming the applicability of coverage, the willingness of the insurer to assume coverage, and subject to certain retention, loss limits and other policy provisions, we believe the fair value of these indemnification obligations is not significant. Accordingly, we did not recognize any liabilities relating to these obligations as of December 31, 2023 and December 31, 2022. No assurances can be given that the covering insurers will not attempt to dispute the validity, applicability, or amount of coverage without expensive litigation against these insurers, in which case we may incur substantial liabilities as a result of these indemnification obligations.</w:t>
      </w:r>
    </w:p>
    <w:p>
      <w:pPr>
        <w:spacing w:after="0" w:line="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116" w:lineRule="exact"/>
        <w:rPr>
          <w:sz w:val="20"/>
          <w:szCs w:val="20"/>
          <w:color w:val="auto"/>
        </w:rPr>
      </w:pPr>
    </w:p>
    <w:p>
      <w:pPr>
        <w:ind w:right="320" w:firstLine="439"/>
        <w:spacing w:after="0" w:line="276" w:lineRule="auto"/>
        <w:rPr>
          <w:sz w:val="20"/>
          <w:szCs w:val="20"/>
          <w:color w:val="auto"/>
        </w:rPr>
      </w:pPr>
      <w:r>
        <w:rPr>
          <w:rFonts w:ascii="Times New Roman" w:cs="Times New Roman" w:eastAsia="Times New Roman" w:hAnsi="Times New Roman"/>
          <w:sz w:val="18"/>
          <w:szCs w:val="18"/>
          <w:color w:val="auto"/>
        </w:rPr>
        <w:t>As of December 31, 2023, we had $56.6 million of noncancelable purchase commitments due within one year, primarily related to agreements with third party manufacturers.</w:t>
      </w:r>
    </w:p>
    <w:p>
      <w:pPr>
        <w:spacing w:after="0" w:line="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are involved in legal proceedings, including the following matters:</w:t>
      </w:r>
    </w:p>
    <w:p>
      <w:pPr>
        <w:spacing w:after="0" w:line="1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Xyrem Antitrust Litigation</w:t>
      </w:r>
    </w:p>
    <w:p>
      <w:pPr>
        <w:spacing w:after="0" w:line="114" w:lineRule="exact"/>
        <w:rPr>
          <w:sz w:val="20"/>
          <w:szCs w:val="20"/>
          <w:color w:val="auto"/>
        </w:rPr>
      </w:pPr>
    </w:p>
    <w:p>
      <w:pPr>
        <w:ind w:right="80" w:firstLine="439"/>
        <w:spacing w:after="0" w:line="261" w:lineRule="auto"/>
        <w:rPr>
          <w:sz w:val="20"/>
          <w:szCs w:val="20"/>
          <w:color w:val="auto"/>
        </w:rPr>
      </w:pPr>
      <w:r>
        <w:rPr>
          <w:rFonts w:ascii="Times New Roman" w:cs="Times New Roman" w:eastAsia="Times New Roman" w:hAnsi="Times New Roman"/>
          <w:sz w:val="18"/>
          <w:szCs w:val="18"/>
          <w:color w:val="auto"/>
        </w:rPr>
        <w:t>From June 2020 to May 2022, a number of lawsuits were filed on behalf of purported direct and indirect Xyrem purchasers, alleging that the patent litigation settlement agreements we entered with generic drug manufacturers who had filed Abbreviated New Drug Applications, or ANDA, violate state and federal antitrust and consumer protection laws, as follows:</w:t>
      </w:r>
    </w:p>
    <w:p>
      <w:pPr>
        <w:spacing w:after="0" w:line="70" w:lineRule="exact"/>
        <w:rPr>
          <w:sz w:val="20"/>
          <w:szCs w:val="20"/>
          <w:color w:val="auto"/>
        </w:rPr>
      </w:pPr>
    </w:p>
    <w:p>
      <w:pPr>
        <w:ind w:right="60" w:firstLine="439"/>
        <w:spacing w:after="0" w:line="254" w:lineRule="auto"/>
        <w:rPr>
          <w:sz w:val="20"/>
          <w:szCs w:val="20"/>
          <w:color w:val="auto"/>
        </w:rPr>
      </w:pPr>
      <w:r>
        <w:rPr>
          <w:rFonts w:ascii="Times New Roman" w:cs="Times New Roman" w:eastAsia="Times New Roman" w:hAnsi="Times New Roman"/>
          <w:sz w:val="18"/>
          <w:szCs w:val="18"/>
          <w:color w:val="auto"/>
        </w:rPr>
        <w:t>On June 17, 2020, a class action lawsuit was filed in the United States District Court for the Northern District of Illinois by Blue Cross and Blue Shield Association, or BCBS, against Jazz Pharmaceuticals plc, Jazz Pharmaceuticals, Inc., and Jazz Pharmaceuticals Ireland Limited, or, collectively, the Company Defendants (hereinafter referred to as the BCBS Lawsuit). The BCBS Lawsuit also names Roxane Laboratories, Inc., Hikma Pharmaceuticals USA Inc., Eurohealth (USA), Inc., Hikma Pharmaceuticals plc, Amneal Pharmaceuticals LLC, Par Pharmaceutical, Inc., Lupin Ltd., Lupin Pharmaceuticals Inc., and Lupin Inc., or, collectively, the BCBS Defendants.</w:t>
      </w:r>
    </w:p>
    <w:p>
      <w:pPr>
        <w:spacing w:after="0" w:line="76" w:lineRule="exact"/>
        <w:rPr>
          <w:sz w:val="20"/>
          <w:szCs w:val="20"/>
          <w:color w:val="auto"/>
        </w:rPr>
      </w:pPr>
    </w:p>
    <w:p>
      <w:pPr>
        <w:ind w:firstLine="439"/>
        <w:spacing w:after="0" w:line="256" w:lineRule="auto"/>
        <w:rPr>
          <w:sz w:val="20"/>
          <w:szCs w:val="20"/>
          <w:color w:val="auto"/>
        </w:rPr>
      </w:pPr>
      <w:r>
        <w:rPr>
          <w:rFonts w:ascii="Times New Roman" w:cs="Times New Roman" w:eastAsia="Times New Roman" w:hAnsi="Times New Roman"/>
          <w:sz w:val="18"/>
          <w:szCs w:val="18"/>
          <w:color w:val="auto"/>
        </w:rPr>
        <w:t>On June 18 and June 23, 2020, respectively, two additional class action lawsuits were filed against the Company Defendants and the BCBS Defendants: one by the New York State Teamsters Council Health and Hospital Fund in the United States District Court for the Northern District of California, and another by the Government Employees Health Association Inc. in the United States District Court for the Northern District of Illinois (hereinafter referred to as the GEHA Lawsuit).</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74" w:lineRule="exact"/>
        <w:rPr>
          <w:sz w:val="20"/>
          <w:szCs w:val="20"/>
          <w:color w:val="auto"/>
        </w:rPr>
      </w:pPr>
    </w:p>
    <w:p>
      <w:pPr>
        <w:ind w:right="140" w:firstLine="439"/>
        <w:spacing w:after="0" w:line="256" w:lineRule="auto"/>
        <w:rPr>
          <w:sz w:val="20"/>
          <w:szCs w:val="20"/>
          <w:color w:val="auto"/>
        </w:rPr>
      </w:pPr>
      <w:r>
        <w:rPr>
          <w:rFonts w:ascii="Times New Roman" w:cs="Times New Roman" w:eastAsia="Times New Roman" w:hAnsi="Times New Roman"/>
          <w:sz w:val="18"/>
          <w:szCs w:val="18"/>
          <w:color w:val="auto"/>
        </w:rPr>
        <w:t>On June 18, 2020, a class action lawsuit was filed in the United States District Court for the Northern District of California by the City of Providence, Rhode Island, on behalf of itself and all others similarly situated, against Jazz Pharmaceuticals plc, and Roxane Laboratories, Inc., West-Ward Pharmaceuticals Corp., Hikma Labs Inc., Hikma Pharmaceuticals USA Inc., and Hikma Pharmaceuticals plc, or, collectively, the City of Providence Defendants.</w:t>
      </w:r>
    </w:p>
    <w:p>
      <w:pPr>
        <w:spacing w:after="0" w:line="75" w:lineRule="exact"/>
        <w:rPr>
          <w:sz w:val="20"/>
          <w:szCs w:val="20"/>
          <w:color w:val="auto"/>
        </w:rPr>
      </w:pPr>
    </w:p>
    <w:p>
      <w:pPr>
        <w:ind w:right="40" w:firstLine="439"/>
        <w:spacing w:after="0" w:line="256" w:lineRule="auto"/>
        <w:rPr>
          <w:sz w:val="20"/>
          <w:szCs w:val="20"/>
          <w:color w:val="auto"/>
        </w:rPr>
      </w:pPr>
      <w:r>
        <w:rPr>
          <w:rFonts w:ascii="Times New Roman" w:cs="Times New Roman" w:eastAsia="Times New Roman" w:hAnsi="Times New Roman"/>
          <w:sz w:val="18"/>
          <w:szCs w:val="18"/>
          <w:color w:val="auto"/>
        </w:rPr>
        <w:t>On June 30, 2020, a class action lawsuit was filed in the United States District Court for the Northern District of Illinois by UFCW Local 1500 Welfare Fund on behalf of itself and all others similarly situated, against Jazz Pharmaceuticals Ireland Ltd., Jazz Pharmaceuticals, Inc., Roxane Laboratories, Inc., Hikma Pharmaceuticals plc, Eurohealth (USA), Inc. and West-Ward Pharmaceuticals Corp., or collectively the UFCW Defendants (hereinafter referred to as the UFCW Lawsuit).</w:t>
      </w:r>
    </w:p>
    <w:p>
      <w:pPr>
        <w:spacing w:after="0" w:line="75" w:lineRule="exact"/>
        <w:rPr>
          <w:sz w:val="20"/>
          <w:szCs w:val="20"/>
          <w:color w:val="auto"/>
        </w:rPr>
      </w:pPr>
    </w:p>
    <w:p>
      <w:pPr>
        <w:ind w:right="140" w:firstLine="439"/>
        <w:spacing w:after="0" w:line="256" w:lineRule="auto"/>
        <w:rPr>
          <w:sz w:val="20"/>
          <w:szCs w:val="20"/>
          <w:color w:val="auto"/>
        </w:rPr>
      </w:pPr>
      <w:r>
        <w:rPr>
          <w:rFonts w:ascii="Times New Roman" w:cs="Times New Roman" w:eastAsia="Times New Roman" w:hAnsi="Times New Roman"/>
          <w:sz w:val="18"/>
          <w:szCs w:val="18"/>
          <w:color w:val="auto"/>
        </w:rPr>
        <w:t>On July 13, 2020, the plaintiffs in the BCBS Lawsuit and the GEHA Lawsuit dismissed their complaints in the United States District Court for the Northern District of Illinois and refiled their respective lawsuits in the United States District Court for the Northern District of California. On July 14, 2020, the plaintiffs in the UFCW Lawsuit dismissed their complaint in the United States District Court for the Northern District of Illinois and on July 15, 2020, refiled their lawsuit in the United States District Court for the Northern District of California.</w:t>
      </w:r>
    </w:p>
    <w:p>
      <w:pPr>
        <w:spacing w:after="0" w:line="75" w:lineRule="exact"/>
        <w:rPr>
          <w:sz w:val="20"/>
          <w:szCs w:val="20"/>
          <w:color w:val="auto"/>
        </w:rPr>
      </w:pPr>
    </w:p>
    <w:p>
      <w:pPr>
        <w:jc w:val="both"/>
        <w:ind w:right="280" w:firstLine="439"/>
        <w:spacing w:after="0" w:line="256" w:lineRule="auto"/>
        <w:rPr>
          <w:sz w:val="20"/>
          <w:szCs w:val="20"/>
          <w:color w:val="auto"/>
        </w:rPr>
      </w:pPr>
      <w:r>
        <w:rPr>
          <w:rFonts w:ascii="Times New Roman" w:cs="Times New Roman" w:eastAsia="Times New Roman" w:hAnsi="Times New Roman"/>
          <w:sz w:val="18"/>
          <w:szCs w:val="18"/>
          <w:color w:val="auto"/>
        </w:rPr>
        <w:t>On July 31, 2020, a class action lawsuit was filed in the United States District Court for the Southern District of New York by the A.F. of L.-A.G.C. Building Trades Welfare Plan on behalf of itself and all others similarly situated, against Jazz Pharmaceuticals plc (hereinafter referred to as the AFL Plan Lawsuit). The AFL Plan Lawsuit also names Roxane Laboratories Inc., West-Ward Pharmaceuticals Corp., Hikma Labs Inc., Hikma Pharmaceuticals plc, Amneal Pharmaceuticals LLC, Par Pharmaceutical, Inc., Lupin Ltd., Lupin Pharmaceuticals, Inc., and Lupin Inc.</w:t>
      </w:r>
    </w:p>
    <w:p>
      <w:pPr>
        <w:spacing w:after="0" w:line="75" w:lineRule="exact"/>
        <w:rPr>
          <w:sz w:val="20"/>
          <w:szCs w:val="20"/>
          <w:color w:val="auto"/>
        </w:rPr>
      </w:pPr>
    </w:p>
    <w:p>
      <w:pPr>
        <w:ind w:right="140" w:firstLine="439"/>
        <w:spacing w:after="0" w:line="251" w:lineRule="auto"/>
        <w:rPr>
          <w:sz w:val="20"/>
          <w:szCs w:val="20"/>
          <w:color w:val="auto"/>
        </w:rPr>
      </w:pPr>
      <w:r>
        <w:rPr>
          <w:rFonts w:ascii="Times New Roman" w:cs="Times New Roman" w:eastAsia="Times New Roman" w:hAnsi="Times New Roman"/>
          <w:sz w:val="18"/>
          <w:szCs w:val="18"/>
          <w:color w:val="auto"/>
        </w:rPr>
        <w:t>On August 14, 2020, an additional class action lawsuit was filed in the United States District Court for the Southern District of New York by the Self-Insured Schools of California on behalf of itself and all others similarly situated, against the Company Defendants, as well as Hikma Pharmaceuticals plc, Eurohealth (USA) Inc., Hikma Pharmaceuticals USA, Inc., West-Ward Pharmaceuticals Corp., Roxane Laboratories, Inc., Amneal Pharmaceuticals LLC, Endo International, plc, Endo Pharmaceuticals LLC, Par Pharmaceutical, Inc., Lupin Ltd., Lupin Pharmaceuticals Inc., Lupin Inc., Sun Pharmaceutical Industries Ltd., Sun Pharmaceutical Holdings USA, Inc., Sun Pharmaceutical Industries, Inc., Ranbaxy Laboratories Ltd., Teva Pharmaceutical Industries Ltd., Watson Laboratories, Inc., Wockhardt Ltd., Morton Grove Pharmaceuticals, Inc., Wockhardt USA LLC, Mallinckrodt plc, and Mallinckrodt LLC (hereinafter referred to as the Self-Insured Schools Lawsuit).</w:t>
      </w:r>
    </w:p>
    <w:p>
      <w:pPr>
        <w:spacing w:after="0" w:line="82" w:lineRule="exact"/>
        <w:rPr>
          <w:sz w:val="20"/>
          <w:szCs w:val="20"/>
          <w:color w:val="auto"/>
        </w:rPr>
      </w:pPr>
    </w:p>
    <w:p>
      <w:pPr>
        <w:ind w:right="120" w:firstLine="439"/>
        <w:spacing w:after="0" w:line="276" w:lineRule="auto"/>
        <w:rPr>
          <w:sz w:val="20"/>
          <w:szCs w:val="20"/>
          <w:color w:val="auto"/>
        </w:rPr>
      </w:pPr>
      <w:r>
        <w:rPr>
          <w:rFonts w:ascii="Times New Roman" w:cs="Times New Roman" w:eastAsia="Times New Roman" w:hAnsi="Times New Roman"/>
          <w:sz w:val="18"/>
          <w:szCs w:val="18"/>
          <w:color w:val="auto"/>
        </w:rPr>
        <w:t>On September 16, 2020, an additional class action lawsuit was filed in the United States District Court for the Northern District of California, by Ruth Hollman on behalf of herself and all others similarly situated, against the same defendants named in the Self-Insured Schools Lawsuit.</w:t>
      </w:r>
    </w:p>
    <w:p>
      <w:pPr>
        <w:spacing w:after="0" w:line="56" w:lineRule="exact"/>
        <w:rPr>
          <w:sz w:val="20"/>
          <w:szCs w:val="20"/>
          <w:color w:val="auto"/>
        </w:rPr>
      </w:pPr>
    </w:p>
    <w:p>
      <w:pPr>
        <w:ind w:right="220" w:firstLine="439"/>
        <w:spacing w:after="0" w:line="276" w:lineRule="auto"/>
        <w:rPr>
          <w:sz w:val="20"/>
          <w:szCs w:val="20"/>
          <w:color w:val="auto"/>
        </w:rPr>
      </w:pPr>
      <w:r>
        <w:rPr>
          <w:rFonts w:ascii="Times New Roman" w:cs="Times New Roman" w:eastAsia="Times New Roman" w:hAnsi="Times New Roman"/>
          <w:sz w:val="18"/>
          <w:szCs w:val="18"/>
          <w:color w:val="auto"/>
        </w:rPr>
        <w:t>In December 2020, the above cases were centralized and transferred to the United States District Court for the Northern District of California, where the multidistrict litigation will proceed for the purpose of discovery and pre-trial proceedings.</w:t>
      </w:r>
    </w:p>
    <w:p>
      <w:pPr>
        <w:spacing w:after="0" w:line="56" w:lineRule="exact"/>
        <w:rPr>
          <w:sz w:val="20"/>
          <w:szCs w:val="20"/>
          <w:color w:val="auto"/>
        </w:rPr>
      </w:pPr>
    </w:p>
    <w:p>
      <w:pPr>
        <w:ind w:right="440" w:firstLine="439"/>
        <w:spacing w:after="0" w:line="254" w:lineRule="auto"/>
        <w:rPr>
          <w:sz w:val="20"/>
          <w:szCs w:val="20"/>
          <w:color w:val="auto"/>
        </w:rPr>
      </w:pPr>
      <w:r>
        <w:rPr>
          <w:rFonts w:ascii="Times New Roman" w:cs="Times New Roman" w:eastAsia="Times New Roman" w:hAnsi="Times New Roman"/>
          <w:sz w:val="18"/>
          <w:szCs w:val="18"/>
          <w:color w:val="auto"/>
        </w:rPr>
        <w:t>On March 18, 2021, United Healthcare Services, Inc. filed a lawsuit in the United States District Court for the District of Minnesota against the Company Defendants, Hikma Pharmaceuticals plc, Roxane Laboratories, Inc., Hikma Pharmaceuticals USA Inc., Eurohealth (USA) Inc., Amneal Pharmaceuticals LLC, Par Pharmaceutical, Inc., Lupin Ltd., and Lupin Pharmaceuticals, Inc., raising similar allegations, or the UHS Lawsuit. On March 24, 2021, the U.S. Judicial Panel on Multidistrict Litigation conditionally transferred the UHS Lawsuit to the United States District Court for the Northern District of California, where it was consolidated for discovery and pre-trial proceedings with the other cases.</w:t>
      </w:r>
    </w:p>
    <w:p>
      <w:pPr>
        <w:spacing w:after="0" w:line="76" w:lineRule="exact"/>
        <w:rPr>
          <w:sz w:val="20"/>
          <w:szCs w:val="20"/>
          <w:color w:val="auto"/>
        </w:rPr>
      </w:pPr>
    </w:p>
    <w:p>
      <w:pPr>
        <w:ind w:firstLine="439"/>
        <w:spacing w:after="0" w:line="276" w:lineRule="auto"/>
        <w:rPr>
          <w:sz w:val="20"/>
          <w:szCs w:val="20"/>
          <w:color w:val="auto"/>
        </w:rPr>
      </w:pPr>
      <w:r>
        <w:rPr>
          <w:rFonts w:ascii="Times New Roman" w:cs="Times New Roman" w:eastAsia="Times New Roman" w:hAnsi="Times New Roman"/>
          <w:sz w:val="18"/>
          <w:szCs w:val="18"/>
          <w:color w:val="auto"/>
        </w:rPr>
        <w:t>On August 13, 2021, the United States District Court for the Northern District of California granted in part and denied in part the Company Defendants' motion to dismiss the complaints in the cases referenced above.</w:t>
      </w:r>
    </w:p>
    <w:p>
      <w:pPr>
        <w:spacing w:after="0" w:line="56" w:lineRule="exact"/>
        <w:rPr>
          <w:sz w:val="20"/>
          <w:szCs w:val="20"/>
          <w:color w:val="auto"/>
        </w:rPr>
      </w:pPr>
    </w:p>
    <w:p>
      <w:pPr>
        <w:ind w:right="240" w:firstLine="439"/>
        <w:spacing w:after="0" w:line="261" w:lineRule="auto"/>
        <w:rPr>
          <w:sz w:val="20"/>
          <w:szCs w:val="20"/>
          <w:color w:val="auto"/>
        </w:rPr>
      </w:pPr>
      <w:r>
        <w:rPr>
          <w:rFonts w:ascii="Times New Roman" w:cs="Times New Roman" w:eastAsia="Times New Roman" w:hAnsi="Times New Roman"/>
          <w:sz w:val="18"/>
          <w:szCs w:val="18"/>
          <w:color w:val="auto"/>
        </w:rPr>
        <w:t>On October 8, 2021, Humana Inc. filed a lawsuit in the United States District Court for the Northern District of California against the Company Defendants, Hikma Pharmaceuticals plc, Hikma Pharmaceuticals USA Inc., Hikma Labs, Inc., Eurohealth (USA), Inc., Amneal Pharmaceuticals LLC, Par Pharmaceutical, Inc., Lupin Ltd., Lupin Pharmaceuticals, Inc., and Lupin Inc, raising similar allegations.</w:t>
      </w:r>
    </w:p>
    <w:p>
      <w:pPr>
        <w:spacing w:after="0" w:line="70" w:lineRule="exact"/>
        <w:rPr>
          <w:sz w:val="20"/>
          <w:szCs w:val="20"/>
          <w:color w:val="auto"/>
        </w:rPr>
      </w:pPr>
    </w:p>
    <w:p>
      <w:pPr>
        <w:ind w:right="220" w:firstLine="439"/>
        <w:spacing w:after="0" w:line="261" w:lineRule="auto"/>
        <w:rPr>
          <w:sz w:val="20"/>
          <w:szCs w:val="20"/>
          <w:color w:val="auto"/>
        </w:rPr>
      </w:pPr>
      <w:r>
        <w:rPr>
          <w:rFonts w:ascii="Times New Roman" w:cs="Times New Roman" w:eastAsia="Times New Roman" w:hAnsi="Times New Roman"/>
          <w:sz w:val="18"/>
          <w:szCs w:val="18"/>
          <w:color w:val="auto"/>
        </w:rPr>
        <w:t>On October 8, 2021, Molina Healthcare Inc. filed a lawsuit in the United States District Court for the Northern District of California against the Company Defendants, Hikma Pharmaceuticals plc, Hikma Pharmaceuticals USA Inc., Hikma Labs, Inc., Eurohealth (USA), Inc., Amneal Pharmaceuticals LLC, Par Pharmaceutical, Inc., Lupin Ltd., Lupin Pharmaceuticals, Inc., and Lupin Inc, raising similar allegations.</w:t>
      </w:r>
    </w:p>
    <w:p>
      <w:pPr>
        <w:spacing w:after="0" w:line="70" w:lineRule="exact"/>
        <w:rPr>
          <w:sz w:val="20"/>
          <w:szCs w:val="20"/>
          <w:color w:val="auto"/>
        </w:rPr>
      </w:pPr>
    </w:p>
    <w:p>
      <w:pPr>
        <w:ind w:firstLine="439"/>
        <w:spacing w:after="0" w:line="261" w:lineRule="auto"/>
        <w:rPr>
          <w:sz w:val="20"/>
          <w:szCs w:val="20"/>
          <w:color w:val="auto"/>
        </w:rPr>
      </w:pPr>
      <w:r>
        <w:rPr>
          <w:rFonts w:ascii="Times New Roman" w:cs="Times New Roman" w:eastAsia="Times New Roman" w:hAnsi="Times New Roman"/>
          <w:sz w:val="18"/>
          <w:szCs w:val="18"/>
          <w:color w:val="auto"/>
        </w:rPr>
        <w:t>On February 17, 2022, Health Care Service Corporation filed a lawsuit in the United States District Court for the Northern District of California against the Company Defendants, Hikma Pharmaceuticals plc, Hikma Pharmaceuticals USA Inc., Hikma Labs, Inc., Eurohealth (USA), Inc., Amneal Pharmaceuticals LLC, Par Pharmaceutical, Inc., Lupin Ltd., Lupin Pharmaceuticals, Inc., and Lupin Inc, raising similar allegations.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74" w:lineRule="exact"/>
        <w:rPr>
          <w:sz w:val="20"/>
          <w:szCs w:val="20"/>
          <w:color w:val="auto"/>
        </w:rPr>
      </w:pPr>
    </w:p>
    <w:p>
      <w:pPr>
        <w:ind w:right="200" w:firstLine="439"/>
        <w:spacing w:after="0" w:line="261" w:lineRule="auto"/>
        <w:rPr>
          <w:sz w:val="20"/>
          <w:szCs w:val="20"/>
          <w:color w:val="auto"/>
        </w:rPr>
      </w:pPr>
      <w:r>
        <w:rPr>
          <w:rFonts w:ascii="Times New Roman" w:cs="Times New Roman" w:eastAsia="Times New Roman" w:hAnsi="Times New Roman"/>
          <w:sz w:val="18"/>
          <w:szCs w:val="18"/>
          <w:color w:val="auto"/>
        </w:rPr>
        <w:t>On April 19, 2023, the Court held a hearing on class certification in the consolidated multi-district litigation referenced above. On May 12, 2023, the Court granted the plaintiffs’ motion and preliminarily certified classes of Xyrem purchasers seeking monetary and injunctive relief. The Court excluded Xywav purchasers from the classes. Trial in this matter is scheduled for October 28, 2024.</w:t>
      </w:r>
    </w:p>
    <w:p>
      <w:pPr>
        <w:spacing w:after="0" w:line="70" w:lineRule="exact"/>
        <w:rPr>
          <w:sz w:val="20"/>
          <w:szCs w:val="20"/>
          <w:color w:val="auto"/>
        </w:rPr>
      </w:pPr>
    </w:p>
    <w:p>
      <w:pPr>
        <w:ind w:firstLine="439"/>
        <w:spacing w:after="0" w:line="254" w:lineRule="auto"/>
        <w:rPr>
          <w:sz w:val="20"/>
          <w:szCs w:val="20"/>
          <w:color w:val="auto"/>
        </w:rPr>
      </w:pPr>
      <w:r>
        <w:rPr>
          <w:rFonts w:ascii="Times New Roman" w:cs="Times New Roman" w:eastAsia="Times New Roman" w:hAnsi="Times New Roman"/>
          <w:sz w:val="18"/>
          <w:szCs w:val="18"/>
          <w:color w:val="auto"/>
        </w:rPr>
        <w:t>On January 13, 2023, Amneal Pharmaceuticals LLC, Lupin Ltd., Lupin Pharmaceuticals, Inc., and Lupin Inc, notified the Court that they had reached a settlement-in-principle with the class action plaintiffs. On April 19, 2023, the Court held a hearing on a motion for preliminary approval of this proposed settlement. On May 12, 2023, the Court granted the motion for preliminary approval of the proposed settlement. On January 11, 2024, the Court held a hearing on the motion for final approval of the proposed settlement. The Court deferred ruling and scheduled a further hearing for final approval of the proposed settlement on April 17, 2024.</w:t>
      </w:r>
    </w:p>
    <w:p>
      <w:pPr>
        <w:spacing w:after="0" w:line="76" w:lineRule="exact"/>
        <w:rPr>
          <w:sz w:val="20"/>
          <w:szCs w:val="20"/>
          <w:color w:val="auto"/>
        </w:rPr>
      </w:pPr>
    </w:p>
    <w:p>
      <w:pPr>
        <w:ind w:right="140" w:firstLine="439"/>
        <w:spacing w:after="0" w:line="256" w:lineRule="auto"/>
        <w:rPr>
          <w:sz w:val="20"/>
          <w:szCs w:val="20"/>
          <w:color w:val="auto"/>
        </w:rPr>
      </w:pPr>
      <w:r>
        <w:rPr>
          <w:rFonts w:ascii="Times New Roman" w:cs="Times New Roman" w:eastAsia="Times New Roman" w:hAnsi="Times New Roman"/>
          <w:sz w:val="18"/>
          <w:szCs w:val="18"/>
          <w:color w:val="auto"/>
        </w:rPr>
        <w:t>On December 11, 2023, Blue Cross and Blue Shield of Florida, Inc. and Health Options, Inc. filed a lawsuit in the United States District Court for the Middle District of Florida against the Company Defendants, Hikma Pharmaceuticals plc, Hikma Pharmaceuticals USA Inc., Hikma Labs, Inc., and Eurohealth (USA), Inc., raising similar allegations. On January 23, 2024, the Blue Cross Florida case was transferred to the United States District Court for the Northern District of California and consolidated with the above referenced multidistrict litigation for pretrial purposes.</w:t>
      </w:r>
    </w:p>
    <w:p>
      <w:pPr>
        <w:spacing w:after="0" w:line="75" w:lineRule="exact"/>
        <w:rPr>
          <w:sz w:val="20"/>
          <w:szCs w:val="20"/>
          <w:color w:val="auto"/>
        </w:rPr>
      </w:pPr>
    </w:p>
    <w:p>
      <w:pPr>
        <w:ind w:right="60" w:firstLine="439"/>
        <w:spacing w:after="0" w:line="251" w:lineRule="auto"/>
        <w:rPr>
          <w:sz w:val="20"/>
          <w:szCs w:val="20"/>
          <w:color w:val="auto"/>
        </w:rPr>
      </w:pPr>
      <w:r>
        <w:rPr>
          <w:rFonts w:ascii="Times New Roman" w:cs="Times New Roman" w:eastAsia="Times New Roman" w:hAnsi="Times New Roman"/>
          <w:sz w:val="18"/>
          <w:szCs w:val="18"/>
          <w:color w:val="auto"/>
        </w:rPr>
        <w:t>On May 9, 2022, Aetna Inc., or Aetna, filed a lawsuit in the Superior Court of California for the County of Alameda against the Company Defendants, Hikma Pharmaceuticals plc, Hikma Pharmaceuticals USA Inc., Hikma Labs, Inc., Eurohealth (USA), Inc., Amneal Pharmaceuticals LLC, Par Pharmaceutical, Inc., Lupin Ltd., Lupin Pharmaceuticals, Inc., and Lupin Inc, raising similar allegations. On December 27, 2022, the Court granted in part and denied in part our motion to dismiss Aetna’s complaint. As a result of that ruling, the generic defendants have been dismissed from the case, and certain of Aetna’s claims against Jazz have been dismissed. On January 27, 2023, Aetna filed an amended complaint against Jazz. On March 22, 2023, we filed motions to dismiss and to strike portions of the amended complaint. On June 26, 2023, the Court granted our motions, and granted Aetna leave to further amend its complaint. On November 17, 2023, Aetna filed its second amended complaint. On February 2, 2024, we filed our answer to the second amended complaint and Hikma filed a motion to quash service. That motion remains pending.</w:t>
      </w:r>
    </w:p>
    <w:p>
      <w:pPr>
        <w:spacing w:after="0" w:line="79" w:lineRule="exact"/>
        <w:rPr>
          <w:sz w:val="20"/>
          <w:szCs w:val="20"/>
          <w:color w:val="auto"/>
        </w:rPr>
      </w:pPr>
    </w:p>
    <w:p>
      <w:pPr>
        <w:ind w:right="20" w:firstLine="439"/>
        <w:spacing w:after="0" w:line="251" w:lineRule="auto"/>
        <w:rPr>
          <w:sz w:val="20"/>
          <w:szCs w:val="20"/>
          <w:color w:val="auto"/>
        </w:rPr>
      </w:pPr>
      <w:r>
        <w:rPr>
          <w:rFonts w:ascii="Times New Roman" w:cs="Times New Roman" w:eastAsia="Times New Roman" w:hAnsi="Times New Roman"/>
          <w:sz w:val="18"/>
          <w:szCs w:val="18"/>
          <w:color w:val="auto"/>
        </w:rPr>
        <w:t>The plaintiffs in certain of these lawsuits are seeking to represent a class of direct purchasers of Xyrem, and the plaintiffs in the remaining lawsuits are seeking to represent a class of indirect purchasers of Xyrem. Each of the lawsuits generally alleges violations of U.S. federal and state antitrust, consumer protection, and unfair competition laws in connection with the Company Defendants’ conduct related to Xyrem, including actions leading up to, and entering into, patent litigation settlement agreements with each of the other named defendants. Each of the lawsuits seeks monetary damages, exemplary damages, equitable relief against the alleged unlawful conduct, including disgorgement of profits and restitution, and injunctive relief. It is possible that additional lawsuits will be filed against the Company Defendants making similar or related allegations. If the plaintiffs were to be successful in their claims, they may be entitled to injunctive relief or we may be required to pay significant monetary damages, which could have a material adverse effect on our business, financial condition, results of operations and growth prospects.</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GW Acquisition Litigation</w:t>
      </w:r>
    </w:p>
    <w:p>
      <w:pPr>
        <w:spacing w:after="0" w:line="114" w:lineRule="exact"/>
        <w:rPr>
          <w:sz w:val="20"/>
          <w:szCs w:val="20"/>
          <w:color w:val="auto"/>
        </w:rPr>
      </w:pPr>
    </w:p>
    <w:p>
      <w:pPr>
        <w:ind w:right="100" w:firstLine="439"/>
        <w:spacing w:after="0" w:line="276" w:lineRule="auto"/>
        <w:rPr>
          <w:sz w:val="20"/>
          <w:szCs w:val="20"/>
          <w:color w:val="auto"/>
        </w:rPr>
      </w:pPr>
      <w:r>
        <w:rPr>
          <w:rFonts w:ascii="Times New Roman" w:cs="Times New Roman" w:eastAsia="Times New Roman" w:hAnsi="Times New Roman"/>
          <w:sz w:val="18"/>
          <w:szCs w:val="18"/>
          <w:color w:val="auto"/>
        </w:rPr>
        <w:t>On March 15, 2021, GW filed a definitive proxy statement, or Proxy Statement, with the Securities and Exchange Commission in connection with the GW Acquisition.</w:t>
      </w:r>
    </w:p>
    <w:p>
      <w:pPr>
        <w:spacing w:after="0" w:line="56" w:lineRule="exact"/>
        <w:rPr>
          <w:sz w:val="20"/>
          <w:szCs w:val="20"/>
          <w:color w:val="auto"/>
        </w:rPr>
      </w:pPr>
    </w:p>
    <w:p>
      <w:pPr>
        <w:ind w:firstLine="439"/>
        <w:spacing w:after="0" w:line="249" w:lineRule="auto"/>
        <w:rPr>
          <w:sz w:val="20"/>
          <w:szCs w:val="20"/>
          <w:color w:val="auto"/>
        </w:rPr>
      </w:pPr>
      <w:r>
        <w:rPr>
          <w:rFonts w:ascii="Times New Roman" w:cs="Times New Roman" w:eastAsia="Times New Roman" w:hAnsi="Times New Roman"/>
          <w:sz w:val="18"/>
          <w:szCs w:val="18"/>
          <w:color w:val="auto"/>
        </w:rPr>
        <w:t>Since the filing of the Proxy Statement, Jazz Pharmaceuticals plc has been named in two lawsuits filed in state and federal courts in New York on March 17, 2021 by purported GW shareholders in connection with the GW Acquisition. The first was filed in the United States District Court for the Southern District of New York by James Farrell (hereinafter referred to as the Farrell Lawsuit) and an additional suit was filed in New York state court by Brian Levy (hereinafter referred to as the Levy Lawsuit). In addition to Jazz Pharmaceuticals plc, Jazz Pharmaceuticals U.K. Holdings Ltd., GW Pharmaceuticals plc, and the GW board of directors are named as defendants in the Farrell Lawsuit. In the Levy Lawsuit, GW Pharmaceuticals plc, the GW board of directors, Centerview Partners LLC, and Goldman Sachs &amp; Co. LLC are named as defendants. In addition to the Farrell Lawsuit and the Levy Lawsuit, ten additional suits have been filed in New York, California, and Pennsylvania federal courts by purported GW shareholders against GW Pharmaceuticals plc and its board of directors, but which do not name any Jazz Pharmaceuticals parties (hereinafter referred to as the GW Litigation, and collectively with the Farrell Lawsuit and the Levy Lawsuit, as the Transaction Litigation). In the Transaction Litigation, the plaintiffs allege that the Proxy Statement omitted material information and contained misrepresentations, and that the individual members of the GW board of directors breached their fiduciary duties, in violation of state and federal laws, including the Securities Exchange Act of 1934. The plaintiffs in the Transaction Litigation sought various remedies, including injunctive relief to prevent the consummation of the GW Acquisition unless certain allegedly material information was disclosed, or in the alternative, rescission or damages.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74" w:lineRule="exact"/>
        <w:rPr>
          <w:sz w:val="20"/>
          <w:szCs w:val="20"/>
          <w:color w:val="auto"/>
        </w:rPr>
      </w:pPr>
    </w:p>
    <w:p>
      <w:pPr>
        <w:ind w:right="840" w:firstLine="439"/>
        <w:spacing w:after="0" w:line="276" w:lineRule="auto"/>
        <w:rPr>
          <w:sz w:val="20"/>
          <w:szCs w:val="20"/>
          <w:color w:val="auto"/>
        </w:rPr>
      </w:pPr>
      <w:r>
        <w:rPr>
          <w:rFonts w:ascii="Times New Roman" w:cs="Times New Roman" w:eastAsia="Times New Roman" w:hAnsi="Times New Roman"/>
          <w:sz w:val="18"/>
          <w:szCs w:val="18"/>
          <w:color w:val="auto"/>
        </w:rPr>
        <w:t>On April 14, 2021, GW filed a Form 8-K containing supplemental disclosures related to the GW Acquisition. Pursuant to a memorandum of understanding between the parties, the Levy Lawsuit was dismissed on April 14, 2021.</w:t>
      </w:r>
    </w:p>
    <w:p>
      <w:pPr>
        <w:spacing w:after="0" w:line="56" w:lineRule="exact"/>
        <w:rPr>
          <w:sz w:val="20"/>
          <w:szCs w:val="20"/>
          <w:color w:val="auto"/>
        </w:rPr>
      </w:pPr>
    </w:p>
    <w:p>
      <w:pPr>
        <w:ind w:right="300" w:firstLine="439"/>
        <w:spacing w:after="0" w:line="261" w:lineRule="auto"/>
        <w:rPr>
          <w:sz w:val="20"/>
          <w:szCs w:val="20"/>
          <w:color w:val="auto"/>
        </w:rPr>
      </w:pPr>
      <w:r>
        <w:rPr>
          <w:rFonts w:ascii="Times New Roman" w:cs="Times New Roman" w:eastAsia="Times New Roman" w:hAnsi="Times New Roman"/>
          <w:sz w:val="18"/>
          <w:szCs w:val="18"/>
          <w:color w:val="auto"/>
        </w:rPr>
        <w:t>On May 27, 2021, a class action lawsuit was filed in the United States District Court for the Southern District of California by plaintiff Kurt Ziegler against GW and its former Directors asserting claims under Sections 14(a) and 20(a) of the Securities Exchange Act of 1934, referred to as the Ziegler Lawsuit. The allegations in the Ziegler Lawsuit are similar to those in the previously dismissed Transaction Litigation.</w:t>
      </w:r>
    </w:p>
    <w:p>
      <w:pPr>
        <w:spacing w:after="0" w:line="110" w:lineRule="exact"/>
        <w:rPr>
          <w:sz w:val="20"/>
          <w:szCs w:val="20"/>
          <w:color w:val="auto"/>
        </w:rPr>
      </w:pPr>
    </w:p>
    <w:p>
      <w:pPr>
        <w:ind w:right="220" w:firstLine="439"/>
        <w:spacing w:after="0" w:line="254" w:lineRule="auto"/>
        <w:rPr>
          <w:sz w:val="20"/>
          <w:szCs w:val="20"/>
          <w:color w:val="auto"/>
        </w:rPr>
      </w:pPr>
      <w:r>
        <w:rPr>
          <w:rFonts w:ascii="Times New Roman" w:cs="Times New Roman" w:eastAsia="Times New Roman" w:hAnsi="Times New Roman"/>
          <w:sz w:val="18"/>
          <w:szCs w:val="18"/>
          <w:color w:val="auto"/>
        </w:rPr>
        <w:t>On June 3, 2022, we filed a motion to dismiss the Ziegler Lawsuit. While the motion to dismiss was pending, in December 2022, the parties participated in a mediation and reached a tentative settlement, which remains subject to court approval. On March 20, 2023, the plaintiffs in the Ziegler Lawsuit filed a motion for preliminary approval of the settlement. On July 28, 2023, the Court granted the motion for preliminary approval, which conditionally certified a class for settlement purposes. On December 11, 2023, the Court held a hearing regarding final approval of the proposed settlement and took the matter under advisement. The Court has yet to issue a final written order approving the settlement.</w:t>
      </w:r>
    </w:p>
    <w:p>
      <w:pPr>
        <w:spacing w:after="0" w:line="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Patent Infringement Litigation</w:t>
      </w:r>
    </w:p>
    <w:p>
      <w:pPr>
        <w:spacing w:after="0" w:line="1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Avadel Patent Litigation</w:t>
      </w:r>
    </w:p>
    <w:p>
      <w:pPr>
        <w:spacing w:after="0" w:line="114" w:lineRule="exact"/>
        <w:rPr>
          <w:sz w:val="20"/>
          <w:szCs w:val="20"/>
          <w:color w:val="auto"/>
        </w:rPr>
      </w:pPr>
    </w:p>
    <w:p>
      <w:pPr>
        <w:ind w:firstLine="439"/>
        <w:spacing w:after="0" w:line="249" w:lineRule="auto"/>
        <w:rPr>
          <w:sz w:val="20"/>
          <w:szCs w:val="20"/>
          <w:color w:val="auto"/>
        </w:rPr>
      </w:pPr>
      <w:r>
        <w:rPr>
          <w:rFonts w:ascii="Times New Roman" w:cs="Times New Roman" w:eastAsia="Times New Roman" w:hAnsi="Times New Roman"/>
          <w:sz w:val="18"/>
          <w:szCs w:val="18"/>
          <w:color w:val="auto"/>
        </w:rPr>
        <w:t>On May 13, 2021, we filed a patent infringement suit against Avadel Pharmaceuticals plc, or Avadel, and several of its corporate affiliates in the United States District Court for the District of Delaware. The suit alleges that Avadel’s Lumryz will infringe five of our patents related to controlled release formulations of oxybate and the safe and effective distribution of oxybate. The suit seeks an injunction to prevent Avadel from launching a product that would infringe these patents, and an award of monetary damages if Avadel does launch an infringing product. Avadel filed an answer to the complaint and counterclaims asserting that the patents are invalid or not enforceable, and that its product will not infringe our patents. Avadel filed a motion for partial judgment on the pleadings on its counterclaim that one of our patents should be delisted from the Orange Book. On November 18, 2022, the Court issued an order that we delist the patent from the Orange Book. On November 22, 2022, we filed a notice of appeal to the United States Court of Appeals for the Federal Circuit. The Federal Circuit temporarily stayed the District Court’s delisting order. On February 24, 2023, the Federal Circuit affirmed the District Court’s delisting order, lifted the temporary stay, and gave Jazz 14 days to request that FDA delist the patent from the Orange Book. Jazz complied with the Federal Circuit’s order and requested delisting on February 28, 2023. On March 3, 2023, we and Avadel stipulated to the dismissal without prejudice of the claims and counterclaims related to infringement and validity of the delisted patent in both this suit and a later-filed suit described below related to the same patent.</w:t>
      </w:r>
    </w:p>
    <w:p>
      <w:pPr>
        <w:spacing w:after="0" w:line="85" w:lineRule="exact"/>
        <w:rPr>
          <w:sz w:val="20"/>
          <w:szCs w:val="20"/>
          <w:color w:val="auto"/>
        </w:rPr>
      </w:pPr>
    </w:p>
    <w:p>
      <w:pPr>
        <w:ind w:right="40" w:firstLine="439"/>
        <w:spacing w:after="0" w:line="254" w:lineRule="auto"/>
        <w:rPr>
          <w:sz w:val="20"/>
          <w:szCs w:val="20"/>
          <w:color w:val="auto"/>
        </w:rPr>
      </w:pPr>
      <w:r>
        <w:rPr>
          <w:rFonts w:ascii="Times New Roman" w:cs="Times New Roman" w:eastAsia="Times New Roman" w:hAnsi="Times New Roman"/>
          <w:sz w:val="18"/>
          <w:szCs w:val="18"/>
          <w:color w:val="auto"/>
        </w:rPr>
        <w:t>On August 4, 2021, we filed an additional patent infringement suit against Avadel in the United States District Court for the District of Delaware. The second suit alleges that Avadel’s Lumryz will infringe a newly-issued patent related to sustained-release formulations of oxybate. The suit seeks an injunction to prevent Avadel from launching a product that would infringe this patent, and an award of monetary damages if Avadel does launch an infringing product. Avadel filed an answer to the complaint and counterclaims asserting that the patents are invalid or not enforceable, and that its product will not infringe our patents.</w:t>
      </w:r>
    </w:p>
    <w:p>
      <w:pPr>
        <w:spacing w:after="0" w:line="76" w:lineRule="exact"/>
        <w:rPr>
          <w:sz w:val="20"/>
          <w:szCs w:val="20"/>
          <w:color w:val="auto"/>
        </w:rPr>
      </w:pPr>
    </w:p>
    <w:p>
      <w:pPr>
        <w:ind w:right="40" w:firstLine="439"/>
        <w:spacing w:after="0" w:line="254" w:lineRule="auto"/>
        <w:rPr>
          <w:sz w:val="20"/>
          <w:szCs w:val="20"/>
          <w:color w:val="auto"/>
        </w:rPr>
      </w:pPr>
      <w:r>
        <w:rPr>
          <w:rFonts w:ascii="Times New Roman" w:cs="Times New Roman" w:eastAsia="Times New Roman" w:hAnsi="Times New Roman"/>
          <w:sz w:val="18"/>
          <w:szCs w:val="18"/>
          <w:color w:val="auto"/>
        </w:rPr>
        <w:t>On November 10, 2021, we filed an additional patent infringement suit against Avadel in the United States District Court for the District of Delaware. The third suit alleges that Avadel’s Lumryz will infringe a newly-issued patent related to sustained-release formulations of oxybate. The suit seeks an injunction to prevent Avadel from launching a product that would infringe this patent, and an award of monetary damages if Avadel does launch an infringing product. Avadel filed an answer to the complaint and counterclaims asserting that the patents are invalid or not enforceable, and that its product will not infringe our patents.</w:t>
      </w:r>
    </w:p>
    <w:p>
      <w:pPr>
        <w:spacing w:after="0" w:line="76" w:lineRule="exact"/>
        <w:rPr>
          <w:sz w:val="20"/>
          <w:szCs w:val="20"/>
          <w:color w:val="auto"/>
        </w:rPr>
      </w:pPr>
    </w:p>
    <w:p>
      <w:pPr>
        <w:ind w:right="40" w:firstLine="439"/>
        <w:spacing w:after="0" w:line="252" w:lineRule="auto"/>
        <w:rPr>
          <w:sz w:val="20"/>
          <w:szCs w:val="20"/>
          <w:color w:val="auto"/>
        </w:rPr>
      </w:pPr>
      <w:r>
        <w:rPr>
          <w:rFonts w:ascii="Times New Roman" w:cs="Times New Roman" w:eastAsia="Times New Roman" w:hAnsi="Times New Roman"/>
          <w:sz w:val="18"/>
          <w:szCs w:val="18"/>
          <w:color w:val="auto"/>
        </w:rPr>
        <w:t>On April 14, 2022, Avadel sued us in the United States District Court for the District of Delaware. Avadel’s new suit alleges that we misappropriated trade secrets related to Avadel’s once-nightly sodium oxybate development program and breached certain contracts between the parties. Avadel seeks monetary damages, an injunction preventing us from using Avadel’s confidential information, and an order directing the United States Patent and Trademark Office to modify the inventorship of one of our oxybate patents. On July 8, 2022, we filed a motion for judgment on the pleadings, which the Court denied on July 18, 2023. The denial is not a ruling that Jazz misappropriated Avadel‘s trade secrets or breached any contract. The case will go forward in discovery and the Court instructed the parties to submit a proposed scheduling order.</w:t>
      </w:r>
    </w:p>
    <w:p>
      <w:pPr>
        <w:spacing w:after="0" w:line="80" w:lineRule="exact"/>
        <w:rPr>
          <w:sz w:val="20"/>
          <w:szCs w:val="20"/>
          <w:color w:val="auto"/>
        </w:rPr>
      </w:pPr>
    </w:p>
    <w:p>
      <w:pPr>
        <w:ind w:right="80" w:firstLine="439"/>
        <w:spacing w:after="0" w:line="276" w:lineRule="auto"/>
        <w:rPr>
          <w:sz w:val="20"/>
          <w:szCs w:val="20"/>
          <w:color w:val="auto"/>
        </w:rPr>
      </w:pPr>
      <w:r>
        <w:rPr>
          <w:rFonts w:ascii="Times New Roman" w:cs="Times New Roman" w:eastAsia="Times New Roman" w:hAnsi="Times New Roman"/>
          <w:sz w:val="17"/>
          <w:szCs w:val="17"/>
          <w:color w:val="auto"/>
        </w:rPr>
        <w:t>On June 7, 2022, we received notice from Avadel that it had filed a "paragraph IV certification" regarding one patent listed in the Orange Book for Xyrem. A paragraph IV certification is a certification by a generic applicant that alleges that patents covering the branded product are invalid, unenforceable, and/or will not be infringed by the manufacture, use or sale of the generic product. On July 15, 2022, we filed an additional lawsuit against Avadel asserting infringement of that patent. The suit alleges that the filing of Avadel’s application for approval of FT218 is an act of infringement, and that Avadel’s product</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7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would infringe the patent if launched. The suit seeks an injunction to prevent Avadel from launching a product that would infringe the patent, and an award of damages if Avadel does launch an infringing product. Avadel filed an answer to the complaint and counterclaims asserting that the patent is invalid, that its product would not infringe, and that by listing the patent in the Orange Book, we engaged in unlawful monopolization in violation of the Sherman Act. On December 9, 2022, we filed a motion to dismiss Avadel’s counterclaims. On June 29, 2023, we filed a motion seeking leave to supplement our motion to dismiss, as well as a motion to stay discovery pending resolution of the motion to dismiss. The Court has not yet ruled on these motions. As noted above, on March 3, 2023, we and Avadel stipulated to the dismissal without prejudice of the claims and counterclaims related to infringement and validity of the delisted patent.</w:t>
      </w:r>
    </w:p>
    <w:p>
      <w:pPr>
        <w:spacing w:after="0" w:line="82" w:lineRule="exact"/>
        <w:rPr>
          <w:sz w:val="20"/>
          <w:szCs w:val="20"/>
          <w:color w:val="auto"/>
        </w:rPr>
      </w:pPr>
    </w:p>
    <w:p>
      <w:pPr>
        <w:jc w:val="both"/>
        <w:ind w:firstLine="439"/>
        <w:spacing w:after="0" w:line="261" w:lineRule="auto"/>
        <w:rPr>
          <w:sz w:val="20"/>
          <w:szCs w:val="20"/>
          <w:color w:val="auto"/>
        </w:rPr>
      </w:pPr>
      <w:r>
        <w:rPr>
          <w:rFonts w:ascii="Times New Roman" w:cs="Times New Roman" w:eastAsia="Times New Roman" w:hAnsi="Times New Roman"/>
          <w:sz w:val="18"/>
          <w:szCs w:val="18"/>
          <w:color w:val="auto"/>
        </w:rPr>
        <w:t>On November 1, 2023, the Court held a claim construction hearing relating to disputed terms in the asserted patents. On December 15, 2023, the Court issued a written opinion and order resolving the parties’ remaining claim construction disputes. On November 20, 2023, we and Avadel each filed motions for summary judgment. On February 14, 2024, the Court issued a written opinion and order denying both parties’ motions for summary judgment.</w:t>
      </w:r>
    </w:p>
    <w:p>
      <w:pPr>
        <w:spacing w:after="0" w:line="70" w:lineRule="exact"/>
        <w:rPr>
          <w:sz w:val="20"/>
          <w:szCs w:val="20"/>
          <w:color w:val="auto"/>
        </w:rPr>
      </w:pPr>
    </w:p>
    <w:p>
      <w:pPr>
        <w:ind w:right="540" w:firstLine="439"/>
        <w:spacing w:after="0" w:line="261" w:lineRule="auto"/>
        <w:rPr>
          <w:sz w:val="20"/>
          <w:szCs w:val="20"/>
          <w:color w:val="auto"/>
        </w:rPr>
      </w:pPr>
      <w:r>
        <w:rPr>
          <w:rFonts w:ascii="Times New Roman" w:cs="Times New Roman" w:eastAsia="Times New Roman" w:hAnsi="Times New Roman"/>
          <w:sz w:val="18"/>
          <w:szCs w:val="18"/>
          <w:color w:val="auto"/>
        </w:rPr>
        <w:t>Trial regarding our patent infringement claims against Avadel began on February 26, 2024, and the jury has not yet reached a verdict. The Court scheduled a trial regarding Avadel’s counterclaims for unlawful monopolization for November 3, 2025, and a trial regarding Avadel’s trade secret misappropriation claims for December 15, 2025.</w:t>
      </w:r>
    </w:p>
    <w:p>
      <w:pPr>
        <w:spacing w:after="0" w:line="70" w:lineRule="exact"/>
        <w:rPr>
          <w:sz w:val="20"/>
          <w:szCs w:val="20"/>
          <w:color w:val="auto"/>
        </w:rPr>
      </w:pPr>
    </w:p>
    <w:p>
      <w:pPr>
        <w:ind w:right="40" w:firstLine="439"/>
        <w:spacing w:after="0" w:line="268" w:lineRule="auto"/>
        <w:rPr>
          <w:sz w:val="20"/>
          <w:szCs w:val="20"/>
          <w:color w:val="auto"/>
        </w:rPr>
      </w:pPr>
      <w:r>
        <w:rPr>
          <w:rFonts w:ascii="Times New Roman" w:cs="Times New Roman" w:eastAsia="Times New Roman" w:hAnsi="Times New Roman"/>
          <w:sz w:val="17"/>
          <w:szCs w:val="17"/>
          <w:color w:val="auto"/>
        </w:rPr>
        <w:t>On July 21, 2022, Avadel filed a lawsuit against FDA in the United States District Court for the District of Columbia, challenging FDA’s determination that Avadel was required to file a paragraph IV certification regarding one of our Orange Book listed patents. Avadel filed a motion for preliminary injunction, or in the alternative, summary judgment, seeking relief including a declaration that FDA’s decision requiring patent certification was unlawful, an order setting aside that decision, an injunction prohibiting FDA from requiring such certification as a precondition to approval of its application for FT218, and an order requiring FDA to take final action on Avadel’s application for approval of FT218 within 14 days of the Court’s ruling. On July 27, 2022, we filed a motion to intervene in that case, which the Court granted. The Court held a hearing on the parties’ respective motions for summary judgment on October 7, 2022. On November 3, 2022, the Court granted our and FDA’s motions for summary judgment and denied Avadel’s motion.</w:t>
      </w:r>
    </w:p>
    <w:p>
      <w:pPr>
        <w:spacing w:after="0" w:line="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Xywav Patent Litigation</w:t>
      </w:r>
    </w:p>
    <w:p>
      <w:pPr>
        <w:spacing w:after="0" w:line="114" w:lineRule="exact"/>
        <w:rPr>
          <w:sz w:val="20"/>
          <w:szCs w:val="20"/>
          <w:color w:val="auto"/>
        </w:rPr>
      </w:pPr>
    </w:p>
    <w:p>
      <w:pPr>
        <w:ind w:right="40" w:firstLine="439"/>
        <w:spacing w:after="0" w:line="256" w:lineRule="auto"/>
        <w:rPr>
          <w:sz w:val="20"/>
          <w:szCs w:val="20"/>
          <w:color w:val="auto"/>
        </w:rPr>
      </w:pPr>
      <w:r>
        <w:rPr>
          <w:rFonts w:ascii="Times New Roman" w:cs="Times New Roman" w:eastAsia="Times New Roman" w:hAnsi="Times New Roman"/>
          <w:sz w:val="18"/>
          <w:szCs w:val="18"/>
          <w:color w:val="auto"/>
        </w:rPr>
        <w:t>In June 2021, we received notice from Lupin Inc., or Lupin, that it has filed with FDA an ANDA, for a generic version of Xywav. The notice from Lupin included a paragraph IV certification with respect to ten of our patents listed in FDA’s Orange Book for Xywav on the date of our receipt of the notice. The asserted patents relate generally to the composition and method of use of Xywav, and methods of treatment when Xywav is administered concomitantly with certain other medications.</w:t>
      </w:r>
    </w:p>
    <w:p>
      <w:pPr>
        <w:spacing w:after="0" w:line="75" w:lineRule="exact"/>
        <w:rPr>
          <w:sz w:val="20"/>
          <w:szCs w:val="20"/>
          <w:color w:val="auto"/>
        </w:rPr>
      </w:pPr>
    </w:p>
    <w:p>
      <w:pPr>
        <w:ind w:firstLine="439"/>
        <w:spacing w:after="0" w:line="252" w:lineRule="auto"/>
        <w:rPr>
          <w:sz w:val="20"/>
          <w:szCs w:val="20"/>
          <w:color w:val="auto"/>
        </w:rPr>
      </w:pPr>
      <w:r>
        <w:rPr>
          <w:rFonts w:ascii="Times New Roman" w:cs="Times New Roman" w:eastAsia="Times New Roman" w:hAnsi="Times New Roman"/>
          <w:sz w:val="18"/>
          <w:szCs w:val="18"/>
          <w:color w:val="auto"/>
        </w:rPr>
        <w:t>In July 2021, we filed a patent infringement suit against Lupin in the United States District Court for the District of New Jersey. The complaint alleges that by filing its ANDA, Lupin has infringed ten of our Orange Book listed patents. We are seeking a permanent injunction to prevent Lupin from introducing a generic version of Xywav that would infringe our patents. As a result of this lawsuit, we expect that a stay of approval of up to 30 months will be imposed by FDA on Lupin's ANDA. In June 2021, FDA recognized seven years of Orphan Drug Exclusivity for Xywav through July 21, 2027. On October 4, 2021, Lupin filed an answer to the complaint and counterclaims asserting that the patents are invalid or not enforceable, and that its product, if approved, will not infringe our patents.</w:t>
      </w:r>
    </w:p>
    <w:p>
      <w:pPr>
        <w:spacing w:after="0" w:line="80" w:lineRule="exact"/>
        <w:rPr>
          <w:sz w:val="20"/>
          <w:szCs w:val="20"/>
          <w:color w:val="auto"/>
        </w:rPr>
      </w:pPr>
    </w:p>
    <w:p>
      <w:pPr>
        <w:ind w:right="160" w:firstLine="439"/>
        <w:spacing w:after="0" w:line="254" w:lineRule="auto"/>
        <w:rPr>
          <w:sz w:val="20"/>
          <w:szCs w:val="20"/>
          <w:color w:val="auto"/>
        </w:rPr>
      </w:pPr>
      <w:r>
        <w:rPr>
          <w:rFonts w:ascii="Times New Roman" w:cs="Times New Roman" w:eastAsia="Times New Roman" w:hAnsi="Times New Roman"/>
          <w:sz w:val="18"/>
          <w:szCs w:val="18"/>
          <w:color w:val="auto"/>
        </w:rPr>
        <w:t>In April 2022, we received notice from Lupin that it had filed a paragraph IV certification regarding a newly-issued patent listed in the Orange Book for Xywav. On May 11, 2022, we filed an additional lawsuit against Lupin in the United States District Court for the District of New Jersey alleging that by filing its ANDA, Lupin infringed the newly-issued patent related to a method of treatment when Xywav is administered concomitantly with certain other medications. The suit seeks a permanent injunction to prevent Lupin from introducing a generic version of Xywav that would infringe our patent. On June 22, 2022, the Court consolidated the two lawsuits we filed against Lupin.</w:t>
      </w:r>
    </w:p>
    <w:p>
      <w:pPr>
        <w:spacing w:after="0" w:line="76" w:lineRule="exact"/>
        <w:rPr>
          <w:sz w:val="20"/>
          <w:szCs w:val="20"/>
          <w:color w:val="auto"/>
        </w:rPr>
      </w:pPr>
    </w:p>
    <w:p>
      <w:pPr>
        <w:ind w:right="40" w:firstLine="439"/>
        <w:spacing w:after="0" w:line="252" w:lineRule="auto"/>
        <w:rPr>
          <w:sz w:val="20"/>
          <w:szCs w:val="20"/>
          <w:color w:val="auto"/>
        </w:rPr>
      </w:pPr>
      <w:r>
        <w:rPr>
          <w:rFonts w:ascii="Times New Roman" w:cs="Times New Roman" w:eastAsia="Times New Roman" w:hAnsi="Times New Roman"/>
          <w:sz w:val="18"/>
          <w:szCs w:val="18"/>
          <w:color w:val="auto"/>
        </w:rPr>
        <w:t>In November 2022, we received notice from Lupin that it had filed a paragraph IV certification regarding a newly-issued patent listed in the Orange Book for Xywav. On January 19, 2023, we filed an additional lawsuit against Lupin in the United States District Court for the District of New Jersey alleging that by filing its ANDA, Lupin infringed the newly-issued patent referenced in its November 2022 paragraph IV certification, as well as another patent that issued in January 2023. The suit seeks a permanent injunction to prevent Lupin from introducing a generic version of Xywav that would infringe the two patents in suit. On February 15, 2023, the Court consolidated the new lawsuit with the two suits we previously filed against Lupin. No trial date has been set in the consolidated case against Lupin.</w:t>
      </w:r>
    </w:p>
    <w:p>
      <w:pPr>
        <w:spacing w:after="0" w:line="80" w:lineRule="exact"/>
        <w:rPr>
          <w:sz w:val="20"/>
          <w:szCs w:val="20"/>
          <w:color w:val="auto"/>
        </w:rPr>
      </w:pPr>
    </w:p>
    <w:p>
      <w:pPr>
        <w:jc w:val="both"/>
        <w:ind w:right="140" w:firstLine="439"/>
        <w:spacing w:after="0" w:line="261" w:lineRule="auto"/>
        <w:rPr>
          <w:sz w:val="20"/>
          <w:szCs w:val="20"/>
          <w:color w:val="auto"/>
        </w:rPr>
      </w:pPr>
      <w:r>
        <w:rPr>
          <w:rFonts w:ascii="Times New Roman" w:cs="Times New Roman" w:eastAsia="Times New Roman" w:hAnsi="Times New Roman"/>
          <w:sz w:val="18"/>
          <w:szCs w:val="18"/>
          <w:color w:val="auto"/>
        </w:rPr>
        <w:t>In February 2023, we received notice from Teva Pharmaceuticals, Inc., or Teva, that it had filed with FDA an ANDA for a generic version of Xywav. The notice from Teva included a paragraph IV certification with respect to thirteen of our patents listed in FDA’s Orange Book for Xywav on the date of the receipt of the notice. The asserted patents relate generally to the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composition and method of use of Xywav, and methods of treatment when Xywav is administered concomitantly with certain other medications.</w:t>
      </w:r>
    </w:p>
    <w:p>
      <w:pPr>
        <w:spacing w:after="0" w:line="112" w:lineRule="exact"/>
        <w:rPr>
          <w:sz w:val="20"/>
          <w:szCs w:val="20"/>
          <w:color w:val="auto"/>
        </w:rPr>
      </w:pPr>
    </w:p>
    <w:p>
      <w:pPr>
        <w:ind w:firstLine="439"/>
        <w:spacing w:after="0" w:line="254" w:lineRule="auto"/>
        <w:rPr>
          <w:sz w:val="20"/>
          <w:szCs w:val="20"/>
          <w:color w:val="auto"/>
        </w:rPr>
      </w:pPr>
      <w:r>
        <w:rPr>
          <w:rFonts w:ascii="Times New Roman" w:cs="Times New Roman" w:eastAsia="Times New Roman" w:hAnsi="Times New Roman"/>
          <w:sz w:val="18"/>
          <w:szCs w:val="18"/>
          <w:color w:val="auto"/>
        </w:rPr>
        <w:t>In March 2023, we filed a patent infringement suit against Teva in the United States District Court for the District of New Jersey. The complaint alleges that by filing its ANDA, Teva has infringed thirteen of our Orange Book listed patents. We are seeking a permanent injunction to prevent Teva from introducing a generic version of Xywav that would infringe our patents. As a result of this lawsuit, we expect that a stay of approval of up to 30 months will be imposed by FDA on Teva’s ANDA. On May 23, 2023, Teva filed an answer to the complaint and counterclaims asserting that the patents are invalid or not enforceable, and that its product, if approved, will not infringe our patents.</w:t>
      </w:r>
    </w:p>
    <w:p>
      <w:pPr>
        <w:spacing w:after="0" w:line="76" w:lineRule="exact"/>
        <w:rPr>
          <w:sz w:val="20"/>
          <w:szCs w:val="20"/>
          <w:color w:val="auto"/>
        </w:rPr>
      </w:pPr>
    </w:p>
    <w:p>
      <w:pPr>
        <w:jc w:val="both"/>
        <w:ind w:right="100" w:firstLine="439"/>
        <w:spacing w:after="0" w:line="276" w:lineRule="auto"/>
        <w:rPr>
          <w:sz w:val="20"/>
          <w:szCs w:val="20"/>
          <w:color w:val="auto"/>
        </w:rPr>
      </w:pPr>
      <w:r>
        <w:rPr>
          <w:rFonts w:ascii="Times New Roman" w:cs="Times New Roman" w:eastAsia="Times New Roman" w:hAnsi="Times New Roman"/>
          <w:sz w:val="18"/>
          <w:szCs w:val="18"/>
          <w:color w:val="auto"/>
        </w:rPr>
        <w:t>On December 15, 2023, based on a stipulation between all parties, the Court consolidated the Lupin lawsuits and the Teva lawsuit for all purposes. No trial date has been set in the consolidated case.</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Alkem Patent Litigation</w:t>
      </w:r>
    </w:p>
    <w:p>
      <w:pPr>
        <w:spacing w:after="0" w:line="114" w:lineRule="exact"/>
        <w:rPr>
          <w:sz w:val="20"/>
          <w:szCs w:val="20"/>
          <w:color w:val="auto"/>
        </w:rPr>
      </w:pPr>
    </w:p>
    <w:p>
      <w:pPr>
        <w:jc w:val="both"/>
        <w:ind w:right="120" w:firstLine="439"/>
        <w:spacing w:after="0" w:line="283" w:lineRule="auto"/>
        <w:rPr>
          <w:sz w:val="20"/>
          <w:szCs w:val="20"/>
          <w:color w:val="auto"/>
        </w:rPr>
      </w:pPr>
      <w:r>
        <w:rPr>
          <w:rFonts w:ascii="Times New Roman" w:cs="Times New Roman" w:eastAsia="Times New Roman" w:hAnsi="Times New Roman"/>
          <w:sz w:val="17"/>
          <w:szCs w:val="17"/>
          <w:color w:val="auto"/>
        </w:rPr>
        <w:t>In April 2023, we received notice from Alkem Laboratories Ltd., or Alkem, that it has filed with FDA an ANDA, for a generic version of Xyrem. The notice from Alkem included a paragraph IV certification with respect to six of our patents listed in FDA’s Orange Book for Xyrem on the date of our receipt of the notice. The asserted patents relate generally to methods of treatment when Xyrem is administered concomitantly with certain other medications.</w:t>
      </w:r>
    </w:p>
    <w:p>
      <w:pPr>
        <w:spacing w:after="0" w:line="54" w:lineRule="exact"/>
        <w:rPr>
          <w:sz w:val="20"/>
          <w:szCs w:val="20"/>
          <w:color w:val="auto"/>
        </w:rPr>
      </w:pPr>
    </w:p>
    <w:p>
      <w:pPr>
        <w:ind w:firstLine="439"/>
        <w:spacing w:after="0" w:line="256" w:lineRule="auto"/>
        <w:rPr>
          <w:sz w:val="20"/>
          <w:szCs w:val="20"/>
          <w:color w:val="auto"/>
        </w:rPr>
      </w:pPr>
      <w:r>
        <w:rPr>
          <w:rFonts w:ascii="Times New Roman" w:cs="Times New Roman" w:eastAsia="Times New Roman" w:hAnsi="Times New Roman"/>
          <w:sz w:val="18"/>
          <w:szCs w:val="18"/>
          <w:color w:val="auto"/>
        </w:rPr>
        <w:t>In June 2023, we filed a patent infringement suit against Alkem in the United States District Court for the District of New Jersey. The complaint alleges that by filing its ANDA, Alkem has infringed six of our Orange Book listed patents. We are seeking a permanent injunction to prevent Alkem from introducing a generic version of Xyrem that would infringe our patents. As a result of this lawsuit, we expect that a stay of approval of up to 30 months will be imposed by FDA on Alkem’s ANDA.</w:t>
      </w:r>
    </w:p>
    <w:p>
      <w:pPr>
        <w:spacing w:after="0" w:line="75" w:lineRule="exact"/>
        <w:rPr>
          <w:sz w:val="20"/>
          <w:szCs w:val="20"/>
          <w:color w:val="auto"/>
        </w:rPr>
      </w:pPr>
    </w:p>
    <w:p>
      <w:pPr>
        <w:ind w:right="20" w:firstLine="439"/>
        <w:spacing w:after="0" w:line="261" w:lineRule="auto"/>
        <w:rPr>
          <w:sz w:val="20"/>
          <w:szCs w:val="20"/>
          <w:color w:val="auto"/>
        </w:rPr>
      </w:pPr>
      <w:r>
        <w:rPr>
          <w:rFonts w:ascii="Times New Roman" w:cs="Times New Roman" w:eastAsia="Times New Roman" w:hAnsi="Times New Roman"/>
          <w:sz w:val="18"/>
          <w:szCs w:val="18"/>
          <w:color w:val="auto"/>
        </w:rPr>
        <w:t>On October 4, 2023, we entered into a settlement agreement with Alkem that resolves our patent litigation. Under the settlement agreement, we granted Alkem a license to manufacture, market, and sell its generic version of Xyrem on or after December 31, 2025, or earlier under certain circumstances, including circumstances where Hikma launches its own generic sodium oxybate product.</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Epidiolex Patent Litigation</w:t>
      </w:r>
    </w:p>
    <w:p>
      <w:pPr>
        <w:spacing w:after="0" w:line="114" w:lineRule="exact"/>
        <w:rPr>
          <w:sz w:val="20"/>
          <w:szCs w:val="20"/>
          <w:color w:val="auto"/>
        </w:rPr>
      </w:pPr>
    </w:p>
    <w:p>
      <w:pPr>
        <w:ind w:right="100" w:firstLine="439"/>
        <w:spacing w:after="0" w:line="267" w:lineRule="auto"/>
        <w:rPr>
          <w:sz w:val="20"/>
          <w:szCs w:val="20"/>
          <w:color w:val="auto"/>
        </w:rPr>
      </w:pPr>
      <w:r>
        <w:rPr>
          <w:rFonts w:ascii="Times New Roman" w:cs="Times New Roman" w:eastAsia="Times New Roman" w:hAnsi="Times New Roman"/>
          <w:sz w:val="17"/>
          <w:szCs w:val="17"/>
          <w:color w:val="auto"/>
        </w:rPr>
        <w:t>In November and December 2022, we received notices from Teva Pharmaceuticals, Inc.; Padagis US LLC; Apotex Inc.; API Pharma Tech LLC and InvaGen Pharmaceuticals, Inc.; Lupin Limited; Taro Pharmaceutical Industries Ltd.; Zenara Pharma Private Limited and Biophore Pharma, Inc.; MSN Laboratories Pvt. Ltd. and MSN Pharmaceuticals, Inc.; Alkem Laboratories Ltd.; and Ascent Pharmaceuticals, Inc. (hereinafter referred to as the “Epidiolex ANDA Filers”), that they have each filed with FDA an ANDA for a generic version of Epidiolex (cannabidiol) oral solution. As of the date of this filing, we are not aware of other ANDA filers. The notices from the Epidiolex ANDA Filers each included a “paragraph IV certification” with respect to certain of our patents listed in FDA’s Orange Book for Epidiolex on the date of the receipt of the notice. The listed patents relate generally to the composition and method of use of Epidiolex, and methods of treatment using Epidiolex. A paragraph IV certification is a certification by a generic applicant that alleges that patents covering the branded product are invalid, unenforceable, and/or will not be infringed by the manufacture, use or sale of the generic product.</w:t>
      </w:r>
    </w:p>
    <w:p>
      <w:pPr>
        <w:spacing w:after="0" w:line="71" w:lineRule="exact"/>
        <w:rPr>
          <w:sz w:val="20"/>
          <w:szCs w:val="20"/>
          <w:color w:val="auto"/>
        </w:rPr>
      </w:pPr>
    </w:p>
    <w:p>
      <w:pPr>
        <w:ind w:right="100" w:firstLine="439"/>
        <w:spacing w:after="0" w:line="256" w:lineRule="auto"/>
        <w:rPr>
          <w:sz w:val="20"/>
          <w:szCs w:val="20"/>
          <w:color w:val="auto"/>
        </w:rPr>
      </w:pPr>
      <w:r>
        <w:rPr>
          <w:rFonts w:ascii="Times New Roman" w:cs="Times New Roman" w:eastAsia="Times New Roman" w:hAnsi="Times New Roman"/>
          <w:sz w:val="18"/>
          <w:szCs w:val="18"/>
          <w:color w:val="auto"/>
        </w:rPr>
        <w:t>On January 3, 2023, we filed a patent infringement suit against the Epidiolex ANDA Filers in the United States District Court for the District of New Jersey. The complaint alleges that by filing their ANDAs, the Epidiolex ANDA Filers have infringed certain of our Orange Book listed patents, and seeks an order that the effective date of FDA approval of the ANDAs shall be a date no earlier than the expiration of the last to expire of the asserted patents. As a result of this lawsuit, we expect that a stay of approval of up to 30 months will be imposed by FDA on the Epidiolex ANDA Filers’ ANDAs.</w:t>
      </w:r>
    </w:p>
    <w:p>
      <w:pPr>
        <w:spacing w:after="0" w:line="115" w:lineRule="exact"/>
        <w:rPr>
          <w:sz w:val="20"/>
          <w:szCs w:val="20"/>
          <w:color w:val="auto"/>
        </w:rPr>
      </w:pPr>
    </w:p>
    <w:p>
      <w:pPr>
        <w:ind w:right="60" w:firstLine="439"/>
        <w:spacing w:after="0" w:line="256" w:lineRule="auto"/>
        <w:rPr>
          <w:sz w:val="20"/>
          <w:szCs w:val="20"/>
          <w:color w:val="auto"/>
        </w:rPr>
      </w:pPr>
      <w:r>
        <w:rPr>
          <w:rFonts w:ascii="Times New Roman" w:cs="Times New Roman" w:eastAsia="Times New Roman" w:hAnsi="Times New Roman"/>
          <w:sz w:val="18"/>
          <w:szCs w:val="18"/>
          <w:color w:val="auto"/>
        </w:rPr>
        <w:t>From March 2023 through May 2023, we received the Epidiolex ANDA Filers’ answers to the complaint. The answers include defenses and counterclaims asserting that the Epidiolex ANDA Filers’ products, if launched would not infringe our patents, that our patents are invalid, and in one instance, counterclaims related to allegations of inequitable conduct and improper listing of patents in the Orange Book. On May 25, 2023, we filed a motion to dismiss certain of the counterclaims. On January 11, 2024, the Court issued an order granting in part and denying in part our motion to dismiss.</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Court in the Epidiolex Patent Litigation scheduled trial for September 2025.</w:t>
      </w:r>
    </w:p>
    <w:p>
      <w:pPr>
        <w:spacing w:after="0" w:line="112" w:lineRule="exact"/>
        <w:rPr>
          <w:sz w:val="20"/>
          <w:szCs w:val="20"/>
          <w:color w:val="auto"/>
        </w:rPr>
      </w:pPr>
    </w:p>
    <w:p>
      <w:pPr>
        <w:ind w:right="40" w:firstLine="439"/>
        <w:spacing w:after="0" w:line="254" w:lineRule="auto"/>
        <w:rPr>
          <w:sz w:val="20"/>
          <w:szCs w:val="20"/>
          <w:color w:val="auto"/>
        </w:rPr>
      </w:pPr>
      <w:r>
        <w:rPr>
          <w:rFonts w:ascii="Times New Roman" w:cs="Times New Roman" w:eastAsia="Times New Roman" w:hAnsi="Times New Roman"/>
          <w:sz w:val="18"/>
          <w:szCs w:val="18"/>
          <w:color w:val="auto"/>
        </w:rPr>
        <w:t>In June and July 2023, we received notice from certain of the Epidiolex ANDA Filers that they had each filed a paragraph IV certification regarding a newly-issued patent listed in the Orange Book for Epidiolex. On July 21, 2023, we filed an additional lawsuit against all of the Epidiolex ANDA Filers in the United States District Court for the District of New Jersey alleging that, by filing its ANDA, each Epidiolex ANDA Filer infringed the newly-issued patent related to a method of treatment using Epidiolex. The suit seeks an order that the effective date of FDA approval of each Epidiolex ANDA Filer’s application shall be a date no earlier than the expiration of the newly-issued patent.</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74" w:lineRule="exact"/>
        <w:rPr>
          <w:sz w:val="20"/>
          <w:szCs w:val="20"/>
          <w:color w:val="auto"/>
        </w:rPr>
      </w:pPr>
    </w:p>
    <w:p>
      <w:pPr>
        <w:ind w:right="60" w:firstLine="439"/>
        <w:spacing w:after="0" w:line="261" w:lineRule="auto"/>
        <w:rPr>
          <w:sz w:val="20"/>
          <w:szCs w:val="20"/>
          <w:color w:val="auto"/>
        </w:rPr>
      </w:pPr>
      <w:r>
        <w:rPr>
          <w:rFonts w:ascii="Times New Roman" w:cs="Times New Roman" w:eastAsia="Times New Roman" w:hAnsi="Times New Roman"/>
          <w:sz w:val="18"/>
          <w:szCs w:val="18"/>
          <w:color w:val="auto"/>
        </w:rPr>
        <w:t>On October 24, 2023, we entered into a settlement agreement with Padagis US LLC, or Padagis, that resolved our patent litigation with Padagis related to Epidiolex. Under the settlement agreement, we granted Padagis a license to manufacture, market, and sell its generic version of Epidiolex on a date that depends on the occurrence of certain other events. The specific terms of the Padagis settlement agreement are confidential.</w:t>
      </w:r>
    </w:p>
    <w:p>
      <w:pPr>
        <w:spacing w:after="0" w:line="70" w:lineRule="exact"/>
        <w:rPr>
          <w:sz w:val="20"/>
          <w:szCs w:val="20"/>
          <w:color w:val="auto"/>
        </w:rPr>
      </w:pPr>
    </w:p>
    <w:p>
      <w:pPr>
        <w:ind w:right="140" w:firstLine="439"/>
        <w:spacing w:after="0" w:line="261" w:lineRule="auto"/>
        <w:rPr>
          <w:sz w:val="20"/>
          <w:szCs w:val="20"/>
          <w:color w:val="auto"/>
        </w:rPr>
      </w:pPr>
      <w:r>
        <w:rPr>
          <w:rFonts w:ascii="Times New Roman" w:cs="Times New Roman" w:eastAsia="Times New Roman" w:hAnsi="Times New Roman"/>
          <w:sz w:val="18"/>
          <w:szCs w:val="18"/>
          <w:color w:val="auto"/>
        </w:rPr>
        <w:t>On November 20, 2023, we entered into a settlement agreement with Teva Pharmaceuticals, Inc., or Teva, that resolved our patent litigation with Teva related to Epidiolex. Under the settlement agreement, we granted Teva a license to manufacture, market and sell its generic version of Epidiolex on a date which remains confidential. The specific terms of the Teva settlement agreement are confidential.</w:t>
      </w:r>
    </w:p>
    <w:p>
      <w:pPr>
        <w:spacing w:after="0" w:line="70" w:lineRule="exact"/>
        <w:rPr>
          <w:sz w:val="20"/>
          <w:szCs w:val="20"/>
          <w:color w:val="auto"/>
        </w:rPr>
      </w:pPr>
    </w:p>
    <w:p>
      <w:pPr>
        <w:jc w:val="both"/>
        <w:ind w:right="100" w:firstLine="439"/>
        <w:spacing w:after="0" w:line="261" w:lineRule="auto"/>
        <w:rPr>
          <w:sz w:val="20"/>
          <w:szCs w:val="20"/>
          <w:color w:val="auto"/>
        </w:rPr>
      </w:pPr>
      <w:r>
        <w:rPr>
          <w:rFonts w:ascii="Times New Roman" w:cs="Times New Roman" w:eastAsia="Times New Roman" w:hAnsi="Times New Roman"/>
          <w:sz w:val="18"/>
          <w:szCs w:val="18"/>
          <w:color w:val="auto"/>
        </w:rPr>
        <w:t>On December 4, 2023, we entered into a settlement agreement with Alkem Laboratories Ltd., or Alkem, that resolved our patent litigation with Alkem related to Epidiolex. Under the settlement agreement, we granted Alkem a license to manufacture, market, and sell its generic version of Epidiolex on a date which remains confidential. The specific terms of the Alkem settlement are confidential.</w:t>
      </w:r>
    </w:p>
    <w:p>
      <w:pPr>
        <w:spacing w:after="0" w:line="70" w:lineRule="exact"/>
        <w:rPr>
          <w:sz w:val="20"/>
          <w:szCs w:val="20"/>
          <w:color w:val="auto"/>
        </w:rPr>
      </w:pPr>
    </w:p>
    <w:p>
      <w:pPr>
        <w:ind w:firstLine="439"/>
        <w:spacing w:after="0" w:line="261" w:lineRule="auto"/>
        <w:rPr>
          <w:sz w:val="20"/>
          <w:szCs w:val="20"/>
          <w:color w:val="auto"/>
        </w:rPr>
      </w:pPr>
      <w:r>
        <w:rPr>
          <w:rFonts w:ascii="Times New Roman" w:cs="Times New Roman" w:eastAsia="Times New Roman" w:hAnsi="Times New Roman"/>
          <w:sz w:val="18"/>
          <w:szCs w:val="18"/>
          <w:color w:val="auto"/>
        </w:rPr>
        <w:t>The settlements with Padagis, Teva and Alkem do not resolve the litigation against the other seven Epidiolex ANDA Filers, which is ongoing. We cannot predict the specific timing or outcome of events in these matters with respect to the remaining defendants or the impact of developments involving any specific parties or patents on other ongoing proceedings with any specific Epidiolex ANDA Filer.</w:t>
      </w:r>
    </w:p>
    <w:p>
      <w:pPr>
        <w:spacing w:after="0" w:line="70" w:lineRule="exact"/>
        <w:rPr>
          <w:sz w:val="20"/>
          <w:szCs w:val="20"/>
          <w:color w:val="auto"/>
        </w:rPr>
      </w:pPr>
    </w:p>
    <w:p>
      <w:pPr>
        <w:ind w:right="160" w:firstLine="439"/>
        <w:spacing w:after="0" w:line="252" w:lineRule="auto"/>
        <w:rPr>
          <w:sz w:val="20"/>
          <w:szCs w:val="20"/>
          <w:color w:val="auto"/>
        </w:rPr>
      </w:pPr>
      <w:r>
        <w:rPr>
          <w:rFonts w:ascii="Times New Roman" w:cs="Times New Roman" w:eastAsia="Times New Roman" w:hAnsi="Times New Roman"/>
          <w:sz w:val="18"/>
          <w:szCs w:val="18"/>
          <w:color w:val="auto"/>
        </w:rPr>
        <w:t>In September and October 2023, we received notice from certain of the Epidiolex ANDA filers that they had each filed a paragraph IV certification regarding one or more newly-issued patents listed in the Orange Book for Epidiolex. On December 15, 2023, we filed an additional lawsuit against seven of the original Epidiolex ANDA Filers with whom we have not previously settled. We filed this lawsuit in the United States District Court for the District of New Jersey alleging that, by filing its ANDA, each Epidiolex ANDA Filer infringed the newly-issued patents related to methods of treatment using Epidiolex. The suit seeks an order that the effective date of FDA approval of each Epidiolex ANDA Filer’s application shall be a date no earlier than the expiration of the newly-issued patents.</w:t>
      </w:r>
    </w:p>
    <w:p>
      <w:pPr>
        <w:spacing w:after="0" w:line="80" w:lineRule="exact"/>
        <w:rPr>
          <w:sz w:val="20"/>
          <w:szCs w:val="20"/>
          <w:color w:val="auto"/>
        </w:rPr>
      </w:pPr>
    </w:p>
    <w:p>
      <w:pPr>
        <w:ind w:right="140" w:firstLine="439"/>
        <w:spacing w:after="0" w:line="261" w:lineRule="auto"/>
        <w:rPr>
          <w:sz w:val="20"/>
          <w:szCs w:val="20"/>
          <w:color w:val="auto"/>
        </w:rPr>
      </w:pPr>
      <w:r>
        <w:rPr>
          <w:rFonts w:ascii="Times New Roman" w:cs="Times New Roman" w:eastAsia="Times New Roman" w:hAnsi="Times New Roman"/>
          <w:sz w:val="18"/>
          <w:szCs w:val="18"/>
          <w:color w:val="auto"/>
        </w:rPr>
        <w:t>Epidiolex also has ODE for the treatment of seizures associated with LGS or DS in patients 2 years of age and older through September 28, 2025, and for the treatment of seizures associated with LGS or DS in patients between 1 and 2 years of age and for the treatment of seizures associated with TSC through July 31, 2027.</w:t>
      </w:r>
    </w:p>
    <w:p>
      <w:pPr>
        <w:spacing w:after="0" w:line="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vigorously enforces its intellectual property rights but cannot predict the outcome of these matters.</w:t>
      </w:r>
    </w:p>
    <w:p>
      <w:pPr>
        <w:spacing w:after="0" w:line="1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MSP Litigation</w:t>
      </w:r>
    </w:p>
    <w:p>
      <w:pPr>
        <w:spacing w:after="0" w:line="114" w:lineRule="exact"/>
        <w:rPr>
          <w:sz w:val="20"/>
          <w:szCs w:val="20"/>
          <w:color w:val="auto"/>
        </w:rPr>
      </w:pPr>
    </w:p>
    <w:p>
      <w:pPr>
        <w:ind w:right="180" w:firstLine="439"/>
        <w:spacing w:after="0" w:line="250" w:lineRule="auto"/>
        <w:rPr>
          <w:sz w:val="20"/>
          <w:szCs w:val="20"/>
          <w:color w:val="auto"/>
        </w:rPr>
      </w:pPr>
      <w:r>
        <w:rPr>
          <w:rFonts w:ascii="Times New Roman" w:cs="Times New Roman" w:eastAsia="Times New Roman" w:hAnsi="Times New Roman"/>
          <w:sz w:val="18"/>
          <w:szCs w:val="18"/>
          <w:color w:val="auto"/>
        </w:rPr>
        <w:t>On April 3, 2023, MSP Recovery Claims, Series LLC, or MSP, filed a class action lawsuit on behalf itself and others similarly situated against Jazz Pharmaceuticals plc, Jazz Pharmaceuticals, Inc., and Jazz Pharmaceuticals Ireland Limited, (collectively, the Company Defendants), Express Scripts, Inc., Express Scripts Holding Company, Express Scripts Specialty Distribution Services, Inc., Curascript, Inc. d/b/a Curascript, S.D., Priority Healthcare Distribution, Inc. d/b/a Curascript SD and Curascript Specialty Distribution SD, Caring Voice Coalition, and Adira Foundation (collectively with the Company Defendants, referred to as the Defendants) in the United States District Court for the Northern District of California. The MSP complaint alleges that the Defendants conspired to increase the price and quantity dispensed of Xyrem and Prialt, in violation of the Racketeer Influenced and Corrupt Organizations Act and several state laws. The allegations relate generally to the conduct at issue in the investigation conducted by the United States Department of Justice from 2016-2019, involving the Company’s contributions to certain charitable foundations. MSP seeks monetary damages, restitution, disgorgement, and a declaration that the conduct alleged is unlawful.</w:t>
      </w:r>
    </w:p>
    <w:p>
      <w:pPr>
        <w:spacing w:after="0" w:line="83" w:lineRule="exact"/>
        <w:rPr>
          <w:sz w:val="20"/>
          <w:szCs w:val="20"/>
          <w:color w:val="auto"/>
        </w:rPr>
      </w:pPr>
    </w:p>
    <w:p>
      <w:pPr>
        <w:ind w:right="40" w:firstLine="439"/>
        <w:spacing w:after="0" w:line="261" w:lineRule="auto"/>
        <w:rPr>
          <w:sz w:val="20"/>
          <w:szCs w:val="20"/>
          <w:color w:val="auto"/>
        </w:rPr>
      </w:pPr>
      <w:r>
        <w:rPr>
          <w:rFonts w:ascii="Times New Roman" w:cs="Times New Roman" w:eastAsia="Times New Roman" w:hAnsi="Times New Roman"/>
          <w:sz w:val="18"/>
          <w:szCs w:val="18"/>
          <w:color w:val="auto"/>
        </w:rPr>
        <w:t>On July 25, 2023, we and certain other defendants filed motions to dismiss MSP's complaint, which the Court granted on December 12, 2023. On January 5, 2024, the MSP filed an amended complaint. On February 20, 2024, we filed a motion to dismiss MSP’s amended complaint. No trial date has been set for this matter.</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FDA Litigation</w:t>
      </w:r>
    </w:p>
    <w:p>
      <w:pPr>
        <w:spacing w:after="0" w:line="114" w:lineRule="exact"/>
        <w:rPr>
          <w:sz w:val="20"/>
          <w:szCs w:val="20"/>
          <w:color w:val="auto"/>
        </w:rPr>
      </w:pPr>
    </w:p>
    <w:p>
      <w:pPr>
        <w:ind w:firstLine="439"/>
        <w:spacing w:after="0" w:line="251" w:lineRule="auto"/>
        <w:rPr>
          <w:sz w:val="20"/>
          <w:szCs w:val="20"/>
          <w:color w:val="auto"/>
        </w:rPr>
      </w:pPr>
      <w:r>
        <w:rPr>
          <w:rFonts w:ascii="Times New Roman" w:cs="Times New Roman" w:eastAsia="Times New Roman" w:hAnsi="Times New Roman"/>
          <w:sz w:val="18"/>
          <w:szCs w:val="18"/>
          <w:color w:val="auto"/>
        </w:rPr>
        <w:t>On June 22, 2023, we filed a complaint in the United States District Court for the District of Columbia seeking a declaration that FDA’s approval on May 1, 2023 of the New Drug Application, or NDA, for Avadel's Lumryz was unlawful. In the complaint, we allege that FDA acted outside its authority under the Orphan Drug Act, when, despite the orphan drug exclusivity, or ODE, protecting Jazz’s low-sodium oxybate product Xywav, FDA approved the Lumryz NDA and granted Lumryz ODE based on FDA’s finding that Lumryz makes a major contribution to patient care and is therefore clinically superior to Xywav and Xyrem. Jazz further alleges that in doing so, FDA failed to follow its own regulations, failed to follow established agency policy without providing a reasoned explanation for the departure, reversed prior decisions by its own staff and experts without a reasoned explanation, and disregarded the relevant scientific literature and data. The complaint, filed</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7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pursuant to the Administrative Procedure Act, seeks to have the Court vacate and set aside FDA’s approval of the Lumryz NDA and seeks a declaration that FDA’s approval of the Lumryz NDA was arbitrary, capricious, an abuse of discretion and otherwise not in accordance with law; and that approval of the Lumryz NDA was in excess of FDA’s statutory authority and was made without observance of procedure required by law.</w:t>
      </w:r>
    </w:p>
    <w:p>
      <w:pPr>
        <w:spacing w:after="0" w:line="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On September 15, 2023, we filed a motion for summary judgment. On October 20, 2023, Avadel and FDA filed cross motions for summary judgment.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Oral argument on these motions is currently scheduled for April 9, 2024.</w:t>
      </w:r>
    </w:p>
    <w:p>
      <w:pPr>
        <w:spacing w:after="0" w:line="93" w:lineRule="exact"/>
        <w:rPr>
          <w:sz w:val="20"/>
          <w:szCs w:val="20"/>
          <w:color w:val="auto"/>
        </w:rPr>
      </w:pPr>
    </w:p>
    <w:p>
      <w:pPr>
        <w:ind w:right="200" w:firstLine="439"/>
        <w:spacing w:after="0" w:line="276" w:lineRule="auto"/>
        <w:rPr>
          <w:sz w:val="20"/>
          <w:szCs w:val="20"/>
          <w:color w:val="auto"/>
        </w:rPr>
      </w:pPr>
      <w:r>
        <w:rPr>
          <w:rFonts w:ascii="Times New Roman" w:cs="Times New Roman" w:eastAsia="Times New Roman" w:hAnsi="Times New Roman"/>
          <w:sz w:val="18"/>
          <w:szCs w:val="18"/>
          <w:color w:val="auto"/>
        </w:rPr>
        <w:t>From time to time we are involved in legal proceedings arising in the ordinary course of business. We believe there is no other litigation pending that could have, individually or in the aggregate, a material adverse effect on our results of operations or financial condition.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Shareholders’ Equity</w:t>
      </w:r>
    </w:p>
    <w:p>
      <w:pPr>
        <w:spacing w:after="0" w:line="1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16" w:lineRule="exact"/>
        <w:rPr>
          <w:sz w:val="20"/>
          <w:szCs w:val="20"/>
          <w:color w:val="auto"/>
        </w:rPr>
      </w:pPr>
    </w:p>
    <w:p>
      <w:pPr>
        <w:ind w:right="40" w:firstLine="439"/>
        <w:spacing w:after="0" w:line="267" w:lineRule="auto"/>
        <w:rPr>
          <w:sz w:val="20"/>
          <w:szCs w:val="20"/>
          <w:color w:val="auto"/>
        </w:rPr>
      </w:pPr>
      <w:r>
        <w:rPr>
          <w:rFonts w:ascii="Times New Roman" w:cs="Times New Roman" w:eastAsia="Times New Roman" w:hAnsi="Times New Roman"/>
          <w:sz w:val="17"/>
          <w:szCs w:val="17"/>
          <w:color w:val="auto"/>
        </w:rPr>
        <w:t>In November 2016, our board of directors authorized a share repurchase program and as of December 31, 2023, had authorized the repurchase of up to $1.5 billion, exclusive of any brokerage commissions. Under this program, which has no expiration date, we may repurchase ordinary shares from time to time on the open market. The timing and amount of repurchases will depend on a variety of factors, including the price of our ordinary shares, alternative investment opportunities, restrictions under the May 2021 credit agreement, corporate and regulatory requirements and market conditions. The share repurchase program may be modified, suspended or discontinued at any time without prior notice. In 2023, we spent a total of $269.8 million to purchase 2.1 million of our ordinary shares under the share repurchase program at an average total purchase price, including commissions, of $126.65 per share. In 2022, we spent a total of $0.1 million to repurchase 338 of our ordinary shares at a total purchase price, including brokerage commissions, of $160.70 per share. As of December 31, 2023, the remaining amount authorized under the share repurchase program was $161.4 million, exclusive of any brokerage commissions.</w:t>
      </w:r>
    </w:p>
    <w:p>
      <w:pPr>
        <w:spacing w:after="0" w:line="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Ordinary Shares</w:t>
      </w:r>
    </w:p>
    <w:p>
      <w:pPr>
        <w:spacing w:after="0" w:line="1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had reserved the following shares of authorized but unissued ordinary shares (in thousands):</w:t>
      </w:r>
    </w:p>
    <w:p>
      <w:pPr>
        <w:spacing w:after="0" w:line="146"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04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2011 Equity Incentive Plan</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23,689</w:t>
            </w:r>
          </w:p>
        </w:tc>
      </w:tr>
      <w:tr>
        <w:trPr>
          <w:trHeight w:val="226"/>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2007 Employee Stock Purchase Plan</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4,069</w:t>
            </w:r>
          </w:p>
        </w:tc>
      </w:tr>
      <w:tr>
        <w:trPr>
          <w:trHeight w:val="226"/>
        </w:trPr>
        <w:tc>
          <w:tcPr>
            <w:tcW w:w="8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GW Incentive Plans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r>
      <w:tr>
        <w:trPr>
          <w:trHeight w:val="226"/>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Amended and Restated 2007 Non-Employee Directors Stock Award Plan</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245"/>
        </w:trPr>
        <w:tc>
          <w:tcPr>
            <w:tcW w:w="8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30,220</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16" w:lineRule="exact"/>
        <w:rPr>
          <w:sz w:val="20"/>
          <w:szCs w:val="20"/>
          <w:color w:val="auto"/>
        </w:rPr>
      </w:pPr>
    </w:p>
    <w:p>
      <w:pPr>
        <w:ind w:right="60" w:firstLine="439"/>
        <w:spacing w:after="0" w:line="269" w:lineRule="auto"/>
        <w:rPr>
          <w:sz w:val="20"/>
          <w:szCs w:val="20"/>
          <w:color w:val="auto"/>
        </w:rPr>
      </w:pPr>
      <w:r>
        <w:rPr>
          <w:rFonts w:ascii="Times New Roman" w:cs="Times New Roman" w:eastAsia="Times New Roman" w:hAnsi="Times New Roman"/>
          <w:sz w:val="17"/>
          <w:szCs w:val="17"/>
          <w:color w:val="auto"/>
        </w:rPr>
        <w:t>In 2023 and 2022, we did not declare or pay cash dividends on our common equity. Under Irish law, dividends may only be paid, and share repurchases and redemptions must generally be funded only out of, “distributable reserves.” In addition, the terms of our credit agreement restrict our ability to make certain restricted payments, including dividends and other distributions by us in respect of our ordinary shares, subject to, among other exceptions,</w:t>
      </w:r>
    </w:p>
    <w:p>
      <w:pPr>
        <w:spacing w:after="0" w:line="1" w:lineRule="exact"/>
        <w:rPr>
          <w:sz w:val="20"/>
          <w:szCs w:val="20"/>
          <w:color w:val="auto"/>
        </w:rPr>
      </w:pPr>
    </w:p>
    <w:p>
      <w:pPr>
        <w:ind w:firstLine="6"/>
        <w:spacing w:after="0" w:line="248" w:lineRule="auto"/>
        <w:tabs>
          <w:tab w:leader="none" w:pos="25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exception for dividends and restricted payments up to $30 million in the aggregate and (2) an exception that allows for restricted payments, subject to a cap equal to the sum of (i) $100 million plus (ii) so long as our secured leverage ratio (as defined in our credit agreement) does not exceed 3:1 after giving pro forma effect to the restricted payment, a formula-based amount tied to our consolidated net income; provided that such cap applies only if our total leverage ratio (as defined in our credit agreement) exceeds 2:1 after giving pro forma effect to the restricted payment. Any future determination as to the payment of dividends will, subject to Irish legal requirements, be at the sole discretion of our board of directors and will depend on our consolidated financial condition, results of operations, capital requirements, compliance with the terms of our credit agreement or other future borrowing arrangements, and other factors our board of directors deems relevant.</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Comprehensive Income (Loss)</w:t>
      </w:r>
    </w:p>
    <w:p>
      <w:pPr>
        <w:spacing w:after="0" w:line="114" w:lineRule="exact"/>
        <w:rPr>
          <w:sz w:val="20"/>
          <w:szCs w:val="20"/>
          <w:color w:val="auto"/>
        </w:rPr>
      </w:pPr>
    </w:p>
    <w:p>
      <w:pPr>
        <w:ind w:right="320" w:firstLine="439"/>
        <w:spacing w:after="0" w:line="276" w:lineRule="auto"/>
        <w:rPr>
          <w:sz w:val="20"/>
          <w:szCs w:val="20"/>
          <w:color w:val="auto"/>
        </w:rPr>
      </w:pPr>
      <w:r>
        <w:rPr>
          <w:rFonts w:ascii="Times New Roman" w:cs="Times New Roman" w:eastAsia="Times New Roman" w:hAnsi="Times New Roman"/>
          <w:sz w:val="18"/>
          <w:szCs w:val="18"/>
          <w:color w:val="auto"/>
        </w:rPr>
        <w:t>Comprehensive income (loss) includes net income (loss) and all changes in shareholders’ equity during a period, except for those changes resulting from investments by shareholders or distributions to shareholders.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Loss</w:t>
      </w:r>
    </w:p>
    <w:p>
      <w:pPr>
        <w:spacing w:after="0" w:line="1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components of accumulated other comprehensive loss as of December 31, 2023 and 2022 were as follows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80" w:type="dxa"/>
            <w:vAlign w:val="bottom"/>
          </w:tcPr>
          <w:p>
            <w:pPr>
              <w:spacing w:after="0"/>
              <w:rPr>
                <w:sz w:val="13"/>
                <w:szCs w:val="13"/>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4"/>
        </w:trPr>
        <w:tc>
          <w:tcPr>
            <w:tcW w:w="6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33"/>
        </w:trPr>
        <w:tc>
          <w:tcPr>
            <w:tcW w:w="6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jc w:val="center"/>
              <w:ind w:right="340"/>
              <w:spacing w:after="0" w:line="133"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80" w:type="dxa"/>
            <w:vAlign w:val="bottom"/>
          </w:tcPr>
          <w:p>
            <w:pPr>
              <w:spacing w:after="0"/>
              <w:rPr>
                <w:sz w:val="11"/>
                <w:szCs w:val="11"/>
                <w:color w:val="auto"/>
              </w:rPr>
            </w:pPr>
          </w:p>
        </w:tc>
        <w:tc>
          <w:tcPr>
            <w:tcW w:w="1260" w:type="dxa"/>
            <w:vAlign w:val="bottom"/>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6"/>
        </w:trPr>
        <w:tc>
          <w:tcPr>
            <w:tcW w:w="6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w w:val="99"/>
              </w:rPr>
              <w:t>Gain From</w:t>
            </w:r>
          </w:p>
        </w:tc>
        <w:tc>
          <w:tcPr>
            <w:tcW w:w="220" w:type="dxa"/>
            <w:vAlign w:val="bottom"/>
          </w:tcPr>
          <w:p>
            <w:pPr>
              <w:spacing w:after="0"/>
              <w:rPr>
                <w:sz w:val="12"/>
                <w:szCs w:val="12"/>
                <w:color w:val="auto"/>
              </w:rPr>
            </w:pPr>
          </w:p>
        </w:tc>
        <w:tc>
          <w:tcPr>
            <w:tcW w:w="1320" w:type="dxa"/>
            <w:vAlign w:val="bottom"/>
            <w:gridSpan w:val="2"/>
          </w:tcPr>
          <w:p>
            <w:pPr>
              <w:jc w:val="center"/>
              <w:ind w:right="340"/>
              <w:spacing w:after="0" w:line="147"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80" w:type="dxa"/>
            <w:vAlign w:val="bottom"/>
          </w:tcPr>
          <w:p>
            <w:pPr>
              <w:spacing w:after="0"/>
              <w:rPr>
                <w:sz w:val="12"/>
                <w:szCs w:val="12"/>
                <w:color w:val="auto"/>
              </w:rPr>
            </w:pPr>
          </w:p>
        </w:tc>
        <w:tc>
          <w:tcPr>
            <w:tcW w:w="1260" w:type="dxa"/>
            <w:vAlign w:val="bottom"/>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4"/>
        </w:trPr>
        <w:tc>
          <w:tcPr>
            <w:tcW w:w="6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Hedging Activities</w:t>
            </w: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25"/>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(1,125,509)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(1,125,509)</w:t>
            </w:r>
          </w:p>
        </w:tc>
        <w:tc>
          <w:tcPr>
            <w:tcW w:w="0" w:type="dxa"/>
            <w:vAlign w:val="bottom"/>
          </w:tcPr>
          <w:p>
            <w:pPr>
              <w:spacing w:after="0"/>
              <w:rPr>
                <w:sz w:val="1"/>
                <w:szCs w:val="1"/>
                <w:color w:val="auto"/>
              </w:rPr>
            </w:pPr>
          </w:p>
        </w:tc>
      </w:tr>
      <w:tr>
        <w:trPr>
          <w:trHeight w:val="226"/>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286,785</w:t>
            </w: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 (loss)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0" w:type="dxa"/>
            <w:vAlign w:val="bottom"/>
          </w:tcPr>
          <w:p>
            <w:pPr>
              <w:spacing w:after="0"/>
              <w:rPr>
                <w:sz w:val="1"/>
                <w:szCs w:val="1"/>
                <w:color w:val="auto"/>
              </w:rPr>
            </w:pPr>
          </w:p>
        </w:tc>
      </w:tr>
      <w:tr>
        <w:trPr>
          <w:trHeight w:val="220"/>
        </w:trPr>
        <w:tc>
          <w:tcPr>
            <w:tcW w:w="6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comprehensive income, net</w:t>
            </w:r>
          </w:p>
        </w:tc>
        <w:tc>
          <w:tcPr>
            <w:tcW w:w="1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283,127</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283,362</w:t>
            </w:r>
          </w:p>
        </w:tc>
        <w:tc>
          <w:tcPr>
            <w:tcW w:w="0" w:type="dxa"/>
            <w:vAlign w:val="bottom"/>
          </w:tcPr>
          <w:p>
            <w:pPr>
              <w:spacing w:after="0"/>
              <w:rPr>
                <w:sz w:val="1"/>
                <w:szCs w:val="1"/>
                <w:color w:val="auto"/>
              </w:rPr>
            </w:pPr>
          </w:p>
        </w:tc>
      </w:tr>
      <w:tr>
        <w:trPr>
          <w:trHeight w:val="245"/>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(842,382)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(842,147)</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right="200" w:firstLine="439"/>
        <w:spacing w:after="0" w:line="276" w:lineRule="auto"/>
        <w:rPr>
          <w:sz w:val="20"/>
          <w:szCs w:val="20"/>
          <w:color w:val="auto"/>
        </w:rPr>
      </w:pPr>
      <w:r>
        <w:rPr>
          <w:rFonts w:ascii="Times New Roman" w:cs="Times New Roman" w:eastAsia="Times New Roman" w:hAnsi="Times New Roman"/>
          <w:sz w:val="18"/>
          <w:szCs w:val="18"/>
          <w:color w:val="auto"/>
        </w:rPr>
        <w:t>In 2023, other comprehensive income primarily reflects foreign currency translation adjustments due to the strengthening of the sterling and the euro against the U.S. dollar.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Net Income (Loss) per Ordinary Share</w:t>
      </w:r>
    </w:p>
    <w:p>
      <w:pPr>
        <w:spacing w:after="0" w:line="114" w:lineRule="exact"/>
        <w:rPr>
          <w:sz w:val="20"/>
          <w:szCs w:val="20"/>
          <w:color w:val="auto"/>
        </w:rPr>
      </w:pPr>
    </w:p>
    <w:p>
      <w:pPr>
        <w:ind w:right="440" w:firstLine="439"/>
        <w:spacing w:after="0" w:line="276" w:lineRule="auto"/>
        <w:rPr>
          <w:sz w:val="20"/>
          <w:szCs w:val="20"/>
          <w:color w:val="auto"/>
        </w:rPr>
      </w:pPr>
      <w:r>
        <w:rPr>
          <w:rFonts w:ascii="Times New Roman" w:cs="Times New Roman" w:eastAsia="Times New Roman" w:hAnsi="Times New Roman"/>
          <w:sz w:val="18"/>
          <w:szCs w:val="18"/>
          <w:color w:val="auto"/>
        </w:rPr>
        <w:t>Basic net income (loss) per ordinary share is based on the weighted-average number of ordinary shares outstanding. Diluted net income (loss) per ordinary share is based on the weighted-average number of ordinary shares outstanding and potentially dilutive ordinary shares outstanding.</w:t>
      </w:r>
    </w:p>
    <w:p>
      <w:pPr>
        <w:spacing w:after="0" w:line="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Basic and diluted net income (loss) per ordinary share were computed as follows (in thousands, except per share amounts):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4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414,832</w:t>
            </w:r>
          </w:p>
        </w:tc>
        <w:tc>
          <w:tcPr>
            <w:tcW w:w="480" w:type="dxa"/>
            <w:vAlign w:val="bottom"/>
            <w:gridSpan w:val="2"/>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(224,060)</w:t>
            </w:r>
          </w:p>
        </w:tc>
        <w:tc>
          <w:tcPr>
            <w:tcW w:w="12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(329,668)</w:t>
            </w:r>
          </w:p>
        </w:tc>
        <w:tc>
          <w:tcPr>
            <w:tcW w:w="0" w:type="dxa"/>
            <w:vAlign w:val="bottom"/>
          </w:tcPr>
          <w:p>
            <w:pPr>
              <w:spacing w:after="0"/>
              <w:rPr>
                <w:sz w:val="1"/>
                <w:szCs w:val="1"/>
                <w:color w:val="auto"/>
              </w:rPr>
            </w:pPr>
          </w:p>
        </w:tc>
      </w:tr>
      <w:tr>
        <w:trPr>
          <w:trHeight w:val="226"/>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 of interest on assumed conversions of Exchangeable Senior Notes, net of tax</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for dilutive net income (loss) per ordinary share</w:t>
            </w:r>
          </w:p>
        </w:tc>
        <w:tc>
          <w:tcPr>
            <w:tcW w:w="36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439,708</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(224,060)</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(329,668)</w:t>
            </w:r>
          </w:p>
        </w:tc>
        <w:tc>
          <w:tcPr>
            <w:tcW w:w="0" w:type="dxa"/>
            <w:vAlign w:val="bottom"/>
          </w:tcPr>
          <w:p>
            <w:pPr>
              <w:spacing w:after="0"/>
              <w:rPr>
                <w:sz w:val="1"/>
                <w:szCs w:val="1"/>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Weighted-average ordinary shares used in per share calculations - basic</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63,291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62,539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59,694</w:t>
            </w:r>
          </w:p>
        </w:tc>
        <w:tc>
          <w:tcPr>
            <w:tcW w:w="0" w:type="dxa"/>
            <w:vAlign w:val="bottom"/>
          </w:tcPr>
          <w:p>
            <w:pPr>
              <w:spacing w:after="0"/>
              <w:rPr>
                <w:sz w:val="1"/>
                <w:szCs w:val="1"/>
                <w:color w:val="auto"/>
              </w:rPr>
            </w:pPr>
          </w:p>
        </w:tc>
      </w:tr>
      <w:tr>
        <w:trPr>
          <w:trHeight w:val="226"/>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Dilutive effect of Exchangeable Senior Notes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effect of employee equity incentive and purchase plans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ordinary shares used in per share calculations - diluted</w:t>
            </w: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72,066</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62,539</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59,694</w:t>
            </w:r>
          </w:p>
        </w:tc>
        <w:tc>
          <w:tcPr>
            <w:tcW w:w="0" w:type="dxa"/>
            <w:vAlign w:val="bottom"/>
          </w:tcPr>
          <w:p>
            <w:pPr>
              <w:spacing w:after="0"/>
              <w:rPr>
                <w:sz w:val="1"/>
                <w:szCs w:val="1"/>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ordinary share:</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400" w:type="dxa"/>
            <w:vAlign w:val="bottom"/>
            <w:shd w:val="clear" w:color="auto" w:fill="CCEEFF"/>
          </w:tcPr>
          <w:p>
            <w:pPr>
              <w:ind w:left="140"/>
              <w:spacing w:after="0" w:line="200" w:lineRule="exact"/>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jc w:val="right"/>
              <w:ind w:right="171"/>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line="200" w:lineRule="exact"/>
              <w:rPr>
                <w:sz w:val="20"/>
                <w:szCs w:val="20"/>
                <w:color w:val="auto"/>
              </w:rPr>
            </w:pPr>
            <w:r>
              <w:rPr>
                <w:rFonts w:ascii="Times New Roman" w:cs="Times New Roman" w:eastAsia="Times New Roman" w:hAnsi="Times New Roman"/>
                <w:sz w:val="18"/>
                <w:szCs w:val="18"/>
                <w:color w:val="auto"/>
              </w:rPr>
              <w:t>6.55</w:t>
            </w:r>
          </w:p>
        </w:tc>
        <w:tc>
          <w:tcPr>
            <w:tcW w:w="480" w:type="dxa"/>
            <w:vAlign w:val="bottom"/>
            <w:gridSpan w:val="2"/>
            <w:shd w:val="clear" w:color="auto" w:fill="CCEEFF"/>
          </w:tcPr>
          <w:p>
            <w:pPr>
              <w:jc w:val="right"/>
              <w:ind w:right="171"/>
              <w:spacing w:after="0" w:line="200"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line="200" w:lineRule="exact"/>
              <w:rPr>
                <w:sz w:val="20"/>
                <w:szCs w:val="20"/>
                <w:color w:val="auto"/>
              </w:rPr>
            </w:pPr>
            <w:r>
              <w:rPr>
                <w:rFonts w:ascii="Times New Roman" w:cs="Times New Roman" w:eastAsia="Times New Roman" w:hAnsi="Times New Roman"/>
                <w:sz w:val="18"/>
                <w:szCs w:val="18"/>
                <w:color w:val="auto"/>
              </w:rPr>
              <w:t>(3.58)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line="200" w:lineRule="exact"/>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400" w:type="dxa"/>
            <w:vAlign w:val="bottom"/>
            <w:vMerge w:val="continue"/>
          </w:tcPr>
          <w:p>
            <w:pPr>
              <w:spacing w:after="0"/>
              <w:rPr>
                <w:sz w:val="17"/>
                <w:szCs w:val="17"/>
                <w:color w:val="auto"/>
              </w:rPr>
            </w:pPr>
          </w:p>
        </w:tc>
        <w:tc>
          <w:tcPr>
            <w:tcW w:w="360" w:type="dxa"/>
            <w:vAlign w:val="bottom"/>
            <w:tcBorders>
              <w:bottom w:val="single" w:sz="8" w:color="auto"/>
            </w:tcBorders>
          </w:tcPr>
          <w:p>
            <w:pPr>
              <w:jc w:val="right"/>
              <w:ind w:right="171"/>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6.10</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1"/>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(3.58)</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1"/>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firstLine="439"/>
        <w:spacing w:after="0" w:line="261" w:lineRule="auto"/>
        <w:rPr>
          <w:sz w:val="20"/>
          <w:szCs w:val="20"/>
          <w:color w:val="auto"/>
        </w:rPr>
      </w:pPr>
      <w:r>
        <w:rPr>
          <w:rFonts w:ascii="Times New Roman" w:cs="Times New Roman" w:eastAsia="Times New Roman" w:hAnsi="Times New Roman"/>
          <w:sz w:val="18"/>
          <w:szCs w:val="18"/>
          <w:color w:val="auto"/>
        </w:rPr>
        <w:t>Potentially dilutive ordinary shares from our employee equity incentive and purchase plans are determined by applying the treasury stock method to the assumed vesting of outstanding restricted stock units, or RSUs, and PRSUs, the assumed exercise of share options and the assumed issuance of ordinary shares under our employee stock purchase plan, or ESPP.</w:t>
      </w:r>
    </w:p>
    <w:p>
      <w:pPr>
        <w:spacing w:after="0" w:line="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On January 1, 2022, we adopted ASU No. 2020-06, “Debt—Debt with Conversion and Other Options (Subtopic 470-20) and Derivatives and Hedging</w:t>
      </w:r>
    </w:p>
    <w:p>
      <w:pPr>
        <w:spacing w:after="0" w:line="37"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 Contracts in Entity’s Own Equity (Subtopic 815-40): Accounting for Convertible Instruments and Contracts in an Entity’s Own Equity” on a modified retrospective basis, which requires the use of the if-converted method to calculate potentially dilutive ordinary shares for convertible instruments. In August 2023, we made an irrevocable election to</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74" w:lineRule="exact"/>
        <w:rPr>
          <w:sz w:val="20"/>
          <w:szCs w:val="20"/>
          <w:color w:val="auto"/>
        </w:rPr>
      </w:pPr>
    </w:p>
    <w:p>
      <w:pPr>
        <w:jc w:val="both"/>
        <w:ind w:right="140"/>
        <w:spacing w:after="0" w:line="256" w:lineRule="auto"/>
        <w:rPr>
          <w:sz w:val="20"/>
          <w:szCs w:val="20"/>
          <w:color w:val="auto"/>
        </w:rPr>
      </w:pPr>
      <w:r>
        <w:rPr>
          <w:rFonts w:ascii="Times New Roman" w:cs="Times New Roman" w:eastAsia="Times New Roman" w:hAnsi="Times New Roman"/>
          <w:sz w:val="18"/>
          <w:szCs w:val="18"/>
          <w:color w:val="auto"/>
        </w:rPr>
        <w:t>fix the settlement method for exchanges of the 2024 Notes to a combination of cash and ordinary shares of the Company with a specified cash amount per $1,000 principal amount of the 2024 Notes of $1,000. As a result, the assumed issuance of ordinary shares upon exchange of the 2024 Notes has only been included in the calculation of diluted net income per ordinary share in 2023 up to the date the irrevocable election was made. The potential issue of ordinary shares upon exchange of the Exchangeable Senior Notes was anti-dilutive and had no impact on diluted net loss per ordinary share for 2022.</w:t>
      </w:r>
    </w:p>
    <w:p>
      <w:pPr>
        <w:spacing w:after="0" w:line="75" w:lineRule="exact"/>
        <w:rPr>
          <w:sz w:val="20"/>
          <w:szCs w:val="20"/>
          <w:color w:val="auto"/>
        </w:rPr>
      </w:pPr>
    </w:p>
    <w:p>
      <w:pPr>
        <w:ind w:right="60" w:firstLine="439"/>
        <w:spacing w:after="0" w:line="254" w:lineRule="auto"/>
        <w:rPr>
          <w:sz w:val="20"/>
          <w:szCs w:val="20"/>
          <w:color w:val="auto"/>
        </w:rPr>
      </w:pPr>
      <w:r>
        <w:rPr>
          <w:rFonts w:ascii="Times New Roman" w:cs="Times New Roman" w:eastAsia="Times New Roman" w:hAnsi="Times New Roman"/>
          <w:sz w:val="18"/>
          <w:szCs w:val="18"/>
          <w:color w:val="auto"/>
        </w:rPr>
        <w:t>In 2021, potentially dilutive ordinary shares from the Exchangeable Senior Notes were determined by applying the treasury stock method to the assumed issuance of ordinary shares upon exchange of the Exchangeable Senior Notes. The average price of our ordinary shares in 2021 exceeded the effective exchange price per ordinary share of the 2026 Notes. However, the potential ordinary shares issuable upon exchange were excluded from the calculation of diluted net loss per ordinary shares because their effect would have been anti-dilutive. The average price of our ordinary shares in 2021 did not exceed the effective exchange price per ordinary share of the 2021 Notes and 2024 Notes.</w:t>
      </w:r>
    </w:p>
    <w:p>
      <w:pPr>
        <w:spacing w:after="0" w:line="76" w:lineRule="exact"/>
        <w:rPr>
          <w:sz w:val="20"/>
          <w:szCs w:val="20"/>
          <w:color w:val="auto"/>
        </w:rPr>
      </w:pPr>
    </w:p>
    <w:p>
      <w:pPr>
        <w:ind w:right="40" w:firstLine="439"/>
        <w:spacing w:after="0" w:line="276" w:lineRule="auto"/>
        <w:rPr>
          <w:sz w:val="20"/>
          <w:szCs w:val="20"/>
          <w:color w:val="auto"/>
        </w:rPr>
      </w:pPr>
      <w:r>
        <w:rPr>
          <w:rFonts w:ascii="Times New Roman" w:cs="Times New Roman" w:eastAsia="Times New Roman" w:hAnsi="Times New Roman"/>
          <w:sz w:val="18"/>
          <w:szCs w:val="18"/>
          <w:color w:val="auto"/>
        </w:rPr>
        <w:t>The following table represents the weighted-average ordinary shares that were excluded from the computation of diluted net income (loss) per ordinary share for the years presented because including them would have an anti-dilutive effect (in thousands):</w:t>
      </w:r>
    </w:p>
    <w:p>
      <w:pPr>
        <w:spacing w:after="0" w:line="90"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400" w:type="dxa"/>
            <w:vAlign w:val="bottom"/>
          </w:tcPr>
          <w:p>
            <w:pPr>
              <w:spacing w:after="0"/>
              <w:rPr>
                <w:sz w:val="17"/>
                <w:szCs w:val="17"/>
                <w:color w:val="auto"/>
              </w:rPr>
            </w:pPr>
          </w:p>
        </w:tc>
        <w:tc>
          <w:tcPr>
            <w:tcW w:w="98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4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6"/>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equity incentive and purchase plans</w:t>
            </w:r>
          </w:p>
        </w:tc>
        <w:tc>
          <w:tcPr>
            <w:tcW w:w="98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w:t>
            </w:r>
          </w:p>
        </w:tc>
      </w:tr>
      <w:tr>
        <w:trPr>
          <w:trHeight w:val="232"/>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Exchangeable Senior Notes</w:t>
            </w:r>
          </w:p>
        </w:tc>
        <w:tc>
          <w:tcPr>
            <w:tcW w:w="1640" w:type="dxa"/>
            <w:vAlign w:val="bottom"/>
            <w:gridSpan w:val="3"/>
          </w:tcPr>
          <w:p>
            <w:pPr>
              <w:jc w:val="right"/>
              <w:ind w:right="1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9,044</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9,725</w:t>
            </w: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 and Other Information</w:t>
      </w:r>
    </w:p>
    <w:p>
      <w:pPr>
        <w:spacing w:after="0" w:line="114" w:lineRule="exact"/>
        <w:rPr>
          <w:sz w:val="20"/>
          <w:szCs w:val="20"/>
          <w:color w:val="auto"/>
        </w:rPr>
      </w:pPr>
    </w:p>
    <w:p>
      <w:pPr>
        <w:ind w:right="280" w:firstLine="439"/>
        <w:spacing w:after="0" w:line="261" w:lineRule="auto"/>
        <w:rPr>
          <w:sz w:val="20"/>
          <w:szCs w:val="20"/>
          <w:color w:val="auto"/>
        </w:rPr>
      </w:pPr>
      <w:r>
        <w:rPr>
          <w:rFonts w:ascii="Times New Roman" w:cs="Times New Roman" w:eastAsia="Times New Roman" w:hAnsi="Times New Roman"/>
          <w:sz w:val="18"/>
          <w:szCs w:val="18"/>
          <w:color w:val="auto"/>
        </w:rPr>
        <w:t>Our operating segment is reported in a manner consistent with the internal reporting provided to the chief operating decision maker, or CODM. Our CODM has been identified as our chief executive officer. We have determined that we operate in one business segment, which is the identification, development and commercialization of meaningful pharmaceutical products that address unmet medical needs.</w:t>
      </w:r>
    </w:p>
    <w:p>
      <w:pPr>
        <w:spacing w:after="0" w:line="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total long-lived assets by location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60" w:type="dxa"/>
            <w:vAlign w:val="bottom"/>
            <w:gridSpan w:val="3"/>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Pr>
          <w:p>
            <w:pPr>
              <w:spacing w:after="0"/>
              <w:rPr>
                <w:sz w:val="16"/>
                <w:szCs w:val="16"/>
                <w:color w:val="auto"/>
              </w:rPr>
            </w:pPr>
          </w:p>
        </w:tc>
      </w:tr>
      <w:tr>
        <w:trPr>
          <w:trHeight w:val="25"/>
        </w:trPr>
        <w:tc>
          <w:tcPr>
            <w:tcW w:w="80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6"/>
        </w:trPr>
        <w:tc>
          <w:tcPr>
            <w:tcW w:w="80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Ireland</w:t>
            </w: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68,201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71,276</w:t>
            </w:r>
          </w:p>
        </w:tc>
      </w:tr>
      <w:tr>
        <w:trPr>
          <w:trHeight w:val="226"/>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80,293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143,870</w:t>
            </w:r>
          </w:p>
        </w:tc>
      </w:tr>
      <w:tr>
        <w:trPr>
          <w:trHeight w:val="22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63,559</w:t>
            </w:r>
          </w:p>
        </w:tc>
      </w:tr>
      <w:tr>
        <w:trPr>
          <w:trHeight w:val="226"/>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15,768</w:t>
            </w:r>
          </w:p>
        </w:tc>
      </w:tr>
      <w:tr>
        <w:trPr>
          <w:trHeight w:val="22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6,904</w:t>
            </w:r>
          </w:p>
        </w:tc>
      </w:tr>
      <w:tr>
        <w:trPr>
          <w:trHeight w:val="22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long-lived assets (1)</w:t>
            </w:r>
          </w:p>
        </w:tc>
        <w:tc>
          <w:tcPr>
            <w:tcW w:w="3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234,986</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301,377</w:t>
            </w:r>
          </w:p>
        </w:tc>
      </w:tr>
      <w:tr>
        <w:trPr>
          <w:trHeight w:val="20"/>
        </w:trPr>
        <w:tc>
          <w:tcPr>
            <w:tcW w:w="8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5" w:lineRule="exact"/>
        <w:rPr>
          <w:sz w:val="20"/>
          <w:szCs w:val="20"/>
          <w:color w:val="auto"/>
        </w:rPr>
      </w:pPr>
    </w:p>
    <w:p>
      <w:pPr>
        <w:ind w:left="560" w:hanging="314"/>
        <w:spacing w:after="0"/>
        <w:tabs>
          <w:tab w:leader="none" w:pos="5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Long-lived assets consist of property, plant and equipment and operating lease assets.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32" w:lineRule="exact"/>
        <w:rPr>
          <w:rFonts w:ascii="Times New Roman" w:cs="Times New Roman" w:eastAsia="Times New Roman" w:hAnsi="Times New Roman"/>
          <w:sz w:val="18"/>
          <w:szCs w:val="18"/>
          <w:color w:val="auto"/>
        </w:rPr>
      </w:pPr>
    </w:p>
    <w:p>
      <w:pPr>
        <w:ind w:left="5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Revenues</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a summary of total revenues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5"/>
        </w:trPr>
        <w:tc>
          <w:tcPr>
            <w:tcW w:w="6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64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Xywav</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1,272,977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958,425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535,297</w:t>
            </w:r>
          </w:p>
        </w:tc>
      </w:tr>
      <w:tr>
        <w:trPr>
          <w:trHeight w:val="22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Xyrem</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569,730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1,020,453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1,265,830</w:t>
            </w:r>
          </w:p>
        </w:tc>
      </w:tr>
      <w:tr>
        <w:trPr>
          <w:trHeight w:val="22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Epidiolex/Epidyolex</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845,468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736,398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463,645</w:t>
            </w:r>
          </w:p>
        </w:tc>
      </w:tr>
      <w:tr>
        <w:trPr>
          <w:trHeight w:val="22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Sativex</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12,707</w:t>
            </w:r>
          </w:p>
        </w:tc>
      </w:tr>
      <w:tr>
        <w:trPr>
          <w:trHeight w:val="226"/>
        </w:trPr>
        <w:tc>
          <w:tcPr>
            <w:tcW w:w="640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Sunosi</w:t>
            </w:r>
            <w:r>
              <w:rPr>
                <w:rFonts w:ascii="Times New Roman" w:cs="Times New Roman" w:eastAsia="Times New Roman" w:hAnsi="Times New Roman"/>
                <w:sz w:val="23"/>
                <w:szCs w:val="23"/>
                <w:color w:val="auto"/>
                <w:vertAlign w:val="superscript"/>
              </w:rPr>
              <w:t>1</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57,914</w:t>
            </w:r>
          </w:p>
        </w:tc>
      </w:tr>
      <w:tr>
        <w:trPr>
          <w:trHeight w:val="220"/>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Neuroscience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2,707,843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2,760,945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2,335,393</w:t>
            </w:r>
          </w:p>
        </w:tc>
      </w:tr>
      <w:tr>
        <w:trPr>
          <w:trHeight w:val="22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Rylaze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281,659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85,629</w:t>
            </w:r>
          </w:p>
        </w:tc>
      </w:tr>
      <w:tr>
        <w:trPr>
          <w:trHeight w:val="22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Zepzelca</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289,533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246,808</w:t>
            </w:r>
          </w:p>
        </w:tc>
      </w:tr>
      <w:tr>
        <w:trPr>
          <w:trHeight w:val="22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Defitelio/defibrotide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194,290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197,931</w:t>
            </w:r>
          </w:p>
        </w:tc>
      </w:tr>
      <w:tr>
        <w:trPr>
          <w:trHeight w:val="22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Vyxeos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147,495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127,980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134,060</w:t>
            </w:r>
          </w:p>
        </w:tc>
      </w:tr>
      <w:tr>
        <w:trPr>
          <w:trHeight w:val="22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Erwinaze/Erwinase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69,382</w:t>
            </w:r>
          </w:p>
        </w:tc>
      </w:tr>
      <w:tr>
        <w:trPr>
          <w:trHeight w:val="220"/>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Oncology</w:t>
            </w: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1,015,254</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873,841</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733,810</w:t>
            </w:r>
          </w:p>
        </w:tc>
      </w:tr>
      <w:tr>
        <w:trPr>
          <w:trHeight w:val="22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9,798</w:t>
            </w:r>
          </w:p>
        </w:tc>
      </w:tr>
      <w:tr>
        <w:trPr>
          <w:trHeight w:val="220"/>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sales,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3,736,943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3,641,429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3,079,001</w:t>
            </w:r>
          </w:p>
        </w:tc>
      </w:tr>
      <w:tr>
        <w:trPr>
          <w:trHeight w:val="22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High-sodium oxybate AG royalty revenue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75,918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royalty and contract revenues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15,237</w:t>
            </w:r>
          </w:p>
        </w:tc>
      </w:tr>
      <w:tr>
        <w:trPr>
          <w:trHeight w:val="245"/>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3,834,204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3,659,374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3,094,238</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Divestiture of Sunosi U.S. was completed in May 2022.</w:t>
      </w:r>
    </w:p>
    <w:p>
      <w:pPr>
        <w:spacing w:after="0" w:line="1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a summary of total revenues attributed to geographic sources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5"/>
        </w:trPr>
        <w:tc>
          <w:tcPr>
            <w:tcW w:w="6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64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3,489,977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3,370,379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2,820,242</w:t>
            </w:r>
          </w:p>
        </w:tc>
      </w:tr>
      <w:tr>
        <w:trPr>
          <w:trHeight w:val="22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269,243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239,638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230,158</w:t>
            </w:r>
          </w:p>
        </w:tc>
      </w:tr>
      <w:tr>
        <w:trPr>
          <w:trHeight w:val="22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74,984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43,838</w:t>
            </w:r>
          </w:p>
        </w:tc>
      </w:tr>
      <w:tr>
        <w:trPr>
          <w:trHeight w:val="22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3,834,204</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3,659,374</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3,094,238</w:t>
            </w:r>
          </w:p>
        </w:tc>
      </w:tr>
      <w:tr>
        <w:trPr>
          <w:trHeight w:val="20"/>
        </w:trPr>
        <w:tc>
          <w:tcPr>
            <w:tcW w:w="6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following table presents a summary of the percentage of total revenues from customers that represented more than 10% of our total revenues:</w:t>
      </w:r>
    </w:p>
    <w:p>
      <w:pPr>
        <w:spacing w:after="0" w:line="146"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120" w:type="dxa"/>
            <w:vAlign w:val="bottom"/>
          </w:tcPr>
          <w:p>
            <w:pPr>
              <w:spacing w:after="0"/>
              <w:rPr>
                <w:sz w:val="17"/>
                <w:szCs w:val="17"/>
                <w:color w:val="auto"/>
              </w:rPr>
            </w:pPr>
          </w:p>
        </w:tc>
        <w:tc>
          <w:tcPr>
            <w:tcW w:w="110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720" w:type="dxa"/>
            <w:vAlign w:val="bottom"/>
            <w:tcBorders>
              <w:top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6"/>
        </w:trPr>
        <w:tc>
          <w:tcPr>
            <w:tcW w:w="6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ESSDS</w:t>
            </w:r>
          </w:p>
        </w:tc>
        <w:tc>
          <w:tcPr>
            <w:tcW w:w="11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32"/>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McKesson</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bl>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Financing and payment</w:t>
      </w:r>
    </w:p>
    <w:p>
      <w:pPr>
        <w:spacing w:after="0" w:line="1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payment terms vary by the type and location of our customer, but payment is generally required in a term ranging from 30 to 65 days.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Share-Based Compensation</w:t>
      </w:r>
    </w:p>
    <w:p>
      <w:pPr>
        <w:spacing w:after="0" w:line="1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GW Incentive Plans</w:t>
      </w:r>
    </w:p>
    <w:p>
      <w:pPr>
        <w:spacing w:after="0" w:line="116" w:lineRule="exact"/>
        <w:rPr>
          <w:sz w:val="20"/>
          <w:szCs w:val="20"/>
          <w:color w:val="auto"/>
        </w:rPr>
      </w:pPr>
    </w:p>
    <w:p>
      <w:pPr>
        <w:ind w:firstLine="439"/>
        <w:spacing w:after="0" w:line="261" w:lineRule="auto"/>
        <w:rPr>
          <w:sz w:val="20"/>
          <w:szCs w:val="20"/>
          <w:color w:val="auto"/>
        </w:rPr>
      </w:pPr>
      <w:r>
        <w:rPr>
          <w:rFonts w:ascii="Times New Roman" w:cs="Times New Roman" w:eastAsia="Times New Roman" w:hAnsi="Times New Roman"/>
          <w:sz w:val="18"/>
          <w:szCs w:val="18"/>
          <w:color w:val="auto"/>
        </w:rPr>
        <w:t>On May 5, 2021, Jazz Pharmaceuticals plc acquired the entire issued share capital of GW Pharmaceuticals plc. In connection with the GW Acquisition, we assumed the GW Pharmaceuticals plc 2008 Long-Term Incentive Plan, GW Pharmaceuticals plc 2017 Long-Term Incentive Plan and GW Pharmaceuticals plc 2020 Long-Term Incentive Plan, each as</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7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amended from time to time, together referred to as the GW Incentive Plans. The terms of the GW Incentive Plans provide for the grant of stock options, stock appreciation rights, RSUs, other stock awards, and performance awards that may be settled in cash, shares, or other property. Ordinary shares granted to employees in exchange for GW ADS in connection with the GW Acquisition vest ratably over service periods of two years, while all post-acquisition grants vest ratably over service periods of four years and expire no more than 10 years after the date of grant. As of December 31, 2023, a total of 1,864,475 of our ordinary shares had been authorized for issuance under the GW Incentive Plans.</w:t>
      </w:r>
    </w:p>
    <w:p>
      <w:pPr>
        <w:spacing w:after="0" w:line="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2011 Equity Incentive Plan</w:t>
      </w:r>
    </w:p>
    <w:p>
      <w:pPr>
        <w:spacing w:after="0" w:line="116" w:lineRule="exact"/>
        <w:rPr>
          <w:sz w:val="20"/>
          <w:szCs w:val="20"/>
          <w:color w:val="auto"/>
        </w:rPr>
      </w:pPr>
    </w:p>
    <w:p>
      <w:pPr>
        <w:ind w:right="60" w:firstLine="439"/>
        <w:spacing w:after="0" w:line="251" w:lineRule="auto"/>
        <w:rPr>
          <w:sz w:val="20"/>
          <w:szCs w:val="20"/>
          <w:color w:val="auto"/>
        </w:rPr>
      </w:pPr>
      <w:r>
        <w:rPr>
          <w:rFonts w:ascii="Times New Roman" w:cs="Times New Roman" w:eastAsia="Times New Roman" w:hAnsi="Times New Roman"/>
          <w:sz w:val="18"/>
          <w:szCs w:val="18"/>
          <w:color w:val="auto"/>
        </w:rPr>
        <w:t>On January 18, 2012, the businesses of Jazz Pharmaceuticals, Inc. and Azur Pharma were combined in a merger transaction, or the Azur Merger. In connection with the Azur Merger, Jazz Pharmaceuticals, Inc.’s board of directors adopted the 2011 Equity Incentive Plan, or the 2011 Plan, in October 2011 and its stockholders approved the 2011 Plan at the special meeting of the stockholders held in December 2011 in connection with the Azur Merger. The 2011 Plan became effective immediately before the consummation of the Azur Merger and was assumed and adopted by us upon the consummation of the Azur Merger. The terms of the 2011 Plan provide for the grant of stock options, stock appreciation rights, RSUs, other stock awards, and performance awards that may be settled in cash, shares, or other property. All outstanding grants under the 2011 Plan were granted to employees and vest ratably over service periods of four years and expire no more than 10 years after the date of grant. As of December 31, 2023, a total of 34,836,988 of our ordinary shares had been authorized for issuance under the 2011 Plan.</w:t>
      </w:r>
    </w:p>
    <w:p>
      <w:pPr>
        <w:spacing w:after="0" w:line="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2007 Employee Stock Purchase Plan</w:t>
      </w:r>
    </w:p>
    <w:p>
      <w:pPr>
        <w:spacing w:after="0" w:line="116" w:lineRule="exact"/>
        <w:rPr>
          <w:sz w:val="20"/>
          <w:szCs w:val="20"/>
          <w:color w:val="auto"/>
        </w:rPr>
      </w:pPr>
    </w:p>
    <w:p>
      <w:pPr>
        <w:ind w:right="120" w:firstLine="439"/>
        <w:spacing w:after="0" w:line="251" w:lineRule="auto"/>
        <w:rPr>
          <w:sz w:val="20"/>
          <w:szCs w:val="20"/>
          <w:color w:val="auto"/>
        </w:rPr>
      </w:pPr>
      <w:r>
        <w:rPr>
          <w:rFonts w:ascii="Times New Roman" w:cs="Times New Roman" w:eastAsia="Times New Roman" w:hAnsi="Times New Roman"/>
          <w:sz w:val="18"/>
          <w:szCs w:val="18"/>
          <w:color w:val="auto"/>
        </w:rPr>
        <w:t>In 2007, Jazz Pharmaceuticals, Inc.’s employees became eligible to participate in the ESPP. The ESPP was amended and restated by Jazz Pharmaceuticals, Inc.’s board of directors in October 2011 and approved by its stockholders in December 2011. The amended and restated ESPP became effective immediately prior to the effective time of the Azur Merger and was assumed by us upon the consummation of the Azur Merger. The amended and restated ESPP allows our eligible employee participants (including employees of any parent or subsidiary company if our board of directors designates such company as eligible to participate) to purchase our ordinary shares at a discount of 15% through payroll deductions. The ESPP consists of a fixed offering period of 24 months with four purchase periods within each offering period. The number of shares available for issuance under our ESPP during any six-month purchase period is 175,000 shares. As of December 31, 2023, a total of 7,029,250 of our ordinary shares had been authorized for issuance under the ESPP.</w:t>
      </w:r>
    </w:p>
    <w:p>
      <w:pPr>
        <w:spacing w:after="0" w:line="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2007 Non-Employee Directors Stock Award Plan</w:t>
      </w:r>
    </w:p>
    <w:p>
      <w:pPr>
        <w:spacing w:after="0" w:line="116" w:lineRule="exact"/>
        <w:rPr>
          <w:sz w:val="20"/>
          <w:szCs w:val="20"/>
          <w:color w:val="auto"/>
        </w:rPr>
      </w:pPr>
    </w:p>
    <w:p>
      <w:pPr>
        <w:ind w:right="20" w:firstLine="439"/>
        <w:spacing w:after="0" w:line="249" w:lineRule="auto"/>
        <w:rPr>
          <w:sz w:val="20"/>
          <w:szCs w:val="20"/>
          <w:color w:val="auto"/>
        </w:rPr>
      </w:pPr>
      <w:r>
        <w:rPr>
          <w:rFonts w:ascii="Times New Roman" w:cs="Times New Roman" w:eastAsia="Times New Roman" w:hAnsi="Times New Roman"/>
          <w:sz w:val="18"/>
          <w:szCs w:val="18"/>
          <w:color w:val="auto"/>
        </w:rPr>
        <w:t>The Amended and Restated 2007 Non-Employee Directors Stock Award Plan, or the 2007 Directors Award Plan, which was initially adopted by the Jazz Pharmaceuticals, Inc. board of directors and approved by the Jazz Pharmaceuticals, Inc. stockholders in connection with its initial public offering, was continued and assumed by us upon the consummation of the Azur Merger. Until October 2011, the 2007 Directors Award Plan provided for the automatic grant of stock options to purchase shares of Jazz Pharmaceuticals, Inc.’s common stock to its non-employee directors initially at the time any individual first became a non-employee director, which vest over three years, and then annually over their period of service on its board of directors, which vest over one year. On October 24, 2011, Jazz Pharmaceuticals, Inc.’s board of directors amended the 2007 Directors Award Plan to eliminate all future initial and annual automatic grants so that future automatic grants would not be made that would be subject to the excise tax imposed by Section 4985 of the Internal Revenue Code of 1986, as amended, or the Internal Revenue Code, in connection with the Azur Merger. Accordingly, all future stock option grants under the 2007 Directors Award Plan will be at the discretion of our board of directors. Since the Azur Merger, all of the new grants under the 2007 Directors Award Plan were granted to non-employee directors and vest ratably over service periods of one to three years and expire no more than 10 years after the date of grant. In August 2016, our shareholders approved our proposal to expand the types of stock awards that may be granted to our non-employee directors under the 2007 Directors Award Plan and eliminate the final automatic share reserve increase under the 2007 Directors Award Plan that was scheduled to occur on January 1, 2017. In July 2020, our shareholders approved our proposal to increase the number of ordinary shares authorized for issuance under the 2007 Directors Award Plan by 500,000 shares. As of December 31, 2023, a total of 1,403,938 of our ordinary shares had been authorized for issuance under the 2007 Directors Award Plan.</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Share-based compensation expense related to share options, RSUs, PRSUs and grants under our ESPP was as follows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5"/>
        </w:trPr>
        <w:tc>
          <w:tcPr>
            <w:tcW w:w="6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64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151,986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135,285</w:t>
            </w:r>
          </w:p>
        </w:tc>
      </w:tr>
      <w:tr>
        <w:trPr>
          <w:trHeight w:val="22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64,847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57,522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43,758</w:t>
            </w:r>
          </w:p>
        </w:tc>
      </w:tr>
      <w:tr>
        <w:trPr>
          <w:trHeight w:val="22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9,963</w:t>
            </w:r>
          </w:p>
        </w:tc>
      </w:tr>
      <w:tr>
        <w:trPr>
          <w:trHeight w:val="220"/>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share-based compensation expense, pre-tax</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226,841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221,996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189,006</w:t>
            </w:r>
          </w:p>
        </w:tc>
      </w:tr>
      <w:tr>
        <w:trPr>
          <w:trHeight w:val="22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from share-based compensation expense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(33,958)</w:t>
            </w:r>
          </w:p>
        </w:tc>
      </w:tr>
      <w:tr>
        <w:trPr>
          <w:trHeight w:val="22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share-based compensation expense, net of tax</w:t>
            </w: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186,826</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180,938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155,048</w:t>
            </w:r>
          </w:p>
        </w:tc>
      </w:tr>
      <w:tr>
        <w:trPr>
          <w:trHeight w:val="20"/>
        </w:trPr>
        <w:tc>
          <w:tcPr>
            <w:tcW w:w="6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left="200" w:firstLine="240"/>
        <w:spacing w:after="0" w:line="370" w:lineRule="auto"/>
        <w:rPr>
          <w:sz w:val="20"/>
          <w:szCs w:val="20"/>
          <w:color w:val="auto"/>
        </w:rPr>
      </w:pPr>
      <w:r>
        <w:rPr>
          <w:rFonts w:ascii="Times New Roman" w:cs="Times New Roman" w:eastAsia="Times New Roman" w:hAnsi="Times New Roman"/>
          <w:sz w:val="18"/>
          <w:szCs w:val="18"/>
          <w:color w:val="auto"/>
        </w:rPr>
        <w:t xml:space="preserve">We recognized income tax benefits related to share option exercises of $1.9 million, $8.0 million and $9.3 million in 2023, 2022 and 2021, respectively. </w:t>
      </w:r>
      <w:r>
        <w:rPr>
          <w:rFonts w:ascii="Times New Roman" w:cs="Times New Roman" w:eastAsia="Times New Roman" w:hAnsi="Times New Roman"/>
          <w:sz w:val="18"/>
          <w:szCs w:val="18"/>
          <w:b w:val="1"/>
          <w:bCs w:val="1"/>
          <w:i w:val="1"/>
          <w:iCs w:val="1"/>
          <w:color w:val="auto"/>
        </w:rPr>
        <w:t>Restricted Stock Units</w:t>
      </w:r>
    </w:p>
    <w:p>
      <w:pPr>
        <w:spacing w:after="0" w:line="1" w:lineRule="exact"/>
        <w:rPr>
          <w:sz w:val="20"/>
          <w:szCs w:val="20"/>
          <w:color w:val="auto"/>
        </w:rPr>
      </w:pPr>
    </w:p>
    <w:p>
      <w:pPr>
        <w:ind w:right="20" w:firstLine="439"/>
        <w:spacing w:after="0" w:line="252" w:lineRule="auto"/>
        <w:rPr>
          <w:sz w:val="20"/>
          <w:szCs w:val="20"/>
          <w:color w:val="auto"/>
        </w:rPr>
      </w:pPr>
      <w:r>
        <w:rPr>
          <w:rFonts w:ascii="Times New Roman" w:cs="Times New Roman" w:eastAsia="Times New Roman" w:hAnsi="Times New Roman"/>
          <w:sz w:val="18"/>
          <w:szCs w:val="18"/>
          <w:color w:val="auto"/>
        </w:rPr>
        <w:t>In 2023, 2022 and 2021, we granted RSUs covering an equal number of our ordinary shares to employees with a weighted-average grant date fair value of $144.65, $152.08 and $168.10, respectively. The fair value of RSUs is determined on the date of grant based on the market price of our ordinary shares as of that date. The fair value of the RSUs is recognized as an expense ratably over the vesting period of four years. In 2023, 2022 and 2021, 1,094,000, 910,000 and 692,000 RSUs were released, respectively, with 735,000, 610,000 and 465,000 ordinary shares issued, respectively, and 359,000, 300,000 and 227,000 ordinary shares withheld for tax purposes, respectively. The total fair value of shares vested was $155.5 million, $138.1 million and $109.2 million during 2023, 2022 and 2021, respectively.</w:t>
      </w:r>
    </w:p>
    <w:p>
      <w:pPr>
        <w:spacing w:after="0" w:line="80" w:lineRule="exact"/>
        <w:rPr>
          <w:sz w:val="20"/>
          <w:szCs w:val="20"/>
          <w:color w:val="auto"/>
        </w:rPr>
      </w:pPr>
    </w:p>
    <w:p>
      <w:pPr>
        <w:ind w:right="20" w:firstLine="439"/>
        <w:spacing w:after="0" w:line="276" w:lineRule="auto"/>
        <w:rPr>
          <w:sz w:val="20"/>
          <w:szCs w:val="20"/>
          <w:color w:val="auto"/>
        </w:rPr>
      </w:pPr>
      <w:r>
        <w:rPr>
          <w:rFonts w:ascii="Times New Roman" w:cs="Times New Roman" w:eastAsia="Times New Roman" w:hAnsi="Times New Roman"/>
          <w:sz w:val="18"/>
          <w:szCs w:val="18"/>
          <w:color w:val="auto"/>
        </w:rPr>
        <w:t>As of December 31, 2023, total compensation cost not yet recognized related to unvested RSUs was $307.7 million, which is expected to be recognized over a weighted-average period of 2.4 years.</w:t>
      </w:r>
    </w:p>
    <w:p>
      <w:pPr>
        <w:spacing w:after="0" w:line="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information as of December 31, 2023 and activity during 2023 related to our RSUs: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320" w:type="dxa"/>
            <w:vAlign w:val="bottom"/>
            <w:vMerge w:val="restart"/>
          </w:tcPr>
          <w:p>
            <w:pPr>
              <w:jc w:val="center"/>
              <w:ind w:right="14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33"/>
        </w:trPr>
        <w:tc>
          <w:tcPr>
            <w:tcW w:w="47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64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20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780" w:type="dxa"/>
            <w:vAlign w:val="bottom"/>
          </w:tcPr>
          <w:p>
            <w:pPr>
              <w:spacing w:after="0"/>
              <w:rPr>
                <w:sz w:val="12"/>
                <w:szCs w:val="12"/>
                <w:color w:val="auto"/>
              </w:rPr>
            </w:pPr>
          </w:p>
        </w:tc>
        <w:tc>
          <w:tcPr>
            <w:tcW w:w="152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Number of RSUs (In</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40" w:type="dxa"/>
            <w:vAlign w:val="bottom"/>
            <w:gridSpan w:val="2"/>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320" w:type="dxa"/>
            <w:vAlign w:val="bottom"/>
          </w:tcPr>
          <w:p>
            <w:pPr>
              <w:jc w:val="center"/>
              <w:ind w:right="125"/>
              <w:spacing w:after="0" w:line="147"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6"/>
        </w:trPr>
        <w:tc>
          <w:tcPr>
            <w:tcW w:w="478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640" w:type="dxa"/>
            <w:vAlign w:val="bottom"/>
            <w:gridSpan w:val="2"/>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200" w:type="dxa"/>
            <w:vAlign w:val="bottom"/>
          </w:tcPr>
          <w:p>
            <w:pPr>
              <w:spacing w:after="0"/>
              <w:rPr>
                <w:sz w:val="12"/>
                <w:szCs w:val="12"/>
                <w:color w:val="auto"/>
              </w:rPr>
            </w:pPr>
          </w:p>
        </w:tc>
        <w:tc>
          <w:tcPr>
            <w:tcW w:w="1320" w:type="dxa"/>
            <w:vAlign w:val="bottom"/>
          </w:tcPr>
          <w:p>
            <w:pPr>
              <w:jc w:val="center"/>
              <w:ind w:right="145"/>
              <w:spacing w:after="0" w:line="147"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3"/>
        </w:trPr>
        <w:tc>
          <w:tcPr>
            <w:tcW w:w="4780" w:type="dxa"/>
            <w:vAlign w:val="bottom"/>
          </w:tcPr>
          <w:p>
            <w:pPr>
              <w:spacing w:after="0"/>
              <w:rPr>
                <w:sz w:val="16"/>
                <w:szCs w:val="16"/>
                <w:color w:val="auto"/>
              </w:rPr>
            </w:pPr>
          </w:p>
        </w:tc>
        <w:tc>
          <w:tcPr>
            <w:tcW w:w="152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Term (Years)</w:t>
            </w:r>
          </w:p>
        </w:tc>
        <w:tc>
          <w:tcPr>
            <w:tcW w:w="200" w:type="dxa"/>
            <w:vAlign w:val="bottom"/>
          </w:tcPr>
          <w:p>
            <w:pPr>
              <w:spacing w:after="0"/>
              <w:rPr>
                <w:sz w:val="16"/>
                <w:szCs w:val="16"/>
                <w:color w:val="auto"/>
              </w:rPr>
            </w:pPr>
          </w:p>
        </w:tc>
        <w:tc>
          <w:tcPr>
            <w:tcW w:w="1320" w:type="dxa"/>
            <w:vAlign w:val="bottom"/>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6"/>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151.11</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144.65</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released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148.68</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RSUs forfeited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149.54</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360" w:type="dxa"/>
            <w:vAlign w:val="bottom"/>
            <w:tcBorders>
              <w:bottom w:val="single" w:sz="8" w:color="CCEEFF"/>
            </w:tcBorders>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148.79</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438,224</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Units</w:t>
      </w:r>
    </w:p>
    <w:p>
      <w:pPr>
        <w:spacing w:after="0" w:line="116" w:lineRule="exact"/>
        <w:rPr>
          <w:sz w:val="20"/>
          <w:szCs w:val="20"/>
          <w:color w:val="auto"/>
        </w:rPr>
      </w:pPr>
    </w:p>
    <w:p>
      <w:pPr>
        <w:ind w:right="80" w:firstLine="439"/>
        <w:spacing w:after="0" w:line="251" w:lineRule="auto"/>
        <w:rPr>
          <w:sz w:val="20"/>
          <w:szCs w:val="20"/>
          <w:color w:val="auto"/>
        </w:rPr>
      </w:pPr>
      <w:r>
        <w:rPr>
          <w:rFonts w:ascii="Times New Roman" w:cs="Times New Roman" w:eastAsia="Times New Roman" w:hAnsi="Times New Roman"/>
          <w:sz w:val="18"/>
          <w:szCs w:val="18"/>
          <w:color w:val="auto"/>
        </w:rPr>
        <w:t>The Compensation &amp; Management Development Committee of our board of directors, and in the case of our Chief Executive Officer, the independent members of our board of directors, approved awards of PRSUs to certain employees of the Company, subject to vesting on the achievement of certain commercial and pipeline performance criteria to be assessed over a performance period from the date of the grant to December 31, 2023, December 31, 2024 and December 31, 2025, respectively. Following the determination of the Company’s achievement with respect to the performance criteria, the amount of shares awarded will be subject to adjustment based on the application of a relative TSR modifier. The number of shares that may be earned ranges between 0% and 200% of the target number of PRSUs granted based on the degree of achievement of the applicable performance metric and the application of the relative TSR modifier.</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information as of December 31, 2023 and activity during 2023 related to our PRSUs: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320" w:type="dxa"/>
            <w:vAlign w:val="bottom"/>
            <w:vMerge w:val="restart"/>
          </w:tcPr>
          <w:p>
            <w:pPr>
              <w:jc w:val="center"/>
              <w:ind w:right="14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4"/>
        </w:trPr>
        <w:tc>
          <w:tcPr>
            <w:tcW w:w="47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64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2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780" w:type="dxa"/>
            <w:vAlign w:val="bottom"/>
          </w:tcPr>
          <w:p>
            <w:pPr>
              <w:spacing w:after="0"/>
              <w:rPr>
                <w:sz w:val="11"/>
                <w:szCs w:val="11"/>
                <w:color w:val="auto"/>
              </w:rPr>
            </w:pPr>
          </w:p>
        </w:tc>
        <w:tc>
          <w:tcPr>
            <w:tcW w:w="15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Number of PRSUs (In</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gridSpan w:val="2"/>
          </w:tcPr>
          <w:p>
            <w:pPr>
              <w:jc w:val="center"/>
              <w:ind w:right="360"/>
              <w:spacing w:after="0" w:line="133"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4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1"/>
                <w:szCs w:val="11"/>
                <w:color w:val="auto"/>
              </w:rPr>
            </w:pPr>
          </w:p>
        </w:tc>
        <w:tc>
          <w:tcPr>
            <w:tcW w:w="1320" w:type="dxa"/>
            <w:vAlign w:val="bottom"/>
          </w:tcPr>
          <w:p>
            <w:pPr>
              <w:jc w:val="center"/>
              <w:ind w:right="125"/>
              <w:spacing w:after="0" w:line="133"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6"/>
        </w:trPr>
        <w:tc>
          <w:tcPr>
            <w:tcW w:w="478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640" w:type="dxa"/>
            <w:vAlign w:val="bottom"/>
            <w:gridSpan w:val="2"/>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200" w:type="dxa"/>
            <w:vAlign w:val="bottom"/>
          </w:tcPr>
          <w:p>
            <w:pPr>
              <w:spacing w:after="0"/>
              <w:rPr>
                <w:sz w:val="12"/>
                <w:szCs w:val="12"/>
                <w:color w:val="auto"/>
              </w:rPr>
            </w:pPr>
          </w:p>
        </w:tc>
        <w:tc>
          <w:tcPr>
            <w:tcW w:w="1320" w:type="dxa"/>
            <w:vAlign w:val="bottom"/>
          </w:tcPr>
          <w:p>
            <w:pPr>
              <w:jc w:val="center"/>
              <w:ind w:right="145"/>
              <w:spacing w:after="0" w:line="147"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4"/>
        </w:trPr>
        <w:tc>
          <w:tcPr>
            <w:tcW w:w="4780" w:type="dxa"/>
            <w:vAlign w:val="bottom"/>
          </w:tcPr>
          <w:p>
            <w:pPr>
              <w:spacing w:after="0"/>
              <w:rPr>
                <w:sz w:val="16"/>
                <w:szCs w:val="16"/>
                <w:color w:val="auto"/>
              </w:rPr>
            </w:pPr>
          </w:p>
        </w:tc>
        <w:tc>
          <w:tcPr>
            <w:tcW w:w="152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Term (Years)</w:t>
            </w:r>
          </w:p>
        </w:tc>
        <w:tc>
          <w:tcPr>
            <w:tcW w:w="200" w:type="dxa"/>
            <w:vAlign w:val="bottom"/>
          </w:tcPr>
          <w:p>
            <w:pPr>
              <w:spacing w:after="0"/>
              <w:rPr>
                <w:sz w:val="16"/>
                <w:szCs w:val="16"/>
                <w:color w:val="auto"/>
              </w:rPr>
            </w:pPr>
          </w:p>
        </w:tc>
        <w:tc>
          <w:tcPr>
            <w:tcW w:w="1320" w:type="dxa"/>
            <w:vAlign w:val="bottom"/>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5"/>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1520" w:type="dxa"/>
            <w:vAlign w:val="bottom"/>
            <w:tcBorders>
              <w:top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183.68</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PRSUs granted</w:t>
            </w:r>
          </w:p>
        </w:tc>
        <w:tc>
          <w:tcPr>
            <w:tcW w:w="152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156.91</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PRSUs forfeited</w:t>
            </w:r>
          </w:p>
        </w:tc>
        <w:tc>
          <w:tcPr>
            <w:tcW w:w="1520" w:type="dxa"/>
            <w:vAlign w:val="bottom"/>
            <w:tcBorders>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w w:val="99"/>
              </w:rPr>
              <w:t>(47)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176.06</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52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664</w:t>
            </w:r>
          </w:p>
        </w:tc>
        <w:tc>
          <w:tcPr>
            <w:tcW w:w="36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173.30</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81,729</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firstLine="439"/>
        <w:spacing w:after="0" w:line="276" w:lineRule="auto"/>
        <w:rPr>
          <w:sz w:val="20"/>
          <w:szCs w:val="20"/>
          <w:color w:val="auto"/>
        </w:rPr>
      </w:pPr>
      <w:r>
        <w:rPr>
          <w:rFonts w:ascii="Times New Roman" w:cs="Times New Roman" w:eastAsia="Times New Roman" w:hAnsi="Times New Roman"/>
          <w:sz w:val="18"/>
          <w:szCs w:val="18"/>
          <w:color w:val="auto"/>
        </w:rPr>
        <w:t>As of December 31, 2023, total compensation cost not yet recognized related to unvested PRSUs was $24.6 million, which is expected to be recognized over a weighted-average period of 1.5 years.</w:t>
      </w:r>
    </w:p>
    <w:p>
      <w:pPr>
        <w:spacing w:after="0" w:line="56" w:lineRule="exact"/>
        <w:rPr>
          <w:sz w:val="20"/>
          <w:szCs w:val="20"/>
          <w:color w:val="auto"/>
        </w:rPr>
      </w:pPr>
    </w:p>
    <w:p>
      <w:pPr>
        <w:ind w:right="140" w:firstLine="439"/>
        <w:spacing w:after="0" w:line="256" w:lineRule="auto"/>
        <w:rPr>
          <w:sz w:val="20"/>
          <w:szCs w:val="20"/>
          <w:color w:val="auto"/>
        </w:rPr>
      </w:pPr>
      <w:r>
        <w:rPr>
          <w:rFonts w:ascii="Times New Roman" w:cs="Times New Roman" w:eastAsia="Times New Roman" w:hAnsi="Times New Roman"/>
          <w:sz w:val="18"/>
          <w:szCs w:val="18"/>
          <w:color w:val="auto"/>
        </w:rPr>
        <w:t>As the PRSUs granted in each year are subject to a market condition, the grant date fair value for such PRSUs was based on a Monte Carlo simulation model. In 2023, 2022 and 2021, we granted PRSUs to employees with a weighted-average grant date fair value of $156.91, $178.78 and $190.81, respectively. The Company evaluated the performance targets in the context of its current long-range financial plan and its product candidate development pipeline and recognized compensation expense based on the probable number of awards that will ultimately vest.</w:t>
      </w:r>
    </w:p>
    <w:p>
      <w:pPr>
        <w:spacing w:after="0" w:line="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Share Options</w:t>
      </w:r>
    </w:p>
    <w:p>
      <w:pPr>
        <w:spacing w:after="0" w:line="116" w:lineRule="exact"/>
        <w:rPr>
          <w:sz w:val="20"/>
          <w:szCs w:val="20"/>
          <w:color w:val="auto"/>
        </w:rPr>
      </w:pPr>
    </w:p>
    <w:p>
      <w:pPr>
        <w:ind w:right="20" w:firstLine="439"/>
        <w:spacing w:after="0" w:line="306" w:lineRule="auto"/>
        <w:rPr>
          <w:sz w:val="20"/>
          <w:szCs w:val="20"/>
          <w:color w:val="auto"/>
        </w:rPr>
      </w:pPr>
      <w:r>
        <w:rPr>
          <w:rFonts w:ascii="Times New Roman" w:cs="Times New Roman" w:eastAsia="Times New Roman" w:hAnsi="Times New Roman"/>
          <w:sz w:val="17"/>
          <w:szCs w:val="17"/>
          <w:color w:val="auto"/>
        </w:rPr>
        <w:t>There were no share options granted in 2023 and 2022. The table below shows, for market strike price option grants, the weighted-average assumptions used in the Black-Scholes option pricing model and the resulting weighted-average grant date fair value of market strike price options granted in 2021:</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3"/>
        </w:trPr>
        <w:tc>
          <w:tcPr>
            <w:tcW w:w="95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26"/>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date fair value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51.39</w:t>
            </w:r>
          </w:p>
        </w:tc>
      </w:tr>
      <w:tr>
        <w:trPr>
          <w:trHeight w:val="226"/>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26"/>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4.5</w:t>
            </w:r>
          </w:p>
        </w:tc>
      </w:tr>
      <w:tr>
        <w:trPr>
          <w:trHeight w:val="226"/>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Range of risk-free rates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0.4-0.8%</w:t>
            </w:r>
          </w:p>
        </w:tc>
      </w:tr>
      <w:tr>
        <w:trPr>
          <w:trHeight w:val="226"/>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168" w:lineRule="exact"/>
        <w:rPr>
          <w:sz w:val="20"/>
          <w:szCs w:val="20"/>
          <w:color w:val="auto"/>
        </w:rPr>
      </w:pPr>
    </w:p>
    <w:p>
      <w:pPr>
        <w:ind w:right="20" w:firstLine="439"/>
        <w:spacing w:after="0" w:line="261" w:lineRule="auto"/>
        <w:rPr>
          <w:sz w:val="20"/>
          <w:szCs w:val="20"/>
          <w:color w:val="auto"/>
        </w:rPr>
      </w:pPr>
      <w:r>
        <w:rPr>
          <w:rFonts w:ascii="Times New Roman" w:cs="Times New Roman" w:eastAsia="Times New Roman" w:hAnsi="Times New Roman"/>
          <w:sz w:val="18"/>
          <w:szCs w:val="18"/>
          <w:color w:val="auto"/>
        </w:rPr>
        <w:t>We relied on a blend of the historical and implied volatilities of our own ordinary shares to determine expected volatility for share option grants. In addition, we used a single volatility estimate for each share option grant. The weighted-average volatility was determined by calculating the weighted average of volatilities for all share options granted in a given year.</w:t>
      </w:r>
    </w:p>
    <w:p>
      <w:pPr>
        <w:spacing w:after="0" w:line="70" w:lineRule="exact"/>
        <w:rPr>
          <w:sz w:val="20"/>
          <w:szCs w:val="20"/>
          <w:color w:val="auto"/>
        </w:rPr>
      </w:pPr>
    </w:p>
    <w:p>
      <w:pPr>
        <w:ind w:right="60" w:firstLine="439"/>
        <w:spacing w:after="0" w:line="283" w:lineRule="auto"/>
        <w:rPr>
          <w:sz w:val="20"/>
          <w:szCs w:val="20"/>
          <w:color w:val="auto"/>
        </w:rPr>
      </w:pPr>
      <w:r>
        <w:rPr>
          <w:rFonts w:ascii="Times New Roman" w:cs="Times New Roman" w:eastAsia="Times New Roman" w:hAnsi="Times New Roman"/>
          <w:sz w:val="17"/>
          <w:szCs w:val="17"/>
          <w:color w:val="auto"/>
        </w:rPr>
        <w:t>The expected term of share option grants represented the weighted-average period the awards were expected to remain outstanding and our estimates were based on historical exercise data. The risk-free interest rate assumption was based on zero coupon U.S. Treasury instruments whose term was consistent with the expected term of our share option grants. The expected dividend yield assumption was based on our history and expectation of dividend payouts.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information as of December 31, 2023 and activity during 2023 related to our share option plans: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320" w:type="dxa"/>
            <w:vAlign w:val="bottom"/>
            <w:vMerge w:val="restart"/>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4"/>
        </w:trPr>
        <w:tc>
          <w:tcPr>
            <w:tcW w:w="4780" w:type="dxa"/>
            <w:vAlign w:val="bottom"/>
          </w:tcPr>
          <w:p>
            <w:pPr>
              <w:spacing w:after="0"/>
              <w:rPr>
                <w:sz w:val="12"/>
                <w:szCs w:val="12"/>
                <w:color w:val="auto"/>
              </w:rPr>
            </w:pPr>
          </w:p>
        </w:tc>
        <w:tc>
          <w:tcPr>
            <w:tcW w:w="15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Subject to</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64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2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780" w:type="dxa"/>
            <w:vAlign w:val="bottom"/>
          </w:tcPr>
          <w:p>
            <w:pPr>
              <w:spacing w:after="0"/>
              <w:rPr>
                <w:sz w:val="11"/>
                <w:szCs w:val="11"/>
                <w:color w:val="auto"/>
              </w:rPr>
            </w:pPr>
          </w:p>
        </w:tc>
        <w:tc>
          <w:tcPr>
            <w:tcW w:w="152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gridSpan w:val="2"/>
          </w:tcPr>
          <w:p>
            <w:pPr>
              <w:jc w:val="center"/>
              <w:ind w:right="380"/>
              <w:spacing w:after="0" w:line="133"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4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1"/>
                <w:szCs w:val="11"/>
                <w:color w:val="auto"/>
              </w:rPr>
            </w:pPr>
          </w:p>
        </w:tc>
        <w:tc>
          <w:tcPr>
            <w:tcW w:w="1320" w:type="dxa"/>
            <w:vAlign w:val="bottom"/>
          </w:tcPr>
          <w:p>
            <w:pPr>
              <w:jc w:val="center"/>
              <w:ind w:right="121"/>
              <w:spacing w:after="0" w:line="133"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6"/>
        </w:trPr>
        <w:tc>
          <w:tcPr>
            <w:tcW w:w="4780" w:type="dxa"/>
            <w:vAlign w:val="bottom"/>
          </w:tcPr>
          <w:p>
            <w:pPr>
              <w:spacing w:after="0"/>
              <w:rPr>
                <w:sz w:val="12"/>
                <w:szCs w:val="12"/>
                <w:color w:val="auto"/>
              </w:rPr>
            </w:pPr>
          </w:p>
        </w:tc>
        <w:tc>
          <w:tcPr>
            <w:tcW w:w="15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640" w:type="dxa"/>
            <w:vAlign w:val="bottom"/>
            <w:gridSpan w:val="2"/>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200" w:type="dxa"/>
            <w:vAlign w:val="bottom"/>
          </w:tcPr>
          <w:p>
            <w:pPr>
              <w:spacing w:after="0"/>
              <w:rPr>
                <w:sz w:val="12"/>
                <w:szCs w:val="12"/>
                <w:color w:val="auto"/>
              </w:rPr>
            </w:pPr>
          </w:p>
        </w:tc>
        <w:tc>
          <w:tcPr>
            <w:tcW w:w="1320" w:type="dxa"/>
            <w:vAlign w:val="bottom"/>
          </w:tcPr>
          <w:p>
            <w:pPr>
              <w:jc w:val="center"/>
              <w:ind w:right="141"/>
              <w:spacing w:after="0" w:line="147"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4"/>
        </w:trPr>
        <w:tc>
          <w:tcPr>
            <w:tcW w:w="478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Term (Years)</w:t>
            </w:r>
          </w:p>
        </w:tc>
        <w:tc>
          <w:tcPr>
            <w:tcW w:w="200" w:type="dxa"/>
            <w:vAlign w:val="bottom"/>
          </w:tcPr>
          <w:p>
            <w:pPr>
              <w:spacing w:after="0"/>
              <w:rPr>
                <w:sz w:val="16"/>
                <w:szCs w:val="16"/>
                <w:color w:val="auto"/>
              </w:rPr>
            </w:pPr>
          </w:p>
        </w:tc>
        <w:tc>
          <w:tcPr>
            <w:tcW w:w="132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5"/>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140.64</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120.29</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forfeited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133.93</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expired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153.92</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380" w:type="dxa"/>
            <w:vAlign w:val="bottom"/>
            <w:tcBorders>
              <w:bottom w:val="single" w:sz="8" w:color="CCEEFF"/>
            </w:tcBorders>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141.55</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December 31, 2023</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CCEEFF"/>
            </w:tcBorders>
            <w:gridSpan w:val="2"/>
            <w:vMerge w:val="restart"/>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141.55</w:t>
            </w: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0" w:type="dxa"/>
            <w:vAlign w:val="bottom"/>
          </w:tcPr>
          <w:p>
            <w:pPr>
              <w:spacing w:after="0" w:line="20" w:lineRule="exact"/>
              <w:rPr>
                <w:sz w:val="1"/>
                <w:szCs w:val="1"/>
                <w:color w:val="auto"/>
              </w:rPr>
            </w:pPr>
          </w:p>
        </w:tc>
      </w:tr>
      <w:tr>
        <w:trPr>
          <w:trHeight w:val="200"/>
        </w:trPr>
        <w:tc>
          <w:tcPr>
            <w:tcW w:w="4780" w:type="dxa"/>
            <w:vAlign w:val="bottom"/>
            <w:vMerge w:val="continue"/>
          </w:tcPr>
          <w:p>
            <w:pPr>
              <w:spacing w:after="0"/>
              <w:rPr>
                <w:sz w:val="17"/>
                <w:szCs w:val="17"/>
                <w:color w:val="auto"/>
              </w:rPr>
            </w:pPr>
          </w:p>
        </w:tc>
        <w:tc>
          <w:tcPr>
            <w:tcW w:w="152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2,715</w:t>
            </w:r>
          </w:p>
        </w:tc>
        <w:tc>
          <w:tcPr>
            <w:tcW w:w="380" w:type="dxa"/>
            <w:vAlign w:val="bottom"/>
            <w:gridSpan w:val="2"/>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38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141.69</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100" w:firstLine="439"/>
        <w:spacing w:after="0" w:line="256" w:lineRule="auto"/>
        <w:rPr>
          <w:sz w:val="20"/>
          <w:szCs w:val="20"/>
          <w:color w:val="auto"/>
        </w:rPr>
      </w:pPr>
      <w:r>
        <w:rPr>
          <w:rFonts w:ascii="Times New Roman" w:cs="Times New Roman" w:eastAsia="Times New Roman" w:hAnsi="Times New Roman"/>
          <w:sz w:val="18"/>
          <w:szCs w:val="18"/>
          <w:color w:val="auto"/>
        </w:rPr>
        <w:t>Aggregate intrinsic value shown in the table above is equal to the difference between the exercise price of the underlying share options and the fair value of our ordinary shares for share options that were in the money. The aggregate intrinsic value changes based on the fair market value of our ordinary shares. The aggregate intrinsic value of share options exercised was $6.3 million, $34.8 million and $51.8 million during 2023, 2022 and 2021, respectively. We issued new ordinary shares upon exercise of share options.</w:t>
      </w:r>
    </w:p>
    <w:p>
      <w:pPr>
        <w:spacing w:after="0" w:line="75" w:lineRule="exact"/>
        <w:rPr>
          <w:sz w:val="20"/>
          <w:szCs w:val="20"/>
          <w:color w:val="auto"/>
        </w:rPr>
      </w:pPr>
    </w:p>
    <w:p>
      <w:pPr>
        <w:ind w:right="460" w:firstLine="439"/>
        <w:spacing w:after="0" w:line="276" w:lineRule="auto"/>
        <w:rPr>
          <w:sz w:val="20"/>
          <w:szCs w:val="20"/>
          <w:color w:val="auto"/>
        </w:rPr>
      </w:pPr>
      <w:r>
        <w:rPr>
          <w:rFonts w:ascii="Times New Roman" w:cs="Times New Roman" w:eastAsia="Times New Roman" w:hAnsi="Times New Roman"/>
          <w:sz w:val="18"/>
          <w:szCs w:val="18"/>
          <w:color w:val="auto"/>
        </w:rPr>
        <w:t>As of December 31, 2023, total compensation cost not yet recognized related to unvested share options was $1.5 million, which is expected to be recognized over a weighted-average period of 0.5 years.</w:t>
      </w:r>
    </w:p>
    <w:p>
      <w:pPr>
        <w:spacing w:after="0" w:line="56" w:lineRule="exact"/>
        <w:rPr>
          <w:sz w:val="20"/>
          <w:szCs w:val="20"/>
          <w:color w:val="auto"/>
        </w:rPr>
      </w:pPr>
    </w:p>
    <w:p>
      <w:pPr>
        <w:ind w:right="400" w:firstLine="439"/>
        <w:spacing w:after="0" w:line="276" w:lineRule="auto"/>
        <w:rPr>
          <w:sz w:val="20"/>
          <w:szCs w:val="20"/>
          <w:color w:val="auto"/>
        </w:rPr>
      </w:pPr>
      <w:r>
        <w:rPr>
          <w:rFonts w:ascii="Times New Roman" w:cs="Times New Roman" w:eastAsia="Times New Roman" w:hAnsi="Times New Roman"/>
          <w:sz w:val="18"/>
          <w:szCs w:val="18"/>
          <w:color w:val="auto"/>
        </w:rPr>
        <w:t>As of December 31, 2023, total compensation cost not yet recognized related to grants under the ESPP was $11.3 million, which is expected to be recognized over a weighted-average period of 1.2 years.</w:t>
      </w:r>
    </w:p>
    <w:p>
      <w:pPr>
        <w:spacing w:after="0" w:line="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Nominal Strike Price Options</w:t>
      </w:r>
    </w:p>
    <w:p>
      <w:pPr>
        <w:spacing w:after="0" w:line="116" w:lineRule="exact"/>
        <w:rPr>
          <w:sz w:val="20"/>
          <w:szCs w:val="20"/>
          <w:color w:val="auto"/>
        </w:rPr>
      </w:pPr>
    </w:p>
    <w:p>
      <w:pPr>
        <w:ind w:right="140" w:firstLine="439"/>
        <w:spacing w:after="0" w:line="261" w:lineRule="auto"/>
        <w:rPr>
          <w:sz w:val="20"/>
          <w:szCs w:val="20"/>
          <w:color w:val="auto"/>
        </w:rPr>
      </w:pPr>
      <w:r>
        <w:rPr>
          <w:rFonts w:ascii="Times New Roman" w:cs="Times New Roman" w:eastAsia="Times New Roman" w:hAnsi="Times New Roman"/>
          <w:sz w:val="18"/>
          <w:szCs w:val="18"/>
          <w:color w:val="auto"/>
        </w:rPr>
        <w:t>During the second quarter of 2021, we issued nominal strike price options to replace certain unvested GW awards in connection with the GW Acquisition with a weighted-average grant date fair value of $170.82. The fair value of nominal strike price options was determined on the date of the grant based on the market price of our ordinary shares as of that date.</w:t>
      </w:r>
    </w:p>
    <w:p>
      <w:pPr>
        <w:spacing w:after="0" w:line="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information as of December 31, 2023 and activity during 2023 related to our nominal strike price options: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1200" w:type="dxa"/>
            <w:vAlign w:val="bottom"/>
          </w:tcPr>
          <w:p>
            <w:pPr>
              <w:jc w:val="center"/>
              <w:ind w:left="249"/>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restart"/>
          </w:tcPr>
          <w:p>
            <w:pPr>
              <w:jc w:val="center"/>
              <w:ind w:left="345"/>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vMerge w:val="restart"/>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33"/>
        </w:trPr>
        <w:tc>
          <w:tcPr>
            <w:tcW w:w="4780" w:type="dxa"/>
            <w:vAlign w:val="bottom"/>
          </w:tcPr>
          <w:p>
            <w:pPr>
              <w:spacing w:after="0"/>
              <w:rPr>
                <w:sz w:val="11"/>
                <w:szCs w:val="11"/>
                <w:color w:val="auto"/>
              </w:rPr>
            </w:pPr>
          </w:p>
        </w:tc>
        <w:tc>
          <w:tcPr>
            <w:tcW w:w="1200" w:type="dxa"/>
            <w:vAlign w:val="bottom"/>
          </w:tcPr>
          <w:p>
            <w:pPr>
              <w:jc w:val="center"/>
              <w:ind w:left="249"/>
              <w:spacing w:after="0" w:line="133" w:lineRule="exact"/>
              <w:rPr>
                <w:sz w:val="20"/>
                <w:szCs w:val="20"/>
                <w:color w:val="auto"/>
              </w:rPr>
            </w:pPr>
            <w:r>
              <w:rPr>
                <w:rFonts w:ascii="Times New Roman" w:cs="Times New Roman" w:eastAsia="Times New Roman" w:hAnsi="Times New Roman"/>
                <w:sz w:val="14"/>
                <w:szCs w:val="14"/>
                <w:b w:val="1"/>
                <w:bCs w:val="1"/>
                <w:color w:val="auto"/>
                <w:w w:val="99"/>
              </w:rPr>
              <w:t>Subject to</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jc w:val="center"/>
              <w:ind w:left="229"/>
              <w:spacing w:after="0" w:line="13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780" w:type="dxa"/>
            <w:vAlign w:val="bottom"/>
          </w:tcPr>
          <w:p>
            <w:pPr>
              <w:spacing w:after="0"/>
              <w:rPr>
                <w:sz w:val="12"/>
                <w:szCs w:val="12"/>
                <w:color w:val="auto"/>
              </w:rPr>
            </w:pPr>
          </w:p>
        </w:tc>
        <w:tc>
          <w:tcPr>
            <w:tcW w:w="1200" w:type="dxa"/>
            <w:vAlign w:val="bottom"/>
          </w:tcPr>
          <w:p>
            <w:pPr>
              <w:jc w:val="center"/>
              <w:ind w:left="249"/>
              <w:spacing w:after="0" w:line="147"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left="345"/>
              <w:spacing w:after="0" w:line="14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left="229"/>
              <w:spacing w:after="0" w:line="14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ind w:right="121"/>
              <w:spacing w:after="0" w:line="147"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6"/>
        </w:trPr>
        <w:tc>
          <w:tcPr>
            <w:tcW w:w="4780" w:type="dxa"/>
            <w:vAlign w:val="bottom"/>
          </w:tcPr>
          <w:p>
            <w:pPr>
              <w:spacing w:after="0"/>
              <w:rPr>
                <w:sz w:val="12"/>
                <w:szCs w:val="12"/>
                <w:color w:val="auto"/>
              </w:rPr>
            </w:pPr>
          </w:p>
        </w:tc>
        <w:tc>
          <w:tcPr>
            <w:tcW w:w="1200" w:type="dxa"/>
            <w:vAlign w:val="bottom"/>
          </w:tcPr>
          <w:p>
            <w:pPr>
              <w:jc w:val="center"/>
              <w:ind w:left="249"/>
              <w:spacing w:after="0" w:line="147" w:lineRule="exact"/>
              <w:rPr>
                <w:sz w:val="20"/>
                <w:szCs w:val="20"/>
                <w:color w:val="auto"/>
              </w:rPr>
            </w:pPr>
            <w:r>
              <w:rPr>
                <w:rFonts w:ascii="Times New Roman" w:cs="Times New Roman" w:eastAsia="Times New Roman" w:hAnsi="Times New Roman"/>
                <w:sz w:val="14"/>
                <w:szCs w:val="14"/>
                <w:b w:val="1"/>
                <w:bCs w:val="1"/>
                <w:color w:val="auto"/>
              </w:rPr>
              <w:t>Options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left="345"/>
              <w:spacing w:after="0" w:line="147"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left="229"/>
              <w:spacing w:after="0" w:line="147"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ind w:right="141"/>
              <w:spacing w:after="0" w:line="147"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3"/>
        </w:trPr>
        <w:tc>
          <w:tcPr>
            <w:tcW w:w="47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ind w:left="24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ind w:left="345"/>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w w:val="98"/>
              </w:rPr>
              <w:t>Term (Years)</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2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200" w:type="dxa"/>
            <w:vAlign w:val="bottom"/>
            <w:tcBorders>
              <w:top w:val="single" w:sz="8" w:color="auto"/>
              <w:bottom w:val="single" w:sz="8" w:color="auto"/>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1220" w:type="dxa"/>
            <w:vAlign w:val="bottom"/>
            <w:tcBorders>
              <w:top w:val="single" w:sz="8" w:color="CCEEFF"/>
              <w:bottom w:val="single" w:sz="8" w:color="CCEEFF"/>
            </w:tcBorders>
            <w:gridSpan w:val="2"/>
            <w:shd w:val="clear" w:color="auto" w:fill="CCEEFF"/>
          </w:tcPr>
          <w:p>
            <w:pPr>
              <w:jc w:val="right"/>
              <w:ind w:right="92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December 31, 2023</w:t>
            </w: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CCEEFF"/>
            </w:tcBorders>
            <w:gridSpan w:val="2"/>
            <w:vMerge w:val="restart"/>
          </w:tcPr>
          <w:p>
            <w:pPr>
              <w:jc w:val="right"/>
              <w:ind w:right="92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0" w:type="dxa"/>
            <w:vAlign w:val="bottom"/>
          </w:tcPr>
          <w:p>
            <w:pPr>
              <w:spacing w:after="0" w:line="20" w:lineRule="exact"/>
              <w:rPr>
                <w:sz w:val="1"/>
                <w:szCs w:val="1"/>
                <w:color w:val="auto"/>
              </w:rPr>
            </w:pPr>
          </w:p>
        </w:tc>
      </w:tr>
      <w:tr>
        <w:trPr>
          <w:trHeight w:val="200"/>
        </w:trPr>
        <w:tc>
          <w:tcPr>
            <w:tcW w:w="4780" w:type="dxa"/>
            <w:vAlign w:val="bottom"/>
            <w:vMerge w:val="continue"/>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color w:val="auto"/>
                <w:w w:val="99"/>
              </w:rPr>
              <w:t>27</w:t>
            </w:r>
          </w:p>
        </w:tc>
        <w:tc>
          <w:tcPr>
            <w:tcW w:w="1220" w:type="dxa"/>
            <w:vAlign w:val="bottom"/>
            <w:gridSpan w:val="2"/>
            <w:vMerge w:val="continue"/>
          </w:tcPr>
          <w:p>
            <w:pPr>
              <w:spacing w:after="0"/>
              <w:rPr>
                <w:sz w:val="17"/>
                <w:szCs w:val="17"/>
                <w:color w:val="auto"/>
              </w:rPr>
            </w:pPr>
          </w:p>
        </w:tc>
        <w:tc>
          <w:tcPr>
            <w:tcW w:w="4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1220" w:type="dxa"/>
            <w:vAlign w:val="bottom"/>
            <w:gridSpan w:val="2"/>
            <w:shd w:val="clear" w:color="auto" w:fill="CCEEFF"/>
          </w:tcPr>
          <w:p>
            <w:pPr>
              <w:jc w:val="right"/>
              <w:ind w:right="92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right="260" w:firstLine="439"/>
        <w:spacing w:after="0" w:line="276" w:lineRule="auto"/>
        <w:rPr>
          <w:sz w:val="20"/>
          <w:szCs w:val="20"/>
          <w:color w:val="auto"/>
        </w:rPr>
      </w:pPr>
      <w:r>
        <w:rPr>
          <w:rFonts w:ascii="Times New Roman" w:cs="Times New Roman" w:eastAsia="Times New Roman" w:hAnsi="Times New Roman"/>
          <w:sz w:val="18"/>
          <w:szCs w:val="18"/>
          <w:color w:val="auto"/>
        </w:rPr>
        <w:t>The aggregate intrinsic value of nominal strike price options exercised was $3.9 million, $8.4 million and $0.2 million during 2023, 2022 and 2021, respectively. We issued new ordinary shares upon exercise of nominal strike price options.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Employee Benefit Plans</w:t>
      </w:r>
    </w:p>
    <w:p>
      <w:pPr>
        <w:spacing w:after="0" w:line="114" w:lineRule="exact"/>
        <w:rPr>
          <w:sz w:val="20"/>
          <w:szCs w:val="20"/>
          <w:color w:val="auto"/>
        </w:rPr>
      </w:pPr>
    </w:p>
    <w:p>
      <w:pPr>
        <w:ind w:right="120" w:firstLine="439"/>
        <w:spacing w:after="0" w:line="261" w:lineRule="auto"/>
        <w:rPr>
          <w:sz w:val="20"/>
          <w:szCs w:val="20"/>
          <w:color w:val="auto"/>
        </w:rPr>
      </w:pPr>
      <w:r>
        <w:rPr>
          <w:rFonts w:ascii="Times New Roman" w:cs="Times New Roman" w:eastAsia="Times New Roman" w:hAnsi="Times New Roman"/>
          <w:sz w:val="18"/>
          <w:szCs w:val="18"/>
          <w:color w:val="auto"/>
        </w:rPr>
        <w:t>We maintain a qualified 401(k) savings plan, in which all U.S. based employees are eligible to participate, provided they meet the requirements of the plan. We match certain employee contributions under the 401(k) savings plan and for the years ended December 31, 2023, 2022 and 2021 we recorded expense of $13.4 million, $10.6 million and $9.1 million, respectively, related to this plan.</w:t>
      </w:r>
    </w:p>
    <w:p>
      <w:pPr>
        <w:spacing w:after="0" w:line="70" w:lineRule="exact"/>
        <w:rPr>
          <w:sz w:val="20"/>
          <w:szCs w:val="20"/>
          <w:color w:val="auto"/>
        </w:rPr>
      </w:pPr>
    </w:p>
    <w:p>
      <w:pPr>
        <w:ind w:right="320" w:firstLine="439"/>
        <w:spacing w:after="0" w:line="276" w:lineRule="auto"/>
        <w:rPr>
          <w:sz w:val="20"/>
          <w:szCs w:val="20"/>
          <w:color w:val="auto"/>
        </w:rPr>
      </w:pPr>
      <w:r>
        <w:rPr>
          <w:rFonts w:ascii="Times New Roman" w:cs="Times New Roman" w:eastAsia="Times New Roman" w:hAnsi="Times New Roman"/>
          <w:sz w:val="18"/>
          <w:szCs w:val="18"/>
          <w:color w:val="auto"/>
        </w:rPr>
        <w:t>We also operate a number of defined contribution retirement plans for certain non-U.S. based employees. Expenses related to contributions to such plans for the years ended December 31, 2023, 2022 and 2021 were $14.0 million, $14.6 million and $11.4 million, respectively.</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Income Taxes</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components of income (loss) before income tax expense (benefit) and equity in loss of investees were as follows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5"/>
        </w:trPr>
        <w:tc>
          <w:tcPr>
            <w:tcW w:w="63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63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Ireland</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97,557</w:t>
            </w:r>
          </w:p>
        </w:tc>
      </w:tr>
      <w:tr>
        <w:trPr>
          <w:trHeight w:val="226"/>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(643,096)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(963,598)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(681,291)</w:t>
            </w:r>
          </w:p>
        </w:tc>
      </w:tr>
      <w:tr>
        <w:trPr>
          <w:trHeight w:val="22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221,185</w:t>
            </w:r>
          </w:p>
        </w:tc>
      </w:tr>
      <w:tr>
        <w:trPr>
          <w:trHeight w:val="226"/>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497,867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416,672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249,711</w:t>
            </w:r>
          </w:p>
        </w:tc>
      </w:tr>
      <w:tr>
        <w:trPr>
          <w:trHeight w:val="245"/>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297,929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(372,784)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(112,838)</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the details of income tax expense (benefit)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5"/>
        </w:trPr>
        <w:tc>
          <w:tcPr>
            <w:tcW w:w="63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63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6"/>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Ireland</w:t>
            </w: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77,343</w:t>
            </w:r>
          </w:p>
        </w:tc>
        <w:tc>
          <w:tcPr>
            <w:tcW w:w="460" w:type="dxa"/>
            <w:vAlign w:val="bottom"/>
            <w:gridSpan w:val="2"/>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61,550</w:t>
            </w:r>
          </w:p>
        </w:tc>
        <w:tc>
          <w:tcPr>
            <w:tcW w:w="10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25,770</w:t>
            </w:r>
          </w:p>
        </w:tc>
      </w:tr>
      <w:tr>
        <w:trPr>
          <w:trHeight w:val="226"/>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Kingdom</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r>
      <w:tr>
        <w:trPr>
          <w:trHeight w:val="226"/>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88,850</w:t>
            </w:r>
          </w:p>
        </w:tc>
      </w:tr>
      <w:tr>
        <w:trPr>
          <w:trHeight w:val="226"/>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33,222</w:t>
            </w:r>
          </w:p>
        </w:tc>
      </w:tr>
      <w:tr>
        <w:trPr>
          <w:trHeight w:val="220"/>
        </w:trPr>
        <w:tc>
          <w:tcPr>
            <w:tcW w:w="6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current tax expense</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140,305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133,606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146,918</w:t>
            </w:r>
          </w:p>
        </w:tc>
      </w:tr>
      <w:tr>
        <w:trPr>
          <w:trHeight w:val="20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exclusive of other components below</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26"/>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Ireland</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(5,388)</w:t>
            </w:r>
          </w:p>
        </w:tc>
      </w:tr>
      <w:tr>
        <w:trPr>
          <w:trHeight w:val="226"/>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Kingdom</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(111,534)</w:t>
            </w:r>
          </w:p>
        </w:tc>
      </w:tr>
      <w:tr>
        <w:trPr>
          <w:trHeight w:val="226"/>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(46,531)</w:t>
            </w:r>
          </w:p>
        </w:tc>
      </w:tr>
      <w:tr>
        <w:trPr>
          <w:trHeight w:val="226"/>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(28,604)</w:t>
            </w:r>
          </w:p>
        </w:tc>
      </w:tr>
      <w:tr>
        <w:trPr>
          <w:trHeight w:val="220"/>
        </w:trPr>
        <w:tc>
          <w:tcPr>
            <w:tcW w:w="6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deferred, exclusive of other components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(259,661)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(275,460)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(192,057)</w:t>
            </w:r>
          </w:p>
        </w:tc>
      </w:tr>
      <w:tr>
        <w:trPr>
          <w:trHeight w:val="20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change in tax rates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26"/>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Kingdom</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259,873</w:t>
            </w:r>
          </w:p>
        </w:tc>
      </w:tr>
      <w:tr>
        <w:trPr>
          <w:trHeight w:val="226"/>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r>
      <w:tr>
        <w:trPr>
          <w:trHeight w:val="226"/>
        </w:trPr>
        <w:tc>
          <w:tcPr>
            <w:tcW w:w="6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0"/>
        </w:trPr>
        <w:tc>
          <w:tcPr>
            <w:tcW w:w="6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deferred, change in tax rates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261,255</w:t>
            </w:r>
          </w:p>
        </w:tc>
      </w:tr>
      <w:tr>
        <w:trPr>
          <w:trHeight w:val="220"/>
        </w:trPr>
        <w:tc>
          <w:tcPr>
            <w:tcW w:w="6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deferred tax expense (benefit)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(260,217)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(292,251)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69,198</w:t>
            </w:r>
          </w:p>
        </w:tc>
      </w:tr>
      <w:tr>
        <w:trPr>
          <w:trHeight w:val="245"/>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(119,912)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(158,645)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216,116</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firstLine="439"/>
        <w:spacing w:after="0" w:line="251" w:lineRule="auto"/>
        <w:rPr>
          <w:sz w:val="20"/>
          <w:szCs w:val="20"/>
          <w:color w:val="auto"/>
        </w:rPr>
      </w:pPr>
      <w:r>
        <w:rPr>
          <w:rFonts w:ascii="Times New Roman" w:cs="Times New Roman" w:eastAsia="Times New Roman" w:hAnsi="Times New Roman"/>
          <w:sz w:val="18"/>
          <w:szCs w:val="18"/>
          <w:color w:val="auto"/>
        </w:rPr>
        <w:t>Our income tax benefit was $119.9 million and $158.6 million in 2023 and 2022, respectively, and our income tax expense was $216.1 million in 2021, relating to tax arising on income or losses in Ireland, the U.K., the U.S. and certain other foreign jurisdictions, offset by deductions on subsidiary equity, foreign derived intangible income benefits and originating tax credits. Our income tax benefit in 2023 decreased compared to 2022 primarily due to pretax losses from payments for acquired IPR&amp;D made in 2022 and the 2022 impairment of our acquired IPR&amp;D asset as a result of the decision to discontinue our nabiximols program partially offset by the change in income mix across jurisdictions. Our income tax expense in 2021 included an expense of $259.9 million arising on the remeasurement of our U.K. net deferred tax liability, which arose primarily in relation to the GW Acquisition, due to a change in the statutory tax rate in the U.K. following enactment of the U.K. Finance Act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74" w:lineRule="exact"/>
        <w:rPr>
          <w:sz w:val="20"/>
          <w:szCs w:val="20"/>
          <w:color w:val="auto"/>
        </w:rPr>
      </w:pPr>
    </w:p>
    <w:p>
      <w:pPr>
        <w:jc w:val="both"/>
        <w:ind w:right="20" w:firstLine="399"/>
        <w:spacing w:after="0" w:line="261" w:lineRule="auto"/>
        <w:rPr>
          <w:sz w:val="20"/>
          <w:szCs w:val="20"/>
          <w:color w:val="auto"/>
        </w:rPr>
      </w:pPr>
      <w:r>
        <w:rPr>
          <w:rFonts w:ascii="Times New Roman" w:cs="Times New Roman" w:eastAsia="Times New Roman" w:hAnsi="Times New Roman"/>
          <w:sz w:val="18"/>
          <w:szCs w:val="18"/>
          <w:color w:val="auto"/>
        </w:rPr>
        <w:t>The reconciliation between income tax expense (benefit) at the Irish statutory trading income tax rate of 12.5 percent, the jurisdiction of tax domicile of Jazz Pharmaceuticals, applied to income before the income tax expense (benefit) and equity in loss of investees and our reported income tax expense (benefit) was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5"/>
        </w:trPr>
        <w:tc>
          <w:tcPr>
            <w:tcW w:w="5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532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6"/>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 (benefit) at the statutory income tax rate</w:t>
            </w: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(46,598)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(14,105)</w:t>
            </w:r>
          </w:p>
        </w:tc>
      </w:tr>
      <w:tr>
        <w:trPr>
          <w:trHeight w:val="226"/>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Deduction on subsidiary equity</w:t>
            </w: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(153,655)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(158,488)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(116,438)</w:t>
            </w:r>
          </w:p>
        </w:tc>
      </w:tr>
      <w:tr>
        <w:trPr>
          <w:trHeight w:val="226"/>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75,081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95,051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81,280</w:t>
            </w:r>
          </w:p>
        </w:tc>
      </w:tr>
      <w:tr>
        <w:trPr>
          <w:trHeight w:val="226"/>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other tax credits</w:t>
            </w: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(31,069)</w:t>
            </w:r>
          </w:p>
        </w:tc>
      </w:tr>
      <w:tr>
        <w:trPr>
          <w:trHeight w:val="226"/>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derived intangible income benefit</w:t>
            </w: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w:t>
            </w:r>
          </w:p>
        </w:tc>
      </w:tr>
      <w:tr>
        <w:trPr>
          <w:trHeight w:val="226"/>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Non-deductible facility expense</w:t>
            </w: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Non-deductible financing costs</w:t>
            </w: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14,418</w:t>
            </w:r>
          </w:p>
        </w:tc>
      </w:tr>
      <w:tr>
        <w:trPr>
          <w:trHeight w:val="226"/>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Non-deductible compensation</w:t>
            </w: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19,914</w:t>
            </w:r>
          </w:p>
        </w:tc>
      </w:tr>
      <w:tr>
        <w:trPr>
          <w:trHeight w:val="226"/>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Patent box incentive benefit</w:t>
            </w: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unrecognized tax benefits</w:t>
            </w: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(6,436)</w:t>
            </w:r>
          </w:p>
        </w:tc>
      </w:tr>
      <w:tr>
        <w:trPr>
          <w:trHeight w:val="226"/>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income tax rate differential</w:t>
            </w: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w:t>
            </w:r>
          </w:p>
        </w:tc>
      </w:tr>
      <w:tr>
        <w:trPr>
          <w:trHeight w:val="226"/>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estimates</w:t>
            </w: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w:t>
            </w:r>
          </w:p>
        </w:tc>
      </w:tr>
      <w:tr>
        <w:trPr>
          <w:trHeight w:val="226"/>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deficiencies/(excess tax benefits) from share-based compensation</w:t>
            </w: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w:t>
            </w:r>
          </w:p>
        </w:tc>
      </w:tr>
      <w:tr>
        <w:trPr>
          <w:trHeight w:val="226"/>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tax rate</w:t>
            </w: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261,663</w:t>
            </w:r>
          </w:p>
        </w:tc>
      </w:tr>
      <w:tr>
        <w:trPr>
          <w:trHeight w:val="226"/>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Non-deductible royalty expense</w:t>
            </w: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Non-deductible acquisition-related costs</w:t>
            </w: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20,929</w:t>
            </w:r>
          </w:p>
        </w:tc>
      </w:tr>
      <w:tr>
        <w:trPr>
          <w:trHeight w:val="226"/>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1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1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r>
      <w:tr>
        <w:trPr>
          <w:trHeight w:val="22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Reported income tax expense (benefit)</w:t>
            </w:r>
          </w:p>
        </w:tc>
        <w:tc>
          <w:tcPr>
            <w:tcW w:w="112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(119,912)</w:t>
            </w:r>
          </w:p>
        </w:tc>
        <w:tc>
          <w:tcPr>
            <w:tcW w:w="480" w:type="dxa"/>
            <w:vAlign w:val="bottom"/>
            <w:gridSpan w:val="2"/>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(158,645)</w:t>
            </w:r>
          </w:p>
        </w:tc>
        <w:tc>
          <w:tcPr>
            <w:tcW w:w="12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216,116</w:t>
            </w:r>
          </w:p>
        </w:tc>
      </w:tr>
      <w:tr>
        <w:trPr>
          <w:trHeight w:val="20"/>
        </w:trPr>
        <w:tc>
          <w:tcPr>
            <w:tcW w:w="5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859"/>
        </w:trPr>
        <w:tc>
          <w:tcPr>
            <w:tcW w:w="5320" w:type="dxa"/>
            <w:vAlign w:val="bottom"/>
          </w:tcPr>
          <w:p>
            <w:pPr>
              <w:spacing w:after="0"/>
              <w:rPr>
                <w:sz w:val="24"/>
                <w:szCs w:val="24"/>
                <w:color w:val="auto"/>
              </w:rPr>
            </w:pPr>
          </w:p>
        </w:tc>
        <w:tc>
          <w:tcPr>
            <w:tcW w:w="1480" w:type="dxa"/>
            <w:vAlign w:val="bottom"/>
            <w:gridSpan w:val="2"/>
          </w:tcPr>
          <w:p>
            <w:pPr>
              <w:jc w:val="right"/>
              <w:ind w:right="911"/>
              <w:spacing w:after="0"/>
              <w:rPr>
                <w:sz w:val="20"/>
                <w:szCs w:val="20"/>
                <w:color w:val="auto"/>
              </w:rPr>
            </w:pPr>
            <w:r>
              <w:rPr>
                <w:rFonts w:ascii="Times New Roman" w:cs="Times New Roman" w:eastAsia="Times New Roman" w:hAnsi="Times New Roman"/>
                <w:sz w:val="18"/>
                <w:szCs w:val="18"/>
                <w:color w:val="auto"/>
              </w:rPr>
              <w:t>F-48</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2"/>
        </w:trPr>
        <w:tc>
          <w:tcPr>
            <w:tcW w:w="53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6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Significant components of our net deferred tax assets (liabilities) were as follows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60" w:type="dxa"/>
            <w:vAlign w:val="bottom"/>
            <w:gridSpan w:val="3"/>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Pr>
          <w:p>
            <w:pPr>
              <w:spacing w:after="0"/>
              <w:rPr>
                <w:sz w:val="16"/>
                <w:szCs w:val="16"/>
                <w:color w:val="auto"/>
              </w:rPr>
            </w:pPr>
          </w:p>
        </w:tc>
      </w:tr>
      <w:tr>
        <w:trPr>
          <w:trHeight w:val="25"/>
        </w:trPr>
        <w:tc>
          <w:tcPr>
            <w:tcW w:w="80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6"/>
        </w:trPr>
        <w:tc>
          <w:tcPr>
            <w:tcW w:w="80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6"/>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loss carryforwards</w:t>
            </w:r>
          </w:p>
        </w:tc>
        <w:tc>
          <w:tcPr>
            <w:tcW w:w="3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296,490</w:t>
            </w:r>
          </w:p>
        </w:tc>
        <w:tc>
          <w:tcPr>
            <w:tcW w:w="100" w:type="dxa"/>
            <w:vAlign w:val="bottom"/>
          </w:tcPr>
          <w:p>
            <w:pPr>
              <w:spacing w:after="0"/>
              <w:rPr>
                <w:sz w:val="19"/>
                <w:szCs w:val="19"/>
                <w:color w:val="auto"/>
              </w:rPr>
            </w:pPr>
          </w:p>
        </w:tc>
        <w:tc>
          <w:tcPr>
            <w:tcW w:w="50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263,235</w:t>
            </w:r>
          </w:p>
        </w:tc>
      </w:tr>
      <w:tr>
        <w:trPr>
          <w:trHeight w:val="226"/>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 assets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238,062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236,462</w:t>
            </w:r>
          </w:p>
        </w:tc>
      </w:tr>
      <w:tr>
        <w:trPr>
          <w:trHeight w:val="226"/>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Deduction on subsidiary equity carryforwards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212,015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157,367</w:t>
            </w:r>
          </w:p>
        </w:tc>
      </w:tr>
      <w:tr>
        <w:trPr>
          <w:trHeight w:val="226"/>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201,186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88,009</w:t>
            </w:r>
          </w:p>
        </w:tc>
      </w:tr>
      <w:tr>
        <w:trPr>
          <w:trHeight w:val="226"/>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credit carryforwards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142,854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189,792</w:t>
            </w:r>
          </w:p>
        </w:tc>
      </w:tr>
      <w:tr>
        <w:trPr>
          <w:trHeight w:val="226"/>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liabilities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128,948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109,257</w:t>
            </w:r>
          </w:p>
        </w:tc>
      </w:tr>
      <w:tr>
        <w:trPr>
          <w:trHeight w:val="226"/>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48,403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42,795</w:t>
            </w:r>
          </w:p>
        </w:tc>
      </w:tr>
      <w:tr>
        <w:trPr>
          <w:trHeight w:val="226"/>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Indirect effects of unrecognized tax benefits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47,224</w:t>
            </w:r>
          </w:p>
        </w:tc>
      </w:tr>
      <w:tr>
        <w:trPr>
          <w:trHeight w:val="226"/>
        </w:trPr>
        <w:tc>
          <w:tcPr>
            <w:tcW w:w="8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Lease liabilities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14,081</w:t>
            </w:r>
          </w:p>
        </w:tc>
      </w:tr>
      <w:tr>
        <w:trPr>
          <w:trHeight w:val="226"/>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11,595</w:t>
            </w:r>
          </w:p>
        </w:tc>
      </w:tr>
      <w:tr>
        <w:trPr>
          <w:trHeight w:val="220"/>
        </w:trPr>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1,328,109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1,159,817</w:t>
            </w:r>
          </w:p>
        </w:tc>
      </w:tr>
      <w:tr>
        <w:trPr>
          <w:trHeight w:val="22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(312,340)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(234,732)</w:t>
            </w:r>
          </w:p>
        </w:tc>
      </w:tr>
      <w:tr>
        <w:trPr>
          <w:trHeight w:val="22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1,015,769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925,085</w:t>
            </w:r>
          </w:p>
        </w:tc>
      </w:tr>
      <w:tr>
        <w:trPr>
          <w:trHeight w:val="22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6"/>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 assets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(1,290,425)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(1,367,146)</w:t>
            </w:r>
          </w:p>
        </w:tc>
      </w:tr>
      <w:tr>
        <w:trPr>
          <w:trHeight w:val="226"/>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(81,995)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(110,927)</w:t>
            </w:r>
          </w:p>
        </w:tc>
      </w:tr>
      <w:tr>
        <w:trPr>
          <w:trHeight w:val="226"/>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assets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(10,978)</w:t>
            </w:r>
          </w:p>
        </w:tc>
      </w:tr>
      <w:tr>
        <w:trPr>
          <w:trHeight w:val="226"/>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w:t>
            </w:r>
          </w:p>
        </w:tc>
      </w:tr>
      <w:tr>
        <w:trPr>
          <w:trHeight w:val="220"/>
        </w:trPr>
        <w:tc>
          <w:tcPr>
            <w:tcW w:w="8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(1,385,641)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(1,493,175)</w:t>
            </w:r>
          </w:p>
        </w:tc>
      </w:tr>
      <w:tr>
        <w:trPr>
          <w:trHeight w:val="245"/>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(369,872)</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(568,090)</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net change in valuation allowance was an increase of $77.6 million, $80.5 million and $76.9 million in 2023, 2022 and 2021, respectively.</w:t>
      </w:r>
    </w:p>
    <w:p>
      <w:pPr>
        <w:spacing w:after="0" w:line="1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presentation of deferred tax assets and liabilities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60" w:type="dxa"/>
            <w:vAlign w:val="bottom"/>
            <w:gridSpan w:val="3"/>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Pr>
          <w:p>
            <w:pPr>
              <w:spacing w:after="0"/>
              <w:rPr>
                <w:sz w:val="16"/>
                <w:szCs w:val="16"/>
                <w:color w:val="auto"/>
              </w:rPr>
            </w:pPr>
          </w:p>
        </w:tc>
      </w:tr>
      <w:tr>
        <w:trPr>
          <w:trHeight w:val="25"/>
        </w:trPr>
        <w:tc>
          <w:tcPr>
            <w:tcW w:w="80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6"/>
        </w:trPr>
        <w:tc>
          <w:tcPr>
            <w:tcW w:w="80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center"/>
              <w:ind w:left="358"/>
              <w:spacing w:after="0"/>
              <w:rPr>
                <w:sz w:val="20"/>
                <w:szCs w:val="20"/>
                <w:color w:val="auto"/>
              </w:rPr>
            </w:pPr>
            <w:r>
              <w:rPr>
                <w:rFonts w:ascii="Times New Roman" w:cs="Times New Roman" w:eastAsia="Times New Roman" w:hAnsi="Times New Roman"/>
                <w:sz w:val="18"/>
                <w:szCs w:val="18"/>
                <w:color w:val="auto"/>
                <w:w w:val="95"/>
              </w:rPr>
              <w:t>477,834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center"/>
              <w:ind w:left="216"/>
              <w:spacing w:after="0"/>
              <w:rPr>
                <w:sz w:val="20"/>
                <w:szCs w:val="20"/>
                <w:color w:val="auto"/>
              </w:rPr>
            </w:pPr>
            <w:r>
              <w:rPr>
                <w:rFonts w:ascii="Times New Roman" w:cs="Times New Roman" w:eastAsia="Times New Roman" w:hAnsi="Times New Roman"/>
                <w:sz w:val="18"/>
                <w:szCs w:val="18"/>
                <w:color w:val="auto"/>
                <w:w w:val="99"/>
              </w:rPr>
              <w:t>376,247</w:t>
            </w:r>
          </w:p>
        </w:tc>
      </w:tr>
      <w:tr>
        <w:trPr>
          <w:trHeight w:val="226"/>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338"/>
              <w:spacing w:after="0"/>
              <w:rPr>
                <w:sz w:val="20"/>
                <w:szCs w:val="20"/>
                <w:color w:val="auto"/>
              </w:rPr>
            </w:pPr>
            <w:r>
              <w:rPr>
                <w:rFonts w:ascii="Times New Roman" w:cs="Times New Roman" w:eastAsia="Times New Roman" w:hAnsi="Times New Roman"/>
                <w:sz w:val="18"/>
                <w:szCs w:val="18"/>
                <w:color w:val="auto"/>
                <w:w w:val="99"/>
              </w:rPr>
              <w:t>(847,706)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196"/>
              <w:spacing w:after="0"/>
              <w:rPr>
                <w:sz w:val="20"/>
                <w:szCs w:val="20"/>
                <w:color w:val="auto"/>
              </w:rPr>
            </w:pPr>
            <w:r>
              <w:rPr>
                <w:rFonts w:ascii="Times New Roman" w:cs="Times New Roman" w:eastAsia="Times New Roman" w:hAnsi="Times New Roman"/>
                <w:sz w:val="18"/>
                <w:szCs w:val="18"/>
                <w:color w:val="auto"/>
                <w:w w:val="96"/>
              </w:rPr>
              <w:t>(944,337)</w:t>
            </w:r>
          </w:p>
        </w:tc>
      </w:tr>
      <w:tr>
        <w:trPr>
          <w:trHeight w:val="245"/>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center"/>
              <w:ind w:left="338"/>
              <w:spacing w:after="0"/>
              <w:rPr>
                <w:sz w:val="20"/>
                <w:szCs w:val="20"/>
                <w:color w:val="auto"/>
              </w:rPr>
            </w:pPr>
            <w:r>
              <w:rPr>
                <w:rFonts w:ascii="Times New Roman" w:cs="Times New Roman" w:eastAsia="Times New Roman" w:hAnsi="Times New Roman"/>
                <w:sz w:val="18"/>
                <w:szCs w:val="18"/>
                <w:color w:val="auto"/>
                <w:w w:val="99"/>
              </w:rPr>
              <w:t>(369,872)</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center"/>
              <w:ind w:left="196"/>
              <w:spacing w:after="0"/>
              <w:rPr>
                <w:sz w:val="20"/>
                <w:szCs w:val="20"/>
                <w:color w:val="auto"/>
              </w:rPr>
            </w:pPr>
            <w:r>
              <w:rPr>
                <w:rFonts w:ascii="Times New Roman" w:cs="Times New Roman" w:eastAsia="Times New Roman" w:hAnsi="Times New Roman"/>
                <w:sz w:val="18"/>
                <w:szCs w:val="18"/>
                <w:color w:val="auto"/>
                <w:w w:val="96"/>
              </w:rPr>
              <w:t>(568,090)</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right="60" w:firstLine="439"/>
        <w:spacing w:after="0" w:line="264" w:lineRule="auto"/>
        <w:rPr>
          <w:sz w:val="20"/>
          <w:szCs w:val="20"/>
          <w:color w:val="auto"/>
        </w:rPr>
      </w:pPr>
      <w:r>
        <w:rPr>
          <w:rFonts w:ascii="Times New Roman" w:cs="Times New Roman" w:eastAsia="Times New Roman" w:hAnsi="Times New Roman"/>
          <w:sz w:val="17"/>
          <w:szCs w:val="17"/>
          <w:color w:val="auto"/>
        </w:rPr>
        <w:t>As of December 31, 2023, we had net operating losses, or NOL, carryforwards and tax credit carryforwards for U.S. federal income tax purposes of approximately $15.2 million and $47.2 million, respectively, available to reduce future income subject to income taxes. The U.S. federal NOL carryforwards will expire, if not utilized, in the tax years 2024 to 2033 and the U.S. federal tax credits will expire, if not utilized, in the tax years 2024 to 2043. In addition, we had approximately $13.5 million of NOL carryforwards and $6.4 million of tax credit carryforwards as of December 31, 2023 available to reduce future taxable income for U.S. state income tax purposes. The U.S. state NOL carryforwards will expire, if not utilized, in the tax years 2024 to 2034. As of December 31, 2023, there were NOL and other carryforwards for income tax purposes of approximately $1,017.5 million, $605.8 million and $295.5 million available to reduce future income subject to income taxes in the United Kingdom, Malta and Ireland respectively. The NOLs and other carryforwards generated in the United Kingdom, Malta and Ireland have no expiration date. We also had foreign tax credit carryforwards in Ireland, as of</w:t>
      </w:r>
    </w:p>
    <w:p>
      <w:pPr>
        <w:spacing w:after="0" w:line="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December 31, 2023, of $89.0 million, which may only be utilized against certain sources of income. The foreign tax credit carryforwards have no expiration date.</w:t>
      </w:r>
    </w:p>
    <w:p>
      <w:pPr>
        <w:spacing w:after="0" w:line="77" w:lineRule="exact"/>
        <w:rPr>
          <w:sz w:val="20"/>
          <w:szCs w:val="20"/>
          <w:color w:val="auto"/>
        </w:rPr>
      </w:pPr>
    </w:p>
    <w:p>
      <w:pPr>
        <w:ind w:right="40" w:firstLine="439"/>
        <w:spacing w:after="0" w:line="261" w:lineRule="auto"/>
        <w:rPr>
          <w:sz w:val="20"/>
          <w:szCs w:val="20"/>
          <w:color w:val="auto"/>
        </w:rPr>
      </w:pPr>
      <w:r>
        <w:rPr>
          <w:rFonts w:ascii="Times New Roman" w:cs="Times New Roman" w:eastAsia="Times New Roman" w:hAnsi="Times New Roman"/>
          <w:sz w:val="18"/>
          <w:szCs w:val="18"/>
          <w:color w:val="auto"/>
        </w:rPr>
        <w:t>Utilization of certain of our NOL and tax credit carryforwards in the U.S. is subject to an annual limitation due to the ownership change limitations provided by Sections 382 and 383 of the Internal Revenue Code and similar state provisions. Such an annual limitation may result in the expiration of certain NOLs and tax credits before future utilization. In addition, as a</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74" w:lineRule="exact"/>
        <w:rPr>
          <w:sz w:val="20"/>
          <w:szCs w:val="20"/>
          <w:color w:val="auto"/>
        </w:rPr>
      </w:pPr>
    </w:p>
    <w:p>
      <w:pPr>
        <w:ind w:right="320"/>
        <w:spacing w:after="0" w:line="276" w:lineRule="auto"/>
        <w:rPr>
          <w:sz w:val="20"/>
          <w:szCs w:val="20"/>
          <w:color w:val="auto"/>
        </w:rPr>
      </w:pPr>
      <w:r>
        <w:rPr>
          <w:rFonts w:ascii="Times New Roman" w:cs="Times New Roman" w:eastAsia="Times New Roman" w:hAnsi="Times New Roman"/>
          <w:sz w:val="18"/>
          <w:szCs w:val="18"/>
          <w:color w:val="auto"/>
        </w:rPr>
        <w:t>result of the Azur Merger, until 2022 we were subject to certain limitations under the Internal Revenue Code in relation to the utilization of U.S. NOLs to offset U.S. taxable income resulting from certain transactions.</w:t>
      </w:r>
    </w:p>
    <w:p>
      <w:pPr>
        <w:spacing w:after="0" w:line="56" w:lineRule="exact"/>
        <w:rPr>
          <w:sz w:val="20"/>
          <w:szCs w:val="20"/>
          <w:color w:val="auto"/>
        </w:rPr>
      </w:pPr>
    </w:p>
    <w:p>
      <w:pPr>
        <w:ind w:right="20" w:firstLine="439"/>
        <w:spacing w:after="0" w:line="249" w:lineRule="auto"/>
        <w:rPr>
          <w:sz w:val="20"/>
          <w:szCs w:val="20"/>
          <w:color w:val="auto"/>
        </w:rPr>
      </w:pPr>
      <w:r>
        <w:rPr>
          <w:rFonts w:ascii="Times New Roman" w:cs="Times New Roman" w:eastAsia="Times New Roman" w:hAnsi="Times New Roman"/>
          <w:sz w:val="18"/>
          <w:szCs w:val="18"/>
          <w:color w:val="auto"/>
        </w:rPr>
        <w:t>Valuation allowances require an assessment of both positive and negative evidence when determining whether it is more likely than not that deferred tax assets are recoverable. Such assessment is required by tax-paying component. Our valuation allowance was $312.3 million and $234.7 million as of December 31, 2023 and 2022, respectively, for certain Irish, U.S. (federal and state) and foreign deferred tax assets which we maintain until sufficient positive evidence exists to support reversal. As part of the overall change in valuation allowance, we recognized a net income tax expense of $76.2 million, $95.1 million and $81.3 million in 2023, 2022 and 2021, respectively, relating primarily to the creation of a valuation allowance against certain deferred tax assets primarily associated with temporary differences related to carryforwards in foreign subsidiaries and foreign tax credit carryforwards. We periodically evaluate the likelihood of the realization of deferred tax assets and will adjust such amounts in light of changing facts and circumstances including, but not limited to, future projections of taxable income, tax legislation, rulings by relevant taxing authorities, the progress of tax examinations and the regulatory approval of products currently under development. Realization of the deferred tax assets is dependent on future taxable income. The Company believes that it is more likely than not to generate sufficient taxable income to realize the deferred tax assets carried as of December 31, 2023 for which no valuation allowance has been recognized.</w:t>
      </w:r>
    </w:p>
    <w:p>
      <w:pPr>
        <w:spacing w:after="0" w:line="87" w:lineRule="exact"/>
        <w:rPr>
          <w:sz w:val="20"/>
          <w:szCs w:val="20"/>
          <w:color w:val="auto"/>
        </w:rPr>
      </w:pPr>
    </w:p>
    <w:p>
      <w:pPr>
        <w:ind w:right="40" w:firstLine="439"/>
        <w:spacing w:after="0" w:line="254" w:lineRule="auto"/>
        <w:rPr>
          <w:sz w:val="20"/>
          <w:szCs w:val="20"/>
          <w:color w:val="auto"/>
        </w:rPr>
      </w:pPr>
      <w:r>
        <w:rPr>
          <w:rFonts w:ascii="Times New Roman" w:cs="Times New Roman" w:eastAsia="Times New Roman" w:hAnsi="Times New Roman"/>
          <w:sz w:val="18"/>
          <w:szCs w:val="18"/>
          <w:color w:val="auto"/>
        </w:rPr>
        <w:t>No provision has been made for income tax on undistributed earnings of the Company’s foreign subsidiaries where such earnings are considered indefinitely reinvested in the foreign operations. Temporary differences related to such earnings totaled approximately $1.6 billion as of December 31, 2023. In the event of the distribution of those earnings in the form of dividends, a sale of the subsidiaries, or certain other transactions, we may be liable for income taxes, subject to an adjustment, if any, for foreign tax credits. The Company estimates that it would incur additional income taxes of up to approximately $79.8 million on repatriation of these unremitted earnings to Ireland.</w:t>
      </w:r>
    </w:p>
    <w:p>
      <w:pPr>
        <w:spacing w:after="0" w:line="76" w:lineRule="exact"/>
        <w:rPr>
          <w:sz w:val="20"/>
          <w:szCs w:val="20"/>
          <w:color w:val="auto"/>
        </w:rPr>
      </w:pPr>
    </w:p>
    <w:p>
      <w:pPr>
        <w:ind w:firstLine="439"/>
        <w:spacing w:after="0" w:line="261" w:lineRule="auto"/>
        <w:rPr>
          <w:sz w:val="20"/>
          <w:szCs w:val="20"/>
          <w:color w:val="auto"/>
        </w:rPr>
      </w:pPr>
      <w:r>
        <w:rPr>
          <w:rFonts w:ascii="Times New Roman" w:cs="Times New Roman" w:eastAsia="Times New Roman" w:hAnsi="Times New Roman"/>
          <w:sz w:val="18"/>
          <w:szCs w:val="18"/>
          <w:color w:val="auto"/>
        </w:rPr>
        <w:t>We only recognize the financial statement effects of a tax position when it is more likely than not, based on the technical merits, that the position will be sustained upon examination. As a result, we have recorded an unrecognized tax benefit for certain tax positions which we judge may not be sustained upon examination.</w:t>
      </w:r>
    </w:p>
    <w:p>
      <w:pPr>
        <w:spacing w:after="0" w:line="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reconciliation of our unrecognized tax benefits follows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5"/>
        </w:trPr>
        <w:tc>
          <w:tcPr>
            <w:tcW w:w="6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64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137,867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146,557</w:t>
            </w:r>
          </w:p>
        </w:tc>
      </w:tr>
      <w:tr>
        <w:trPr>
          <w:trHeight w:val="22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26,675</w:t>
            </w:r>
          </w:p>
        </w:tc>
      </w:tr>
      <w:tr>
        <w:trPr>
          <w:trHeight w:val="22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related to prior year tax positions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2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Decreases related to prior year tax positions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2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recognized through purchase accounting</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5,916</w:t>
            </w:r>
          </w:p>
        </w:tc>
      </w:tr>
      <w:tr>
        <w:trPr>
          <w:trHeight w:val="22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Decreases related to settlements with taxing authorities</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(14,744)</w:t>
            </w:r>
          </w:p>
        </w:tc>
      </w:tr>
      <w:tr>
        <w:trPr>
          <w:trHeight w:val="22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Lapse of the applicable statute of limitations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(26,566)</w:t>
            </w:r>
          </w:p>
        </w:tc>
      </w:tr>
      <w:tr>
        <w:trPr>
          <w:trHeight w:val="22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122,694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143,976</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137,867</w:t>
            </w:r>
          </w:p>
        </w:tc>
      </w:tr>
      <w:tr>
        <w:trPr>
          <w:trHeight w:val="20"/>
        </w:trPr>
        <w:tc>
          <w:tcPr>
            <w:tcW w:w="6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ind w:right="140" w:firstLine="439"/>
        <w:spacing w:after="0" w:line="251" w:lineRule="auto"/>
        <w:rPr>
          <w:sz w:val="20"/>
          <w:szCs w:val="20"/>
          <w:color w:val="auto"/>
        </w:rPr>
      </w:pPr>
      <w:r>
        <w:rPr>
          <w:rFonts w:ascii="Times New Roman" w:cs="Times New Roman" w:eastAsia="Times New Roman" w:hAnsi="Times New Roman"/>
          <w:sz w:val="18"/>
          <w:szCs w:val="18"/>
          <w:color w:val="auto"/>
        </w:rPr>
        <w:t>The unrecognized tax benefits were included in income taxes payable, other non-current liabilities and deferred tax assets, net, in our consolidated balance sheets. Interest related to income taxes is recorded in the income tax expense (benefit) in our consolidated statements of income (loss). As of December 31, 2023 and 2022, our accrued interest related to income taxes was $8.4 million and $5.8 million, respectively. Interest related to income taxes recognized in the consolidated statements of income (loss) were not significant. Included in the balance of unrecognized tax benefits were potential benefits of $77.1 million and $91.7 million at December 31, 2023 and 2022, respectively, that, if recognized, would affect the effective tax rate on income. The Company believes that it is reasonably possible that approximately $26.5 million of its currently remaining unrecognized tax benefits may be recognized by the end of 2024 as a result of a lapse of the statute of limitations.</w:t>
      </w:r>
    </w:p>
    <w:p>
      <w:pPr>
        <w:spacing w:after="0" w:line="82" w:lineRule="exact"/>
        <w:rPr>
          <w:sz w:val="20"/>
          <w:szCs w:val="20"/>
          <w:color w:val="auto"/>
        </w:rPr>
      </w:pPr>
    </w:p>
    <w:p>
      <w:pPr>
        <w:ind w:right="40" w:firstLine="439"/>
        <w:spacing w:after="0" w:line="251" w:lineRule="auto"/>
        <w:rPr>
          <w:sz w:val="20"/>
          <w:szCs w:val="20"/>
          <w:color w:val="auto"/>
        </w:rPr>
      </w:pPr>
      <w:r>
        <w:rPr>
          <w:rFonts w:ascii="Times New Roman" w:cs="Times New Roman" w:eastAsia="Times New Roman" w:hAnsi="Times New Roman"/>
          <w:sz w:val="18"/>
          <w:szCs w:val="18"/>
          <w:color w:val="auto"/>
        </w:rPr>
        <w:t>We file income tax returns in multiple tax jurisdictions, the most significant of which are Ireland, the U.K. and the U.S. (both at the federal level and in various state jurisdictions). For Ireland we are no longer subject to income tax examinations by taxing authorities for the years prior to 2019. For the U.K. we are no longer subject to income tax examinations by taxing authorities for the years prior to 2016. The U.S. jurisdictions generally have statute of limitations three to four years from the later of the return due date or the date when the return was filed. However, in the U.S. (at the federal level and in most states), carryforwards that were generated in 2019 and earlier may still be adjusted upon examination by the taxing authorities. Certain of our Luxembourg subsidiaries are currently under examination by the Luxembourg taxing authorities for the years ended December 31, 2017, 2018 and 2019. In October 2022 and January 2023, we received tax assessment notices from the Luxembourg taxing authorities for all open tax years relating to certain transfer pricing and other adjustments. The notices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74"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propose additional Luxembourg income tax of approximately $24.7 million, translated at the foreign exchange rate as at December 31, 2023. We disagree with the proposed assessments and are contesting them vigorously.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9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Additions charged</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6"/>
        </w:trPr>
        <w:tc>
          <w:tcPr>
            <w:tcW w:w="33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80" w:type="dxa"/>
            <w:vAlign w:val="bottom"/>
          </w:tcPr>
          <w:p>
            <w:pPr>
              <w:spacing w:after="0"/>
              <w:rPr>
                <w:sz w:val="12"/>
                <w:szCs w:val="12"/>
                <w:color w:val="auto"/>
              </w:rPr>
            </w:pPr>
          </w:p>
        </w:tc>
        <w:tc>
          <w:tcPr>
            <w:tcW w:w="112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to costs and</w:t>
            </w:r>
          </w:p>
        </w:tc>
        <w:tc>
          <w:tcPr>
            <w:tcW w:w="120" w:type="dxa"/>
            <w:vAlign w:val="bottom"/>
          </w:tcPr>
          <w:p>
            <w:pPr>
              <w:spacing w:after="0"/>
              <w:rPr>
                <w:sz w:val="12"/>
                <w:szCs w:val="12"/>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Other Additions</w:t>
            </w:r>
          </w:p>
        </w:tc>
        <w:tc>
          <w:tcPr>
            <w:tcW w:w="180" w:type="dxa"/>
            <w:vAlign w:val="bottom"/>
          </w:tcPr>
          <w:p>
            <w:pPr>
              <w:spacing w:after="0"/>
              <w:rPr>
                <w:sz w:val="12"/>
                <w:szCs w:val="12"/>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00" w:type="dxa"/>
            <w:vAlign w:val="bottom"/>
          </w:tcPr>
          <w:p>
            <w:pPr>
              <w:spacing w:after="0"/>
              <w:rPr>
                <w:sz w:val="12"/>
                <w:szCs w:val="12"/>
                <w:color w:val="auto"/>
              </w:rPr>
            </w:pPr>
          </w:p>
        </w:tc>
        <w:tc>
          <w:tcPr>
            <w:tcW w:w="1000" w:type="dxa"/>
            <w:vAlign w:val="bottom"/>
          </w:tcPr>
          <w:p>
            <w:pPr>
              <w:jc w:val="center"/>
              <w:ind w:right="135"/>
              <w:spacing w:after="0" w:line="147" w:lineRule="exact"/>
              <w:rPr>
                <w:sz w:val="20"/>
                <w:szCs w:val="20"/>
                <w:color w:val="auto"/>
              </w:rPr>
            </w:pPr>
            <w:r>
              <w:rPr>
                <w:rFonts w:ascii="Times New Roman" w:cs="Times New Roman" w:eastAsia="Times New Roman" w:hAnsi="Times New Roman"/>
                <w:sz w:val="14"/>
                <w:szCs w:val="14"/>
                <w:b w:val="1"/>
                <w:bCs w:val="1"/>
                <w:color w:val="auto"/>
              </w:rPr>
              <w:t>end of</w:t>
            </w:r>
          </w:p>
        </w:tc>
        <w:tc>
          <w:tcPr>
            <w:tcW w:w="0" w:type="dxa"/>
            <w:vAlign w:val="bottom"/>
          </w:tcPr>
          <w:p>
            <w:pPr>
              <w:spacing w:after="0"/>
              <w:rPr>
                <w:sz w:val="1"/>
                <w:szCs w:val="1"/>
                <w:color w:val="auto"/>
              </w:rPr>
            </w:pPr>
          </w:p>
        </w:tc>
      </w:tr>
      <w:tr>
        <w:trPr>
          <w:trHeight w:val="192"/>
        </w:trPr>
        <w:tc>
          <w:tcPr>
            <w:tcW w:w="3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of period</w:t>
            </w:r>
          </w:p>
        </w:tc>
        <w:tc>
          <w:tcPr>
            <w:tcW w:w="18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expenses</w:t>
            </w: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12"/>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year ended December 31, 2023</w:t>
            </w:r>
          </w:p>
        </w:tc>
        <w:tc>
          <w:tcPr>
            <w:tcW w:w="1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3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26"/>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sales discounts</w:t>
            </w:r>
          </w:p>
        </w:tc>
        <w:tc>
          <w:tcPr>
            <w:tcW w:w="13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0" w:type="dxa"/>
            <w:vAlign w:val="bottom"/>
          </w:tcPr>
          <w:p>
            <w:pPr>
              <w:spacing w:after="0"/>
              <w:rPr>
                <w:sz w:val="1"/>
                <w:szCs w:val="1"/>
                <w:color w:val="auto"/>
              </w:rPr>
            </w:pPr>
          </w:p>
        </w:tc>
      </w:tr>
      <w:tr>
        <w:trPr>
          <w:trHeight w:val="226"/>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chargebacks</w:t>
            </w:r>
          </w:p>
        </w:tc>
        <w:tc>
          <w:tcPr>
            <w:tcW w:w="13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14,932</w:t>
            </w:r>
          </w:p>
        </w:tc>
        <w:tc>
          <w:tcPr>
            <w:tcW w:w="0" w:type="dxa"/>
            <w:vAlign w:val="bottom"/>
          </w:tcPr>
          <w:p>
            <w:pPr>
              <w:spacing w:after="0"/>
              <w:rPr>
                <w:sz w:val="1"/>
                <w:szCs w:val="1"/>
                <w:color w:val="auto"/>
              </w:rPr>
            </w:pPr>
          </w:p>
        </w:tc>
      </w:tr>
      <w:tr>
        <w:trPr>
          <w:trHeight w:val="226"/>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 valuation allowance</w:t>
            </w:r>
          </w:p>
        </w:tc>
        <w:tc>
          <w:tcPr>
            <w:tcW w:w="13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312,340</w:t>
            </w:r>
          </w:p>
        </w:tc>
        <w:tc>
          <w:tcPr>
            <w:tcW w:w="0" w:type="dxa"/>
            <w:vAlign w:val="bottom"/>
          </w:tcPr>
          <w:p>
            <w:pPr>
              <w:spacing w:after="0"/>
              <w:rPr>
                <w:sz w:val="1"/>
                <w:szCs w:val="1"/>
                <w:color w:val="auto"/>
              </w:rPr>
            </w:pPr>
          </w:p>
        </w:tc>
      </w:tr>
      <w:tr>
        <w:trPr>
          <w:trHeight w:val="253"/>
        </w:trPr>
        <w:tc>
          <w:tcPr>
            <w:tcW w:w="3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year ended December 31, 2022</w:t>
            </w:r>
          </w:p>
        </w:tc>
        <w:tc>
          <w:tcPr>
            <w:tcW w:w="1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3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26"/>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sales discounts</w:t>
            </w:r>
          </w:p>
        </w:tc>
        <w:tc>
          <w:tcPr>
            <w:tcW w:w="13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0" w:type="dxa"/>
            <w:vAlign w:val="bottom"/>
          </w:tcPr>
          <w:p>
            <w:pPr>
              <w:spacing w:after="0"/>
              <w:rPr>
                <w:sz w:val="1"/>
                <w:szCs w:val="1"/>
                <w:color w:val="auto"/>
              </w:rPr>
            </w:pPr>
          </w:p>
        </w:tc>
      </w:tr>
      <w:tr>
        <w:trPr>
          <w:trHeight w:val="226"/>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chargebacks</w:t>
            </w:r>
          </w:p>
        </w:tc>
        <w:tc>
          <w:tcPr>
            <w:tcW w:w="13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14,621</w:t>
            </w:r>
          </w:p>
        </w:tc>
        <w:tc>
          <w:tcPr>
            <w:tcW w:w="0" w:type="dxa"/>
            <w:vAlign w:val="bottom"/>
          </w:tcPr>
          <w:p>
            <w:pPr>
              <w:spacing w:after="0"/>
              <w:rPr>
                <w:sz w:val="1"/>
                <w:szCs w:val="1"/>
                <w:color w:val="auto"/>
              </w:rPr>
            </w:pPr>
          </w:p>
        </w:tc>
      </w:tr>
      <w:tr>
        <w:trPr>
          <w:trHeight w:val="226"/>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 valuation allowance</w:t>
            </w:r>
          </w:p>
        </w:tc>
        <w:tc>
          <w:tcPr>
            <w:tcW w:w="13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234,732</w:t>
            </w:r>
          </w:p>
        </w:tc>
        <w:tc>
          <w:tcPr>
            <w:tcW w:w="0" w:type="dxa"/>
            <w:vAlign w:val="bottom"/>
          </w:tcPr>
          <w:p>
            <w:pPr>
              <w:spacing w:after="0"/>
              <w:rPr>
                <w:sz w:val="1"/>
                <w:szCs w:val="1"/>
                <w:color w:val="auto"/>
              </w:rPr>
            </w:pPr>
          </w:p>
        </w:tc>
      </w:tr>
      <w:tr>
        <w:trPr>
          <w:trHeight w:val="266"/>
        </w:trPr>
        <w:tc>
          <w:tcPr>
            <w:tcW w:w="33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year ended December 31, 2021</w:t>
            </w:r>
          </w:p>
        </w:tc>
        <w:tc>
          <w:tcPr>
            <w:tcW w:w="1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3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26"/>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sales discounts</w:t>
            </w:r>
          </w:p>
        </w:tc>
        <w:tc>
          <w:tcPr>
            <w:tcW w:w="13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0" w:type="dxa"/>
            <w:vAlign w:val="bottom"/>
          </w:tcPr>
          <w:p>
            <w:pPr>
              <w:spacing w:after="0"/>
              <w:rPr>
                <w:sz w:val="1"/>
                <w:szCs w:val="1"/>
                <w:color w:val="auto"/>
              </w:rPr>
            </w:pPr>
          </w:p>
        </w:tc>
      </w:tr>
      <w:tr>
        <w:trPr>
          <w:trHeight w:val="226"/>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chargebacks</w:t>
            </w:r>
          </w:p>
        </w:tc>
        <w:tc>
          <w:tcPr>
            <w:tcW w:w="13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11,389</w:t>
            </w:r>
          </w:p>
        </w:tc>
        <w:tc>
          <w:tcPr>
            <w:tcW w:w="0" w:type="dxa"/>
            <w:vAlign w:val="bottom"/>
          </w:tcPr>
          <w:p>
            <w:pPr>
              <w:spacing w:after="0"/>
              <w:rPr>
                <w:sz w:val="1"/>
                <w:szCs w:val="1"/>
                <w:color w:val="auto"/>
              </w:rPr>
            </w:pPr>
          </w:p>
        </w:tc>
      </w:tr>
      <w:tr>
        <w:trPr>
          <w:trHeight w:val="226"/>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 valuation allowance</w:t>
            </w:r>
          </w:p>
        </w:tc>
        <w:tc>
          <w:tcPr>
            <w:tcW w:w="13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(2)(3)(4)</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154,255</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5" w:lineRule="exact"/>
        <w:rPr>
          <w:sz w:val="20"/>
          <w:szCs w:val="20"/>
          <w:color w:val="auto"/>
        </w:rPr>
      </w:pPr>
    </w:p>
    <w:p>
      <w:pPr>
        <w:ind w:left="560" w:hanging="554"/>
        <w:spacing w:after="0"/>
        <w:tabs>
          <w:tab w:leader="none" w:pos="5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Shown as a reduction of accounts receivable. Charges related to sales discounts and chargebacks are reflected as a reduction of revenue.</w:t>
      </w:r>
    </w:p>
    <w:p>
      <w:pPr>
        <w:spacing w:after="0" w:line="6" w:lineRule="exact"/>
        <w:rPr>
          <w:rFonts w:ascii="Times New Roman" w:cs="Times New Roman" w:eastAsia="Times New Roman" w:hAnsi="Times New Roman"/>
          <w:sz w:val="18"/>
          <w:szCs w:val="18"/>
          <w:color w:val="auto"/>
        </w:rPr>
      </w:pPr>
    </w:p>
    <w:p>
      <w:pPr>
        <w:ind w:left="560" w:right="40" w:hanging="554"/>
        <w:spacing w:after="0" w:line="261" w:lineRule="auto"/>
        <w:tabs>
          <w:tab w:leader="none" w:pos="554"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to the deferred tax asset valuation allowance charged to costs and expenses relate to movements on certain Irish, U.S. (federal and state) and other foreign deferred tax assets where we continue to maintain a valuation allowance until sufficient positive evidence exists to support reversal.</w:t>
      </w:r>
    </w:p>
    <w:p>
      <w:pPr>
        <w:ind w:left="560" w:right="960" w:hanging="554"/>
        <w:spacing w:after="0" w:line="246" w:lineRule="auto"/>
        <w:tabs>
          <w:tab w:leader="none" w:pos="55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additions to the deferred tax asset valuation allowance in 2021 relate to currency translation adjustments recorded directly in other comprehensive income.</w:t>
      </w:r>
    </w:p>
    <w:p>
      <w:pPr>
        <w:spacing w:after="0" w:line="1" w:lineRule="exact"/>
        <w:rPr>
          <w:rFonts w:ascii="Times New Roman" w:cs="Times New Roman" w:eastAsia="Times New Roman" w:hAnsi="Times New Roman"/>
          <w:sz w:val="18"/>
          <w:szCs w:val="18"/>
          <w:color w:val="auto"/>
        </w:rPr>
      </w:pPr>
    </w:p>
    <w:p>
      <w:pPr>
        <w:ind w:left="560" w:hanging="554"/>
        <w:spacing w:after="0" w:line="253" w:lineRule="auto"/>
        <w:tabs>
          <w:tab w:leader="none" w:pos="55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Deductions from the deferred tax asset valuation allowance include movements relating to utilization of NOLs and tax credit carryforwards, release in valuation allowance and other movements including adjustments following finalization of tax returns and currency translation adjustments.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220"/>
          </w:cols>
          <w:pgMar w:left="320" w:top="121" w:right="35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b w:val="1"/>
          <w:bCs w:val="1"/>
          <w:color w:val="231F20"/>
        </w:rPr>
        <w:t>Exhibit 4.6</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DESCRIPTION OF SHARE CAPITAL</w:t>
      </w:r>
    </w:p>
    <w:p>
      <w:pPr>
        <w:spacing w:after="0" w:line="341" w:lineRule="exact"/>
        <w:rPr>
          <w:sz w:val="20"/>
          <w:szCs w:val="20"/>
          <w:color w:val="auto"/>
        </w:rPr>
      </w:pPr>
    </w:p>
    <w:p>
      <w:pPr>
        <w:ind w:right="80" w:firstLine="360"/>
        <w:spacing w:after="0" w:line="393" w:lineRule="auto"/>
        <w:rPr>
          <w:sz w:val="20"/>
          <w:szCs w:val="20"/>
          <w:color w:val="auto"/>
        </w:rPr>
      </w:pPr>
      <w:r>
        <w:rPr>
          <w:rFonts w:ascii="Times New Roman" w:cs="Times New Roman" w:eastAsia="Times New Roman" w:hAnsi="Times New Roman"/>
          <w:sz w:val="18"/>
          <w:szCs w:val="18"/>
          <w:color w:val="auto"/>
        </w:rPr>
        <w:t xml:space="preserve">The following description of the share capital of Jazz Pharmaceuticals plc, or the Company, is a summary. This summary does not purport to be complete and is qualified in its entirety by reference to the Irish Companies Act 2014 (as amended), or the Companies Act, </w:t>
      </w:r>
      <w:r>
        <w:rPr>
          <w:rFonts w:ascii="Times New Roman" w:cs="Times New Roman" w:eastAsia="Times New Roman" w:hAnsi="Times New Roman"/>
          <w:sz w:val="18"/>
          <w:szCs w:val="18"/>
          <w:color w:val="231F20"/>
        </w:rPr>
        <w:t>and the complete text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Company’s amended and restated memorandum and articles of association, which amended and restated memorandum and articles of association, or the Company’s Constitution, are filed as Exhibit 3.1 to the Company’s Quarterly Report on Form 10-Q filed with the U.S. Securities and Exchange Commission, or SEC, on August 9, 2016</w:t>
      </w:r>
      <w:r>
        <w:rPr>
          <w:rFonts w:ascii="Times New Roman" w:cs="Times New Roman" w:eastAsia="Times New Roman" w:hAnsi="Times New Roman"/>
          <w:sz w:val="18"/>
          <w:szCs w:val="18"/>
          <w:color w:val="000000"/>
        </w:rPr>
        <w:t>. You should read those laws and documents carefully.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Capital Structure</w:t>
      </w:r>
    </w:p>
    <w:p>
      <w:pPr>
        <w:spacing w:after="0" w:line="29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231F20"/>
        </w:rPr>
        <w:t>Authorized Share Capital</w:t>
      </w:r>
    </w:p>
    <w:p>
      <w:pPr>
        <w:spacing w:after="0" w:line="303" w:lineRule="exact"/>
        <w:rPr>
          <w:sz w:val="20"/>
          <w:szCs w:val="20"/>
          <w:color w:val="auto"/>
        </w:rPr>
      </w:pPr>
    </w:p>
    <w:p>
      <w:pPr>
        <w:ind w:right="400" w:firstLine="320"/>
        <w:spacing w:after="0" w:line="414" w:lineRule="auto"/>
        <w:rPr>
          <w:sz w:val="20"/>
          <w:szCs w:val="20"/>
          <w:color w:val="auto"/>
        </w:rPr>
      </w:pPr>
      <w:r>
        <w:rPr>
          <w:rFonts w:ascii="Times New Roman" w:cs="Times New Roman" w:eastAsia="Times New Roman" w:hAnsi="Times New Roman"/>
          <w:sz w:val="18"/>
          <w:szCs w:val="18"/>
          <w:color w:val="231F20"/>
        </w:rPr>
        <w:t>The authorized share capital of the Company is €40,000 and $30,000, divided into 4,000,000 non-voting euro deferred shares with nominal value of €0.01 per share and 300,000,000 ordinary shares with nominal value of $0.0001 per share.</w:t>
      </w:r>
    </w:p>
    <w:p>
      <w:pPr>
        <w:spacing w:after="0" w:line="125" w:lineRule="exact"/>
        <w:rPr>
          <w:sz w:val="20"/>
          <w:szCs w:val="20"/>
          <w:color w:val="auto"/>
        </w:rPr>
      </w:pPr>
    </w:p>
    <w:p>
      <w:pPr>
        <w:ind w:right="100" w:firstLine="320"/>
        <w:spacing w:after="0" w:line="390" w:lineRule="auto"/>
        <w:rPr>
          <w:sz w:val="20"/>
          <w:szCs w:val="20"/>
          <w:color w:val="auto"/>
        </w:rPr>
      </w:pPr>
      <w:r>
        <w:rPr>
          <w:rFonts w:ascii="Times New Roman" w:cs="Times New Roman" w:eastAsia="Times New Roman" w:hAnsi="Times New Roman"/>
          <w:sz w:val="18"/>
          <w:szCs w:val="18"/>
          <w:color w:val="231F20"/>
        </w:rPr>
        <w:t>The Company may issue shares subject to the maximum authorized share capital contained in the Company’s Constitution. The authorized share capital may be increased or reduced (but not below the number of shares then issued and outstanding) by a resolution approved by a simple majority of the votes cast at a general meeting, in person or by proxy, of the Company’s shareholders (referred to under Irish law as an “ordinary resolution”). The shares comprising the Company’s authorized share capital may be divided into shares of such nominal value as the resolution shall prescribe. As a matter of Irish law, the directors of a company may issue new ordinary or preferred shares for cash without shareholder approval once authorized to do so by the memorandum and articles of association or by an ordinary resolution adopted by the shareholders at a general meeting. The authorization may be granted for a maximum period of five years, at which point it must be renewed by the shareholders by an ordinary resolution.</w:t>
      </w:r>
    </w:p>
    <w:p>
      <w:pPr>
        <w:spacing w:after="0" w:line="148" w:lineRule="exact"/>
        <w:rPr>
          <w:sz w:val="20"/>
          <w:szCs w:val="20"/>
          <w:color w:val="auto"/>
        </w:rPr>
      </w:pPr>
    </w:p>
    <w:p>
      <w:pPr>
        <w:ind w:right="60" w:firstLine="320"/>
        <w:spacing w:after="0" w:line="414" w:lineRule="auto"/>
        <w:rPr>
          <w:sz w:val="20"/>
          <w:szCs w:val="20"/>
          <w:color w:val="auto"/>
        </w:rPr>
      </w:pPr>
      <w:r>
        <w:rPr>
          <w:rFonts w:ascii="Times New Roman" w:cs="Times New Roman" w:eastAsia="Times New Roman" w:hAnsi="Times New Roman"/>
          <w:sz w:val="18"/>
          <w:szCs w:val="18"/>
          <w:color w:val="231F20"/>
        </w:rPr>
        <w:t>The Company’s board of directors is authorized pursuant to shareholder resolutions passed on July 29, 2021 to issue new ordinary or preferred shares for cash without shareholder approval for a period of five years from the date of the passing of the resolutions.</w:t>
      </w:r>
    </w:p>
    <w:p>
      <w:pPr>
        <w:spacing w:after="0" w:line="125" w:lineRule="exact"/>
        <w:rPr>
          <w:sz w:val="20"/>
          <w:szCs w:val="20"/>
          <w:color w:val="auto"/>
        </w:rPr>
      </w:pPr>
    </w:p>
    <w:p>
      <w:pPr>
        <w:ind w:right="160" w:firstLine="320"/>
        <w:spacing w:after="0" w:line="395" w:lineRule="auto"/>
        <w:rPr>
          <w:sz w:val="20"/>
          <w:szCs w:val="20"/>
          <w:color w:val="auto"/>
        </w:rPr>
      </w:pPr>
      <w:r>
        <w:rPr>
          <w:rFonts w:ascii="Times New Roman" w:cs="Times New Roman" w:eastAsia="Times New Roman" w:hAnsi="Times New Roman"/>
          <w:sz w:val="18"/>
          <w:szCs w:val="18"/>
          <w:color w:val="231F20"/>
        </w:rPr>
        <w:t>The rights and restrictions to which ordinary shares are subject are prescribed in the Company’s Constitution. The Company’s Constitution permits it to issue preferred shares once authorized to do so by ordinary resolution. The Company may, by ordinary resolution and without obtaining any vote or consent of the holders of any class or series of shares, unless expressly provided by the terms of that class or series of shares, provide from time to time for the issuance of other classes or series of shares and to establish the characteristics of each class or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78" w:right="339" w:bottom="1440" w:gutter="0" w:footer="0" w:header="0"/>
        </w:sectPr>
      </w:pPr>
    </w:p>
    <w:bookmarkStart w:id="164" w:name="page165"/>
    <w:bookmarkEnd w:id="164"/>
    <w:p>
      <w:pPr>
        <w:ind w:right="180"/>
        <w:spacing w:after="0" w:line="414" w:lineRule="auto"/>
        <w:rPr>
          <w:sz w:val="20"/>
          <w:szCs w:val="20"/>
          <w:color w:val="auto"/>
        </w:rPr>
      </w:pPr>
      <w:r>
        <w:rPr>
          <w:rFonts w:ascii="Times New Roman" w:cs="Times New Roman" w:eastAsia="Times New Roman" w:hAnsi="Times New Roman"/>
          <w:sz w:val="18"/>
          <w:szCs w:val="18"/>
          <w:color w:val="231F20"/>
        </w:rPr>
        <w:t>including the number of shares, designations, relative voting rights, dividend rights, liquidation and other rights, redemption, repurchase or exchange rights and any other preferences and relative, participating, optional or other rights and limitations not inconsistent with applicable law.</w:t>
      </w:r>
    </w:p>
    <w:p>
      <w:pPr>
        <w:spacing w:after="0" w:line="125" w:lineRule="exact"/>
        <w:rPr>
          <w:sz w:val="20"/>
          <w:szCs w:val="20"/>
          <w:color w:val="auto"/>
        </w:rPr>
      </w:pPr>
    </w:p>
    <w:p>
      <w:pPr>
        <w:ind w:right="120" w:firstLine="320"/>
        <w:spacing w:after="0" w:line="393" w:lineRule="auto"/>
        <w:rPr>
          <w:sz w:val="20"/>
          <w:szCs w:val="20"/>
          <w:color w:val="auto"/>
        </w:rPr>
      </w:pPr>
      <w:r>
        <w:rPr>
          <w:rFonts w:ascii="Times New Roman" w:cs="Times New Roman" w:eastAsia="Times New Roman" w:hAnsi="Times New Roman"/>
          <w:sz w:val="18"/>
          <w:szCs w:val="18"/>
          <w:color w:val="231F20"/>
        </w:rPr>
        <w:t>Irish law does not recognize fractional shares held of record. Accordingly, the Company’s Constitution does not provide for the issuance of fractional shares, and the official Irish register of the Company will not reflect any fractional shares. Whenever an alteration or reorganization of the Company’s share capital would result in any shareholder becoming entitled to fractions of a share, the Company’s board of directors may, on behalf of those shareholders that would become entitled to fractions of a share, sell the shares representing the fractions for the best price reasonably obtainable, to any person and distribute the proceeds of the sale in due proportion among those members.</w:t>
      </w:r>
    </w:p>
    <w:p>
      <w:pPr>
        <w:spacing w:after="0" w:line="1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231F20"/>
        </w:rPr>
        <w:t>Issued Share Capital</w:t>
      </w:r>
    </w:p>
    <w:p>
      <w:pPr>
        <w:spacing w:after="0" w:line="303" w:lineRule="exact"/>
        <w:rPr>
          <w:sz w:val="20"/>
          <w:szCs w:val="20"/>
          <w:color w:val="auto"/>
        </w:rPr>
      </w:pPr>
    </w:p>
    <w:p>
      <w:pPr>
        <w:ind w:right="20" w:firstLine="320"/>
        <w:spacing w:after="0" w:line="390" w:lineRule="auto"/>
        <w:rPr>
          <w:sz w:val="20"/>
          <w:szCs w:val="20"/>
          <w:color w:val="auto"/>
        </w:rPr>
      </w:pPr>
      <w:r>
        <w:rPr>
          <w:rFonts w:ascii="Times New Roman" w:cs="Times New Roman" w:eastAsia="Times New Roman" w:hAnsi="Times New Roman"/>
          <w:sz w:val="18"/>
          <w:szCs w:val="18"/>
          <w:color w:val="231F20"/>
        </w:rPr>
        <w:t>As of December 31, 2023, 62,251,172 ordinary shares were issued and outstanding. In addition, as of December 31, 2023, 4,000,000 non-voting euro deferred shares were issued and outstanding at that time, which shares are held by nominees in order to satisfy an Irish legislative requirement to maintain a minimum level of issued share capital denominated in euro. The euro deferred shares, which are not listed on any stock exchange and are not the subject of any registration, carry no voting rights and are not entitled to receive any dividend or distribution. On a return of assets, whether on liquidation or otherwise, the euro deferred shares will entitle the holder thereof only to the repayment of the amounts paid up on such shares after repayment of the capital paid up on ordinary shares plus the payment of $5,000,000 on each of the ordinary shares and the holders of the euro deferred shares (as such) will not be entitled to any further participation in the assets or profits of the Company.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Preemption Rights, Share Warrants and Share Options</w:t>
      </w:r>
    </w:p>
    <w:p>
      <w:pPr>
        <w:spacing w:after="0" w:line="301" w:lineRule="exact"/>
        <w:rPr>
          <w:sz w:val="20"/>
          <w:szCs w:val="20"/>
          <w:color w:val="auto"/>
        </w:rPr>
      </w:pPr>
    </w:p>
    <w:p>
      <w:pPr>
        <w:ind w:firstLine="320"/>
        <w:spacing w:after="0" w:line="389" w:lineRule="auto"/>
        <w:rPr>
          <w:sz w:val="20"/>
          <w:szCs w:val="20"/>
          <w:color w:val="auto"/>
        </w:rPr>
      </w:pPr>
      <w:r>
        <w:rPr>
          <w:rFonts w:ascii="Times New Roman" w:cs="Times New Roman" w:eastAsia="Times New Roman" w:hAnsi="Times New Roman"/>
          <w:sz w:val="18"/>
          <w:szCs w:val="18"/>
          <w:color w:val="231F20"/>
        </w:rPr>
        <w:t>Under Irish law, certain statutory preemption rights apply automatically in favor of shareholders where shares are to be issued for cash. However, the Company has opted out of these preemption rights by way of shareholder resolution as permitted under Irish law. Irish law provides that this opt-out expires every five years unless renewed by a resolution approved by not less than 75% of the votes cast at a general meeting, in person or by proxy, of the Company’s shareholders (referred to under Irish law as a “special resolution”). The Company’s current opt-out was approved by shareholder resolutions passed at the Company's 2023 annual general meeting on August 3, 2023 (the “</w:t>
      </w:r>
      <w:r>
        <w:rPr>
          <w:rFonts w:ascii="Times New Roman" w:cs="Times New Roman" w:eastAsia="Times New Roman" w:hAnsi="Times New Roman"/>
          <w:sz w:val="18"/>
          <w:szCs w:val="18"/>
          <w:b w:val="1"/>
          <w:bCs w:val="1"/>
          <w:color w:val="231F20"/>
        </w:rPr>
        <w:t>AGM</w:t>
      </w:r>
      <w:r>
        <w:rPr>
          <w:rFonts w:ascii="Times New Roman" w:cs="Times New Roman" w:eastAsia="Times New Roman" w:hAnsi="Times New Roman"/>
          <w:sz w:val="18"/>
          <w:szCs w:val="18"/>
          <w:color w:val="231F20"/>
        </w:rPr>
        <w:t>”) and is limited to the allotment of equity securities up to an aggregate nominal value of US$1,282.85 (12,828,534 shares) (being equivalent to approximately 20% of the aggregate nominal value of the Company’s issued ordinary share capital as at the last practicable date prior to the issue of the notice of the AGM). This opt-out will expire on February 3, 2025 and if it is not renewed before that date, shares issued for cash will need to be offered to existing shareholders on a pro rata basis to their existing shareholding before the shares may be issued to any new shareholders. The statutory preemption rights do not apply (i) where shares are issued for non-cash consideration (such as in a stock-for-stock acquisition), (ii) to the issue of non-equity shares (that is, shares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00"/>
          </w:cols>
          <w:pgMar w:left="320" w:top="813" w:right="379" w:bottom="1440" w:gutter="0" w:footer="0" w:header="0"/>
        </w:sectPr>
      </w:pPr>
    </w:p>
    <w:bookmarkStart w:id="165" w:name="page166"/>
    <w:bookmarkEnd w:id="165"/>
    <w:p>
      <w:pPr>
        <w:ind w:right="340"/>
        <w:spacing w:after="0" w:line="414" w:lineRule="auto"/>
        <w:rPr>
          <w:sz w:val="20"/>
          <w:szCs w:val="20"/>
          <w:color w:val="auto"/>
        </w:rPr>
      </w:pPr>
      <w:r>
        <w:rPr>
          <w:rFonts w:ascii="Times New Roman" w:cs="Times New Roman" w:eastAsia="Times New Roman" w:hAnsi="Times New Roman"/>
          <w:sz w:val="18"/>
          <w:szCs w:val="18"/>
          <w:color w:val="231F20"/>
        </w:rPr>
        <w:t>have the right to participate only up to a specified amount in any income or capital distribution) or (iii) where shares are issued pursuant to an employee stock option or similar equity plan.</w:t>
      </w:r>
    </w:p>
    <w:p>
      <w:pPr>
        <w:spacing w:after="0" w:line="125" w:lineRule="exact"/>
        <w:rPr>
          <w:sz w:val="20"/>
          <w:szCs w:val="20"/>
          <w:color w:val="auto"/>
        </w:rPr>
      </w:pPr>
    </w:p>
    <w:p>
      <w:pPr>
        <w:ind w:right="20" w:firstLine="320"/>
        <w:spacing w:after="0" w:line="390" w:lineRule="auto"/>
        <w:rPr>
          <w:sz w:val="20"/>
          <w:szCs w:val="20"/>
          <w:color w:val="auto"/>
        </w:rPr>
      </w:pPr>
      <w:r>
        <w:rPr>
          <w:rFonts w:ascii="Times New Roman" w:cs="Times New Roman" w:eastAsia="Times New Roman" w:hAnsi="Times New Roman"/>
          <w:sz w:val="18"/>
          <w:szCs w:val="18"/>
          <w:color w:val="231F20"/>
        </w:rPr>
        <w:t>The Company’s Constitution provides that, subject to any shareholder approval requirement under any laws, regulations or the rules of any stock exchange to which it is subject, the Company’s board of directors is authorized, from time to time, in its discretion, to grant such persons, for such periods and upon such terms as it deems advisable, options to purchase such number of shares of any class or classes or of any series of any class as the Company’s board of directors may deem advisable, and to cause warrants or other appropriate instruments evidencing such options to be issued. The Companies Act provides that, save to the extent the constitution of a company provides otherwise, the directors of a company may issue options. The Company is subject to the rules of The NASDAQ Stock Market LLC and the U.S. Internal Revenue Code of 1986, or the Code, which require shareholder approval of certain equity plan and share issuances. The Company’s board of directors may issue shares upon exercise of validly issued warrants or options without shareholder approval or authorization, except as described above (up to the relevant authorized share capital limit).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Dividends</w:t>
      </w:r>
    </w:p>
    <w:p>
      <w:pPr>
        <w:spacing w:after="0" w:line="301" w:lineRule="exact"/>
        <w:rPr>
          <w:sz w:val="20"/>
          <w:szCs w:val="20"/>
          <w:color w:val="auto"/>
        </w:rPr>
      </w:pPr>
    </w:p>
    <w:p>
      <w:pPr>
        <w:ind w:firstLine="320"/>
        <w:spacing w:after="0" w:line="391" w:lineRule="auto"/>
        <w:rPr>
          <w:sz w:val="20"/>
          <w:szCs w:val="20"/>
          <w:color w:val="auto"/>
        </w:rPr>
      </w:pPr>
      <w:r>
        <w:rPr>
          <w:rFonts w:ascii="Times New Roman" w:cs="Times New Roman" w:eastAsia="Times New Roman" w:hAnsi="Times New Roman"/>
          <w:sz w:val="18"/>
          <w:szCs w:val="18"/>
          <w:color w:val="231F20"/>
        </w:rPr>
        <w:t>Under Irish law, dividends and distributions may only be made from distributable reserves. Distributable reserves generally means accumulated realized profits less accumulated realized losses and includes reserves created by way of capital reduction. In addition, no distribution or dividend may be made unless the Company’s net assets are equal to, or in excess of, the aggregate of its called up share capital plus undistributable reserves and the distribution does not reduce its net assets below such aggregate. Undistributable reserves include the share premium account, the par value of shares acquired by the Company and the amount by which the Company’s accumulated unrealized profits, so far as not previously utilized by any capitalization, exceed the Company’s accumulated unrealized losses, so far as not previously written off in a reduction or reorganization of capital.</w:t>
      </w:r>
    </w:p>
    <w:p>
      <w:pPr>
        <w:spacing w:after="0" w:line="147" w:lineRule="exact"/>
        <w:rPr>
          <w:sz w:val="20"/>
          <w:szCs w:val="20"/>
          <w:color w:val="auto"/>
        </w:rPr>
      </w:pPr>
    </w:p>
    <w:p>
      <w:pPr>
        <w:ind w:right="100" w:firstLine="320"/>
        <w:spacing w:after="0" w:line="393" w:lineRule="auto"/>
        <w:rPr>
          <w:sz w:val="20"/>
          <w:szCs w:val="20"/>
          <w:color w:val="auto"/>
        </w:rPr>
      </w:pPr>
      <w:r>
        <w:rPr>
          <w:rFonts w:ascii="Times New Roman" w:cs="Times New Roman" w:eastAsia="Times New Roman" w:hAnsi="Times New Roman"/>
          <w:sz w:val="18"/>
          <w:szCs w:val="18"/>
          <w:color w:val="231F20"/>
        </w:rPr>
        <w:t>The determination as to whether or not the Company has sufficient distributable reserves to fund a dividend must be made by reference to its “relevant financial statements.” The “relevant financial statements” are either the last set of unconsolidated annual audited financial statements or other financial statements properly prepared in accordance with the Companies Act, which give a “true and fair view” of the Company’s unconsolidated financial position and accord with accepted accounting practice. The relevant financial statements must be filed in the Companies Registration Office (the official public registry for companies in Ireland).</w:t>
      </w:r>
    </w:p>
    <w:p>
      <w:pPr>
        <w:spacing w:after="0" w:line="142" w:lineRule="exact"/>
        <w:rPr>
          <w:sz w:val="20"/>
          <w:szCs w:val="20"/>
          <w:color w:val="auto"/>
        </w:rPr>
      </w:pPr>
    </w:p>
    <w:p>
      <w:pPr>
        <w:ind w:right="40" w:firstLine="320"/>
        <w:spacing w:after="0" w:line="393" w:lineRule="auto"/>
        <w:rPr>
          <w:sz w:val="20"/>
          <w:szCs w:val="20"/>
          <w:color w:val="auto"/>
        </w:rPr>
      </w:pPr>
      <w:r>
        <w:rPr>
          <w:rFonts w:ascii="Times New Roman" w:cs="Times New Roman" w:eastAsia="Times New Roman" w:hAnsi="Times New Roman"/>
          <w:sz w:val="18"/>
          <w:szCs w:val="18"/>
          <w:color w:val="231F20"/>
        </w:rPr>
        <w:t>The Company’s Constitution authorizes the directors to declare dividends without shareholder approval to the extent they appear justified by profits lawfully available for distribution. The Company’s board of directors may also recommend a dividend to be approved and declared by the shareholders at a general meeting. The Company’s board of directors may direct that the payment be made by distribution of assets, shares or cash, and no dividend issued may exceed the amount recommended by the directors. The dividends declared by the directors or shareholders may be paid in the form of cash or non-cash assets and may be paid in dollars or any other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813" w:right="459" w:bottom="1440" w:gutter="0" w:footer="0" w:header="0"/>
        </w:sectPr>
      </w:pPr>
    </w:p>
    <w:bookmarkStart w:id="166" w:name="page167"/>
    <w:bookmarkEnd w:id="166"/>
    <w:p>
      <w:pPr>
        <w:ind w:right="40" w:firstLine="320"/>
        <w:spacing w:after="0" w:line="414" w:lineRule="auto"/>
        <w:rPr>
          <w:sz w:val="20"/>
          <w:szCs w:val="20"/>
          <w:color w:val="auto"/>
        </w:rPr>
      </w:pPr>
      <w:r>
        <w:rPr>
          <w:rFonts w:ascii="Times New Roman" w:cs="Times New Roman" w:eastAsia="Times New Roman" w:hAnsi="Times New Roman"/>
          <w:sz w:val="18"/>
          <w:szCs w:val="18"/>
          <w:color w:val="231F20"/>
        </w:rPr>
        <w:t>The Company’s board of directors may deduct from any dividend payable to any shareholder any amounts payable by such shareholder to the Company in relation to its shares.</w:t>
      </w:r>
    </w:p>
    <w:p>
      <w:pPr>
        <w:spacing w:after="0" w:line="125" w:lineRule="exact"/>
        <w:rPr>
          <w:sz w:val="20"/>
          <w:szCs w:val="20"/>
          <w:color w:val="auto"/>
        </w:rPr>
      </w:pPr>
    </w:p>
    <w:p>
      <w:pPr>
        <w:ind w:right="100" w:firstLine="320"/>
        <w:spacing w:after="0" w:line="400" w:lineRule="auto"/>
        <w:rPr>
          <w:sz w:val="20"/>
          <w:szCs w:val="20"/>
          <w:color w:val="auto"/>
        </w:rPr>
      </w:pPr>
      <w:r>
        <w:rPr>
          <w:rFonts w:ascii="Times New Roman" w:cs="Times New Roman" w:eastAsia="Times New Roman" w:hAnsi="Times New Roman"/>
          <w:sz w:val="18"/>
          <w:szCs w:val="18"/>
          <w:color w:val="231F20"/>
        </w:rPr>
        <w:t>The Company may issue shares with preferred rights to participate in dividends declared by the Company from time to time, as determined by ordinary resolution. The holders of preferred shares may, depending on their terms, rank senior to ordinary shares in terms of dividend rights and/or be entitled to claim arrears of a declared dividend out of subsequently declared dividends in priority to ordinary shareholders.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Share Repurchases, Redemptions and Conversions</w:t>
      </w:r>
    </w:p>
    <w:p>
      <w:pPr>
        <w:spacing w:after="0" w:line="3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231F20"/>
        </w:rPr>
        <w:t>Overview</w:t>
      </w:r>
    </w:p>
    <w:p>
      <w:pPr>
        <w:spacing w:after="0" w:line="303" w:lineRule="exact"/>
        <w:rPr>
          <w:sz w:val="20"/>
          <w:szCs w:val="20"/>
          <w:color w:val="auto"/>
        </w:rPr>
      </w:pPr>
    </w:p>
    <w:p>
      <w:pPr>
        <w:ind w:firstLine="320"/>
        <w:spacing w:after="0" w:line="412" w:lineRule="auto"/>
        <w:rPr>
          <w:sz w:val="20"/>
          <w:szCs w:val="20"/>
          <w:color w:val="auto"/>
        </w:rPr>
      </w:pPr>
      <w:r>
        <w:rPr>
          <w:rFonts w:ascii="Times New Roman" w:cs="Times New Roman" w:eastAsia="Times New Roman" w:hAnsi="Times New Roman"/>
          <w:sz w:val="17"/>
          <w:szCs w:val="17"/>
          <w:color w:val="231F20"/>
        </w:rPr>
        <w:t>The Company’s Constitution provides that, unless the board specifically determines otherwise, any ordinary share that it has agreed to acquire shall be deemed to be a redeemable share. Accordingly, for Irish law purposes, the repurchase of ordinary shares by the Company may technically be effected as a redemption of those shares as described below under “</w:t>
      </w:r>
      <w:r>
        <w:rPr>
          <w:rFonts w:ascii="Times New Roman" w:cs="Times New Roman" w:eastAsia="Times New Roman" w:hAnsi="Times New Roman"/>
          <w:sz w:val="17"/>
          <w:szCs w:val="17"/>
          <w:i w:val="1"/>
          <w:iCs w:val="1"/>
          <w:color w:val="231F20"/>
        </w:rPr>
        <w:t>—Repurchases and Redemptions</w:t>
      </w:r>
      <w:r>
        <w:rPr>
          <w:rFonts w:ascii="Times New Roman" w:cs="Times New Roman" w:eastAsia="Times New Roman" w:hAnsi="Times New Roman"/>
          <w:sz w:val="17"/>
          <w:szCs w:val="17"/>
          <w:color w:val="231F20"/>
        </w:rPr>
        <w:t>.” If the Company’s Constitution did not contain such provision, repurchases by the Company would be subject to many of the same rules that apply to purchases of its ordinary shares by subsidiaries described below under “</w:t>
      </w:r>
      <w:r>
        <w:rPr>
          <w:rFonts w:ascii="Times New Roman" w:cs="Times New Roman" w:eastAsia="Times New Roman" w:hAnsi="Times New Roman"/>
          <w:sz w:val="17"/>
          <w:szCs w:val="17"/>
          <w:i w:val="1"/>
          <w:iCs w:val="1"/>
          <w:color w:val="231F20"/>
        </w:rPr>
        <w:t>—Purchases by the Company’s Subsidiaries</w:t>
      </w:r>
      <w:r>
        <w:rPr>
          <w:rFonts w:ascii="Times New Roman" w:cs="Times New Roman" w:eastAsia="Times New Roman" w:hAnsi="Times New Roman"/>
          <w:sz w:val="17"/>
          <w:szCs w:val="17"/>
          <w:color w:val="231F20"/>
        </w:rPr>
        <w:t>,” including the shareholder approval requirements described below, and the requirement that any purchases on market be effected on a “recognized stock exchange,” which, for purposes of the Companies Act, includes The NASDAQ Global Select Market. Neither Irish law nor any of the Company’s constituent documents places limitations on the right of nonresident or foreign owners to vote or hold its ordinary shares. Except where otherwise noted, references herein to repurchasing or buying back ordinary shares refer to the redemption of ordinary shares by the Company or the purchase of ordinary shares by one of its subsidiaries, in each case in accordance with the Company’s Constitution and Irish law as described below.</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231F20"/>
        </w:rPr>
        <w:t>Repurchases and Redemptions</w:t>
      </w:r>
    </w:p>
    <w:p>
      <w:pPr>
        <w:spacing w:after="0" w:line="316" w:lineRule="exact"/>
        <w:rPr>
          <w:sz w:val="20"/>
          <w:szCs w:val="20"/>
          <w:color w:val="auto"/>
        </w:rPr>
      </w:pPr>
    </w:p>
    <w:p>
      <w:pPr>
        <w:ind w:right="20" w:firstLine="320"/>
        <w:spacing w:after="0" w:line="389" w:lineRule="auto"/>
        <w:rPr>
          <w:sz w:val="20"/>
          <w:szCs w:val="20"/>
          <w:color w:val="auto"/>
        </w:rPr>
      </w:pPr>
      <w:r>
        <w:rPr>
          <w:rFonts w:ascii="Times New Roman" w:cs="Times New Roman" w:eastAsia="Times New Roman" w:hAnsi="Times New Roman"/>
          <w:sz w:val="18"/>
          <w:szCs w:val="18"/>
          <w:color w:val="231F20"/>
        </w:rPr>
        <w:t>Under Irish law, a company may issue redeemable shares and redeem them out of distributable reserves or the proceeds of a new issue of shares for that purpose. Please see also “</w:t>
      </w:r>
      <w:r>
        <w:rPr>
          <w:rFonts w:ascii="Times New Roman" w:cs="Times New Roman" w:eastAsia="Times New Roman" w:hAnsi="Times New Roman"/>
          <w:sz w:val="18"/>
          <w:szCs w:val="18"/>
          <w:i w:val="1"/>
          <w:iCs w:val="1"/>
          <w:color w:val="231F20"/>
        </w:rPr>
        <w:t>—Dividends</w:t>
      </w:r>
      <w:r>
        <w:rPr>
          <w:rFonts w:ascii="Times New Roman" w:cs="Times New Roman" w:eastAsia="Times New Roman" w:hAnsi="Times New Roman"/>
          <w:sz w:val="18"/>
          <w:szCs w:val="18"/>
          <w:color w:val="231F20"/>
        </w:rPr>
        <w:t>.” The Company may not purchase any of its shares if, as a result of such purchase, the nominal value of its issued share capital which is not redeemable would be less than 10% of the nominal value of its total issued share capital. All redeemable shares must also be fully-paid. Redeemable shares may, upon redemption, be cancelled or held in treasury. Based on the provisions of the Company’s Constitution, shareholder approval will not be required to redeem its shares.</w:t>
      </w:r>
    </w:p>
    <w:p>
      <w:pPr>
        <w:spacing w:after="0" w:line="160" w:lineRule="exact"/>
        <w:rPr>
          <w:sz w:val="20"/>
          <w:szCs w:val="20"/>
          <w:color w:val="auto"/>
        </w:rPr>
      </w:pPr>
    </w:p>
    <w:p>
      <w:pPr>
        <w:ind w:right="160" w:firstLine="320"/>
        <w:spacing w:after="0" w:line="414" w:lineRule="auto"/>
        <w:rPr>
          <w:sz w:val="20"/>
          <w:szCs w:val="20"/>
          <w:color w:val="auto"/>
        </w:rPr>
      </w:pPr>
      <w:r>
        <w:rPr>
          <w:rFonts w:ascii="Times New Roman" w:cs="Times New Roman" w:eastAsia="Times New Roman" w:hAnsi="Times New Roman"/>
          <w:sz w:val="18"/>
          <w:szCs w:val="18"/>
          <w:color w:val="231F20"/>
        </w:rPr>
        <w:t>The Company may also be given an additional general authority to purchase its ordinary shares on market by way of ordinary resolution, which would take effect on the same terms and be subject to the same conditions as applicable to purchases by the Company’s subsidiaries as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60"/>
          </w:cols>
          <w:pgMar w:left="320" w:top="813" w:right="419" w:bottom="1440" w:gutter="0" w:footer="0" w:header="0"/>
        </w:sectPr>
      </w:pPr>
    </w:p>
    <w:bookmarkStart w:id="167" w:name="page168"/>
    <w:bookmarkEnd w:id="167"/>
    <w:p>
      <w:pPr>
        <w:jc w:val="both"/>
        <w:ind w:right="140" w:firstLine="320"/>
        <w:spacing w:after="0" w:line="400" w:lineRule="auto"/>
        <w:rPr>
          <w:sz w:val="20"/>
          <w:szCs w:val="20"/>
          <w:color w:val="auto"/>
        </w:rPr>
      </w:pPr>
      <w:r>
        <w:rPr>
          <w:rFonts w:ascii="Times New Roman" w:cs="Times New Roman" w:eastAsia="Times New Roman" w:hAnsi="Times New Roman"/>
          <w:sz w:val="18"/>
          <w:szCs w:val="18"/>
          <w:color w:val="231F20"/>
        </w:rPr>
        <w:t>Repurchased and redeemed shares may be cancelled or held as treasury shares. The nominal value of treasury shares held by the Company at any time must not exceed 10% of the aggregate of the par value and share premium received in respect of the allotment of the Company shares together with the par value of any shares acquired by the Company. The Company may not exercise any voting rights in respect of any shares held as treasury shares.</w:t>
      </w:r>
    </w:p>
    <w:p>
      <w:pPr>
        <w:spacing w:after="0" w:line="1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Treasury shares may be cancelled by the Company or re-issued subject to certain conditions.</w:t>
      </w:r>
    </w:p>
    <w:p>
      <w:pPr>
        <w:spacing w:after="0" w:line="2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231F20"/>
        </w:rPr>
        <w:t>Purchases by the Company’s Subsidiaries</w:t>
      </w:r>
    </w:p>
    <w:p>
      <w:pPr>
        <w:spacing w:after="0" w:line="316" w:lineRule="exact"/>
        <w:rPr>
          <w:sz w:val="20"/>
          <w:szCs w:val="20"/>
          <w:color w:val="auto"/>
        </w:rPr>
      </w:pPr>
    </w:p>
    <w:p>
      <w:pPr>
        <w:ind w:firstLine="320"/>
        <w:spacing w:after="0" w:line="413" w:lineRule="auto"/>
        <w:rPr>
          <w:sz w:val="20"/>
          <w:szCs w:val="20"/>
          <w:color w:val="auto"/>
        </w:rPr>
      </w:pPr>
      <w:r>
        <w:rPr>
          <w:rFonts w:ascii="Times New Roman" w:cs="Times New Roman" w:eastAsia="Times New Roman" w:hAnsi="Times New Roman"/>
          <w:sz w:val="17"/>
          <w:szCs w:val="17"/>
          <w:color w:val="231F20"/>
        </w:rPr>
        <w:t>Under Irish law, an Irish or non-Irish subsidiary of the Company may purchase the Company’s shares either on market or off market. For a subsidiary of the Company to make purchases on market of ordinary shares, the Company’s shareholders must provide general authorization for such purchase by way of ordinary resolution. However, as long as this general authority has been granted, no specific shareholder authority for a particular on market purchase by a subsidiary of ordinary shares is required. For a purchase of ordinary shares by a subsidiary of the Company off market, the proposed purchase contract must be authorized by special resolution of the Company’s shareholders before the contract is entered into. The person whose ordinary shares are to be bought back cannot vote in favor of the special resolution and, from the date of the notice of the meeting at which the resolution approving the contract is proposed, the purchase contract must be on display or must be available for inspection by the Company’s shareholders at the registered office of the Company.</w:t>
      </w:r>
    </w:p>
    <w:p>
      <w:pPr>
        <w:spacing w:after="0" w:line="135" w:lineRule="exact"/>
        <w:rPr>
          <w:sz w:val="20"/>
          <w:szCs w:val="20"/>
          <w:color w:val="auto"/>
        </w:rPr>
      </w:pPr>
    </w:p>
    <w:p>
      <w:pPr>
        <w:ind w:right="100" w:firstLine="320"/>
        <w:spacing w:after="0" w:line="400" w:lineRule="auto"/>
        <w:rPr>
          <w:sz w:val="20"/>
          <w:szCs w:val="20"/>
          <w:color w:val="auto"/>
        </w:rPr>
      </w:pPr>
      <w:r>
        <w:rPr>
          <w:rFonts w:ascii="Times New Roman" w:cs="Times New Roman" w:eastAsia="Times New Roman" w:hAnsi="Times New Roman"/>
          <w:sz w:val="18"/>
          <w:szCs w:val="18"/>
          <w:color w:val="231F20"/>
        </w:rPr>
        <w:t>In order for one of the Company’s subsidiaries to make an on market purchase of its shares, such shares must be purchased on a “recognized stock exchange.” The NASDAQ Global Select Market, on which ordinary shares are currently listed, is specified as a recognized stock exchange for this purpose by Irish law.</w:t>
      </w:r>
    </w:p>
    <w:p>
      <w:pPr>
        <w:spacing w:after="0" w:line="137" w:lineRule="exact"/>
        <w:rPr>
          <w:sz w:val="20"/>
          <w:szCs w:val="20"/>
          <w:color w:val="auto"/>
        </w:rPr>
      </w:pPr>
    </w:p>
    <w:p>
      <w:pPr>
        <w:ind w:right="180" w:firstLine="320"/>
        <w:spacing w:after="0" w:line="393" w:lineRule="auto"/>
        <w:rPr>
          <w:sz w:val="20"/>
          <w:szCs w:val="20"/>
          <w:color w:val="auto"/>
        </w:rPr>
      </w:pPr>
      <w:r>
        <w:rPr>
          <w:rFonts w:ascii="Times New Roman" w:cs="Times New Roman" w:eastAsia="Times New Roman" w:hAnsi="Times New Roman"/>
          <w:sz w:val="18"/>
          <w:szCs w:val="18"/>
          <w:color w:val="231F20"/>
        </w:rPr>
        <w:t>The number of shares held by the Company’s subsidiaries at any time will count as treasury shares and will be included in any calculation of the permitted treasury share threshold of 10% of the aggregate of the par value and share premium received in respect of the allotment of the Company shares together with the par value of any shares acquired by the Company. While a subsidiary holds the Company’s shares, it cannot exercise any voting rights in respect of those shares and no dividend or other payment (including any payment in a winding up of the Company) shall be payable in respect of those shares. The acquisition of ordinary shares by a subsidiary must be funded out of distributable reserves of the subsidiary.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Lien on Shares, Calls on Shares and Forfeiture of Shares</w:t>
      </w:r>
    </w:p>
    <w:p>
      <w:pPr>
        <w:spacing w:after="0" w:line="314" w:lineRule="exact"/>
        <w:rPr>
          <w:sz w:val="20"/>
          <w:szCs w:val="20"/>
          <w:color w:val="auto"/>
        </w:rPr>
      </w:pPr>
    </w:p>
    <w:p>
      <w:pPr>
        <w:jc w:val="both"/>
        <w:ind w:right="80" w:firstLine="320"/>
        <w:spacing w:after="0" w:line="418" w:lineRule="auto"/>
        <w:rPr>
          <w:sz w:val="20"/>
          <w:szCs w:val="20"/>
          <w:color w:val="auto"/>
        </w:rPr>
      </w:pPr>
      <w:r>
        <w:rPr>
          <w:rFonts w:ascii="Times New Roman" w:cs="Times New Roman" w:eastAsia="Times New Roman" w:hAnsi="Times New Roman"/>
          <w:sz w:val="17"/>
          <w:szCs w:val="17"/>
          <w:color w:val="231F20"/>
        </w:rPr>
        <w:t>The Company’s Constitution provides that it has a first and paramount lien on every share that is not a fully paid up share for all amounts payable at a fixed time or called in respect of that share. Subject to the terms of their allotment, directors may call for any unpaid amounts in respect of any shares to be paid, and if payment is not made, the shares may be forfeited. These provisions are standard inclusions in the memorandum and articles of association of an Irish public company limited by shares such as the Company’s and are only applicable to ordinary shares that have not been fully paid 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813" w:right="4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color w:val="231F20"/>
        </w:rPr>
        <w:t>Bonus Shares</w:t>
      </w:r>
    </w:p>
    <w:p>
      <w:pPr>
        <w:spacing w:after="0" w:line="301" w:lineRule="exact"/>
        <w:rPr>
          <w:sz w:val="20"/>
          <w:szCs w:val="20"/>
          <w:color w:val="auto"/>
        </w:rPr>
      </w:pPr>
    </w:p>
    <w:p>
      <w:pPr>
        <w:ind w:right="80" w:firstLine="320"/>
        <w:spacing w:after="0" w:line="400" w:lineRule="auto"/>
        <w:rPr>
          <w:sz w:val="20"/>
          <w:szCs w:val="20"/>
          <w:color w:val="auto"/>
        </w:rPr>
      </w:pPr>
      <w:r>
        <w:rPr>
          <w:rFonts w:ascii="Times New Roman" w:cs="Times New Roman" w:eastAsia="Times New Roman" w:hAnsi="Times New Roman"/>
          <w:sz w:val="18"/>
          <w:szCs w:val="18"/>
          <w:color w:val="231F20"/>
        </w:rPr>
        <w:t>Under the Company’s Constitution, the Company’s board of directors may resolve to capitalize any amount for the time being standing to the credit of any of the Company’s reserve accounts or to the credit of the profit and loss account which is not available for distribution through the issuance of fully paid up bonus shares on the same basis of entitlement as would apply in respect of a dividend distribution.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Consolidation and Division; Subdivision</w:t>
      </w:r>
    </w:p>
    <w:p>
      <w:pPr>
        <w:spacing w:after="0" w:line="314" w:lineRule="exact"/>
        <w:rPr>
          <w:sz w:val="20"/>
          <w:szCs w:val="20"/>
          <w:color w:val="auto"/>
        </w:rPr>
      </w:pPr>
    </w:p>
    <w:p>
      <w:pPr>
        <w:ind w:right="160" w:firstLine="320"/>
        <w:spacing w:after="0" w:line="414" w:lineRule="auto"/>
        <w:rPr>
          <w:sz w:val="20"/>
          <w:szCs w:val="20"/>
          <w:color w:val="auto"/>
        </w:rPr>
      </w:pPr>
      <w:r>
        <w:rPr>
          <w:rFonts w:ascii="Times New Roman" w:cs="Times New Roman" w:eastAsia="Times New Roman" w:hAnsi="Times New Roman"/>
          <w:sz w:val="18"/>
          <w:szCs w:val="18"/>
          <w:color w:val="231F20"/>
        </w:rPr>
        <w:t>Under the Company’s Constitution, the Company may, by ordinary resolution, consolidate and divide all or any of its share capital into shares of larger nominal value than its existing shares or subdivide its shares into smaller amounts than are fixed by the Company’s Constitution.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Reduction of Share Capital</w:t>
      </w:r>
    </w:p>
    <w:p>
      <w:pPr>
        <w:spacing w:after="0" w:line="301" w:lineRule="exact"/>
        <w:rPr>
          <w:sz w:val="20"/>
          <w:szCs w:val="20"/>
          <w:color w:val="auto"/>
        </w:rPr>
      </w:pPr>
    </w:p>
    <w:p>
      <w:pPr>
        <w:jc w:val="both"/>
        <w:ind w:right="200" w:firstLine="320"/>
        <w:spacing w:after="0" w:line="400" w:lineRule="auto"/>
        <w:rPr>
          <w:sz w:val="20"/>
          <w:szCs w:val="20"/>
          <w:color w:val="auto"/>
        </w:rPr>
      </w:pPr>
      <w:r>
        <w:rPr>
          <w:rFonts w:ascii="Times New Roman" w:cs="Times New Roman" w:eastAsia="Times New Roman" w:hAnsi="Times New Roman"/>
          <w:sz w:val="18"/>
          <w:szCs w:val="18"/>
          <w:color w:val="231F20"/>
        </w:rPr>
        <w:t>The Company may, by ordinary resolution, reduce its authorized share capital in any way. The Company also may, by special resolution and subject to confirmation by the Irish High Court, reduce or cancel its issued share capital (which includes share premium) in any manner permitted by the Companies Act.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Annual Meetings of Shareholders</w:t>
      </w:r>
    </w:p>
    <w:p>
      <w:pPr>
        <w:spacing w:after="0" w:line="301" w:lineRule="exact"/>
        <w:rPr>
          <w:sz w:val="20"/>
          <w:szCs w:val="20"/>
          <w:color w:val="auto"/>
        </w:rPr>
      </w:pPr>
    </w:p>
    <w:p>
      <w:pPr>
        <w:ind w:firstLine="320"/>
        <w:spacing w:after="0" w:line="417" w:lineRule="auto"/>
        <w:rPr>
          <w:sz w:val="20"/>
          <w:szCs w:val="20"/>
          <w:color w:val="auto"/>
        </w:rPr>
      </w:pPr>
      <w:r>
        <w:rPr>
          <w:rFonts w:ascii="Times New Roman" w:cs="Times New Roman" w:eastAsia="Times New Roman" w:hAnsi="Times New Roman"/>
          <w:sz w:val="17"/>
          <w:szCs w:val="17"/>
          <w:color w:val="231F20"/>
        </w:rPr>
        <w:t>The Company is required to hold an annual general meeting at intervals of no more than 15 months from the previous annual general meeting, provided that an annual general meeting is held in each calendar year following the first annual general meeting and no more than nine months after the Company’s fiscal year-end. The Company’s articles of association provide that shareholder meetings may be held outside of Ireland (subject to compliance with the Companies Act). Where a company holds its annual general meeting or extraordinary general meeting outside of Ireland, the Companies Act requires that the company, at its own expense, make all necessary arrangements to ensure that members can by technological means participate in the meeting without leaving Ireland (unless all of the members entitled to attend and vote at the meeting consent in writing to the meeting being held outside of Ireland).</w:t>
      </w:r>
    </w:p>
    <w:p>
      <w:pPr>
        <w:spacing w:after="0" w:line="132" w:lineRule="exact"/>
        <w:rPr>
          <w:sz w:val="20"/>
          <w:szCs w:val="20"/>
          <w:color w:val="auto"/>
        </w:rPr>
      </w:pPr>
    </w:p>
    <w:p>
      <w:pPr>
        <w:ind w:right="120" w:firstLine="320"/>
        <w:spacing w:after="0" w:line="414" w:lineRule="auto"/>
        <w:rPr>
          <w:sz w:val="20"/>
          <w:szCs w:val="20"/>
          <w:color w:val="auto"/>
        </w:rPr>
      </w:pPr>
      <w:r>
        <w:rPr>
          <w:rFonts w:ascii="Times New Roman" w:cs="Times New Roman" w:eastAsia="Times New Roman" w:hAnsi="Times New Roman"/>
          <w:sz w:val="18"/>
          <w:szCs w:val="18"/>
          <w:color w:val="231F20"/>
        </w:rPr>
        <w:t>Notice of an annual general meeting must be given to all of the Company’s shareholders and to its auditors. The Company’s Constitution provides for a minimum notice period of 21 clear days, which is the minimum permitted under Irish law.</w:t>
      </w:r>
    </w:p>
    <w:p>
      <w:pPr>
        <w:spacing w:after="0" w:line="125" w:lineRule="exact"/>
        <w:rPr>
          <w:sz w:val="20"/>
          <w:szCs w:val="20"/>
          <w:color w:val="auto"/>
        </w:rPr>
      </w:pPr>
    </w:p>
    <w:p>
      <w:pPr>
        <w:ind w:right="140" w:firstLine="320"/>
        <w:spacing w:after="0" w:line="395" w:lineRule="auto"/>
        <w:rPr>
          <w:sz w:val="20"/>
          <w:szCs w:val="20"/>
          <w:color w:val="auto"/>
        </w:rPr>
      </w:pPr>
      <w:r>
        <w:rPr>
          <w:rFonts w:ascii="Times New Roman" w:cs="Times New Roman" w:eastAsia="Times New Roman" w:hAnsi="Times New Roman"/>
          <w:sz w:val="18"/>
          <w:szCs w:val="18"/>
          <w:color w:val="231F20"/>
        </w:rPr>
        <w:t>The only matters which must, as a matter of Irish law, be transacted at an annual general meeting are the presentation of the annual financial statements and reports of the directors and auditors, a review by the shareholders of the company’s affairs, the appointment of new auditors and the fixing of the auditor’s remuneration (or delegation of same). If no resolution is made in respect of the reappointment of an existing auditor at an annual general meeting, the existing auditor will be deemed to have continued in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00"/>
          </w:cols>
          <w:pgMar w:left="320" w:top="812" w:right="37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color w:val="231F20"/>
        </w:rPr>
        <w:t>Extraordinary General Meetings of Shareholders</w:t>
      </w:r>
    </w:p>
    <w:p>
      <w:pPr>
        <w:spacing w:after="0" w:line="301" w:lineRule="exact"/>
        <w:rPr>
          <w:sz w:val="20"/>
          <w:szCs w:val="20"/>
          <w:color w:val="auto"/>
        </w:rPr>
      </w:pPr>
    </w:p>
    <w:p>
      <w:pPr>
        <w:ind w:right="40" w:firstLine="320"/>
        <w:spacing w:after="0" w:line="395" w:lineRule="auto"/>
        <w:rPr>
          <w:sz w:val="20"/>
          <w:szCs w:val="20"/>
          <w:color w:val="auto"/>
        </w:rPr>
      </w:pPr>
      <w:r>
        <w:rPr>
          <w:rFonts w:ascii="Times New Roman" w:cs="Times New Roman" w:eastAsia="Times New Roman" w:hAnsi="Times New Roman"/>
          <w:sz w:val="18"/>
          <w:szCs w:val="18"/>
          <w:color w:val="231F20"/>
        </w:rPr>
        <w:t>Extraordinary general meetings may be convened by (i) the Company’s board of directors, (ii) on requisition of the Company’s shareholders holding not less than 10% of its paid up share capital carrying voting rights, (iii) on requisition of the Company’s auditors or (iv) in exceptional cases, by order of the court. Extraordinary general meetings are generally held for the purpose of approving shareholder resolutions as may be required from time to time. At any extraordinary general meeting only such business shall be conducted as is set forth in the notice thereof.</w:t>
      </w:r>
    </w:p>
    <w:p>
      <w:pPr>
        <w:spacing w:after="0" w:line="142" w:lineRule="exact"/>
        <w:rPr>
          <w:sz w:val="20"/>
          <w:szCs w:val="20"/>
          <w:color w:val="auto"/>
        </w:rPr>
      </w:pPr>
    </w:p>
    <w:p>
      <w:pPr>
        <w:ind w:right="180" w:firstLine="320"/>
        <w:spacing w:after="0" w:line="400" w:lineRule="auto"/>
        <w:rPr>
          <w:sz w:val="20"/>
          <w:szCs w:val="20"/>
          <w:color w:val="auto"/>
        </w:rPr>
      </w:pPr>
      <w:r>
        <w:rPr>
          <w:rFonts w:ascii="Times New Roman" w:cs="Times New Roman" w:eastAsia="Times New Roman" w:hAnsi="Times New Roman"/>
          <w:sz w:val="18"/>
          <w:szCs w:val="18"/>
          <w:color w:val="231F20"/>
        </w:rPr>
        <w:t>Notice of an extraordinary general meeting must be given to all of the Company’s shareholders and to its auditors. Under Irish law and the Company’s Constitution, the minimum notice periods are 21 clear days’ notice in writing for an extraordinary general meeting to approve a special resolution and 14 clear days’ notice in writing for any other extraordinary general meeting.</w:t>
      </w:r>
    </w:p>
    <w:p>
      <w:pPr>
        <w:spacing w:after="0" w:line="137" w:lineRule="exact"/>
        <w:rPr>
          <w:sz w:val="20"/>
          <w:szCs w:val="20"/>
          <w:color w:val="auto"/>
        </w:rPr>
      </w:pPr>
    </w:p>
    <w:p>
      <w:pPr>
        <w:ind w:right="20" w:firstLine="320"/>
        <w:spacing w:after="0" w:line="391" w:lineRule="auto"/>
        <w:rPr>
          <w:sz w:val="20"/>
          <w:szCs w:val="20"/>
          <w:color w:val="auto"/>
        </w:rPr>
      </w:pPr>
      <w:r>
        <w:rPr>
          <w:rFonts w:ascii="Times New Roman" w:cs="Times New Roman" w:eastAsia="Times New Roman" w:hAnsi="Times New Roman"/>
          <w:sz w:val="18"/>
          <w:szCs w:val="18"/>
          <w:color w:val="231F20"/>
        </w:rPr>
        <w:t>In the case of an extraordinary general meeting convened by the Company’s shareholders, the proposed purpose of the meeting must be set out in the requisition notice. Upon receipt of any such valid requisition notice, the Company’s board of directors has 21 days to convene a meeting of its shareholders to vote on the matters set out in the requisition notice. This meeting must be held within two months of the receipt of the requisition notice. If the Company’s board of directors does not convene the meeting within such 21-day period, the requisitioning shareholders, or any of them representing more than one half of the total voting rights of all of them, may themselves convene a meeting, which meeting must be held within three months of the Company’s receipt of the requisition notice.</w:t>
      </w:r>
    </w:p>
    <w:p>
      <w:pPr>
        <w:spacing w:after="0" w:line="147" w:lineRule="exact"/>
        <w:rPr>
          <w:sz w:val="20"/>
          <w:szCs w:val="20"/>
          <w:color w:val="auto"/>
        </w:rPr>
      </w:pPr>
    </w:p>
    <w:p>
      <w:pPr>
        <w:jc w:val="both"/>
        <w:ind w:right="40" w:firstLine="320"/>
        <w:spacing w:after="0" w:line="400" w:lineRule="auto"/>
        <w:rPr>
          <w:sz w:val="20"/>
          <w:szCs w:val="20"/>
          <w:color w:val="auto"/>
        </w:rPr>
      </w:pPr>
      <w:r>
        <w:rPr>
          <w:rFonts w:ascii="Times New Roman" w:cs="Times New Roman" w:eastAsia="Times New Roman" w:hAnsi="Times New Roman"/>
          <w:sz w:val="18"/>
          <w:szCs w:val="18"/>
          <w:color w:val="231F20"/>
        </w:rPr>
        <w:t>If the Company’s board of directors becomes aware that its net assets are not greater than half of the amount of the Company’s called-up share capital, it must convene an extraordinary general meeting of its shareholders not later than 28 days from the date that they learn of this fact to consider how to address the situation.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Quorum for General Meetings</w:t>
      </w:r>
    </w:p>
    <w:p>
      <w:pPr>
        <w:spacing w:after="0" w:line="314" w:lineRule="exact"/>
        <w:rPr>
          <w:sz w:val="20"/>
          <w:szCs w:val="20"/>
          <w:color w:val="auto"/>
        </w:rPr>
      </w:pPr>
    </w:p>
    <w:p>
      <w:pPr>
        <w:ind w:right="20" w:firstLine="320"/>
        <w:spacing w:after="0" w:line="392" w:lineRule="auto"/>
        <w:rPr>
          <w:sz w:val="20"/>
          <w:szCs w:val="20"/>
          <w:color w:val="auto"/>
        </w:rPr>
      </w:pPr>
      <w:r>
        <w:rPr>
          <w:rFonts w:ascii="Times New Roman" w:cs="Times New Roman" w:eastAsia="Times New Roman" w:hAnsi="Times New Roman"/>
          <w:sz w:val="18"/>
          <w:szCs w:val="18"/>
          <w:color w:val="231F20"/>
        </w:rPr>
        <w:t>The Company’s Constitution provides that no business shall be transacted at any general meeting unless a quorum is present. One or more of the Company’s shareholders present in person or by proxy holding not less than a majority of the Company’s issued and outstanding shares entitled to vote at the meeting in question constitute a quorum.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Voting</w:t>
      </w:r>
    </w:p>
    <w:p>
      <w:pPr>
        <w:spacing w:after="0" w:line="301" w:lineRule="exact"/>
        <w:rPr>
          <w:sz w:val="20"/>
          <w:szCs w:val="20"/>
          <w:color w:val="auto"/>
        </w:rPr>
      </w:pPr>
    </w:p>
    <w:p>
      <w:pPr>
        <w:ind w:firstLine="320"/>
        <w:spacing w:after="0" w:line="414" w:lineRule="auto"/>
        <w:rPr>
          <w:sz w:val="20"/>
          <w:szCs w:val="20"/>
          <w:color w:val="auto"/>
        </w:rPr>
      </w:pPr>
      <w:r>
        <w:rPr>
          <w:rFonts w:ascii="Times New Roman" w:cs="Times New Roman" w:eastAsia="Times New Roman" w:hAnsi="Times New Roman"/>
          <w:sz w:val="18"/>
          <w:szCs w:val="18"/>
          <w:color w:val="231F20"/>
        </w:rPr>
        <w:t>At general meetings of the Company, a resolution put to the vote of the meeting is decided on a poll. The Company’s Constitution provides that its board of directors or its chairman may determine the manner in which the poll is to be taken and the manner in which the votes are to be counted.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80"/>
          </w:cols>
          <w:pgMar w:left="320" w:top="812" w:right="399" w:bottom="1440" w:gutter="0" w:footer="0" w:header="0"/>
        </w:sectPr>
      </w:pPr>
    </w:p>
    <w:bookmarkStart w:id="170" w:name="page171"/>
    <w:bookmarkEnd w:id="170"/>
    <w:p>
      <w:pPr>
        <w:ind w:firstLine="320"/>
        <w:spacing w:after="0" w:line="393" w:lineRule="auto"/>
        <w:rPr>
          <w:sz w:val="20"/>
          <w:szCs w:val="20"/>
          <w:color w:val="auto"/>
        </w:rPr>
      </w:pPr>
      <w:r>
        <w:rPr>
          <w:rFonts w:ascii="Times New Roman" w:cs="Times New Roman" w:eastAsia="Times New Roman" w:hAnsi="Times New Roman"/>
          <w:sz w:val="18"/>
          <w:szCs w:val="18"/>
          <w:color w:val="231F20"/>
        </w:rPr>
        <w:t>Each shareholder is entitled to one vote for each ordinary share that he or she holds as of the record date for the meeting. Voting rights may be exercised by shareholders registered in the Company’s share register as of the record date for the meeting or by a duly appointed proxy, which proxy need not be a shareholder. Where interests in shares are held by a nominee trust company, such company may exercise the rights of the beneficial holders on their behalf as their proxy. All proxies must be appointed in the manner prescribed by the Company’s Constitution, which permits shareholders to notify the Company of their proxy appointments electronically in such manner as may be approved by the Company’s board of directors.</w:t>
      </w:r>
    </w:p>
    <w:p>
      <w:pPr>
        <w:spacing w:after="0" w:line="142" w:lineRule="exact"/>
        <w:rPr>
          <w:sz w:val="20"/>
          <w:szCs w:val="20"/>
          <w:color w:val="auto"/>
        </w:rPr>
      </w:pPr>
    </w:p>
    <w:p>
      <w:pPr>
        <w:jc w:val="both"/>
        <w:ind w:right="40" w:firstLine="320"/>
        <w:spacing w:after="0" w:line="395" w:lineRule="auto"/>
        <w:rPr>
          <w:sz w:val="20"/>
          <w:szCs w:val="20"/>
          <w:color w:val="auto"/>
        </w:rPr>
      </w:pPr>
      <w:r>
        <w:rPr>
          <w:rFonts w:ascii="Times New Roman" w:cs="Times New Roman" w:eastAsia="Times New Roman" w:hAnsi="Times New Roman"/>
          <w:sz w:val="18"/>
          <w:szCs w:val="18"/>
          <w:color w:val="231F20"/>
        </w:rPr>
        <w:t>In accordance with the Company’s Constitution, it may from time to time be authorized by ordinary resolution to issue preferred shares. These preferred shares may have such voting rights as may be specified in the terms of such preferred shares (e.g., they may carry more votes per share than ordinary shares or may entitle their holders to a class vote on such matters as may be specified in the terms of the preferred shares). Treasury shares or the Company’s shares that are held by its subsidiaries are not entitled to be voted at general meetings of shareholders.</w:t>
      </w:r>
    </w:p>
    <w:p>
      <w:pPr>
        <w:spacing w:after="0" w:line="142" w:lineRule="exact"/>
        <w:rPr>
          <w:sz w:val="20"/>
          <w:szCs w:val="20"/>
          <w:color w:val="auto"/>
        </w:rPr>
      </w:pPr>
    </w:p>
    <w:p>
      <w:pPr>
        <w:ind w:right="400" w:firstLine="320"/>
        <w:spacing w:after="0" w:line="414" w:lineRule="auto"/>
        <w:rPr>
          <w:sz w:val="20"/>
          <w:szCs w:val="20"/>
          <w:color w:val="auto"/>
        </w:rPr>
      </w:pPr>
      <w:r>
        <w:rPr>
          <w:rFonts w:ascii="Times New Roman" w:cs="Times New Roman" w:eastAsia="Times New Roman" w:hAnsi="Times New Roman"/>
          <w:sz w:val="18"/>
          <w:szCs w:val="18"/>
          <w:color w:val="231F20"/>
        </w:rPr>
        <w:t>Irish law requires special resolutions of the Company’s shareholders at a general meeting to approve certain matters. Examples of matters requiring special resolutions include:</w:t>
      </w:r>
    </w:p>
    <w:p>
      <w:pPr>
        <w:spacing w:after="0" w:line="125" w:lineRule="exact"/>
        <w:rPr>
          <w:sz w:val="20"/>
          <w:szCs w:val="20"/>
          <w:color w:val="auto"/>
        </w:rPr>
      </w:pPr>
    </w:p>
    <w:p>
      <w:pPr>
        <w:ind w:left="640" w:hanging="314"/>
        <w:spacing w:after="0"/>
        <w:tabs>
          <w:tab w:leader="none" w:pos="640" w:val="left"/>
        </w:tabs>
        <w:numPr>
          <w:ilvl w:val="0"/>
          <w:numId w:val="6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amending the objects or memorandum of association of the Company;</w:t>
      </w:r>
    </w:p>
    <w:p>
      <w:pPr>
        <w:spacing w:after="0" w:line="232" w:lineRule="exact"/>
        <w:rPr>
          <w:rFonts w:ascii="Times New Roman" w:cs="Times New Roman" w:eastAsia="Times New Roman" w:hAnsi="Times New Roman"/>
          <w:sz w:val="18"/>
          <w:szCs w:val="18"/>
          <w:color w:val="231F20"/>
        </w:rPr>
      </w:pPr>
    </w:p>
    <w:p>
      <w:pPr>
        <w:ind w:left="640" w:hanging="314"/>
        <w:spacing w:after="0"/>
        <w:tabs>
          <w:tab w:leader="none" w:pos="640" w:val="left"/>
        </w:tabs>
        <w:numPr>
          <w:ilvl w:val="0"/>
          <w:numId w:val="6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amending the articles of association of the Company;</w:t>
      </w:r>
    </w:p>
    <w:p>
      <w:pPr>
        <w:spacing w:after="0" w:line="232" w:lineRule="exact"/>
        <w:rPr>
          <w:rFonts w:ascii="Times New Roman" w:cs="Times New Roman" w:eastAsia="Times New Roman" w:hAnsi="Times New Roman"/>
          <w:sz w:val="18"/>
          <w:szCs w:val="18"/>
          <w:color w:val="231F20"/>
        </w:rPr>
      </w:pPr>
    </w:p>
    <w:p>
      <w:pPr>
        <w:ind w:left="640" w:hanging="314"/>
        <w:spacing w:after="0"/>
        <w:tabs>
          <w:tab w:leader="none" w:pos="640" w:val="left"/>
        </w:tabs>
        <w:numPr>
          <w:ilvl w:val="0"/>
          <w:numId w:val="6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approving a change of name of the Company;</w:t>
      </w:r>
    </w:p>
    <w:p>
      <w:pPr>
        <w:spacing w:after="0" w:line="232" w:lineRule="exact"/>
        <w:rPr>
          <w:rFonts w:ascii="Times New Roman" w:cs="Times New Roman" w:eastAsia="Times New Roman" w:hAnsi="Times New Roman"/>
          <w:sz w:val="18"/>
          <w:szCs w:val="18"/>
          <w:color w:val="231F20"/>
        </w:rPr>
      </w:pPr>
    </w:p>
    <w:p>
      <w:pPr>
        <w:ind w:left="640" w:right="380" w:hanging="314"/>
        <w:spacing w:after="0" w:line="414" w:lineRule="auto"/>
        <w:tabs>
          <w:tab w:leader="none" w:pos="635" w:val="left"/>
        </w:tabs>
        <w:numPr>
          <w:ilvl w:val="0"/>
          <w:numId w:val="6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authorizing the entering into of a guarantee or provision of security in connection with a loan, quasi- loan or credit transaction to a director or a person who is deemed to be “connected” to a director for the purposes of the Companies Act;</w:t>
      </w:r>
    </w:p>
    <w:p>
      <w:pPr>
        <w:spacing w:after="0" w:line="57" w:lineRule="exact"/>
        <w:rPr>
          <w:rFonts w:ascii="Times New Roman" w:cs="Times New Roman" w:eastAsia="Times New Roman" w:hAnsi="Times New Roman"/>
          <w:sz w:val="18"/>
          <w:szCs w:val="18"/>
          <w:color w:val="231F20"/>
        </w:rPr>
      </w:pPr>
    </w:p>
    <w:p>
      <w:pPr>
        <w:ind w:left="640" w:hanging="314"/>
        <w:spacing w:after="0"/>
        <w:tabs>
          <w:tab w:leader="none" w:pos="640" w:val="left"/>
        </w:tabs>
        <w:numPr>
          <w:ilvl w:val="0"/>
          <w:numId w:val="6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opting out of preemption rights on the issuance of new shares;</w:t>
      </w:r>
    </w:p>
    <w:p>
      <w:pPr>
        <w:spacing w:after="0" w:line="232" w:lineRule="exact"/>
        <w:rPr>
          <w:rFonts w:ascii="Times New Roman" w:cs="Times New Roman" w:eastAsia="Times New Roman" w:hAnsi="Times New Roman"/>
          <w:sz w:val="18"/>
          <w:szCs w:val="18"/>
          <w:color w:val="231F20"/>
        </w:rPr>
      </w:pPr>
    </w:p>
    <w:p>
      <w:pPr>
        <w:ind w:left="640" w:hanging="314"/>
        <w:spacing w:after="0"/>
        <w:tabs>
          <w:tab w:leader="none" w:pos="640" w:val="left"/>
        </w:tabs>
        <w:numPr>
          <w:ilvl w:val="0"/>
          <w:numId w:val="6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re-registration of the Company from a public limited company to a private company;</w:t>
      </w:r>
    </w:p>
    <w:p>
      <w:pPr>
        <w:spacing w:after="0" w:line="232" w:lineRule="exact"/>
        <w:rPr>
          <w:rFonts w:ascii="Times New Roman" w:cs="Times New Roman" w:eastAsia="Times New Roman" w:hAnsi="Times New Roman"/>
          <w:sz w:val="18"/>
          <w:szCs w:val="18"/>
          <w:color w:val="231F20"/>
        </w:rPr>
      </w:pPr>
    </w:p>
    <w:p>
      <w:pPr>
        <w:ind w:left="640" w:hanging="314"/>
        <w:spacing w:after="0"/>
        <w:tabs>
          <w:tab w:leader="none" w:pos="640" w:val="left"/>
        </w:tabs>
        <w:numPr>
          <w:ilvl w:val="0"/>
          <w:numId w:val="6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variation of class rights attaching to classes of shares (where the articles of association do not provide otherwise);</w:t>
      </w:r>
    </w:p>
    <w:p>
      <w:pPr>
        <w:spacing w:after="0" w:line="232" w:lineRule="exact"/>
        <w:rPr>
          <w:rFonts w:ascii="Times New Roman" w:cs="Times New Roman" w:eastAsia="Times New Roman" w:hAnsi="Times New Roman"/>
          <w:sz w:val="18"/>
          <w:szCs w:val="18"/>
          <w:color w:val="231F20"/>
        </w:rPr>
      </w:pPr>
    </w:p>
    <w:p>
      <w:pPr>
        <w:ind w:left="640" w:hanging="314"/>
        <w:spacing w:after="0"/>
        <w:tabs>
          <w:tab w:leader="none" w:pos="640" w:val="left"/>
        </w:tabs>
        <w:numPr>
          <w:ilvl w:val="0"/>
          <w:numId w:val="6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purchase of the Company’s shares off market;</w:t>
      </w:r>
    </w:p>
    <w:p>
      <w:pPr>
        <w:spacing w:after="0" w:line="218" w:lineRule="exact"/>
        <w:rPr>
          <w:rFonts w:ascii="Times New Roman" w:cs="Times New Roman" w:eastAsia="Times New Roman" w:hAnsi="Times New Roman"/>
          <w:sz w:val="18"/>
          <w:szCs w:val="18"/>
          <w:color w:val="231F20"/>
        </w:rPr>
      </w:pPr>
    </w:p>
    <w:p>
      <w:pPr>
        <w:ind w:left="640" w:hanging="314"/>
        <w:spacing w:after="0"/>
        <w:tabs>
          <w:tab w:leader="none" w:pos="640" w:val="left"/>
        </w:tabs>
        <w:numPr>
          <w:ilvl w:val="0"/>
          <w:numId w:val="6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reduction of issued share capital;</w:t>
      </w:r>
    </w:p>
    <w:p>
      <w:pPr>
        <w:spacing w:after="0" w:line="232" w:lineRule="exact"/>
        <w:rPr>
          <w:rFonts w:ascii="Times New Roman" w:cs="Times New Roman" w:eastAsia="Times New Roman" w:hAnsi="Times New Roman"/>
          <w:sz w:val="18"/>
          <w:szCs w:val="18"/>
          <w:color w:val="231F20"/>
        </w:rPr>
      </w:pPr>
    </w:p>
    <w:p>
      <w:pPr>
        <w:ind w:left="640" w:hanging="314"/>
        <w:spacing w:after="0"/>
        <w:tabs>
          <w:tab w:leader="none" w:pos="640" w:val="left"/>
        </w:tabs>
        <w:numPr>
          <w:ilvl w:val="0"/>
          <w:numId w:val="6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sanctioning a compromise/scheme of arrangement with creditors or shareholders;</w:t>
      </w:r>
    </w:p>
    <w:p>
      <w:pPr>
        <w:spacing w:after="0" w:line="232" w:lineRule="exact"/>
        <w:rPr>
          <w:rFonts w:ascii="Times New Roman" w:cs="Times New Roman" w:eastAsia="Times New Roman" w:hAnsi="Times New Roman"/>
          <w:sz w:val="18"/>
          <w:szCs w:val="18"/>
          <w:color w:val="231F20"/>
        </w:rPr>
      </w:pPr>
    </w:p>
    <w:p>
      <w:pPr>
        <w:ind w:left="640" w:hanging="314"/>
        <w:spacing w:after="0"/>
        <w:tabs>
          <w:tab w:leader="none" w:pos="640" w:val="left"/>
        </w:tabs>
        <w:numPr>
          <w:ilvl w:val="0"/>
          <w:numId w:val="6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resolving that the Company be wound up by the Irish courts;</w:t>
      </w:r>
    </w:p>
    <w:p>
      <w:pPr>
        <w:spacing w:after="0" w:line="232" w:lineRule="exact"/>
        <w:rPr>
          <w:rFonts w:ascii="Times New Roman" w:cs="Times New Roman" w:eastAsia="Times New Roman" w:hAnsi="Times New Roman"/>
          <w:sz w:val="18"/>
          <w:szCs w:val="18"/>
          <w:color w:val="231F20"/>
        </w:rPr>
      </w:pPr>
    </w:p>
    <w:p>
      <w:pPr>
        <w:ind w:left="640" w:hanging="314"/>
        <w:spacing w:after="0"/>
        <w:tabs>
          <w:tab w:leader="none" w:pos="640" w:val="left"/>
        </w:tabs>
        <w:numPr>
          <w:ilvl w:val="0"/>
          <w:numId w:val="6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resolving in favor of a shareholders’ voluntary winding-up; and</w:t>
      </w:r>
    </w:p>
    <w:p>
      <w:pPr>
        <w:spacing w:after="0" w:line="232" w:lineRule="exact"/>
        <w:rPr>
          <w:rFonts w:ascii="Times New Roman" w:cs="Times New Roman" w:eastAsia="Times New Roman" w:hAnsi="Times New Roman"/>
          <w:sz w:val="18"/>
          <w:szCs w:val="18"/>
          <w:color w:val="231F20"/>
        </w:rPr>
      </w:pPr>
    </w:p>
    <w:p>
      <w:pPr>
        <w:ind w:left="640" w:hanging="314"/>
        <w:spacing w:after="0"/>
        <w:tabs>
          <w:tab w:leader="none" w:pos="640" w:val="left"/>
        </w:tabs>
        <w:numPr>
          <w:ilvl w:val="0"/>
          <w:numId w:val="6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setting the re-issue price of treasury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80"/>
          </w:cols>
          <w:pgMar w:left="320" w:top="814" w:right="39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color w:val="231F20"/>
        </w:rPr>
        <w:t>Unanimous Shareholder Consent to Action Without Meeting</w:t>
      </w:r>
    </w:p>
    <w:p>
      <w:pPr>
        <w:spacing w:after="0" w:line="301" w:lineRule="exact"/>
        <w:rPr>
          <w:sz w:val="20"/>
          <w:szCs w:val="20"/>
          <w:color w:val="auto"/>
        </w:rPr>
      </w:pPr>
    </w:p>
    <w:p>
      <w:pPr>
        <w:ind w:right="240" w:firstLine="320"/>
        <w:spacing w:after="0" w:line="400" w:lineRule="auto"/>
        <w:rPr>
          <w:sz w:val="20"/>
          <w:szCs w:val="20"/>
          <w:color w:val="auto"/>
        </w:rPr>
      </w:pPr>
      <w:r>
        <w:rPr>
          <w:rFonts w:ascii="Times New Roman" w:cs="Times New Roman" w:eastAsia="Times New Roman" w:hAnsi="Times New Roman"/>
          <w:sz w:val="18"/>
          <w:szCs w:val="18"/>
          <w:color w:val="231F20"/>
        </w:rPr>
        <w:t>The Companies Act provides that shareholders may approve an ordinary or special resolution of shareholders without a meeting only if (i) all shareholders sign the written resolution and (ii) the company’s articles of association permit written resolutions of shareholders (the Company’s articles of association contain the appropriate authorizations for this purpose).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Variation of Rights Attaching to a Class or Series of Shares</w:t>
      </w:r>
    </w:p>
    <w:p>
      <w:pPr>
        <w:spacing w:after="0" w:line="314" w:lineRule="exact"/>
        <w:rPr>
          <w:sz w:val="20"/>
          <w:szCs w:val="20"/>
          <w:color w:val="auto"/>
        </w:rPr>
      </w:pPr>
    </w:p>
    <w:p>
      <w:pPr>
        <w:ind w:right="220" w:firstLine="320"/>
        <w:spacing w:after="0" w:line="392" w:lineRule="auto"/>
        <w:rPr>
          <w:sz w:val="20"/>
          <w:szCs w:val="20"/>
          <w:color w:val="auto"/>
        </w:rPr>
      </w:pPr>
      <w:r>
        <w:rPr>
          <w:rFonts w:ascii="Times New Roman" w:cs="Times New Roman" w:eastAsia="Times New Roman" w:hAnsi="Times New Roman"/>
          <w:sz w:val="18"/>
          <w:szCs w:val="18"/>
          <w:color w:val="231F20"/>
        </w:rPr>
        <w:t>Under the Company’s Constitution and the Companies Act, any variation of class rights attaching to its issued shares must be approved by a special resolution of the Company’s shareholders of the affected class or with the consent in writing of the holders of three-quarters of all the votes of that class of shares.</w:t>
      </w:r>
    </w:p>
    <w:p>
      <w:pPr>
        <w:spacing w:after="0" w:line="157" w:lineRule="exact"/>
        <w:rPr>
          <w:sz w:val="20"/>
          <w:szCs w:val="20"/>
          <w:color w:val="auto"/>
        </w:rPr>
      </w:pPr>
    </w:p>
    <w:p>
      <w:pPr>
        <w:ind w:firstLine="320"/>
        <w:spacing w:after="0" w:line="390" w:lineRule="auto"/>
        <w:rPr>
          <w:sz w:val="20"/>
          <w:szCs w:val="20"/>
          <w:color w:val="auto"/>
        </w:rPr>
      </w:pPr>
      <w:r>
        <w:rPr>
          <w:rFonts w:ascii="Times New Roman" w:cs="Times New Roman" w:eastAsia="Times New Roman" w:hAnsi="Times New Roman"/>
          <w:sz w:val="18"/>
          <w:szCs w:val="18"/>
          <w:color w:val="231F20"/>
        </w:rPr>
        <w:t>The provisions of the Company’s Constitution relating to general meetings apply to general meetings of the holders of any class of the Company’s shares except that the necessary quorum is determined in reference to the shares of the holders of the class. Accordingly, for general meetings of holders of a particular class of the Company’s shares, a quorum consists of the holders present in person or by proxy representing at least one half of the issued shares of the class.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Inspection of Books and Records</w:t>
      </w:r>
    </w:p>
    <w:p>
      <w:pPr>
        <w:spacing w:after="0" w:line="301" w:lineRule="exact"/>
        <w:rPr>
          <w:sz w:val="20"/>
          <w:szCs w:val="20"/>
          <w:color w:val="auto"/>
        </w:rPr>
      </w:pPr>
    </w:p>
    <w:p>
      <w:pPr>
        <w:ind w:right="20" w:firstLine="320"/>
        <w:spacing w:after="0" w:line="408" w:lineRule="auto"/>
        <w:rPr>
          <w:sz w:val="20"/>
          <w:szCs w:val="20"/>
          <w:color w:val="auto"/>
        </w:rPr>
      </w:pPr>
      <w:r>
        <w:rPr>
          <w:rFonts w:ascii="Times New Roman" w:cs="Times New Roman" w:eastAsia="Times New Roman" w:hAnsi="Times New Roman"/>
          <w:sz w:val="17"/>
          <w:szCs w:val="17"/>
          <w:color w:val="231F20"/>
        </w:rPr>
        <w:t>Under Irish law, shareholders have the right to: (i) receive a copy of the Company’s Constitution and any act of the Irish Government which alters its memorandum; (ii) inspect and obtain copies of the minutes of general meetings and the Company’s resolutions; (iii) inspect and receive a copy of the register of shareholders, register of directors and secretaries, register of directors’ interests and other statutory registers maintained in respect of the ordinary shares;</w:t>
      </w:r>
    </w:p>
    <w:p>
      <w:pPr>
        <w:spacing w:after="0" w:line="1" w:lineRule="exact"/>
        <w:rPr>
          <w:sz w:val="20"/>
          <w:szCs w:val="20"/>
          <w:color w:val="auto"/>
        </w:rPr>
      </w:pPr>
    </w:p>
    <w:p>
      <w:pPr>
        <w:ind w:right="140" w:firstLine="6"/>
        <w:spacing w:after="0" w:line="389" w:lineRule="auto"/>
        <w:tabs>
          <w:tab w:leader="none" w:pos="301" w:val="left"/>
        </w:tabs>
        <w:numPr>
          <w:ilvl w:val="0"/>
          <w:numId w:val="6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receive copies of financial statements and directors’ and auditors’ reports which have previously been sent to shareholders prior to an annual general meeting; and (v) receive financial statements of any of the Company’s subsidiaries that have previously been sent to shareholders prior to an annual general meeting for the preceding ten years. The Company’s auditors also have the right to inspect all of the Company’s books, records and vouchers. The auditors’ report must be circulated to the shareholders with the Company’s financial statements prepared in accordance with Irish law 21 clear days before the annual general meeting and must be read to the shareholders at the Company’s annual general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Acquisitions</w:t>
      </w:r>
    </w:p>
    <w:p>
      <w:pPr>
        <w:spacing w:after="0" w:line="3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An Irish public limited company may be acquired in a number of ways, including:</w:t>
      </w:r>
    </w:p>
    <w:p>
      <w:pPr>
        <w:spacing w:after="0" w:line="299" w:lineRule="exact"/>
        <w:rPr>
          <w:sz w:val="20"/>
          <w:szCs w:val="20"/>
          <w:color w:val="auto"/>
        </w:rPr>
      </w:pPr>
    </w:p>
    <w:p>
      <w:pPr>
        <w:ind w:left="640" w:right="40" w:hanging="314"/>
        <w:spacing w:after="0" w:line="400" w:lineRule="auto"/>
        <w:tabs>
          <w:tab w:leader="none" w:pos="635" w:val="left"/>
        </w:tabs>
        <w:numPr>
          <w:ilvl w:val="0"/>
          <w:numId w:val="6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court-approved scheme of arrangement under the Companies Act. A scheme of arrangement with shareholders requires a court order from the Irish High Court and the approval of a majority in number representing 75% in value of the shareholders present and voting in person or by proxy at a meeting called to approve the scheme;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00"/>
          </w:cols>
          <w:pgMar w:left="320" w:top="812" w:right="379" w:bottom="1440" w:gutter="0" w:footer="0" w:header="0"/>
        </w:sectPr>
      </w:pPr>
    </w:p>
    <w:bookmarkStart w:id="172" w:name="page173"/>
    <w:bookmarkEnd w:id="172"/>
    <w:p>
      <w:pPr>
        <w:ind w:left="640" w:right="40" w:hanging="314"/>
        <w:spacing w:after="0" w:line="393" w:lineRule="auto"/>
        <w:tabs>
          <w:tab w:leader="none" w:pos="635" w:val="left"/>
        </w:tabs>
        <w:numPr>
          <w:ilvl w:val="0"/>
          <w:numId w:val="6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through a tender or takeover offer by a third party for all of the Company’s shares. Where the holders of 80% or more of the Company’s shares have accepted an offer for their shares, the remaining shareholders may also be statutorily required to transfer their shares, and if the bidder does not exercise its “squeeze out” right, then the non-accepting shareholders also have a statutory right to require the bidder to acquire their shares on the same terms. If the Company’s shares were to be listed on the main securities market of Euronext Dublin or another main securities market or regulated stock exchange in the European Union, this threshold would be increased to 90%; and</w:t>
      </w:r>
    </w:p>
    <w:p>
      <w:pPr>
        <w:spacing w:after="0" w:line="75" w:lineRule="exact"/>
        <w:rPr>
          <w:rFonts w:ascii="Times New Roman" w:cs="Times New Roman" w:eastAsia="Times New Roman" w:hAnsi="Times New Roman"/>
          <w:sz w:val="18"/>
          <w:szCs w:val="18"/>
          <w:color w:val="231F20"/>
        </w:rPr>
      </w:pPr>
    </w:p>
    <w:p>
      <w:pPr>
        <w:ind w:left="640" w:right="60" w:hanging="314"/>
        <w:spacing w:after="0" w:line="453" w:lineRule="auto"/>
        <w:tabs>
          <w:tab w:leader="none" w:pos="635" w:val="left"/>
        </w:tabs>
        <w:numPr>
          <w:ilvl w:val="0"/>
          <w:numId w:val="6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by way of a merger with an EU-incorporated company under the EU Directive 2017/1132 relating to certain aspects of Company Law (as amended) and the European Communities (Cross-Border Mergers) Regulations 2008 (as amended). Such a merger must be approved by a special resolution.</w:t>
      </w:r>
    </w:p>
    <w:p>
      <w:pPr>
        <w:spacing w:after="0" w:line="101" w:lineRule="exact"/>
        <w:rPr>
          <w:sz w:val="20"/>
          <w:szCs w:val="20"/>
          <w:color w:val="auto"/>
        </w:rPr>
      </w:pPr>
    </w:p>
    <w:p>
      <w:pPr>
        <w:ind w:right="420" w:firstLine="320"/>
        <w:spacing w:after="0" w:line="414" w:lineRule="auto"/>
        <w:rPr>
          <w:sz w:val="20"/>
          <w:szCs w:val="20"/>
          <w:color w:val="auto"/>
        </w:rPr>
      </w:pPr>
      <w:r>
        <w:rPr>
          <w:rFonts w:ascii="Times New Roman" w:cs="Times New Roman" w:eastAsia="Times New Roman" w:hAnsi="Times New Roman"/>
          <w:sz w:val="18"/>
          <w:szCs w:val="18"/>
          <w:color w:val="231F20"/>
        </w:rPr>
        <w:t>Irish law does not generally require shareholder approval for a sale, lease or exchange of all or substantially all of a company’s property and assets, unless the company is listed on a regulated stock exchange in the European Union.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Appraisal Rights</w:t>
      </w:r>
    </w:p>
    <w:p>
      <w:pPr>
        <w:spacing w:after="0" w:line="301" w:lineRule="exact"/>
        <w:rPr>
          <w:sz w:val="20"/>
          <w:szCs w:val="20"/>
          <w:color w:val="auto"/>
        </w:rPr>
      </w:pPr>
    </w:p>
    <w:p>
      <w:pPr>
        <w:ind w:firstLine="320"/>
        <w:spacing w:after="0" w:line="391" w:lineRule="auto"/>
        <w:rPr>
          <w:sz w:val="20"/>
          <w:szCs w:val="20"/>
          <w:color w:val="auto"/>
        </w:rPr>
      </w:pPr>
      <w:r>
        <w:rPr>
          <w:rFonts w:ascii="Times New Roman" w:cs="Times New Roman" w:eastAsia="Times New Roman" w:hAnsi="Times New Roman"/>
          <w:sz w:val="18"/>
          <w:szCs w:val="18"/>
          <w:color w:val="231F20"/>
        </w:rPr>
        <w:t>Generally, under Irish law, shareholders of an Irish company do not have dissenters’ or appraisal rights. Under the European Communities (Cross-Border Mergers) Regulations 2008 governing the merger of an Irish company limited by shares such as the Company and a company incorporated in the European Economic Area (the European Economic Area includes all member states of the European Union and Norway, Iceland and Liechtenstein), a shareholder (i) who voted against the special resolution approving the merger or (ii) of a company in which 90% of the shares are held by the other party to the merger, has the right to request that the company acquire its shares for cash at a price determined in accordance with the share exchange ratio set out in the merger agreement.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Disclosure of Interests in Shares</w:t>
      </w:r>
    </w:p>
    <w:p>
      <w:pPr>
        <w:spacing w:after="0" w:line="301" w:lineRule="exact"/>
        <w:rPr>
          <w:sz w:val="20"/>
          <w:szCs w:val="20"/>
          <w:color w:val="auto"/>
        </w:rPr>
      </w:pPr>
    </w:p>
    <w:p>
      <w:pPr>
        <w:ind w:right="40" w:firstLine="320"/>
        <w:spacing w:after="0" w:line="389" w:lineRule="auto"/>
        <w:rPr>
          <w:sz w:val="20"/>
          <w:szCs w:val="20"/>
          <w:color w:val="auto"/>
        </w:rPr>
      </w:pPr>
      <w:r>
        <w:rPr>
          <w:rFonts w:ascii="Times New Roman" w:cs="Times New Roman" w:eastAsia="Times New Roman" w:hAnsi="Times New Roman"/>
          <w:sz w:val="18"/>
          <w:szCs w:val="18"/>
          <w:color w:val="231F20"/>
        </w:rPr>
        <w:t>Under the Companies Act, subject to certain limited exceptions, a person must notify the Company (but not the public) if, as a result of a transaction, such person will become interested in three percent or more of the Company’s voting shares, or if as a result of a transaction a shareholder who was interested in more than three percent of its voting shares ceases to be so interested. Where any person is interested in more than three percent of the Company’s voting shares, such person must notify the Company of any alteration of his or her interest that brings his or her total holding through the nearest whole percentage number, whether an increase or a reduction. The relevant percentage figure is calculated by reference to the aggregate nominal value of the voting shares in which the person is interested as a proportion of the entire nominal value of the Company’s issued share capital (or any such class of share capital in issue). Where the percentage level of the person’s interest does not amount to a whole percentage, this figure may be rounded down to the next whole number. The Company must be notified within five business days of the transaction or alteration of the person’s interests that gave rise to the notification requirement. If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00"/>
          </w:cols>
          <w:pgMar w:left="320" w:top="814" w:right="379" w:bottom="1440" w:gutter="0" w:footer="0" w:header="0"/>
        </w:sectPr>
      </w:pPr>
    </w:p>
    <w:bookmarkStart w:id="173" w:name="page174"/>
    <w:bookmarkEnd w:id="173"/>
    <w:p>
      <w:pPr>
        <w:ind w:right="540"/>
        <w:spacing w:after="0" w:line="414" w:lineRule="auto"/>
        <w:rPr>
          <w:sz w:val="20"/>
          <w:szCs w:val="20"/>
          <w:color w:val="auto"/>
        </w:rPr>
      </w:pPr>
      <w:r>
        <w:rPr>
          <w:rFonts w:ascii="Times New Roman" w:cs="Times New Roman" w:eastAsia="Times New Roman" w:hAnsi="Times New Roman"/>
          <w:sz w:val="18"/>
          <w:szCs w:val="18"/>
          <w:color w:val="231F20"/>
        </w:rPr>
        <w:t>person fails to comply with these notification requirements, such person’s rights in respect of any of the Company’s shares he or she holds will not be enforceable, either directly or indirectly. However, such person may apply to the court to have the rights attaching to such shares reinstated.</w:t>
      </w:r>
    </w:p>
    <w:p>
      <w:pPr>
        <w:spacing w:after="0" w:line="125" w:lineRule="exact"/>
        <w:rPr>
          <w:sz w:val="20"/>
          <w:szCs w:val="20"/>
          <w:color w:val="auto"/>
        </w:rPr>
      </w:pPr>
    </w:p>
    <w:p>
      <w:pPr>
        <w:ind w:right="80" w:firstLine="320"/>
        <w:spacing w:after="0" w:line="417" w:lineRule="auto"/>
        <w:rPr>
          <w:sz w:val="20"/>
          <w:szCs w:val="20"/>
          <w:color w:val="auto"/>
        </w:rPr>
      </w:pPr>
      <w:r>
        <w:rPr>
          <w:rFonts w:ascii="Times New Roman" w:cs="Times New Roman" w:eastAsia="Times New Roman" w:hAnsi="Times New Roman"/>
          <w:sz w:val="17"/>
          <w:szCs w:val="17"/>
          <w:color w:val="231F20"/>
        </w:rPr>
        <w:t>In addition to these disclosure requirements, the Company, under the Companies Act, may, by notice in writing, require a person whom the Company knows or has reasonable cause to believe to be, or at any time during the three years immediately preceding the date on which such notice is issued to have been, interested in shares comprised in the Company’s relevant share capital to: (i) indicate whether or not it is the case; and (ii) where such person holds or has during that time held an interest in the Company’s shares, to provide additional information, including the person’s own past or present interests in the Company’s shares. If the recipient of the notice fails to respond within the reasonable time period specified in the notice, the Company may apply to a court for an order directing that the affected shares be subject to certain restrictions, as prescribed by the Companies Act, as follows:</w:t>
      </w:r>
    </w:p>
    <w:p>
      <w:pPr>
        <w:spacing w:after="0" w:line="132" w:lineRule="exact"/>
        <w:rPr>
          <w:sz w:val="20"/>
          <w:szCs w:val="20"/>
          <w:color w:val="auto"/>
        </w:rPr>
      </w:pPr>
    </w:p>
    <w:p>
      <w:pPr>
        <w:ind w:left="640" w:hanging="314"/>
        <w:spacing w:after="0"/>
        <w:tabs>
          <w:tab w:leader="none" w:pos="640" w:val="left"/>
        </w:tabs>
        <w:numPr>
          <w:ilvl w:val="0"/>
          <w:numId w:val="6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any transfer of those shares or, in the case of unissued shares, any transfer of the right to be issued with shares and any issue of shares, shall be void;</w:t>
      </w:r>
    </w:p>
    <w:p>
      <w:pPr>
        <w:spacing w:after="0" w:line="243" w:lineRule="exact"/>
        <w:rPr>
          <w:rFonts w:ascii="Times New Roman" w:cs="Times New Roman" w:eastAsia="Times New Roman" w:hAnsi="Times New Roman"/>
          <w:sz w:val="17"/>
          <w:szCs w:val="17"/>
          <w:color w:val="231F20"/>
        </w:rPr>
      </w:pPr>
    </w:p>
    <w:p>
      <w:pPr>
        <w:ind w:left="640" w:hanging="314"/>
        <w:spacing w:after="0"/>
        <w:tabs>
          <w:tab w:leader="none" w:pos="640" w:val="left"/>
        </w:tabs>
        <w:numPr>
          <w:ilvl w:val="0"/>
          <w:numId w:val="6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no voting rights shall be exercisable in respect of those shares;</w:t>
      </w:r>
    </w:p>
    <w:p>
      <w:pPr>
        <w:spacing w:after="0" w:line="232" w:lineRule="exact"/>
        <w:rPr>
          <w:rFonts w:ascii="Times New Roman" w:cs="Times New Roman" w:eastAsia="Times New Roman" w:hAnsi="Times New Roman"/>
          <w:sz w:val="18"/>
          <w:szCs w:val="18"/>
          <w:color w:val="231F20"/>
        </w:rPr>
      </w:pPr>
    </w:p>
    <w:p>
      <w:pPr>
        <w:ind w:left="640" w:hanging="314"/>
        <w:spacing w:after="0"/>
        <w:tabs>
          <w:tab w:leader="none" w:pos="640" w:val="left"/>
        </w:tabs>
        <w:numPr>
          <w:ilvl w:val="0"/>
          <w:numId w:val="6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no further shares shall be issued in right of those shares or in pursuance of any offer made to the holder of those shares; and</w:t>
      </w:r>
    </w:p>
    <w:p>
      <w:pPr>
        <w:spacing w:after="0" w:line="232" w:lineRule="exact"/>
        <w:rPr>
          <w:rFonts w:ascii="Times New Roman" w:cs="Times New Roman" w:eastAsia="Times New Roman" w:hAnsi="Times New Roman"/>
          <w:sz w:val="18"/>
          <w:szCs w:val="18"/>
          <w:color w:val="231F20"/>
        </w:rPr>
      </w:pPr>
    </w:p>
    <w:p>
      <w:pPr>
        <w:ind w:left="640" w:hanging="314"/>
        <w:spacing w:after="0"/>
        <w:tabs>
          <w:tab w:leader="none" w:pos="640" w:val="left"/>
        </w:tabs>
        <w:numPr>
          <w:ilvl w:val="0"/>
          <w:numId w:val="6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no payment shall be made of any sums due from the Company on those shares, whether in respect of capital or otherwise.</w:t>
      </w:r>
    </w:p>
    <w:p>
      <w:pPr>
        <w:spacing w:after="0" w:line="2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The court may also order that shares subject to any of these restrictions be sold with the restrictions terminating upon the completion of the sale.</w:t>
      </w:r>
    </w:p>
    <w:p>
      <w:pPr>
        <w:spacing w:after="0" w:line="299" w:lineRule="exact"/>
        <w:rPr>
          <w:sz w:val="20"/>
          <w:szCs w:val="20"/>
          <w:color w:val="auto"/>
        </w:rPr>
      </w:pPr>
    </w:p>
    <w:p>
      <w:pPr>
        <w:ind w:right="60" w:firstLine="320"/>
        <w:spacing w:after="0" w:line="414" w:lineRule="auto"/>
        <w:rPr>
          <w:sz w:val="20"/>
          <w:szCs w:val="20"/>
          <w:color w:val="auto"/>
        </w:rPr>
      </w:pPr>
      <w:r>
        <w:rPr>
          <w:rFonts w:ascii="Times New Roman" w:cs="Times New Roman" w:eastAsia="Times New Roman" w:hAnsi="Times New Roman"/>
          <w:sz w:val="18"/>
          <w:szCs w:val="18"/>
          <w:color w:val="231F20"/>
        </w:rPr>
        <w:t>In the event the Company is in an offer period pursuant to the Irish takeover rules, as defined below, accelerated disclosure provisions apply for persons holding an interest in the Company’s securities of one percent or more.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Anti-Takeover Provisions</w:t>
      </w:r>
    </w:p>
    <w:p>
      <w:pPr>
        <w:spacing w:after="0" w:line="3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231F20"/>
        </w:rPr>
        <w:t>Irish Takeover Rules and Substantial Acquisition Rules</w:t>
      </w:r>
    </w:p>
    <w:p>
      <w:pPr>
        <w:spacing w:after="0" w:line="303" w:lineRule="exact"/>
        <w:rPr>
          <w:sz w:val="20"/>
          <w:szCs w:val="20"/>
          <w:color w:val="auto"/>
        </w:rPr>
      </w:pPr>
    </w:p>
    <w:p>
      <w:pPr>
        <w:ind w:right="80" w:firstLine="320"/>
        <w:spacing w:after="0" w:line="395" w:lineRule="auto"/>
        <w:rPr>
          <w:sz w:val="20"/>
          <w:szCs w:val="20"/>
          <w:color w:val="auto"/>
        </w:rPr>
      </w:pPr>
      <w:r>
        <w:rPr>
          <w:rFonts w:ascii="Times New Roman" w:cs="Times New Roman" w:eastAsia="Times New Roman" w:hAnsi="Times New Roman"/>
          <w:sz w:val="18"/>
          <w:szCs w:val="18"/>
          <w:color w:val="231F20"/>
        </w:rPr>
        <w:t>A transaction in which a third party seeks to acquire 30% or more of the voting rights of the Company and certain other acquisitions of the Company’s securities are governed by the Irish Takeover Panel Act 1997 and the Irish Takeover Rules made thereunder, which are referred to herein as the “Irish takeover rules,” and are regulated by the Irish Takeover Panel. The “General Principles” of the Irish takeover rules and certain important aspects of the Irish takeover rules are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60"/>
          </w:cols>
          <w:pgMar w:left="320" w:top="813" w:right="419" w:bottom="1440" w:gutter="0" w:footer="0" w:header="0"/>
        </w:sectPr>
      </w:pPr>
    </w:p>
    <w:bookmarkStart w:id="174" w:name="page175"/>
    <w:bookmarkEnd w:id="174"/>
    <w:p>
      <w:pPr>
        <w:ind w:left="160"/>
        <w:spacing w:after="0"/>
        <w:rPr>
          <w:sz w:val="20"/>
          <w:szCs w:val="20"/>
          <w:color w:val="auto"/>
        </w:rPr>
      </w:pPr>
      <w:r>
        <w:rPr>
          <w:rFonts w:ascii="Times New Roman" w:cs="Times New Roman" w:eastAsia="Times New Roman" w:hAnsi="Times New Roman"/>
          <w:sz w:val="18"/>
          <w:szCs w:val="18"/>
          <w:b w:val="1"/>
          <w:bCs w:val="1"/>
          <w:i w:val="1"/>
          <w:iCs w:val="1"/>
          <w:color w:val="231F20"/>
        </w:rPr>
        <w:t>General Principles</w:t>
      </w:r>
    </w:p>
    <w:p>
      <w:pPr>
        <w:spacing w:after="0" w:line="3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The Irish takeover rules are built on the following General Principles which will apply to any transaction regulated by the Irish Takeover Panel:</w:t>
      </w:r>
    </w:p>
    <w:p>
      <w:pPr>
        <w:spacing w:after="0" w:line="312" w:lineRule="exact"/>
        <w:rPr>
          <w:sz w:val="20"/>
          <w:szCs w:val="20"/>
          <w:color w:val="auto"/>
        </w:rPr>
      </w:pPr>
    </w:p>
    <w:p>
      <w:pPr>
        <w:ind w:left="640" w:right="240" w:hanging="314"/>
        <w:spacing w:after="0" w:line="399" w:lineRule="auto"/>
        <w:tabs>
          <w:tab w:leader="none" w:pos="635" w:val="left"/>
        </w:tabs>
        <w:numPr>
          <w:ilvl w:val="0"/>
          <w:numId w:val="6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the event of an offer, all holders of securities of the target company must be afforded equivalent treatment and, if a person acquires control of a company, the other holders of securities must be protected;</w:t>
      </w:r>
    </w:p>
    <w:p>
      <w:pPr>
        <w:spacing w:after="0" w:line="70" w:lineRule="exact"/>
        <w:rPr>
          <w:rFonts w:ascii="Times New Roman" w:cs="Times New Roman" w:eastAsia="Times New Roman" w:hAnsi="Times New Roman"/>
          <w:sz w:val="18"/>
          <w:szCs w:val="18"/>
          <w:color w:val="231F20"/>
        </w:rPr>
      </w:pPr>
    </w:p>
    <w:p>
      <w:pPr>
        <w:ind w:left="640" w:right="240" w:hanging="314"/>
        <w:spacing w:after="0" w:line="400" w:lineRule="auto"/>
        <w:tabs>
          <w:tab w:leader="none" w:pos="635" w:val="left"/>
        </w:tabs>
        <w:numPr>
          <w:ilvl w:val="0"/>
          <w:numId w:val="6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holders of securities in the target company must have sufficient time and information to enable them to reach a properly informed decision on the offer; where it advises the holders of securities, the board of directors of the target company must give its views on the effects of the implementation of the offer on employment, employment conditions and the locations of the target company’s place of business;</w:t>
      </w:r>
    </w:p>
    <w:p>
      <w:pPr>
        <w:spacing w:after="0" w:line="69" w:lineRule="exact"/>
        <w:rPr>
          <w:rFonts w:ascii="Times New Roman" w:cs="Times New Roman" w:eastAsia="Times New Roman" w:hAnsi="Times New Roman"/>
          <w:sz w:val="18"/>
          <w:szCs w:val="18"/>
          <w:color w:val="231F20"/>
        </w:rPr>
      </w:pPr>
    </w:p>
    <w:p>
      <w:pPr>
        <w:ind w:left="640" w:right="40" w:hanging="314"/>
        <w:spacing w:after="0" w:line="414" w:lineRule="auto"/>
        <w:tabs>
          <w:tab w:leader="none" w:pos="635" w:val="left"/>
        </w:tabs>
        <w:numPr>
          <w:ilvl w:val="0"/>
          <w:numId w:val="6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target company’s board of directors must act in the interests of the company as a whole and must not deny the holders of securities the opportunity to decide on the merits of the offer;</w:t>
      </w:r>
    </w:p>
    <w:p>
      <w:pPr>
        <w:spacing w:after="0" w:line="57" w:lineRule="exact"/>
        <w:rPr>
          <w:rFonts w:ascii="Times New Roman" w:cs="Times New Roman" w:eastAsia="Times New Roman" w:hAnsi="Times New Roman"/>
          <w:sz w:val="18"/>
          <w:szCs w:val="18"/>
          <w:color w:val="231F20"/>
        </w:rPr>
      </w:pPr>
    </w:p>
    <w:p>
      <w:pPr>
        <w:ind w:left="640" w:right="80" w:hanging="314"/>
        <w:spacing w:after="0" w:line="414" w:lineRule="auto"/>
        <w:tabs>
          <w:tab w:leader="none" w:pos="635" w:val="left"/>
        </w:tabs>
        <w:numPr>
          <w:ilvl w:val="0"/>
          <w:numId w:val="6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false markets must not be created in the securities of the target company, the bidder or any other company concerned by the offer in such a way that the rise or fall of the prices of the securities becomes artificial and the normal functioning of the markets is distorted;</w:t>
      </w:r>
    </w:p>
    <w:p>
      <w:pPr>
        <w:spacing w:after="0" w:line="57" w:lineRule="exact"/>
        <w:rPr>
          <w:rFonts w:ascii="Times New Roman" w:cs="Times New Roman" w:eastAsia="Times New Roman" w:hAnsi="Times New Roman"/>
          <w:sz w:val="18"/>
          <w:szCs w:val="18"/>
          <w:color w:val="231F20"/>
        </w:rPr>
      </w:pPr>
    </w:p>
    <w:p>
      <w:pPr>
        <w:ind w:left="640" w:right="400" w:hanging="314"/>
        <w:spacing w:after="0" w:line="414" w:lineRule="auto"/>
        <w:tabs>
          <w:tab w:leader="none" w:pos="635" w:val="left"/>
        </w:tabs>
        <w:numPr>
          <w:ilvl w:val="0"/>
          <w:numId w:val="6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bidder can only announce an offer after ensuring that he or she can pay in full the consideration offered, if such is offered, and after taking all reasonable measures to secure the implementation of any other type of consideration;</w:t>
      </w:r>
    </w:p>
    <w:p>
      <w:pPr>
        <w:spacing w:after="0" w:line="57" w:lineRule="exact"/>
        <w:rPr>
          <w:rFonts w:ascii="Times New Roman" w:cs="Times New Roman" w:eastAsia="Times New Roman" w:hAnsi="Times New Roman"/>
          <w:sz w:val="18"/>
          <w:szCs w:val="18"/>
          <w:color w:val="231F20"/>
        </w:rPr>
      </w:pPr>
    </w:p>
    <w:p>
      <w:pPr>
        <w:jc w:val="both"/>
        <w:ind w:left="640" w:hanging="314"/>
        <w:spacing w:after="0" w:line="392" w:lineRule="auto"/>
        <w:tabs>
          <w:tab w:leader="none" w:pos="635" w:val="left"/>
        </w:tabs>
        <w:numPr>
          <w:ilvl w:val="0"/>
          <w:numId w:val="6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target company may not be hindered in the conduct of its affairs longer than is reasonable by an offer for its securities (this is a recognition that an offer will disrupt the day-to-day running of a target company, particularly if the offer is hostile and the board of directors of the target company must direct its attention to resisting the offer); and</w:t>
      </w:r>
    </w:p>
    <w:p>
      <w:pPr>
        <w:spacing w:after="0" w:line="77" w:lineRule="exact"/>
        <w:rPr>
          <w:rFonts w:ascii="Times New Roman" w:cs="Times New Roman" w:eastAsia="Times New Roman" w:hAnsi="Times New Roman"/>
          <w:sz w:val="18"/>
          <w:szCs w:val="18"/>
          <w:color w:val="231F20"/>
        </w:rPr>
      </w:pPr>
    </w:p>
    <w:p>
      <w:pPr>
        <w:ind w:left="640" w:right="340" w:hanging="314"/>
        <w:spacing w:after="0" w:line="395" w:lineRule="auto"/>
        <w:tabs>
          <w:tab w:leader="none" w:pos="635" w:val="left"/>
        </w:tabs>
        <w:numPr>
          <w:ilvl w:val="0"/>
          <w:numId w:val="6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 acquisition of securities (whether such acquisition is to be effected by one transaction or a series of transactions) shall take place only at an acceptable speed and shall be subject to adequate and timely disclosure. Specifically, the acquisition of 10% or more of the issued voting shares within a seven day period that would take a shareholder’s holding to or above 15% of the issued voting shares (but less than 30%) is prohibited, subject to certain exemptions.</w:t>
      </w:r>
    </w:p>
    <w:p>
      <w:pPr>
        <w:spacing w:after="0" w:line="1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231F20"/>
        </w:rPr>
        <w:t>Mandatory Bid</w:t>
      </w:r>
    </w:p>
    <w:p>
      <w:pPr>
        <w:spacing w:after="0" w:line="316" w:lineRule="exact"/>
        <w:rPr>
          <w:sz w:val="20"/>
          <w:szCs w:val="20"/>
          <w:color w:val="auto"/>
        </w:rPr>
      </w:pPr>
    </w:p>
    <w:p>
      <w:pPr>
        <w:ind w:right="40" w:firstLine="320"/>
        <w:spacing w:after="0" w:line="390" w:lineRule="auto"/>
        <w:rPr>
          <w:sz w:val="20"/>
          <w:szCs w:val="20"/>
          <w:color w:val="auto"/>
        </w:rPr>
      </w:pPr>
      <w:r>
        <w:rPr>
          <w:rFonts w:ascii="Times New Roman" w:cs="Times New Roman" w:eastAsia="Times New Roman" w:hAnsi="Times New Roman"/>
          <w:sz w:val="18"/>
          <w:szCs w:val="18"/>
          <w:color w:val="231F20"/>
        </w:rPr>
        <w:t>Under certain circumstances, a person who acquires ordinary shares, or other of the Company’s voting securities, may be required under the Irish takeover rules to make a mandatory cash offer for the remaining issued and outstanding voting securities at a price not less than the highest price paid for the securities by the acquiror, or any parties acting in concert with the acquiror, during the previous 12 months. This mandatory bid requirement is triggered if an acquisition of securities would increase the aggregate holding of an acquiror, including the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00"/>
          </w:cols>
          <w:pgMar w:left="320" w:top="809" w:right="379" w:bottom="1440" w:gutter="0" w:footer="0" w:header="0"/>
        </w:sectPr>
      </w:pPr>
    </w:p>
    <w:bookmarkStart w:id="175" w:name="page176"/>
    <w:bookmarkEnd w:id="175"/>
    <w:p>
      <w:pPr>
        <w:spacing w:after="0" w:line="391" w:lineRule="auto"/>
        <w:rPr>
          <w:sz w:val="20"/>
          <w:szCs w:val="20"/>
          <w:color w:val="auto"/>
        </w:rPr>
      </w:pPr>
      <w:r>
        <w:rPr>
          <w:rFonts w:ascii="Times New Roman" w:cs="Times New Roman" w:eastAsia="Times New Roman" w:hAnsi="Times New Roman"/>
          <w:sz w:val="18"/>
          <w:szCs w:val="18"/>
          <w:color w:val="231F20"/>
        </w:rPr>
        <w:t>of any parties acting in concert with the acquiror, to securities representing 30% or more of the voting rights in the Company, unless the Irish Takeover Panel otherwise consents. An acquisition of securities by a person holding, together with its concert parties, securities representing between 30% and 50% of the voting rights in the Company would also trigger the mandatory bid requirement if, after giving effect to the acquisition, the percentage of the voting rights held by that person (together with its concert parties) would increase by 0.05% within a 12-month period. Any person (excluding any parties acting in concert with the holder) holding securities representing more than 50% of the voting rights of a company is not subject to these mandatory offer requirements in purchasing additional securities.</w:t>
      </w:r>
    </w:p>
    <w:p>
      <w:pPr>
        <w:spacing w:after="0" w:line="1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231F20"/>
        </w:rPr>
        <w:t>Voluntary bid; Requirements to Make a Cash Offer and Minimum Price Requirements</w:t>
      </w:r>
    </w:p>
    <w:p>
      <w:pPr>
        <w:spacing w:after="0" w:line="303" w:lineRule="exact"/>
        <w:rPr>
          <w:sz w:val="20"/>
          <w:szCs w:val="20"/>
          <w:color w:val="auto"/>
        </w:rPr>
      </w:pPr>
    </w:p>
    <w:p>
      <w:pPr>
        <w:ind w:right="100" w:firstLine="320"/>
        <w:spacing w:after="0" w:line="395" w:lineRule="auto"/>
        <w:rPr>
          <w:sz w:val="20"/>
          <w:szCs w:val="20"/>
          <w:color w:val="auto"/>
        </w:rPr>
      </w:pPr>
      <w:r>
        <w:rPr>
          <w:rFonts w:ascii="Times New Roman" w:cs="Times New Roman" w:eastAsia="Times New Roman" w:hAnsi="Times New Roman"/>
          <w:sz w:val="18"/>
          <w:szCs w:val="18"/>
          <w:color w:val="231F20"/>
        </w:rPr>
        <w:t>If a person makes a voluntary offer to acquire the issued and outstanding ordinary shares of the Company and the bidder acquired ordinary shares in the three-month period prior to the commencement of the offer period, the offer price must not be less than the highest price paid for ordinary shares by the bidder or its concert parties during that period. The Irish Takeover Panel has the power to extend the “look back” period to 12 months if the Irish Takeover Panel, taking into account the General Principles, believes it is appropriate to do so.</w:t>
      </w:r>
    </w:p>
    <w:p>
      <w:pPr>
        <w:spacing w:after="0" w:line="142" w:lineRule="exact"/>
        <w:rPr>
          <w:sz w:val="20"/>
          <w:szCs w:val="20"/>
          <w:color w:val="auto"/>
        </w:rPr>
      </w:pPr>
    </w:p>
    <w:p>
      <w:pPr>
        <w:ind w:right="60" w:firstLine="320"/>
        <w:spacing w:after="0" w:line="391" w:lineRule="auto"/>
        <w:rPr>
          <w:sz w:val="20"/>
          <w:szCs w:val="20"/>
          <w:color w:val="auto"/>
        </w:rPr>
      </w:pPr>
      <w:r>
        <w:rPr>
          <w:rFonts w:ascii="Times New Roman" w:cs="Times New Roman" w:eastAsia="Times New Roman" w:hAnsi="Times New Roman"/>
          <w:sz w:val="18"/>
          <w:szCs w:val="18"/>
          <w:color w:val="231F20"/>
        </w:rPr>
        <w:t>If the bidder or any of its concert parties has acquired more than 10% of the issued and outstanding ordinary shares (i) during the period of 12 months prior to the commencement of the offer period or (ii) at any time after the commencement of the offer period, the offer must be in cash (or accompanied by a full cash alternative) and the price per ordinary share must not be less than the highest price paid by the bidder or its concert parties during, in the case of (i), the 12-month period prior to the commencement of the offer period or, in the case of (ii), the offer period. The Irish Takeover Panel may apply this rule to a bidder who, together with its concert parties, has acquired less than 10% of the total ordinary shares in the 12-month period prior to the commencement of the offer period if the Irish Takeover Panel, taking into account the General Principles, considers it just and proper to do so.</w:t>
      </w:r>
    </w:p>
    <w:p>
      <w:pPr>
        <w:spacing w:after="0" w:line="1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An offer period will generally commence on the date of the first announcement of the offer or proposed offer.</w:t>
      </w:r>
    </w:p>
    <w:p>
      <w:pPr>
        <w:spacing w:after="0" w:line="2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231F20"/>
        </w:rPr>
        <w:t>Substantial Acquisition Rules</w:t>
      </w:r>
    </w:p>
    <w:p>
      <w:pPr>
        <w:spacing w:after="0" w:line="303" w:lineRule="exact"/>
        <w:rPr>
          <w:sz w:val="20"/>
          <w:szCs w:val="20"/>
          <w:color w:val="auto"/>
        </w:rPr>
      </w:pPr>
    </w:p>
    <w:p>
      <w:pPr>
        <w:ind w:right="20" w:firstLine="320"/>
        <w:spacing w:after="0" w:line="391" w:lineRule="auto"/>
        <w:rPr>
          <w:sz w:val="20"/>
          <w:szCs w:val="20"/>
          <w:color w:val="auto"/>
        </w:rPr>
      </w:pPr>
      <w:r>
        <w:rPr>
          <w:rFonts w:ascii="Times New Roman" w:cs="Times New Roman" w:eastAsia="Times New Roman" w:hAnsi="Times New Roman"/>
          <w:sz w:val="18"/>
          <w:szCs w:val="18"/>
          <w:color w:val="231F20"/>
        </w:rPr>
        <w:t>The Irish takeover rules also contain rules governing substantial acquisitions of shares and other voting securities which restrict the speed at which a person may increase his or her holding of shares and rights over shares to an aggregate of between 15% and 30% of the voting rights of the Company. Except in certain circumstances, an acquisition or series of acquisitions of shares or rights over shares representing 10% or more of the voting rights of the Company is prohibited, if such acquisition(s), when aggregated with shares or rights already held, would result in the acquirer holding 15% or more but less than 30% of the voting rights of the Company and such acquisitions are made within a period of seven days. These rules also require accelerated disclosure of acquisitions of shares or rights over shares relating to such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00"/>
          </w:cols>
          <w:pgMar w:left="320" w:top="813" w:right="379" w:bottom="1440" w:gutter="0" w:footer="0" w:header="0"/>
        </w:sectPr>
      </w:pPr>
    </w:p>
    <w:bookmarkStart w:id="176" w:name="page177"/>
    <w:bookmarkEnd w:id="176"/>
    <w:p>
      <w:pPr>
        <w:ind w:left="160"/>
        <w:spacing w:after="0"/>
        <w:rPr>
          <w:sz w:val="20"/>
          <w:szCs w:val="20"/>
          <w:color w:val="auto"/>
        </w:rPr>
      </w:pPr>
      <w:r>
        <w:rPr>
          <w:rFonts w:ascii="Times New Roman" w:cs="Times New Roman" w:eastAsia="Times New Roman" w:hAnsi="Times New Roman"/>
          <w:sz w:val="18"/>
          <w:szCs w:val="18"/>
          <w:b w:val="1"/>
          <w:bCs w:val="1"/>
          <w:i w:val="1"/>
          <w:iCs w:val="1"/>
          <w:color w:val="231F20"/>
        </w:rPr>
        <w:t>Frustrating Action</w:t>
      </w:r>
    </w:p>
    <w:p>
      <w:pPr>
        <w:spacing w:after="0" w:line="303" w:lineRule="exact"/>
        <w:rPr>
          <w:sz w:val="20"/>
          <w:szCs w:val="20"/>
          <w:color w:val="auto"/>
        </w:rPr>
      </w:pPr>
    </w:p>
    <w:p>
      <w:pPr>
        <w:ind w:firstLine="320"/>
        <w:spacing w:after="0" w:line="391" w:lineRule="auto"/>
        <w:rPr>
          <w:sz w:val="20"/>
          <w:szCs w:val="20"/>
          <w:color w:val="auto"/>
        </w:rPr>
      </w:pPr>
      <w:r>
        <w:rPr>
          <w:rFonts w:ascii="Times New Roman" w:cs="Times New Roman" w:eastAsia="Times New Roman" w:hAnsi="Times New Roman"/>
          <w:sz w:val="18"/>
          <w:szCs w:val="18"/>
          <w:color w:val="231F20"/>
        </w:rPr>
        <w:t>Under the Irish takeover rules, the Company’s board of directors is not permitted to take any action that might frustrate an offer for its shares once the Company’s board of directors has received an approach that may lead to an offer or has reason to believe that such an offer is or may be imminent, subject to certain exceptions. Potentially frustrating actions such as (i) the issue of shares, options or convertible securities, (ii) material acquisitions or disposals, (iii) entering into contracts other than in the ordinary course of business or (iv) any action, other than seeking alternative offers, which may result in frustration of an offer, are prohibited during the course of an offer or at any earlier time during which the Company’s board of directors has reason to believe an offer is or may be imminent. Exceptions to this prohibition are available where:</w:t>
      </w:r>
    </w:p>
    <w:p>
      <w:pPr>
        <w:spacing w:after="0" w:line="147" w:lineRule="exact"/>
        <w:rPr>
          <w:sz w:val="20"/>
          <w:szCs w:val="20"/>
          <w:color w:val="auto"/>
        </w:rPr>
      </w:pPr>
    </w:p>
    <w:p>
      <w:pPr>
        <w:ind w:left="640" w:hanging="314"/>
        <w:spacing w:after="0"/>
        <w:tabs>
          <w:tab w:leader="none" w:pos="640" w:val="left"/>
        </w:tabs>
        <w:numPr>
          <w:ilvl w:val="0"/>
          <w:numId w:val="6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action is approved by the Company’s shareholders at a general meeting; or</w:t>
      </w:r>
    </w:p>
    <w:p>
      <w:pPr>
        <w:spacing w:after="0" w:line="232" w:lineRule="exact"/>
        <w:rPr>
          <w:rFonts w:ascii="Times New Roman" w:cs="Times New Roman" w:eastAsia="Times New Roman" w:hAnsi="Times New Roman"/>
          <w:sz w:val="18"/>
          <w:szCs w:val="18"/>
          <w:color w:val="231F20"/>
        </w:rPr>
      </w:pPr>
    </w:p>
    <w:p>
      <w:pPr>
        <w:ind w:left="640" w:hanging="314"/>
        <w:spacing w:after="0"/>
        <w:tabs>
          <w:tab w:leader="none" w:pos="640" w:val="left"/>
        </w:tabs>
        <w:numPr>
          <w:ilvl w:val="0"/>
          <w:numId w:val="6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Irish Takeover Panel has given its consent, where:</w:t>
      </w:r>
    </w:p>
    <w:p>
      <w:pPr>
        <w:spacing w:after="0" w:line="232" w:lineRule="exact"/>
        <w:rPr>
          <w:rFonts w:ascii="Times New Roman" w:cs="Times New Roman" w:eastAsia="Times New Roman" w:hAnsi="Times New Roman"/>
          <w:sz w:val="18"/>
          <w:szCs w:val="18"/>
          <w:color w:val="231F20"/>
        </w:rPr>
      </w:pPr>
    </w:p>
    <w:p>
      <w:pPr>
        <w:ind w:left="640" w:hanging="314"/>
        <w:spacing w:after="0"/>
        <w:tabs>
          <w:tab w:leader="none" w:pos="640" w:val="left"/>
        </w:tabs>
        <w:numPr>
          <w:ilvl w:val="0"/>
          <w:numId w:val="6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it is satisfied the action would not constitute frustrating action;</w:t>
      </w:r>
    </w:p>
    <w:p>
      <w:pPr>
        <w:spacing w:after="0" w:line="232" w:lineRule="exact"/>
        <w:rPr>
          <w:rFonts w:ascii="Times New Roman" w:cs="Times New Roman" w:eastAsia="Times New Roman" w:hAnsi="Times New Roman"/>
          <w:sz w:val="18"/>
          <w:szCs w:val="18"/>
          <w:color w:val="231F20"/>
        </w:rPr>
      </w:pPr>
    </w:p>
    <w:p>
      <w:pPr>
        <w:ind w:left="640" w:right="260" w:hanging="314"/>
        <w:spacing w:after="0" w:line="414" w:lineRule="auto"/>
        <w:tabs>
          <w:tab w:leader="none" w:pos="635" w:val="left"/>
        </w:tabs>
        <w:numPr>
          <w:ilvl w:val="0"/>
          <w:numId w:val="6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Company’s shareholders holding more than 50% of the voting rights state in writing that they approve the proposed action and would vote in favor of it at a general meeting;</w:t>
      </w:r>
    </w:p>
    <w:p>
      <w:pPr>
        <w:spacing w:after="0" w:line="57" w:lineRule="exact"/>
        <w:rPr>
          <w:rFonts w:ascii="Times New Roman" w:cs="Times New Roman" w:eastAsia="Times New Roman" w:hAnsi="Times New Roman"/>
          <w:sz w:val="18"/>
          <w:szCs w:val="18"/>
          <w:color w:val="231F20"/>
        </w:rPr>
      </w:pPr>
    </w:p>
    <w:p>
      <w:pPr>
        <w:ind w:left="640" w:right="300" w:hanging="314"/>
        <w:spacing w:after="0" w:line="414" w:lineRule="auto"/>
        <w:tabs>
          <w:tab w:leader="none" w:pos="635" w:val="left"/>
        </w:tabs>
        <w:numPr>
          <w:ilvl w:val="0"/>
          <w:numId w:val="6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action is taken in accordance with a contract entered into prior to the announcement of the offer (or any earlier time at which the Company’s board of directors considered the offer to be imminent); or</w:t>
      </w:r>
    </w:p>
    <w:p>
      <w:pPr>
        <w:spacing w:after="0" w:line="57" w:lineRule="exact"/>
        <w:rPr>
          <w:rFonts w:ascii="Times New Roman" w:cs="Times New Roman" w:eastAsia="Times New Roman" w:hAnsi="Times New Roman"/>
          <w:sz w:val="18"/>
          <w:szCs w:val="18"/>
          <w:color w:val="231F20"/>
        </w:rPr>
      </w:pPr>
    </w:p>
    <w:p>
      <w:pPr>
        <w:ind w:left="640" w:right="520" w:hanging="314"/>
        <w:spacing w:after="0" w:line="399" w:lineRule="auto"/>
        <w:tabs>
          <w:tab w:leader="none" w:pos="635" w:val="left"/>
        </w:tabs>
        <w:numPr>
          <w:ilvl w:val="0"/>
          <w:numId w:val="6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decision to take such action was made before the announcement of the offer and either has been at least partially implemented or is in the ordinary course of business.</w:t>
      </w:r>
    </w:p>
    <w:p>
      <w:pPr>
        <w:spacing w:after="0" w:line="1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231F20"/>
        </w:rPr>
        <w:t>Other Provisions</w:t>
      </w:r>
    </w:p>
    <w:p>
      <w:pPr>
        <w:spacing w:after="0" w:line="303" w:lineRule="exact"/>
        <w:rPr>
          <w:sz w:val="20"/>
          <w:szCs w:val="20"/>
          <w:color w:val="auto"/>
        </w:rPr>
      </w:pPr>
    </w:p>
    <w:p>
      <w:pPr>
        <w:ind w:right="20" w:firstLine="320"/>
        <w:spacing w:after="0" w:line="395" w:lineRule="auto"/>
        <w:rPr>
          <w:sz w:val="20"/>
          <w:szCs w:val="20"/>
          <w:color w:val="auto"/>
        </w:rPr>
      </w:pPr>
      <w:r>
        <w:rPr>
          <w:rFonts w:ascii="Times New Roman" w:cs="Times New Roman" w:eastAsia="Times New Roman" w:hAnsi="Times New Roman"/>
          <w:sz w:val="18"/>
          <w:szCs w:val="18"/>
          <w:color w:val="231F20"/>
        </w:rPr>
        <w:t>Certain other provisions of Irish law or the Company’s Constitution may be considered to have anti-takeover effects, including advance notice requirements for director nominations and other shareholder proposals, as well those described under the following captions: “</w:t>
      </w:r>
      <w:r>
        <w:rPr>
          <w:rFonts w:ascii="Times New Roman" w:cs="Times New Roman" w:eastAsia="Times New Roman" w:hAnsi="Times New Roman"/>
          <w:sz w:val="18"/>
          <w:szCs w:val="18"/>
          <w:i w:val="1"/>
          <w:iCs w:val="1"/>
          <w:color w:val="231F20"/>
        </w:rPr>
        <w:t>—Capital Structure—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Authorized Share Capital</w:t>
      </w:r>
      <w:r>
        <w:rPr>
          <w:rFonts w:ascii="Times New Roman" w:cs="Times New Roman" w:eastAsia="Times New Roman" w:hAnsi="Times New Roman"/>
          <w:sz w:val="18"/>
          <w:szCs w:val="18"/>
          <w:color w:val="231F20"/>
        </w:rPr>
        <w:t>” (regarding issuance of preferred shares), “</w:t>
      </w:r>
      <w:r>
        <w:rPr>
          <w:rFonts w:ascii="Times New Roman" w:cs="Times New Roman" w:eastAsia="Times New Roman" w:hAnsi="Times New Roman"/>
          <w:sz w:val="18"/>
          <w:szCs w:val="18"/>
          <w:i w:val="1"/>
          <w:iCs w:val="1"/>
          <w:color w:val="231F20"/>
        </w:rPr>
        <w:t>—Preemption Rights, Share Warrants and Share Options</w:t>
      </w:r>
      <w:r>
        <w:rPr>
          <w:rFonts w:ascii="Times New Roman" w:cs="Times New Roman" w:eastAsia="Times New Roman" w:hAnsi="Times New Roman"/>
          <w:sz w:val="18"/>
          <w:szCs w:val="18"/>
          <w:color w:val="231F20"/>
        </w:rPr>
        <w:t>,” “</w:t>
      </w:r>
      <w:r>
        <w:rPr>
          <w:rFonts w:ascii="Times New Roman" w:cs="Times New Roman" w:eastAsia="Times New Roman" w:hAnsi="Times New Roman"/>
          <w:sz w:val="18"/>
          <w:szCs w:val="18"/>
          <w:i w:val="1"/>
          <w:iCs w:val="1"/>
          <w:color w:val="231F20"/>
        </w:rPr>
        <w:t>—Disclosure of Interests in Shares</w:t>
      </w:r>
      <w:r>
        <w:rPr>
          <w:rFonts w:ascii="Times New Roman" w:cs="Times New Roman" w:eastAsia="Times New Roman" w:hAnsi="Times New Roman"/>
          <w:sz w:val="18"/>
          <w:szCs w:val="18"/>
          <w:color w:val="231F20"/>
        </w:rPr>
        <w:t>” and “</w:t>
      </w:r>
      <w:r>
        <w:rPr>
          <w:rFonts w:ascii="Times New Roman" w:cs="Times New Roman" w:eastAsia="Times New Roman" w:hAnsi="Times New Roman"/>
          <w:sz w:val="18"/>
          <w:szCs w:val="18"/>
          <w:i w:val="1"/>
          <w:iCs w:val="1"/>
          <w:color w:val="231F20"/>
        </w:rPr>
        <w:t>—Corporate Governance</w:t>
      </w:r>
      <w:r>
        <w:rPr>
          <w:rFonts w:ascii="Times New Roman" w:cs="Times New Roman" w:eastAsia="Times New Roman" w:hAnsi="Times New Roman"/>
          <w:sz w:val="18"/>
          <w:szCs w:val="18"/>
          <w:color w:val="231F20"/>
        </w:rPr>
        <w: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Corporate Governance</w:t>
      </w:r>
    </w:p>
    <w:p>
      <w:pPr>
        <w:spacing w:after="0" w:line="301" w:lineRule="exact"/>
        <w:rPr>
          <w:sz w:val="20"/>
          <w:szCs w:val="20"/>
          <w:color w:val="auto"/>
        </w:rPr>
      </w:pPr>
    </w:p>
    <w:p>
      <w:pPr>
        <w:ind w:right="240" w:firstLine="320"/>
        <w:spacing w:after="0" w:line="393" w:lineRule="auto"/>
        <w:rPr>
          <w:sz w:val="20"/>
          <w:szCs w:val="20"/>
          <w:color w:val="auto"/>
        </w:rPr>
      </w:pPr>
      <w:r>
        <w:rPr>
          <w:rFonts w:ascii="Times New Roman" w:cs="Times New Roman" w:eastAsia="Times New Roman" w:hAnsi="Times New Roman"/>
          <w:sz w:val="18"/>
          <w:szCs w:val="18"/>
          <w:color w:val="231F20"/>
        </w:rPr>
        <w:t>The Company’s Constitution delegates the day-to-day management of the Company to the board of directors. The Company’s board of directors may then delegate the management of the Company to committees of the board of directors (consisting of one or more members of the board of directors) or executives; regardless, the Company’s board of directors remains responsible, as a matter of Irish law, for the proper management of the affairs of the company. Committees may meet and adjourn as they determine proper. A vote at any committee meeting will be determined by a majority of votes of the members present.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60"/>
          </w:cols>
          <w:pgMar w:left="320" w:top="810" w:right="419" w:bottom="1440" w:gutter="0" w:footer="0" w:header="0"/>
        </w:sectPr>
      </w:pPr>
    </w:p>
    <w:bookmarkStart w:id="177" w:name="page178"/>
    <w:bookmarkEnd w:id="177"/>
    <w:p>
      <w:pPr>
        <w:ind w:right="200" w:firstLine="320"/>
        <w:spacing w:after="0" w:line="395" w:lineRule="auto"/>
        <w:rPr>
          <w:sz w:val="20"/>
          <w:szCs w:val="20"/>
          <w:color w:val="auto"/>
        </w:rPr>
      </w:pPr>
      <w:r>
        <w:rPr>
          <w:rFonts w:ascii="Times New Roman" w:cs="Times New Roman" w:eastAsia="Times New Roman" w:hAnsi="Times New Roman"/>
          <w:sz w:val="18"/>
          <w:szCs w:val="18"/>
          <w:color w:val="231F20"/>
        </w:rPr>
        <w:t>The Company’s board of directors has a standing audit committee, a compensation committee and a nominating and corporate governance committee, with each committee comprised solely of independent directors, as prescribed by The NASDAQ Global Select Market listing standards and SEC rules and regulations. The Company has adopted corporate governance policies, including a code of conduct and an insider trading policy, as well as an open door reporting policy and a comprehensive compliance program.</w:t>
      </w:r>
    </w:p>
    <w:p>
      <w:pPr>
        <w:spacing w:after="0" w:line="142" w:lineRule="exact"/>
        <w:rPr>
          <w:sz w:val="20"/>
          <w:szCs w:val="20"/>
          <w:color w:val="auto"/>
        </w:rPr>
      </w:pPr>
    </w:p>
    <w:p>
      <w:pPr>
        <w:ind w:right="80" w:firstLine="320"/>
        <w:spacing w:after="0" w:line="414" w:lineRule="auto"/>
        <w:rPr>
          <w:sz w:val="20"/>
          <w:szCs w:val="20"/>
          <w:color w:val="auto"/>
        </w:rPr>
      </w:pPr>
      <w:r>
        <w:rPr>
          <w:rFonts w:ascii="Times New Roman" w:cs="Times New Roman" w:eastAsia="Times New Roman" w:hAnsi="Times New Roman"/>
          <w:sz w:val="18"/>
          <w:szCs w:val="18"/>
          <w:color w:val="231F20"/>
        </w:rPr>
        <w:t>The Companies Act require a minimum of two directors. The Company’s Constitution provides that the board may determine the size of the board from time to time.</w:t>
      </w:r>
    </w:p>
    <w:p>
      <w:pPr>
        <w:spacing w:after="0" w:line="125" w:lineRule="exact"/>
        <w:rPr>
          <w:sz w:val="20"/>
          <w:szCs w:val="20"/>
          <w:color w:val="auto"/>
        </w:rPr>
      </w:pPr>
    </w:p>
    <w:p>
      <w:pPr>
        <w:ind w:right="40" w:firstLine="320"/>
        <w:spacing w:after="0" w:line="417" w:lineRule="auto"/>
        <w:rPr>
          <w:sz w:val="20"/>
          <w:szCs w:val="20"/>
          <w:color w:val="auto"/>
        </w:rPr>
      </w:pPr>
      <w:r>
        <w:rPr>
          <w:rFonts w:ascii="Times New Roman" w:cs="Times New Roman" w:eastAsia="Times New Roman" w:hAnsi="Times New Roman"/>
          <w:sz w:val="17"/>
          <w:szCs w:val="17"/>
          <w:color w:val="231F20"/>
        </w:rPr>
        <w:t>The Company’s board of directors is divided into three classes, designated Class I, Class II and Class III. The term of the Class I directors will expire on the date of the 2024 annual general meeting; the term of the Class II directors will expire on the date of the 2025 annual general meeting; and the term of the Class III directors will expire on the date of the 2026 annual general meeting. At each annual general meeting of shareholders, successors to the class of directors whose term expires at that annual general meeting are elected for a three-year term. In no case will any decrease in the number of directors shorten the term of any incumbent director. A director may hold office until the annual general meeting of the year in which his or her term expires and until his or her successor is elected and duly qualified, subject to his or her prior death, resignation, retirement, disqualification or removal from office.</w:t>
      </w:r>
    </w:p>
    <w:p>
      <w:pPr>
        <w:spacing w:after="0" w:line="132" w:lineRule="exact"/>
        <w:rPr>
          <w:sz w:val="20"/>
          <w:szCs w:val="20"/>
          <w:color w:val="auto"/>
        </w:rPr>
      </w:pPr>
    </w:p>
    <w:p>
      <w:pPr>
        <w:ind w:firstLine="320"/>
        <w:spacing w:after="0" w:line="390" w:lineRule="auto"/>
        <w:rPr>
          <w:sz w:val="20"/>
          <w:szCs w:val="20"/>
          <w:color w:val="auto"/>
        </w:rPr>
      </w:pPr>
      <w:r>
        <w:rPr>
          <w:rFonts w:ascii="Times New Roman" w:cs="Times New Roman" w:eastAsia="Times New Roman" w:hAnsi="Times New Roman"/>
          <w:sz w:val="18"/>
          <w:szCs w:val="18"/>
          <w:color w:val="231F20"/>
        </w:rPr>
        <w:t>Directors are elected by ordinary resolution at a general meeting. Irish law requires majority voting for the election of directors, which could result in the number of directors falling below the prescribed minimum number of directors due to the failure of nominees to be elected. Accordingly, the Company’s Constitution provides that if, at any general meeting of shareholders, the number of directors is reduced below the minimum prescribed by the Constitution due to the failure of any person nominated to be a director to be elected, then, in such circumstances, the nominee or nominees who receive the highest number of votes in favor of election will be elected in order to maintain such prescribed minimum number of directors. Each director elected in this manner will remain a director (subject to the provisions of the Companies Act and the articles of association) only until the conclusion of the next annual general meeting unless he or she is reelected.</w:t>
      </w:r>
    </w:p>
    <w:p>
      <w:pPr>
        <w:spacing w:after="0" w:line="148" w:lineRule="exact"/>
        <w:rPr>
          <w:sz w:val="20"/>
          <w:szCs w:val="20"/>
          <w:color w:val="auto"/>
        </w:rPr>
      </w:pPr>
    </w:p>
    <w:p>
      <w:pPr>
        <w:ind w:right="220" w:firstLine="320"/>
        <w:spacing w:after="0" w:line="395" w:lineRule="auto"/>
        <w:rPr>
          <w:sz w:val="20"/>
          <w:szCs w:val="20"/>
          <w:color w:val="auto"/>
        </w:rPr>
      </w:pPr>
      <w:r>
        <w:rPr>
          <w:rFonts w:ascii="Times New Roman" w:cs="Times New Roman" w:eastAsia="Times New Roman" w:hAnsi="Times New Roman"/>
          <w:sz w:val="18"/>
          <w:szCs w:val="18"/>
          <w:color w:val="231F20"/>
        </w:rPr>
        <w:t>Under the Companies Act and notwithstanding anything contained in the Constitution or in any agreement between the Company and a director, the Company’s shareholders may, by an ordinary resolution, remove a director from office before the expiration of his or her term at a meeting held on no less than 28 days’ notice and at which the director is entitled to be heard. The power of removal is without prejudice to any claim for damages for breach of contract (e.g. employment contract) that the director may have against the Company in respect of his removal.</w:t>
      </w:r>
    </w:p>
    <w:p>
      <w:pPr>
        <w:spacing w:after="0" w:line="142" w:lineRule="exact"/>
        <w:rPr>
          <w:sz w:val="20"/>
          <w:szCs w:val="20"/>
          <w:color w:val="auto"/>
        </w:rPr>
      </w:pPr>
    </w:p>
    <w:p>
      <w:pPr>
        <w:ind w:right="280" w:firstLine="320"/>
        <w:spacing w:after="0" w:line="400" w:lineRule="auto"/>
        <w:rPr>
          <w:sz w:val="20"/>
          <w:szCs w:val="20"/>
          <w:color w:val="auto"/>
        </w:rPr>
      </w:pPr>
      <w:r>
        <w:rPr>
          <w:rFonts w:ascii="Times New Roman" w:cs="Times New Roman" w:eastAsia="Times New Roman" w:hAnsi="Times New Roman"/>
          <w:sz w:val="18"/>
          <w:szCs w:val="18"/>
          <w:color w:val="231F20"/>
        </w:rPr>
        <w:t>The Company’s Constitution provides that the board of directors may fill any vacancy occurring on the board of directors. If the Company’s board of directors fills a vacancy, the director’s term expires at the next annual general meeting. A vacancy on the board of directors created by the removal of a director may be filled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80"/>
          </w:cols>
          <w:pgMar w:left="320" w:top="814" w:right="399" w:bottom="1440" w:gutter="0" w:footer="0" w:header="0"/>
        </w:sectPr>
      </w:pPr>
    </w:p>
    <w:bookmarkStart w:id="178" w:name="page179"/>
    <w:bookmarkEnd w:id="178"/>
    <w:p>
      <w:pPr>
        <w:ind w:right="500"/>
        <w:spacing w:after="0" w:line="414" w:lineRule="auto"/>
        <w:rPr>
          <w:sz w:val="20"/>
          <w:szCs w:val="20"/>
          <w:color w:val="auto"/>
        </w:rPr>
      </w:pPr>
      <w:r>
        <w:rPr>
          <w:rFonts w:ascii="Times New Roman" w:cs="Times New Roman" w:eastAsia="Times New Roman" w:hAnsi="Times New Roman"/>
          <w:sz w:val="18"/>
          <w:szCs w:val="18"/>
          <w:color w:val="231F20"/>
        </w:rPr>
        <w:t>shareholders at the meeting at which such director is removed and, in the absence of such election or appointment, the remaining directors may fill the vacancy.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Legal Name; Formation; Fiscal Year; Registered Office</w:t>
      </w:r>
    </w:p>
    <w:p>
      <w:pPr>
        <w:spacing w:after="0" w:line="288" w:lineRule="exact"/>
        <w:rPr>
          <w:sz w:val="20"/>
          <w:szCs w:val="20"/>
          <w:color w:val="auto"/>
        </w:rPr>
      </w:pPr>
    </w:p>
    <w:p>
      <w:pPr>
        <w:ind w:firstLine="320"/>
        <w:spacing w:after="0" w:line="389" w:lineRule="auto"/>
        <w:rPr>
          <w:sz w:val="20"/>
          <w:szCs w:val="20"/>
          <w:color w:val="auto"/>
        </w:rPr>
      </w:pPr>
      <w:r>
        <w:rPr>
          <w:rFonts w:ascii="Times New Roman" w:cs="Times New Roman" w:eastAsia="Times New Roman" w:hAnsi="Times New Roman"/>
          <w:sz w:val="18"/>
          <w:szCs w:val="18"/>
          <w:color w:val="231F20"/>
        </w:rPr>
        <w:t>Jazz Pharmaceuticals Public Limited Company is the Company’s current legal and commercial name. The Company was incorporated in Ireland on March 15, 2005 as a private limited company (registration number 399192) under the name Azur Pharma Limited. Azur Pharma Limited was re-registered as a public limited company named Azur Pharma Public Limited Company effective October 20, 2011, and was subsequently renamed Jazz Pharmaceuticals Public Limited Company on January 16, 2012. The Company’s fiscal year ends on December 31st and its registered address is Fifth Floor, Waterloo Exchange, Waterloo Road, Dublin 4, Ireland D04 E5W7.</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Duration; Dissolution; Rights Upon Liquidation</w:t>
      </w:r>
    </w:p>
    <w:p>
      <w:pPr>
        <w:spacing w:after="0" w:line="288" w:lineRule="exact"/>
        <w:rPr>
          <w:sz w:val="20"/>
          <w:szCs w:val="20"/>
          <w:color w:val="auto"/>
        </w:rPr>
      </w:pPr>
    </w:p>
    <w:p>
      <w:pPr>
        <w:ind w:right="180" w:firstLine="320"/>
        <w:spacing w:after="0" w:line="395" w:lineRule="auto"/>
        <w:rPr>
          <w:sz w:val="20"/>
          <w:szCs w:val="20"/>
          <w:color w:val="auto"/>
        </w:rPr>
      </w:pPr>
      <w:r>
        <w:rPr>
          <w:rFonts w:ascii="Times New Roman" w:cs="Times New Roman" w:eastAsia="Times New Roman" w:hAnsi="Times New Roman"/>
          <w:sz w:val="18"/>
          <w:szCs w:val="18"/>
          <w:color w:val="231F20"/>
        </w:rPr>
        <w:t>The Company’s duration is unlimited. The Company may be dissolved and wound up at any time by way of a shareholders’ voluntary winding up or a creditors’ winding up. In the case of a shareholders’ voluntary winding up, a special resolution of shareholders is required. The Company may also be dissolved by way of court order on the application of a creditor, or by the Companies Registration Office as an enforcement measure where it has failed to file certain returns.</w:t>
      </w:r>
    </w:p>
    <w:p>
      <w:pPr>
        <w:spacing w:after="0" w:line="128" w:lineRule="exact"/>
        <w:rPr>
          <w:sz w:val="20"/>
          <w:szCs w:val="20"/>
          <w:color w:val="auto"/>
        </w:rPr>
      </w:pPr>
    </w:p>
    <w:p>
      <w:pPr>
        <w:ind w:right="200" w:firstLine="320"/>
        <w:spacing w:after="0" w:line="414" w:lineRule="auto"/>
        <w:rPr>
          <w:sz w:val="20"/>
          <w:szCs w:val="20"/>
          <w:color w:val="auto"/>
        </w:rPr>
      </w:pPr>
      <w:r>
        <w:rPr>
          <w:rFonts w:ascii="Times New Roman" w:cs="Times New Roman" w:eastAsia="Times New Roman" w:hAnsi="Times New Roman"/>
          <w:sz w:val="18"/>
          <w:szCs w:val="18"/>
          <w:color w:val="231F20"/>
        </w:rPr>
        <w:t>The Company’s Constitution provides that the ordinary shareholders are entitled to participate pro rata in a winding up, but their right to do so may be subject to the rights of any preferred shareholders to participate under the terms of any series or class of preferred shares.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Certificated Shares</w:t>
      </w:r>
    </w:p>
    <w:p>
      <w:pPr>
        <w:spacing w:after="0" w:line="2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Pursuant to the Companies Act, a shareholder is entitled to be issued a share certificate on request and subject to payment of a nominal fee.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No Sinking Fund</w:t>
      </w:r>
    </w:p>
    <w:p>
      <w:pPr>
        <w:spacing w:after="0" w:line="2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Ordinary shares have no sinking fund provisions.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Stock Exchange Listing</w:t>
      </w:r>
    </w:p>
    <w:p>
      <w:pPr>
        <w:spacing w:after="0" w:line="274" w:lineRule="exact"/>
        <w:rPr>
          <w:sz w:val="20"/>
          <w:szCs w:val="20"/>
          <w:color w:val="auto"/>
        </w:rPr>
      </w:pPr>
    </w:p>
    <w:p>
      <w:pPr>
        <w:ind w:right="220" w:firstLine="320"/>
        <w:spacing w:after="0" w:line="414" w:lineRule="auto"/>
        <w:rPr>
          <w:sz w:val="20"/>
          <w:szCs w:val="20"/>
          <w:color w:val="auto"/>
        </w:rPr>
      </w:pPr>
      <w:r>
        <w:rPr>
          <w:rFonts w:ascii="Times New Roman" w:cs="Times New Roman" w:eastAsia="Times New Roman" w:hAnsi="Times New Roman"/>
          <w:sz w:val="18"/>
          <w:szCs w:val="18"/>
          <w:color w:val="231F20"/>
        </w:rPr>
        <w:t>Ordinary shares are listed on The NASDAQ Global Select Market under the trading symbol “JAZZ.” Ordinary shares are not currently intended to be listed on the Irish Stock Exchange.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Transfer and Registration of Shares</w:t>
      </w:r>
    </w:p>
    <w:p>
      <w:pPr>
        <w:spacing w:after="0" w:line="288" w:lineRule="exact"/>
        <w:rPr>
          <w:sz w:val="20"/>
          <w:szCs w:val="20"/>
          <w:color w:val="auto"/>
        </w:rPr>
      </w:pPr>
    </w:p>
    <w:p>
      <w:pPr>
        <w:ind w:right="260" w:firstLine="320"/>
        <w:spacing w:after="0" w:line="400" w:lineRule="auto"/>
        <w:rPr>
          <w:sz w:val="20"/>
          <w:szCs w:val="20"/>
          <w:color w:val="auto"/>
        </w:rPr>
      </w:pPr>
      <w:r>
        <w:rPr>
          <w:rFonts w:ascii="Times New Roman" w:cs="Times New Roman" w:eastAsia="Times New Roman" w:hAnsi="Times New Roman"/>
          <w:sz w:val="18"/>
          <w:szCs w:val="18"/>
          <w:color w:val="231F20"/>
        </w:rPr>
        <w:t>The transfer agent and registrar for ordinary shares is Computershare Trust Company, N.A. Its address is 250 Royall Street, Canton, MA 02021. An affiliate of the transfer agent maintains the share register, registration in which is determinative of ownership of ordinary shares. A shareholder who holds shares beneficially is not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80"/>
          </w:cols>
          <w:pgMar w:left="320" w:top="814" w:right="399" w:bottom="1440" w:gutter="0" w:footer="0" w:header="0"/>
        </w:sectPr>
      </w:pPr>
    </w:p>
    <w:bookmarkStart w:id="179" w:name="page180"/>
    <w:bookmarkEnd w:id="179"/>
    <w:p>
      <w:pPr>
        <w:ind w:right="140"/>
        <w:spacing w:after="0" w:line="395" w:lineRule="auto"/>
        <w:rPr>
          <w:sz w:val="20"/>
          <w:szCs w:val="20"/>
          <w:color w:val="auto"/>
        </w:rPr>
      </w:pPr>
      <w:r>
        <w:rPr>
          <w:rFonts w:ascii="Times New Roman" w:cs="Times New Roman" w:eastAsia="Times New Roman" w:hAnsi="Times New Roman"/>
          <w:sz w:val="18"/>
          <w:szCs w:val="18"/>
          <w:color w:val="231F20"/>
        </w:rPr>
        <w:t>holder of record of such shares. Instead, the depository (for example, Cede &amp; Co., as nominee for DTC) or other nominee is the holder of record of those shares. Accordingly, a transfer of shares from a person who holds such shares beneficially to a person who also holds such shares beneficially through a depository or other nominee will not be registered in the Company’s official share register, as the depository or other nominee will remain the record holder of any such shares.</w:t>
      </w:r>
    </w:p>
    <w:p>
      <w:pPr>
        <w:spacing w:after="0" w:line="128" w:lineRule="exact"/>
        <w:rPr>
          <w:sz w:val="20"/>
          <w:szCs w:val="20"/>
          <w:color w:val="auto"/>
        </w:rPr>
      </w:pPr>
    </w:p>
    <w:p>
      <w:pPr>
        <w:ind w:firstLine="320"/>
        <w:spacing w:after="0" w:line="387" w:lineRule="auto"/>
        <w:rPr>
          <w:sz w:val="20"/>
          <w:szCs w:val="20"/>
          <w:color w:val="auto"/>
        </w:rPr>
      </w:pPr>
      <w:r>
        <w:rPr>
          <w:rFonts w:ascii="Times New Roman" w:cs="Times New Roman" w:eastAsia="Times New Roman" w:hAnsi="Times New Roman"/>
          <w:sz w:val="18"/>
          <w:szCs w:val="18"/>
          <w:color w:val="231F20"/>
        </w:rPr>
        <w:t>A written instrument of transfer is required under Irish law in order to register on the Company’s official share register any transfer of shares (i) from a person who holds such shares directly to any other person, (ii) from a person who holds such shares beneficially but not directly to a person who holds such shares directly, or (iii) from a person who holds such shares beneficially to another person who holds such shares beneficially where the transfer involves a change in the depository or other nominee that is the record owner of the transferred shares. An instrument of transfer is also required for a shareholder who directly holds shares to transfer those shares into his or her own broker account (or vice versa). Such instruments of transfer may give rise to Irish stamp duty, which must be paid prior to registration of the transfer on the Company’s official Irish share register. However, a shareholder who directly holds shares may transfer those shares into his or her own broker account (or vice versa) without giving rise to Irish stamp duty provided there is no change in the ultimate beneficial ownership of the shares as a result of the transfer and the transfer is not made in contemplation of a sale of the shares.</w:t>
      </w:r>
    </w:p>
    <w:p>
      <w:pPr>
        <w:spacing w:after="0" w:line="139" w:lineRule="exact"/>
        <w:rPr>
          <w:sz w:val="20"/>
          <w:szCs w:val="20"/>
          <w:color w:val="auto"/>
        </w:rPr>
      </w:pPr>
    </w:p>
    <w:p>
      <w:pPr>
        <w:ind w:right="80" w:firstLine="320"/>
        <w:spacing w:after="0" w:line="412" w:lineRule="auto"/>
        <w:rPr>
          <w:sz w:val="20"/>
          <w:szCs w:val="20"/>
          <w:color w:val="auto"/>
        </w:rPr>
      </w:pPr>
      <w:r>
        <w:rPr>
          <w:rFonts w:ascii="Times New Roman" w:cs="Times New Roman" w:eastAsia="Times New Roman" w:hAnsi="Times New Roman"/>
          <w:sz w:val="17"/>
          <w:szCs w:val="17"/>
          <w:color w:val="231F20"/>
        </w:rPr>
        <w:t>Any transfer of ordinary shares that is subject to Irish stamp duty will not be registered in the name of the buyer unless an instrument of transfer is duly stamped and provided to the transfer agent. The Company, in its absolute discretion and insofar as the Companies Act or any other applicable law permit, may, or may provide that any of its subsidiaries will, pay Irish stamp duty arising on a transfer of ordinary shares on behalf of the transferee of such ordinary shares. If stamp duty resulting from the transfer of ordinary shares which would otherwise be payable by the transferee is paid by the Company or any of its subsidiaries on behalf of the transferee, then in those circumstances, the Company will, on its behalf or on behalf of its subsidiary (as the case may be), be entitled to (i) seek reimbursement of the stamp duty from the transferee, (ii) set-off the stamp duty against any dividends payable to the transferee of those ordinary shares and (iii) to claim a first and permanent lien on ordinary shares on which stamp duty has been paid by the Company or its subsidiary for the amount of stamp duty paid. The Company’s lien shall extend to all dividends paid on those ordinary shares. Parties to a share transfer may assume that any stamp duty arising in respect of a transaction in ordinary shares has been paid unless one or both of such parties is otherwise notified.</w:t>
      </w:r>
    </w:p>
    <w:p>
      <w:pPr>
        <w:spacing w:after="0" w:line="148" w:lineRule="exact"/>
        <w:rPr>
          <w:sz w:val="20"/>
          <w:szCs w:val="20"/>
          <w:color w:val="auto"/>
        </w:rPr>
      </w:pPr>
    </w:p>
    <w:p>
      <w:pPr>
        <w:ind w:right="400" w:firstLine="320"/>
        <w:spacing w:after="0" w:line="400" w:lineRule="auto"/>
        <w:rPr>
          <w:sz w:val="20"/>
          <w:szCs w:val="20"/>
          <w:color w:val="auto"/>
        </w:rPr>
      </w:pPr>
      <w:r>
        <w:rPr>
          <w:rFonts w:ascii="Times New Roman" w:cs="Times New Roman" w:eastAsia="Times New Roman" w:hAnsi="Times New Roman"/>
          <w:sz w:val="18"/>
          <w:szCs w:val="18"/>
          <w:color w:val="231F20"/>
        </w:rPr>
        <w:t>The Company’s Constitution delegates to the secretary or assistant secretary of the Company the authority, on behalf of the Company, to execute an instrument of transfer on behalf of a transferring party. Under the Company’s Constitution, the directors can also authorize any person to execute an instrument of transfer on behalf of a transferring party in certain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00"/>
          </w:cols>
          <w:pgMar w:left="320" w:top="813" w:right="379" w:bottom="1440" w:gutter="0" w:footer="0" w:header="0"/>
        </w:sectPr>
      </w:pPr>
    </w:p>
    <w:bookmarkStart w:id="180" w:name="page181"/>
    <w:bookmarkEnd w:id="180"/>
    <w:p>
      <w:pPr>
        <w:ind w:firstLine="320"/>
        <w:spacing w:after="0" w:line="387" w:lineRule="auto"/>
        <w:rPr>
          <w:sz w:val="20"/>
          <w:szCs w:val="20"/>
          <w:color w:val="auto"/>
        </w:rPr>
      </w:pPr>
      <w:r>
        <w:rPr>
          <w:rFonts w:ascii="Times New Roman" w:cs="Times New Roman" w:eastAsia="Times New Roman" w:hAnsi="Times New Roman"/>
          <w:sz w:val="18"/>
          <w:szCs w:val="18"/>
          <w:color w:val="231F20"/>
        </w:rPr>
        <w:t>In order to help ensure that the official share register is regularly updated to reflect trading of ordinary shares occurring through normal electronic systems, the Company intends to regularly produce any required instruments of transfer in connection with any transactions for which stamp duty is paid (subject to the reimbursement and set-off rights described above). In the event that the Company notifies one or both of the parties to a share transfer that its believes stamp duty is required to be paid in connection with the transfer and that the Company will not pay the stamp duty, the parties may either themselves arrange for the execution of the required instrument of transfer (and may request a form of instrument of transfer from the Company for this purpose) or request that the Company execute an instrument of transfer on behalf of the transferring party. In either event, if the parties to the share transfer have the instrument of transfer duly stamped (to the extent required) and then provide it to the Company’s transfer agent, the buyer will be registered as the legal owner of the relevant shares on the Company’s official Irish share register (subject to the suspension right described below).</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The directors may suspend registration of transfers from time to time, not exceeding 30 days in aggregate each year.</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Irish Restrictions on Import and Export of Capital</w:t>
      </w:r>
    </w:p>
    <w:p>
      <w:pPr>
        <w:spacing w:after="0" w:line="301" w:lineRule="exact"/>
        <w:rPr>
          <w:sz w:val="20"/>
          <w:szCs w:val="20"/>
          <w:color w:val="auto"/>
        </w:rPr>
      </w:pPr>
    </w:p>
    <w:p>
      <w:pPr>
        <w:ind w:right="300" w:firstLine="320"/>
        <w:spacing w:after="0" w:line="400" w:lineRule="auto"/>
        <w:rPr>
          <w:sz w:val="20"/>
          <w:szCs w:val="20"/>
          <w:color w:val="auto"/>
        </w:rPr>
      </w:pPr>
      <w:r>
        <w:rPr>
          <w:rFonts w:ascii="Times New Roman" w:cs="Times New Roman" w:eastAsia="Times New Roman" w:hAnsi="Times New Roman"/>
          <w:sz w:val="18"/>
          <w:szCs w:val="18"/>
          <w:color w:val="231F20"/>
        </w:rPr>
        <w:t>Except as indicated below, there are no restrictions on non-residents of Ireland dealing in Irish domestic securities, which includes ordinary shares of Irish companies. Except as indicated below, dividends and redemption proceeds also continue to be freely transferable to non-resident holders of such securities.</w:t>
      </w:r>
    </w:p>
    <w:p>
      <w:pPr>
        <w:spacing w:after="0" w:line="137" w:lineRule="exact"/>
        <w:rPr>
          <w:sz w:val="20"/>
          <w:szCs w:val="20"/>
          <w:color w:val="auto"/>
        </w:rPr>
      </w:pPr>
    </w:p>
    <w:p>
      <w:pPr>
        <w:ind w:right="20" w:firstLine="320"/>
        <w:spacing w:after="0" w:line="417" w:lineRule="auto"/>
        <w:rPr>
          <w:sz w:val="20"/>
          <w:szCs w:val="20"/>
          <w:color w:val="auto"/>
        </w:rPr>
      </w:pPr>
      <w:r>
        <w:rPr>
          <w:rFonts w:ascii="Times New Roman" w:cs="Times New Roman" w:eastAsia="Times New Roman" w:hAnsi="Times New Roman"/>
          <w:sz w:val="17"/>
          <w:szCs w:val="17"/>
          <w:color w:val="231F20"/>
        </w:rPr>
        <w:t>The Financial Transfers Act, 1992, provides that the Irish Minister for Finance can make provision for the restriction of financial transfers between Ireland and other countries. For the purposes of this Act, “financial transfers” include all transfers which would be movements of capital or payments within the meaning of the treaties governing the European Communities if they had been made between Member States of the Communities. This Act has been used by the Minister for Finance to implement European Council Directives, which provide for the restriction of financial transfers to certain countries, organizations and people including the Al-Qaeda network and the Taliban, Afghanistan, Belarus, Democratic People’s Republic of Korea, Democratic Republic of Congo, Iran, Iraq, Ivory Coast, Lebanon, Liberia, Libya, Republic of Guinea, Somalia, Sudan, Syria Tunisia, Ukraine and Zimbabwe.</w:t>
      </w:r>
    </w:p>
    <w:p>
      <w:pPr>
        <w:spacing w:after="0" w:line="132" w:lineRule="exact"/>
        <w:rPr>
          <w:sz w:val="20"/>
          <w:szCs w:val="20"/>
          <w:color w:val="auto"/>
        </w:rPr>
      </w:pPr>
    </w:p>
    <w:p>
      <w:pPr>
        <w:jc w:val="both"/>
        <w:ind w:right="200" w:firstLine="320"/>
        <w:spacing w:after="0" w:line="400" w:lineRule="auto"/>
        <w:rPr>
          <w:sz w:val="20"/>
          <w:szCs w:val="20"/>
          <w:color w:val="auto"/>
        </w:rPr>
      </w:pPr>
      <w:r>
        <w:rPr>
          <w:rFonts w:ascii="Times New Roman" w:cs="Times New Roman" w:eastAsia="Times New Roman" w:hAnsi="Times New Roman"/>
          <w:sz w:val="18"/>
          <w:szCs w:val="18"/>
          <w:color w:val="231F20"/>
        </w:rPr>
        <w:t>Any transfer of, or payment in respect of, a share or interest in a share involving the government of any country that is currently the subject of United Nations sanctions, any person or body controlled by any of the foregoing, or by any person acting on behalf of the foregoing, may be subject to restrictions pursuant to such sanctions as implemented into Irish law.</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00"/>
          </w:cols>
          <w:pgMar w:left="320" w:top="814" w:right="379" w:bottom="1440" w:gutter="0" w:footer="0" w:header="0"/>
        </w:sectPr>
      </w:pPr>
    </w:p>
    <w:bookmarkStart w:id="181" w:name="page182"/>
    <w:bookmarkEnd w:id="181"/>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10.17A</w:t>
      </w:r>
    </w:p>
    <w:p>
      <w:pPr>
        <w:spacing w:after="0" w:line="319" w:lineRule="exact"/>
        <w:rPr>
          <w:sz w:val="20"/>
          <w:szCs w:val="20"/>
          <w:color w:val="auto"/>
        </w:rPr>
      </w:pPr>
    </w:p>
    <w:p>
      <w:pPr>
        <w:spacing w:after="0"/>
        <w:rPr>
          <w:sz w:val="20"/>
          <w:szCs w:val="20"/>
          <w:color w:val="auto"/>
        </w:rPr>
      </w:pPr>
      <w:r>
        <w:rPr>
          <w:rFonts w:ascii="Arial" w:cs="Arial" w:eastAsia="Arial" w:hAnsi="Arial"/>
          <w:sz w:val="21"/>
          <w:szCs w:val="21"/>
          <w:color w:val="auto"/>
        </w:rPr>
        <w:t>[JAZZ PHARMACEUTICALS LETTERHEAD]</w:t>
      </w:r>
    </w:p>
    <w:p>
      <w:pPr>
        <w:spacing w:after="0" w:line="200" w:lineRule="exact"/>
        <w:rPr>
          <w:sz w:val="20"/>
          <w:szCs w:val="20"/>
          <w:color w:val="auto"/>
        </w:rPr>
      </w:pPr>
    </w:p>
    <w:p>
      <w:pPr>
        <w:spacing w:after="0" w:line="214" w:lineRule="exact"/>
        <w:rPr>
          <w:sz w:val="20"/>
          <w:szCs w:val="20"/>
          <w:color w:val="auto"/>
        </w:rPr>
      </w:pPr>
    </w:p>
    <w:p>
      <w:pPr>
        <w:ind w:left="10100"/>
        <w:spacing w:after="0"/>
        <w:rPr>
          <w:sz w:val="20"/>
          <w:szCs w:val="20"/>
          <w:color w:val="auto"/>
        </w:rPr>
      </w:pPr>
      <w:r>
        <w:rPr>
          <w:rFonts w:ascii="Times New Roman" w:cs="Times New Roman" w:eastAsia="Times New Roman" w:hAnsi="Times New Roman"/>
          <w:sz w:val="20"/>
          <w:szCs w:val="20"/>
          <w:color w:val="auto"/>
        </w:rPr>
        <w:t>April 4, 2023</w:t>
      </w:r>
    </w:p>
    <w:p>
      <w:pPr>
        <w:spacing w:after="0" w:line="36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Liz Henderson</w:t>
      </w:r>
    </w:p>
    <w:p>
      <w:pPr>
        <w:spacing w:after="0" w:line="36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Dear Liz,</w:t>
      </w:r>
    </w:p>
    <w:p>
      <w:pPr>
        <w:spacing w:after="0" w:line="2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Offer of Employment with Jazz Pharmaceuticals Ireland Limited</w:t>
      </w:r>
    </w:p>
    <w:p>
      <w:pPr>
        <w:spacing w:after="0" w:line="280" w:lineRule="exact"/>
        <w:rPr>
          <w:sz w:val="20"/>
          <w:szCs w:val="20"/>
          <w:color w:val="auto"/>
        </w:rPr>
      </w:pPr>
    </w:p>
    <w:p>
      <w:pPr>
        <w:ind w:left="140" w:right="220"/>
        <w:spacing w:after="0" w:line="285" w:lineRule="auto"/>
        <w:rPr>
          <w:sz w:val="20"/>
          <w:szCs w:val="20"/>
          <w:color w:val="auto"/>
        </w:rPr>
      </w:pPr>
      <w:r>
        <w:rPr>
          <w:rFonts w:ascii="Times New Roman" w:cs="Times New Roman" w:eastAsia="Times New Roman" w:hAnsi="Times New Roman"/>
          <w:sz w:val="18"/>
          <w:szCs w:val="18"/>
          <w:color w:val="auto"/>
        </w:rPr>
        <w:t>On behalf of Jazz Pharmaceuticals Ireland Limited of 5th Floor, Waterloo Exchange, Waterloo Road, Dublin 4, registered at the Companies Registration Office with company number 429847 (the “Company”), I am very pleased to offer you employment with the Company.</w:t>
      </w:r>
    </w:p>
    <w:p>
      <w:pPr>
        <w:spacing w:after="0" w:line="14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This offer of employment is subject to the following pre-conditions:</w:t>
      </w:r>
    </w:p>
    <w:p>
      <w:pPr>
        <w:spacing w:after="0" w:line="209" w:lineRule="exact"/>
        <w:rPr>
          <w:sz w:val="20"/>
          <w:szCs w:val="20"/>
          <w:color w:val="auto"/>
        </w:rPr>
      </w:pPr>
    </w:p>
    <w:p>
      <w:pPr>
        <w:ind w:left="640" w:hanging="234"/>
        <w:spacing w:after="0"/>
        <w:tabs>
          <w:tab w:leader="none" w:pos="64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Satisfactory results of a background check including confirmation of your academic and/or professional qualifications; and</w:t>
      </w:r>
    </w:p>
    <w:p>
      <w:pPr>
        <w:spacing w:after="0" w:line="209" w:lineRule="exact"/>
        <w:rPr>
          <w:rFonts w:ascii="Times New Roman" w:cs="Times New Roman" w:eastAsia="Times New Roman" w:hAnsi="Times New Roman"/>
          <w:sz w:val="20"/>
          <w:szCs w:val="20"/>
          <w:color w:val="auto"/>
        </w:rPr>
      </w:pPr>
    </w:p>
    <w:p>
      <w:pPr>
        <w:ind w:left="640" w:right="100" w:hanging="234"/>
        <w:spacing w:after="0" w:line="236" w:lineRule="auto"/>
        <w:tabs>
          <w:tab w:leader="none" w:pos="628"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are free from any obligations owed to a third party which might prevent you from starting work on the anticipated commencement date or from properly performing the duties of your position; and</w:t>
      </w:r>
    </w:p>
    <w:p>
      <w:pPr>
        <w:spacing w:after="0" w:line="173" w:lineRule="exact"/>
        <w:rPr>
          <w:rFonts w:ascii="Times New Roman" w:cs="Times New Roman" w:eastAsia="Times New Roman" w:hAnsi="Times New Roman"/>
          <w:sz w:val="20"/>
          <w:szCs w:val="20"/>
          <w:color w:val="auto"/>
        </w:rPr>
      </w:pPr>
    </w:p>
    <w:p>
      <w:pPr>
        <w:ind w:left="640" w:right="100" w:hanging="234"/>
        <w:spacing w:after="0" w:line="236" w:lineRule="auto"/>
        <w:tabs>
          <w:tab w:leader="none" w:pos="628"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have the right to work in Ireland and you must provide the Company copies of all relevant documents in this respect at the request of the Company.</w:t>
      </w:r>
    </w:p>
    <w:p>
      <w:pPr>
        <w:spacing w:after="0" w:line="17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The terms and conditions of your employment are set out in the enclosed Contract of Employment. Please sign and return to me a copy of</w:t>
      </w:r>
    </w:p>
    <w:p>
      <w:pPr>
        <w:ind w:left="140" w:right="680"/>
        <w:spacing w:after="0" w:line="218" w:lineRule="auto"/>
        <w:rPr>
          <w:sz w:val="20"/>
          <w:szCs w:val="20"/>
          <w:color w:val="auto"/>
        </w:rPr>
      </w:pPr>
      <w:r>
        <w:rPr>
          <w:rFonts w:ascii="Times New Roman" w:cs="Times New Roman" w:eastAsia="Times New Roman" w:hAnsi="Times New Roman"/>
          <w:sz w:val="20"/>
          <w:szCs w:val="20"/>
          <w:color w:val="auto"/>
        </w:rPr>
        <w:t>the Contract of Employment and the Sign-On Bonus Repayment Agreement (attached as Schedule 1) within 10 business days as your confirmation that you agree with the terms of this offer of employment.</w:t>
      </w:r>
    </w:p>
    <w:p>
      <w:pPr>
        <w:spacing w:after="0" w:line="186" w:lineRule="exact"/>
        <w:rPr>
          <w:sz w:val="20"/>
          <w:szCs w:val="20"/>
          <w:color w:val="auto"/>
        </w:rPr>
      </w:pPr>
    </w:p>
    <w:p>
      <w:pPr>
        <w:ind w:left="140" w:right="220"/>
        <w:spacing w:after="0" w:line="236" w:lineRule="auto"/>
        <w:rPr>
          <w:sz w:val="20"/>
          <w:szCs w:val="20"/>
          <w:color w:val="auto"/>
        </w:rPr>
      </w:pPr>
      <w:r>
        <w:rPr>
          <w:rFonts w:ascii="Times New Roman" w:cs="Times New Roman" w:eastAsia="Times New Roman" w:hAnsi="Times New Roman"/>
          <w:sz w:val="20"/>
          <w:szCs w:val="20"/>
          <w:color w:val="auto"/>
        </w:rPr>
        <w:t>We are confident that you will be an asset to the Company and that the challenge and opportunity the Company offers will be rewarding for you both now and in the future.</w:t>
      </w:r>
    </w:p>
    <w:p>
      <w:pPr>
        <w:spacing w:after="0" w:line="10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Please do not hesitate to contact me if you have any queries with regard to this letter or the enclosed documentation. Yours sincerely,</w:t>
      </w:r>
    </w:p>
    <w:p>
      <w:pPr>
        <w:spacing w:after="0" w:line="6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Heidi Manna</w:t>
      </w:r>
    </w:p>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Chief Human Resources Officer</w:t>
      </w:r>
    </w:p>
    <w:p>
      <w:pPr>
        <w:spacing w:after="0" w:line="20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For and on behalf of the Company</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u w:val="single" w:color="auto"/>
          <w:color w:val="auto"/>
        </w:rPr>
        <w:t>Contract of Employment for Liz Henderson</w:t>
      </w: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Dear Liz,</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Your employment will be subject to the following terms and conditions (the “Agreement”).</w:t>
      </w:r>
    </w:p>
    <w:p>
      <w:pPr>
        <w:spacing w:after="0" w:line="225" w:lineRule="exact"/>
        <w:rPr>
          <w:sz w:val="20"/>
          <w:szCs w:val="20"/>
          <w:color w:val="auto"/>
        </w:rPr>
      </w:pPr>
    </w:p>
    <w:p>
      <w:pPr>
        <w:ind w:left="420" w:hanging="409"/>
        <w:spacing w:after="0"/>
        <w:tabs>
          <w:tab w:leader="none" w:pos="420" w:val="left"/>
        </w:tabs>
        <w:numPr>
          <w:ilvl w:val="0"/>
          <w:numId w:val="71"/>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0"/>
          <w:szCs w:val="20"/>
          <w:b w:val="1"/>
          <w:bCs w:val="1"/>
          <w:u w:val="single" w:color="auto"/>
          <w:color w:val="auto"/>
        </w:rPr>
        <w:t>POSITION</w:t>
      </w:r>
    </w:p>
    <w:p>
      <w:pPr>
        <w:spacing w:after="0" w:line="52" w:lineRule="exact"/>
        <w:rPr>
          <w:sz w:val="20"/>
          <w:szCs w:val="20"/>
          <w:color w:val="auto"/>
        </w:rPr>
      </w:pPr>
    </w:p>
    <w:p>
      <w:pPr>
        <w:ind w:left="640" w:right="240"/>
        <w:spacing w:after="0" w:line="236" w:lineRule="auto"/>
        <w:rPr>
          <w:sz w:val="20"/>
          <w:szCs w:val="20"/>
          <w:color w:val="auto"/>
        </w:rPr>
      </w:pPr>
      <w:r>
        <w:rPr>
          <w:rFonts w:ascii="Times New Roman" w:cs="Times New Roman" w:eastAsia="Times New Roman" w:hAnsi="Times New Roman"/>
          <w:sz w:val="18"/>
          <w:szCs w:val="18"/>
          <w:color w:val="auto"/>
        </w:rPr>
        <w:t>Your position with the Company will be as Senior Vice President, Technical Operations, or in any other executive capacity of similar status as the Company may reasonably require. You will also be appointed to the Company’s Board of Directors, and to</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the Board of Directors of Gentium Srl; additional terms concerning your membership on such Boards are set forth in clause 8.</w:t>
      </w:r>
    </w:p>
    <w:p>
      <w:pPr>
        <w:spacing w:after="0" w:line="203" w:lineRule="exact"/>
        <w:rPr>
          <w:sz w:val="20"/>
          <w:szCs w:val="20"/>
          <w:color w:val="auto"/>
        </w:rPr>
      </w:pPr>
    </w:p>
    <w:p>
      <w:pPr>
        <w:ind w:left="420" w:hanging="409"/>
        <w:spacing w:after="0"/>
        <w:tabs>
          <w:tab w:leader="none" w:pos="420" w:val="left"/>
        </w:tabs>
        <w:numPr>
          <w:ilvl w:val="0"/>
          <w:numId w:val="72"/>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0"/>
          <w:szCs w:val="20"/>
          <w:b w:val="1"/>
          <w:bCs w:val="1"/>
          <w:u w:val="single" w:color="auto"/>
          <w:color w:val="auto"/>
        </w:rPr>
        <w:t>COMMENCEMENT DATE</w:t>
      </w:r>
    </w:p>
    <w:p>
      <w:pPr>
        <w:spacing w:after="0" w:line="39" w:lineRule="exact"/>
        <w:rPr>
          <w:sz w:val="20"/>
          <w:szCs w:val="20"/>
          <w:color w:val="auto"/>
        </w:rPr>
      </w:pPr>
    </w:p>
    <w:p>
      <w:pPr>
        <w:jc w:val="both"/>
        <w:ind w:left="640" w:right="240"/>
        <w:spacing w:after="0" w:line="227" w:lineRule="auto"/>
        <w:rPr>
          <w:sz w:val="20"/>
          <w:szCs w:val="20"/>
          <w:color w:val="auto"/>
        </w:rPr>
      </w:pPr>
      <w:r>
        <w:rPr>
          <w:rFonts w:ascii="Times New Roman" w:cs="Times New Roman" w:eastAsia="Times New Roman" w:hAnsi="Times New Roman"/>
          <w:sz w:val="20"/>
          <w:szCs w:val="20"/>
          <w:color w:val="auto"/>
        </w:rPr>
        <w:t>As discussed, we anticipate that your employment will commence in August 2023 and the terms and conditions set out in this Agreement will take effect from such date. Your exact commencement date will be confirmed with you nearer the time. No employment with a previous employer counts towards your period of continuous service with the Company.</w:t>
      </w:r>
    </w:p>
    <w:p>
      <w:pPr>
        <w:spacing w:after="0" w:line="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In accordance with clause 6, you shall not work for anyone else while you are employed by the Company.</w:t>
      </w:r>
    </w:p>
    <w:p>
      <w:pPr>
        <w:spacing w:after="0" w:line="225" w:lineRule="exact"/>
        <w:rPr>
          <w:sz w:val="20"/>
          <w:szCs w:val="20"/>
          <w:color w:val="auto"/>
        </w:rPr>
      </w:pPr>
    </w:p>
    <w:p>
      <w:pPr>
        <w:ind w:left="420" w:hanging="409"/>
        <w:spacing w:after="0"/>
        <w:tabs>
          <w:tab w:leader="none" w:pos="420" w:val="left"/>
        </w:tabs>
        <w:numPr>
          <w:ilvl w:val="0"/>
          <w:numId w:val="73"/>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0"/>
          <w:szCs w:val="20"/>
          <w:b w:val="1"/>
          <w:bCs w:val="1"/>
          <w:u w:val="single" w:color="auto"/>
          <w:color w:val="auto"/>
        </w:rPr>
        <w:t>PLACE OF WORK</w:t>
      </w:r>
    </w:p>
    <w:p>
      <w:pPr>
        <w:spacing w:after="0" w:line="52" w:lineRule="exact"/>
        <w:rPr>
          <w:sz w:val="20"/>
          <w:szCs w:val="20"/>
          <w:color w:val="auto"/>
        </w:rPr>
      </w:pPr>
    </w:p>
    <w:p>
      <w:pPr>
        <w:ind w:left="500" w:right="20" w:hanging="639"/>
        <w:spacing w:after="0" w:line="229" w:lineRule="auto"/>
        <w:tabs>
          <w:tab w:leader="none" w:pos="480" w:val="left"/>
        </w:tabs>
        <w:rPr>
          <w:sz w:val="20"/>
          <w:szCs w:val="20"/>
          <w:color w:val="auto"/>
        </w:rPr>
      </w:pPr>
      <w:r>
        <w:rPr>
          <w:rFonts w:ascii="Times New Roman" w:cs="Times New Roman" w:eastAsia="Times New Roman" w:hAnsi="Times New Roman"/>
          <w:sz w:val="20"/>
          <w:szCs w:val="20"/>
          <w:color w:val="auto"/>
        </w:rPr>
        <w:t>3.1.</w:t>
        <w:tab/>
        <w:t>Your normal place of work will be at the Company’s offices at Waterloo Exchange, Waterloo Road, Dublin 4, or such other location as the Company may reasonably require.</w:t>
      </w:r>
    </w:p>
    <w:p>
      <w:pPr>
        <w:spacing w:after="0" w:line="54" w:lineRule="exact"/>
        <w:rPr>
          <w:sz w:val="20"/>
          <w:szCs w:val="20"/>
          <w:color w:val="auto"/>
        </w:rPr>
      </w:pPr>
    </w:p>
    <w:p>
      <w:pPr>
        <w:jc w:val="right"/>
        <w:spacing w:after="0" w:line="212" w:lineRule="auto"/>
        <w:rPr>
          <w:sz w:val="20"/>
          <w:szCs w:val="20"/>
          <w:color w:val="auto"/>
        </w:rPr>
      </w:pPr>
      <w:r>
        <w:rPr>
          <w:rFonts w:ascii="Times New Roman" w:cs="Times New Roman" w:eastAsia="Times New Roman" w:hAnsi="Times New Roman"/>
          <w:sz w:val="20"/>
          <w:szCs w:val="20"/>
          <w:color w:val="auto"/>
        </w:rPr>
        <w:t>3.2.   You may be required to travel to other locations from time to time, including the United States. Where you are required to work outside the Republic of Ireland ("Ireland") for a period of at least one month, prior to departure, you will be provided with written</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terms and conditions which will apply for the period spent abroad.</w:t>
      </w:r>
    </w:p>
    <w:p>
      <w:pPr>
        <w:spacing w:after="0" w:line="203" w:lineRule="exact"/>
        <w:rPr>
          <w:sz w:val="20"/>
          <w:szCs w:val="20"/>
          <w:color w:val="auto"/>
        </w:rPr>
      </w:pPr>
    </w:p>
    <w:p>
      <w:pPr>
        <w:ind w:left="420" w:hanging="409"/>
        <w:spacing w:after="0"/>
        <w:tabs>
          <w:tab w:leader="none" w:pos="420" w:val="left"/>
        </w:tabs>
        <w:numPr>
          <w:ilvl w:val="0"/>
          <w:numId w:val="74"/>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0"/>
          <w:szCs w:val="20"/>
          <w:b w:val="1"/>
          <w:bCs w:val="1"/>
          <w:u w:val="single" w:color="auto"/>
          <w:color w:val="auto"/>
        </w:rPr>
        <w:t>HOURS OF WORK</w:t>
      </w:r>
    </w:p>
    <w:p>
      <w:pPr>
        <w:spacing w:after="0" w:line="39" w:lineRule="exact"/>
        <w:rPr>
          <w:sz w:val="20"/>
          <w:szCs w:val="20"/>
          <w:color w:val="auto"/>
        </w:rPr>
      </w:pPr>
    </w:p>
    <w:p>
      <w:pPr>
        <w:ind w:left="640" w:right="360"/>
        <w:spacing w:after="0" w:line="219" w:lineRule="auto"/>
        <w:rPr>
          <w:sz w:val="20"/>
          <w:szCs w:val="20"/>
          <w:color w:val="auto"/>
        </w:rPr>
      </w:pPr>
      <w:r>
        <w:rPr>
          <w:rFonts w:ascii="Times New Roman" w:cs="Times New Roman" w:eastAsia="Times New Roman" w:hAnsi="Times New Roman"/>
          <w:sz w:val="20"/>
          <w:szCs w:val="20"/>
          <w:color w:val="auto"/>
        </w:rPr>
        <w:t>Given the nature of your position, you will be required to work the requisite hours and days in order to best perform your duties, and a degree of flexibility will be required on your part. You shall work a minimum of</w:t>
      </w:r>
    </w:p>
    <w:p>
      <w:pPr>
        <w:spacing w:after="0" w:line="2" w:lineRule="exact"/>
        <w:rPr>
          <w:sz w:val="20"/>
          <w:szCs w:val="20"/>
          <w:color w:val="auto"/>
        </w:rPr>
      </w:pPr>
    </w:p>
    <w:p>
      <w:pPr>
        <w:ind w:left="640" w:right="380"/>
        <w:spacing w:after="0" w:line="223" w:lineRule="auto"/>
        <w:rPr>
          <w:sz w:val="20"/>
          <w:szCs w:val="20"/>
          <w:color w:val="auto"/>
        </w:rPr>
      </w:pPr>
      <w:r>
        <w:rPr>
          <w:rFonts w:ascii="Times New Roman" w:cs="Times New Roman" w:eastAsia="Times New Roman" w:hAnsi="Times New Roman"/>
          <w:sz w:val="18"/>
          <w:szCs w:val="18"/>
          <w:color w:val="auto"/>
        </w:rPr>
        <w:t>37.5 hours per week; your agreed hours of work shall be normal business hours and you will be required to work such additional hours as appropriate for the proper performance of your duties without extra remuneration, and the fact that you may</w:t>
      </w:r>
    </w:p>
    <w:p>
      <w:pPr>
        <w:ind w:left="640"/>
        <w:spacing w:after="0" w:line="209" w:lineRule="auto"/>
        <w:rPr>
          <w:sz w:val="20"/>
          <w:szCs w:val="20"/>
          <w:color w:val="auto"/>
        </w:rPr>
      </w:pPr>
      <w:r>
        <w:rPr>
          <w:rFonts w:ascii="Times New Roman" w:cs="Times New Roman" w:eastAsia="Times New Roman" w:hAnsi="Times New Roman"/>
          <w:sz w:val="20"/>
          <w:szCs w:val="20"/>
          <w:color w:val="auto"/>
        </w:rPr>
        <w:t>need to work over the weekends on occasion (including on Sundays) is already taken into account in the determination of your</w:t>
      </w:r>
    </w:p>
    <w:p>
      <w:pPr>
        <w:spacing w:after="0" w:line="1" w:lineRule="exact"/>
        <w:rPr>
          <w:sz w:val="20"/>
          <w:szCs w:val="20"/>
          <w:color w:val="auto"/>
        </w:rPr>
      </w:pPr>
    </w:p>
    <w:p>
      <w:pPr>
        <w:ind w:left="640" w:right="380"/>
        <w:spacing w:after="0" w:line="218" w:lineRule="auto"/>
        <w:rPr>
          <w:sz w:val="20"/>
          <w:szCs w:val="20"/>
          <w:color w:val="auto"/>
        </w:rPr>
      </w:pPr>
      <w:r>
        <w:rPr>
          <w:rFonts w:ascii="Times New Roman" w:cs="Times New Roman" w:eastAsia="Times New Roman" w:hAnsi="Times New Roman"/>
          <w:sz w:val="20"/>
          <w:szCs w:val="20"/>
          <w:color w:val="auto"/>
        </w:rPr>
        <w:t>salary. You hereby acknowledge that you are responsible for determining the duration of your own working time, and Part II of the Organization of Working Time Act, 1997 shall not apply to your employment.</w:t>
      </w:r>
    </w:p>
    <w:p>
      <w:pPr>
        <w:spacing w:after="0" w:line="202" w:lineRule="exact"/>
        <w:rPr>
          <w:sz w:val="20"/>
          <w:szCs w:val="20"/>
          <w:color w:val="auto"/>
        </w:rPr>
      </w:pPr>
    </w:p>
    <w:p>
      <w:pPr>
        <w:ind w:left="420" w:hanging="409"/>
        <w:spacing w:after="0"/>
        <w:tabs>
          <w:tab w:leader="none" w:pos="420" w:val="left"/>
        </w:tabs>
        <w:numPr>
          <w:ilvl w:val="0"/>
          <w:numId w:val="75"/>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0"/>
          <w:szCs w:val="20"/>
          <w:b w:val="1"/>
          <w:bCs w:val="1"/>
          <w:u w:val="single" w:color="auto"/>
          <w:color w:val="auto"/>
        </w:rPr>
        <w:t>REPORTING STRUCTURE</w:t>
      </w:r>
    </w:p>
    <w:p>
      <w:pPr>
        <w:spacing w:after="0" w:line="52" w:lineRule="exact"/>
        <w:rPr>
          <w:sz w:val="20"/>
          <w:szCs w:val="20"/>
          <w:color w:val="auto"/>
        </w:rPr>
      </w:pPr>
    </w:p>
    <w:p>
      <w:pPr>
        <w:ind w:left="640" w:right="380"/>
        <w:spacing w:after="0" w:line="229" w:lineRule="auto"/>
        <w:rPr>
          <w:sz w:val="20"/>
          <w:szCs w:val="20"/>
          <w:color w:val="auto"/>
        </w:rPr>
      </w:pPr>
      <w:r>
        <w:rPr>
          <w:rFonts w:ascii="Times New Roman" w:cs="Times New Roman" w:eastAsia="Times New Roman" w:hAnsi="Times New Roman"/>
          <w:sz w:val="20"/>
          <w:szCs w:val="20"/>
          <w:color w:val="auto"/>
        </w:rPr>
        <w:t>You will report directly to Dan Swisher, President and Chief Operating Officer; however the reporting structure may change from time to time, at the discretion of the Company.</w:t>
      </w:r>
    </w:p>
    <w:p>
      <w:pPr>
        <w:spacing w:after="0" w:line="203" w:lineRule="exact"/>
        <w:rPr>
          <w:sz w:val="20"/>
          <w:szCs w:val="20"/>
          <w:color w:val="auto"/>
        </w:rPr>
      </w:pPr>
    </w:p>
    <w:p>
      <w:pPr>
        <w:ind w:left="420" w:hanging="409"/>
        <w:spacing w:after="0"/>
        <w:tabs>
          <w:tab w:leader="none" w:pos="420" w:val="left"/>
        </w:tabs>
        <w:numPr>
          <w:ilvl w:val="0"/>
          <w:numId w:val="76"/>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0"/>
          <w:szCs w:val="20"/>
          <w:b w:val="1"/>
          <w:bCs w:val="1"/>
          <w:u w:val="single" w:color="auto"/>
          <w:color w:val="auto"/>
        </w:rPr>
        <w:t>EXCLUSIVITY OF SERVICE</w:t>
      </w:r>
    </w:p>
    <w:p>
      <w:pPr>
        <w:spacing w:after="0" w:line="48" w:lineRule="exact"/>
        <w:rPr>
          <w:rFonts w:ascii="Times New Roman" w:cs="Times New Roman" w:eastAsia="Times New Roman" w:hAnsi="Times New Roman"/>
          <w:sz w:val="23"/>
          <w:szCs w:val="23"/>
          <w:b w:val="1"/>
          <w:bCs w:val="1"/>
          <w:color w:val="auto"/>
        </w:rPr>
      </w:pPr>
    </w:p>
    <w:p>
      <w:pPr>
        <w:ind w:left="500" w:hanging="489"/>
        <w:spacing w:after="0"/>
        <w:tabs>
          <w:tab w:leader="none" w:pos="50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Exclusive Employment</w:t>
      </w:r>
    </w:p>
    <w:p>
      <w:pPr>
        <w:sectPr>
          <w:pgSz w:w="11900" w:h="16838" w:orient="portrait"/>
          <w:cols w:equalWidth="0" w:num="1">
            <w:col w:w="11020"/>
          </w:cols>
          <w:pgMar w:left="440" w:top="1440" w:right="439" w:bottom="1440" w:gutter="0" w:footer="0" w:header="0"/>
        </w:sectPr>
      </w:pPr>
    </w:p>
    <w:bookmarkStart w:id="183" w:name="page184"/>
    <w:bookmarkEnd w:id="183"/>
    <w:p>
      <w:pPr>
        <w:spacing w:after="0" w:line="200" w:lineRule="exact"/>
        <w:rPr>
          <w:sz w:val="20"/>
          <w:szCs w:val="20"/>
          <w:color w:val="auto"/>
        </w:rPr>
      </w:pPr>
    </w:p>
    <w:p>
      <w:pPr>
        <w:spacing w:after="0" w:line="3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You acknowledge that it is required by the Company in order to protect Confidential Information and to avoid any potential conflicts</w:t>
      </w:r>
    </w:p>
    <w:p>
      <w:pPr>
        <w:spacing w:after="0" w:line="15" w:lineRule="exact"/>
        <w:rPr>
          <w:sz w:val="20"/>
          <w:szCs w:val="20"/>
          <w:color w:val="auto"/>
        </w:rPr>
      </w:pPr>
    </w:p>
    <w:p>
      <w:pPr>
        <w:jc w:val="both"/>
        <w:ind w:left="640"/>
        <w:spacing w:after="0" w:line="201" w:lineRule="auto"/>
        <w:rPr>
          <w:sz w:val="20"/>
          <w:szCs w:val="20"/>
          <w:color w:val="auto"/>
        </w:rPr>
      </w:pPr>
      <w:r>
        <w:rPr>
          <w:rFonts w:ascii="Times New Roman" w:cs="Times New Roman" w:eastAsia="Times New Roman" w:hAnsi="Times New Roman"/>
          <w:sz w:val="20"/>
          <w:szCs w:val="20"/>
          <w:color w:val="auto"/>
        </w:rPr>
        <w:t>of interest that you shall not during the course of your employment (except as a representative of the Company) and subject to clause 6.2, undertake nor, directly or indirectly be engaged, concerned or interested in, nor make preparations to be engaged,</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concerned or interested in, any other Person or become an employee, officer, servant or agent of or consultant to any other Person.</w:t>
      </w:r>
    </w:p>
    <w:p>
      <w:pPr>
        <w:spacing w:after="0" w:line="64"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20"/>
          <w:szCs w:val="20"/>
          <w:color w:val="auto"/>
        </w:rPr>
        <w:t>6.2.</w:t>
      </w:r>
      <w:r>
        <w:rPr>
          <w:sz w:val="20"/>
          <w:szCs w:val="20"/>
          <w:color w:val="auto"/>
        </w:rPr>
        <w:tab/>
      </w:r>
      <w:r>
        <w:rPr>
          <w:rFonts w:ascii="Times New Roman" w:cs="Times New Roman" w:eastAsia="Times New Roman" w:hAnsi="Times New Roman"/>
          <w:sz w:val="18"/>
          <w:szCs w:val="18"/>
          <w:color w:val="auto"/>
        </w:rPr>
        <w:t>Nothing in this clause shall preclude you:</w:t>
      </w:r>
    </w:p>
    <w:p>
      <w:pPr>
        <w:spacing w:after="0" w:line="76" w:lineRule="exact"/>
        <w:rPr>
          <w:sz w:val="20"/>
          <w:szCs w:val="20"/>
          <w:color w:val="auto"/>
        </w:rPr>
      </w:pPr>
    </w:p>
    <w:p>
      <w:pPr>
        <w:jc w:val="right"/>
        <w:ind w:left="640"/>
        <w:spacing w:after="0" w:line="212" w:lineRule="auto"/>
        <w:rPr>
          <w:sz w:val="20"/>
          <w:szCs w:val="20"/>
          <w:color w:val="auto"/>
        </w:rPr>
      </w:pPr>
      <w:r>
        <w:rPr>
          <w:rFonts w:ascii="Times New Roman" w:cs="Times New Roman" w:eastAsia="Times New Roman" w:hAnsi="Times New Roman"/>
          <w:sz w:val="20"/>
          <w:szCs w:val="20"/>
          <w:color w:val="auto"/>
        </w:rPr>
        <w:t>6.2.1   from holding, being interested in or acquiring (beneficially or otherwise), when aggregated with any such holding of your spouse and children under the age of 18, up to 3% of any class of securities quoted or dealt in on a recognised investment</w:t>
      </w:r>
    </w:p>
    <w:p>
      <w:pPr>
        <w:ind w:left="1400"/>
        <w:spacing w:after="0" w:line="233" w:lineRule="auto"/>
        <w:rPr>
          <w:sz w:val="20"/>
          <w:szCs w:val="20"/>
          <w:color w:val="auto"/>
        </w:rPr>
      </w:pPr>
      <w:r>
        <w:rPr>
          <w:rFonts w:ascii="Times New Roman" w:cs="Times New Roman" w:eastAsia="Times New Roman" w:hAnsi="Times New Roman"/>
          <w:sz w:val="18"/>
          <w:szCs w:val="18"/>
          <w:color w:val="auto"/>
        </w:rPr>
        <w:t>exchange and up to 10% of any class of securities not so quoted or dealt by way of bona fide investment unless the Board</w:t>
      </w:r>
    </w:p>
    <w:p>
      <w:pPr>
        <w:ind w:left="1400"/>
        <w:spacing w:after="0" w:line="223" w:lineRule="auto"/>
        <w:rPr>
          <w:sz w:val="20"/>
          <w:szCs w:val="20"/>
          <w:color w:val="auto"/>
        </w:rPr>
      </w:pPr>
      <w:r>
        <w:rPr>
          <w:rFonts w:ascii="Times New Roman" w:cs="Times New Roman" w:eastAsia="Times New Roman" w:hAnsi="Times New Roman"/>
          <w:sz w:val="18"/>
          <w:szCs w:val="18"/>
          <w:color w:val="auto"/>
        </w:rPr>
        <w:t>shall require you not to do so in any particular case on the ground that such other company is a competitor of the Company or any Associated Undertaking and accordingly you shall promptly inform the Board in writing of each and every holding</w:t>
      </w:r>
    </w:p>
    <w:p>
      <w:pPr>
        <w:spacing w:after="0" w:line="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0"/>
          <w:szCs w:val="20"/>
          <w:color w:val="auto"/>
        </w:rPr>
        <w:t>or acquisition; or</w:t>
      </w:r>
    </w:p>
    <w:p>
      <w:pPr>
        <w:spacing w:after="0" w:line="54" w:lineRule="exact"/>
        <w:rPr>
          <w:sz w:val="20"/>
          <w:szCs w:val="20"/>
          <w:color w:val="auto"/>
        </w:rPr>
      </w:pPr>
    </w:p>
    <w:p>
      <w:pPr>
        <w:jc w:val="right"/>
        <w:ind w:left="640"/>
        <w:spacing w:after="0" w:line="236" w:lineRule="auto"/>
        <w:rPr>
          <w:sz w:val="20"/>
          <w:szCs w:val="20"/>
          <w:color w:val="auto"/>
        </w:rPr>
      </w:pPr>
      <w:r>
        <w:rPr>
          <w:rFonts w:ascii="Times New Roman" w:cs="Times New Roman" w:eastAsia="Times New Roman" w:hAnsi="Times New Roman"/>
          <w:sz w:val="18"/>
          <w:szCs w:val="18"/>
          <w:color w:val="auto"/>
        </w:rPr>
        <w:t>6.2.2  (if the Company shall at its absolute discretion so agree in writing) from being concerned or taking an interest in or assuming responsibilities to (in any capacity whatsoever including without limitation to the generality of the foregoing as a director,</w:t>
      </w:r>
    </w:p>
    <w:p>
      <w:pPr>
        <w:spacing w:after="0" w:line="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officer, servant, agent or consultant) any company (which is not a member of the Group) or Person provided always that:</w:t>
      </w:r>
    </w:p>
    <w:p>
      <w:pPr>
        <w:spacing w:after="0" w:line="77" w:lineRule="exact"/>
        <w:rPr>
          <w:sz w:val="20"/>
          <w:szCs w:val="20"/>
          <w:color w:val="auto"/>
        </w:rPr>
      </w:pPr>
    </w:p>
    <w:p>
      <w:pPr>
        <w:ind w:left="2040" w:right="20" w:hanging="645"/>
        <w:spacing w:after="0" w:line="229" w:lineRule="auto"/>
        <w:tabs>
          <w:tab w:leader="none" w:pos="1823"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business or activity of such Person is not in conflict and does not compete and is not likely to compete with the business of the Company or any Associated Undertaking; and</w:t>
      </w:r>
    </w:p>
    <w:p>
      <w:pPr>
        <w:spacing w:after="0" w:line="53" w:lineRule="exact"/>
        <w:rPr>
          <w:rFonts w:ascii="Times New Roman" w:cs="Times New Roman" w:eastAsia="Times New Roman" w:hAnsi="Times New Roman"/>
          <w:sz w:val="20"/>
          <w:szCs w:val="20"/>
          <w:color w:val="auto"/>
        </w:rPr>
      </w:pPr>
    </w:p>
    <w:p>
      <w:pPr>
        <w:ind w:left="2040" w:right="20" w:hanging="645"/>
        <w:spacing w:after="0" w:line="236" w:lineRule="auto"/>
        <w:tabs>
          <w:tab w:leader="none" w:pos="1844"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interest in and responsibilities towards such Person do not interfere with the proper performance by you of your duties under this Agreement.</w:t>
      </w:r>
    </w:p>
    <w:p>
      <w:pPr>
        <w:spacing w:after="0" w:line="203" w:lineRule="exact"/>
        <w:rPr>
          <w:sz w:val="20"/>
          <w:szCs w:val="20"/>
          <w:color w:val="auto"/>
        </w:rPr>
      </w:pPr>
    </w:p>
    <w:p>
      <w:pPr>
        <w:ind w:left="420" w:hanging="409"/>
        <w:spacing w:after="0"/>
        <w:tabs>
          <w:tab w:leader="none" w:pos="420" w:val="left"/>
        </w:tabs>
        <w:numPr>
          <w:ilvl w:val="0"/>
          <w:numId w:val="79"/>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0"/>
          <w:szCs w:val="20"/>
          <w:b w:val="1"/>
          <w:bCs w:val="1"/>
          <w:u w:val="single" w:color="auto"/>
          <w:color w:val="auto"/>
        </w:rPr>
        <w:t>SIGN-ON BONUS</w:t>
      </w:r>
    </w:p>
    <w:p>
      <w:pPr>
        <w:spacing w:after="0" w:line="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As part of your initial employment compensation, you will be eligible for a one time sign-on bonus of €150,000 gross, to be paid</w:t>
      </w:r>
    </w:p>
    <w:p>
      <w:pPr>
        <w:ind w:left="640"/>
        <w:spacing w:after="0" w:line="201" w:lineRule="auto"/>
        <w:rPr>
          <w:sz w:val="20"/>
          <w:szCs w:val="20"/>
          <w:color w:val="auto"/>
        </w:rPr>
      </w:pPr>
      <w:r>
        <w:rPr>
          <w:rFonts w:ascii="Times New Roman" w:cs="Times New Roman" w:eastAsia="Times New Roman" w:hAnsi="Times New Roman"/>
          <w:sz w:val="20"/>
          <w:szCs w:val="20"/>
          <w:color w:val="auto"/>
        </w:rPr>
        <w:t>with the payroll following completion of 30 days’ continuous service. These payments will be subject to deductions of tax, PRSI, Universal Social Charge and any other deductions required by law or provided for in this Agreement. The sign-on bonus may be</w:t>
      </w:r>
    </w:p>
    <w:p>
      <w:pPr>
        <w:spacing w:after="0" w:line="1" w:lineRule="exact"/>
        <w:rPr>
          <w:sz w:val="20"/>
          <w:szCs w:val="20"/>
          <w:color w:val="auto"/>
        </w:rPr>
      </w:pPr>
    </w:p>
    <w:p>
      <w:pPr>
        <w:ind w:left="640"/>
        <w:spacing w:after="0" w:line="225" w:lineRule="auto"/>
        <w:rPr>
          <w:sz w:val="20"/>
          <w:szCs w:val="20"/>
          <w:color w:val="auto"/>
        </w:rPr>
      </w:pPr>
      <w:r>
        <w:rPr>
          <w:rFonts w:ascii="Times New Roman" w:cs="Times New Roman" w:eastAsia="Times New Roman" w:hAnsi="Times New Roman"/>
          <w:sz w:val="20"/>
          <w:szCs w:val="20"/>
          <w:color w:val="auto"/>
        </w:rPr>
        <w:t xml:space="preserve">subject to repayment as set forth in the Sign-On Bonus Repayment Agreement attached as </w:t>
      </w:r>
      <w:r>
        <w:rPr>
          <w:rFonts w:ascii="Times New Roman" w:cs="Times New Roman" w:eastAsia="Times New Roman" w:hAnsi="Times New Roman"/>
          <w:sz w:val="20"/>
          <w:szCs w:val="20"/>
          <w:b w:val="1"/>
          <w:bCs w:val="1"/>
          <w:color w:val="auto"/>
        </w:rPr>
        <w:t>Schedule 1</w:t>
      </w:r>
      <w:r>
        <w:rPr>
          <w:rFonts w:ascii="Times New Roman" w:cs="Times New Roman" w:eastAsia="Times New Roman" w:hAnsi="Times New Roman"/>
          <w:sz w:val="20"/>
          <w:szCs w:val="20"/>
          <w:color w:val="auto"/>
        </w:rPr>
        <w:t>, and you will need to sign and return the Sign-On Bonus Repayment Agreement within ten business days.</w:t>
      </w:r>
    </w:p>
    <w:p>
      <w:pPr>
        <w:spacing w:after="0" w:line="202" w:lineRule="exact"/>
        <w:rPr>
          <w:sz w:val="20"/>
          <w:szCs w:val="20"/>
          <w:color w:val="auto"/>
        </w:rPr>
      </w:pPr>
    </w:p>
    <w:p>
      <w:pPr>
        <w:ind w:left="420" w:hanging="409"/>
        <w:spacing w:after="0"/>
        <w:tabs>
          <w:tab w:leader="none" w:pos="420" w:val="left"/>
        </w:tabs>
        <w:numPr>
          <w:ilvl w:val="0"/>
          <w:numId w:val="80"/>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0"/>
          <w:szCs w:val="20"/>
          <w:b w:val="1"/>
          <w:bCs w:val="1"/>
          <w:u w:val="single" w:color="auto"/>
          <w:color w:val="auto"/>
        </w:rPr>
        <w:t>DIRECTORSHIPS</w:t>
      </w:r>
    </w:p>
    <w:p>
      <w:pPr>
        <w:spacing w:after="0" w:line="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auto"/>
        </w:rPr>
        <w:t>8.1.</w:t>
      </w:r>
      <w:r>
        <w:rPr>
          <w:sz w:val="20"/>
          <w:szCs w:val="20"/>
          <w:color w:val="auto"/>
        </w:rPr>
        <w:tab/>
      </w:r>
      <w:r>
        <w:rPr>
          <w:rFonts w:ascii="Times New Roman" w:cs="Times New Roman" w:eastAsia="Times New Roman" w:hAnsi="Times New Roman"/>
          <w:sz w:val="18"/>
          <w:szCs w:val="18"/>
          <w:color w:val="auto"/>
        </w:rPr>
        <w:t>Your office as a director of any Group company (including but not limited to the Company and Gentium Srl) is subject to the Articles</w:t>
      </w:r>
    </w:p>
    <w:p>
      <w:pPr>
        <w:ind w:left="640" w:right="20"/>
        <w:spacing w:after="0" w:line="218" w:lineRule="auto"/>
        <w:rPr>
          <w:sz w:val="20"/>
          <w:szCs w:val="20"/>
          <w:color w:val="auto"/>
        </w:rPr>
      </w:pPr>
      <w:r>
        <w:rPr>
          <w:rFonts w:ascii="Times New Roman" w:cs="Times New Roman" w:eastAsia="Times New Roman" w:hAnsi="Times New Roman"/>
          <w:sz w:val="20"/>
          <w:szCs w:val="20"/>
          <w:color w:val="auto"/>
        </w:rPr>
        <w:t>of Association of the relevant company (as amended from time to time). If the provisions of this Agreement conflict with the provisions of the Articles of Association, the Articles of Association will prevail.</w:t>
      </w:r>
    </w:p>
    <w:p>
      <w:pPr>
        <w:spacing w:after="0" w:line="53" w:lineRule="exact"/>
        <w:rPr>
          <w:sz w:val="20"/>
          <w:szCs w:val="20"/>
          <w:color w:val="auto"/>
        </w:rPr>
      </w:pPr>
    </w:p>
    <w:p>
      <w:pPr>
        <w:ind w:left="640" w:right="20" w:hanging="639"/>
        <w:spacing w:after="0" w:line="236" w:lineRule="auto"/>
        <w:tabs>
          <w:tab w:leader="none" w:pos="620" w:val="left"/>
        </w:tabs>
        <w:rPr>
          <w:sz w:val="20"/>
          <w:szCs w:val="20"/>
          <w:color w:val="auto"/>
        </w:rPr>
      </w:pPr>
      <w:r>
        <w:rPr>
          <w:rFonts w:ascii="Times New Roman" w:cs="Times New Roman" w:eastAsia="Times New Roman" w:hAnsi="Times New Roman"/>
          <w:sz w:val="20"/>
          <w:szCs w:val="20"/>
          <w:color w:val="auto"/>
        </w:rPr>
        <w:t>8.2.</w:t>
      </w:r>
      <w:r>
        <w:rPr>
          <w:sz w:val="20"/>
          <w:szCs w:val="20"/>
          <w:color w:val="auto"/>
        </w:rPr>
        <w:tab/>
      </w:r>
      <w:r>
        <w:rPr>
          <w:rFonts w:ascii="Times New Roman" w:cs="Times New Roman" w:eastAsia="Times New Roman" w:hAnsi="Times New Roman"/>
          <w:sz w:val="20"/>
          <w:szCs w:val="20"/>
          <w:color w:val="auto"/>
        </w:rPr>
        <w:t>You must resign from any office held in any Group company if you are asked to do so by the Company without claim for compensation.</w:t>
      </w:r>
    </w:p>
    <w:p>
      <w:pPr>
        <w:spacing w:after="0" w:line="40" w:lineRule="exact"/>
        <w:rPr>
          <w:sz w:val="20"/>
          <w:szCs w:val="20"/>
          <w:color w:val="auto"/>
        </w:rPr>
      </w:pPr>
    </w:p>
    <w:p>
      <w:pPr>
        <w:jc w:val="right"/>
        <w:spacing w:after="0" w:line="219" w:lineRule="auto"/>
        <w:rPr>
          <w:sz w:val="20"/>
          <w:szCs w:val="20"/>
          <w:color w:val="auto"/>
        </w:rPr>
      </w:pPr>
      <w:r>
        <w:rPr>
          <w:rFonts w:ascii="Times New Roman" w:cs="Times New Roman" w:eastAsia="Times New Roman" w:hAnsi="Times New Roman"/>
          <w:sz w:val="20"/>
          <w:szCs w:val="20"/>
          <w:color w:val="auto"/>
        </w:rPr>
        <w:t>8.3.   If you do not resign as an officer of a Group company, having been requested to do so in accordance with clause 8.2, the Company will be appointed as your attorney to effect your resignation. By entering into this Agreement, you irrevocably appoint the Company</w:t>
      </w:r>
    </w:p>
    <w:p>
      <w:pPr>
        <w:spacing w:after="0" w:line="2" w:lineRule="exact"/>
        <w:rPr>
          <w:sz w:val="20"/>
          <w:szCs w:val="20"/>
          <w:color w:val="auto"/>
        </w:rPr>
      </w:pPr>
    </w:p>
    <w:p>
      <w:pPr>
        <w:ind w:left="640"/>
        <w:spacing w:after="0" w:line="223" w:lineRule="auto"/>
        <w:rPr>
          <w:sz w:val="20"/>
          <w:szCs w:val="20"/>
          <w:color w:val="auto"/>
        </w:rPr>
      </w:pPr>
      <w:r>
        <w:rPr>
          <w:rFonts w:ascii="Times New Roman" w:cs="Times New Roman" w:eastAsia="Times New Roman" w:hAnsi="Times New Roman"/>
          <w:sz w:val="18"/>
          <w:szCs w:val="18"/>
          <w:color w:val="auto"/>
        </w:rPr>
        <w:t>as your attorney to act on your behalf to execute any document or do anything in your name necessary to effect your resignation. If there is any doubt as to whether such a document (or other thing) has been carried out within the authority conferred by this clause</w:t>
      </w:r>
    </w:p>
    <w:p>
      <w:pPr>
        <w:spacing w:after="0" w:line="1" w:lineRule="exact"/>
        <w:rPr>
          <w:sz w:val="20"/>
          <w:szCs w:val="20"/>
          <w:color w:val="auto"/>
        </w:rPr>
      </w:pPr>
    </w:p>
    <w:p>
      <w:pPr>
        <w:ind w:left="640"/>
        <w:spacing w:after="0" w:line="225" w:lineRule="auto"/>
        <w:rPr>
          <w:sz w:val="20"/>
          <w:szCs w:val="20"/>
          <w:color w:val="auto"/>
        </w:rPr>
      </w:pPr>
      <w:r>
        <w:rPr>
          <w:rFonts w:ascii="Times New Roman" w:cs="Times New Roman" w:eastAsia="Times New Roman" w:hAnsi="Times New Roman"/>
          <w:sz w:val="20"/>
          <w:szCs w:val="20"/>
          <w:color w:val="auto"/>
        </w:rPr>
        <w:t>8.3, a certificate in writing (signed by any director or the secretary of the Company) will be sufficient to prove that the act or thing falls within that authority.</w:t>
      </w:r>
    </w:p>
    <w:p>
      <w:pPr>
        <w:sectPr>
          <w:pgSz w:w="11900" w:h="16838" w:orient="portrait"/>
          <w:cols w:equalWidth="0" w:num="1">
            <w:col w:w="11020"/>
          </w:cols>
          <w:pgMar w:left="440" w:top="1440" w:right="439" w:bottom="1440" w:gutter="0" w:footer="0" w:header="0"/>
        </w:sectPr>
      </w:pPr>
    </w:p>
    <w:bookmarkStart w:id="184" w:name="page185"/>
    <w:bookmarkEnd w:id="184"/>
    <w:p>
      <w:pPr>
        <w:spacing w:after="0" w:line="200" w:lineRule="exact"/>
        <w:rPr>
          <w:sz w:val="20"/>
          <w:szCs w:val="20"/>
          <w:color w:val="auto"/>
        </w:rPr>
      </w:pPr>
    </w:p>
    <w:p>
      <w:pPr>
        <w:spacing w:after="0" w:line="314" w:lineRule="exact"/>
        <w:rPr>
          <w:sz w:val="20"/>
          <w:szCs w:val="20"/>
          <w:color w:val="auto"/>
        </w:rPr>
      </w:pPr>
    </w:p>
    <w:p>
      <w:pPr>
        <w:ind w:left="500" w:right="420" w:hanging="639"/>
        <w:spacing w:after="0" w:line="236" w:lineRule="auto"/>
        <w:tabs>
          <w:tab w:leader="none" w:pos="480" w:val="left"/>
        </w:tabs>
        <w:rPr>
          <w:sz w:val="20"/>
          <w:szCs w:val="20"/>
          <w:color w:val="auto"/>
        </w:rPr>
      </w:pPr>
      <w:r>
        <w:rPr>
          <w:rFonts w:ascii="Times New Roman" w:cs="Times New Roman" w:eastAsia="Times New Roman" w:hAnsi="Times New Roman"/>
          <w:sz w:val="20"/>
          <w:szCs w:val="20"/>
          <w:color w:val="auto"/>
        </w:rPr>
        <w:t>8.4.</w:t>
        <w:tab/>
        <w:t>During employment you will not do anything which could cause you to be disqualified from continuing to act as a director of any Group company.</w:t>
      </w:r>
    </w:p>
    <w:p>
      <w:pPr>
        <w:spacing w:after="0" w:line="40"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20"/>
          <w:szCs w:val="20"/>
          <w:color w:val="auto"/>
        </w:rPr>
        <w:t>8.5.</w:t>
      </w:r>
      <w:r>
        <w:rPr>
          <w:sz w:val="20"/>
          <w:szCs w:val="20"/>
          <w:color w:val="auto"/>
        </w:rPr>
        <w:tab/>
      </w:r>
      <w:r>
        <w:rPr>
          <w:rFonts w:ascii="Times New Roman" w:cs="Times New Roman" w:eastAsia="Times New Roman" w:hAnsi="Times New Roman"/>
          <w:sz w:val="18"/>
          <w:szCs w:val="18"/>
          <w:color w:val="auto"/>
        </w:rPr>
        <w:t>You must not resign your office as a director of any Group company without the agreement of the Company.</w:t>
      </w:r>
    </w:p>
    <w:p>
      <w:pPr>
        <w:spacing w:after="0" w:line="63" w:lineRule="exact"/>
        <w:rPr>
          <w:sz w:val="20"/>
          <w:szCs w:val="20"/>
          <w:color w:val="auto"/>
        </w:rPr>
      </w:pPr>
    </w:p>
    <w:p>
      <w:pPr>
        <w:ind w:left="500" w:right="860" w:hanging="639"/>
        <w:spacing w:after="0" w:line="236" w:lineRule="auto"/>
        <w:tabs>
          <w:tab w:leader="none" w:pos="480" w:val="left"/>
        </w:tabs>
        <w:rPr>
          <w:sz w:val="20"/>
          <w:szCs w:val="20"/>
          <w:color w:val="auto"/>
        </w:rPr>
      </w:pPr>
      <w:r>
        <w:rPr>
          <w:rFonts w:ascii="Times New Roman" w:cs="Times New Roman" w:eastAsia="Times New Roman" w:hAnsi="Times New Roman"/>
          <w:sz w:val="20"/>
          <w:szCs w:val="20"/>
          <w:color w:val="auto"/>
        </w:rPr>
        <w:t>8.6.</w:t>
        <w:tab/>
        <w:t>You shall comply with your statutory fiduciary and common law duties to the Company, to Gentium Srl and any Associated Undertaking of which you may become a director during the continuance of your employment.</w:t>
      </w:r>
    </w:p>
    <w:p>
      <w:pPr>
        <w:spacing w:after="0" w:line="203" w:lineRule="exact"/>
        <w:rPr>
          <w:sz w:val="20"/>
          <w:szCs w:val="20"/>
          <w:color w:val="auto"/>
        </w:rPr>
      </w:pPr>
    </w:p>
    <w:p>
      <w:pPr>
        <w:ind w:left="420" w:hanging="409"/>
        <w:spacing w:after="0"/>
        <w:tabs>
          <w:tab w:leader="none" w:pos="420" w:val="left"/>
        </w:tabs>
        <w:numPr>
          <w:ilvl w:val="0"/>
          <w:numId w:val="81"/>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0"/>
          <w:szCs w:val="20"/>
          <w:b w:val="1"/>
          <w:bCs w:val="1"/>
          <w:u w:val="single" w:color="auto"/>
          <w:color w:val="auto"/>
        </w:rPr>
        <w:t>SALARY</w:t>
      </w:r>
    </w:p>
    <w:p>
      <w:pPr>
        <w:spacing w:after="0" w:line="39" w:lineRule="exact"/>
        <w:rPr>
          <w:sz w:val="20"/>
          <w:szCs w:val="20"/>
          <w:color w:val="auto"/>
        </w:rPr>
      </w:pPr>
    </w:p>
    <w:p>
      <w:pPr>
        <w:jc w:val="right"/>
        <w:spacing w:after="0" w:line="195" w:lineRule="auto"/>
        <w:rPr>
          <w:sz w:val="20"/>
          <w:szCs w:val="20"/>
          <w:color w:val="auto"/>
        </w:rPr>
      </w:pPr>
      <w:r>
        <w:rPr>
          <w:rFonts w:ascii="Times New Roman" w:cs="Times New Roman" w:eastAsia="Times New Roman" w:hAnsi="Times New Roman"/>
          <w:sz w:val="20"/>
          <w:szCs w:val="20"/>
          <w:color w:val="auto"/>
        </w:rPr>
        <w:t>9.1.  Your initial salary will be €485,000 gross per annum and shall accrue from day to day. This will be paid to you monthly in arrears on the 25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each month by credit transfer directly to your bank account. Your salary will be subject to annual review each year.</w:t>
      </w:r>
    </w:p>
    <w:p>
      <w:pPr>
        <w:spacing w:after="0" w:line="1" w:lineRule="exact"/>
        <w:rPr>
          <w:sz w:val="20"/>
          <w:szCs w:val="20"/>
          <w:color w:val="auto"/>
        </w:rPr>
      </w:pPr>
    </w:p>
    <w:p>
      <w:pPr>
        <w:ind w:left="640"/>
        <w:spacing w:after="0" w:line="201" w:lineRule="auto"/>
        <w:rPr>
          <w:sz w:val="20"/>
          <w:szCs w:val="20"/>
          <w:color w:val="auto"/>
        </w:rPr>
      </w:pPr>
      <w:r>
        <w:rPr>
          <w:rFonts w:ascii="Times New Roman" w:cs="Times New Roman" w:eastAsia="Times New Roman" w:hAnsi="Times New Roman"/>
          <w:sz w:val="20"/>
          <w:szCs w:val="20"/>
          <w:color w:val="auto"/>
        </w:rPr>
        <w:t>There is no obligation to award an increase. There will be no review of the salary after notice has been given by either party to terminate your employment. The Company reserves the right to alter the method of payment of your salary, as may be reasonably</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necessary in the circumstances.</w:t>
      </w:r>
    </w:p>
    <w:p>
      <w:pPr>
        <w:spacing w:after="0" w:line="54" w:lineRule="exact"/>
        <w:rPr>
          <w:sz w:val="20"/>
          <w:szCs w:val="20"/>
          <w:color w:val="auto"/>
        </w:rPr>
      </w:pPr>
    </w:p>
    <w:p>
      <w:pPr>
        <w:jc w:val="right"/>
        <w:spacing w:after="0" w:line="212" w:lineRule="auto"/>
        <w:rPr>
          <w:sz w:val="20"/>
          <w:szCs w:val="20"/>
          <w:color w:val="auto"/>
        </w:rPr>
      </w:pPr>
      <w:r>
        <w:rPr>
          <w:rFonts w:ascii="Times New Roman" w:cs="Times New Roman" w:eastAsia="Times New Roman" w:hAnsi="Times New Roman"/>
          <w:sz w:val="20"/>
          <w:szCs w:val="20"/>
          <w:color w:val="auto"/>
        </w:rPr>
        <w:t>9.2.  All payments to you will be subject to deductions of tax, PRSI, Universal Social Charge and any other deductions required by law or provided for in this Agreement. Your PRSI contributions will be remitted to the Irish Revenue Commissioners. You will be notified</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each month by the Company of the amount of your gross and net remuneration and of the nature and amount of all deductions.</w:t>
      </w:r>
    </w:p>
    <w:p>
      <w:pPr>
        <w:spacing w:after="0" w:line="54" w:lineRule="exact"/>
        <w:rPr>
          <w:sz w:val="20"/>
          <w:szCs w:val="20"/>
          <w:color w:val="auto"/>
        </w:rPr>
      </w:pPr>
    </w:p>
    <w:p>
      <w:pPr>
        <w:jc w:val="right"/>
        <w:ind w:right="20"/>
        <w:spacing w:after="0" w:line="212" w:lineRule="auto"/>
        <w:rPr>
          <w:sz w:val="20"/>
          <w:szCs w:val="20"/>
          <w:color w:val="auto"/>
        </w:rPr>
      </w:pPr>
      <w:r>
        <w:rPr>
          <w:rFonts w:ascii="Times New Roman" w:cs="Times New Roman" w:eastAsia="Times New Roman" w:hAnsi="Times New Roman"/>
          <w:sz w:val="20"/>
          <w:szCs w:val="20"/>
          <w:color w:val="auto"/>
        </w:rPr>
        <w:t>9.3.  For the purposes of the National Minimum Wage Act, 2000, the pay reference period shall be a month. In accordance with section 23 of the Act, you may request from the Company a written statement of your average hourly rate of pay for any pay reference period</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(other than a current pay reference period) falling within the twelve month period immediately preceding the request.</w:t>
      </w:r>
    </w:p>
    <w:p>
      <w:pPr>
        <w:spacing w:after="0" w:line="54" w:lineRule="exact"/>
        <w:rPr>
          <w:sz w:val="20"/>
          <w:szCs w:val="20"/>
          <w:color w:val="auto"/>
        </w:rPr>
      </w:pPr>
    </w:p>
    <w:p>
      <w:pPr>
        <w:jc w:val="right"/>
        <w:spacing w:after="0" w:line="212" w:lineRule="auto"/>
        <w:rPr>
          <w:sz w:val="20"/>
          <w:szCs w:val="20"/>
          <w:color w:val="auto"/>
        </w:rPr>
      </w:pPr>
      <w:r>
        <w:rPr>
          <w:rFonts w:ascii="Times New Roman" w:cs="Times New Roman" w:eastAsia="Times New Roman" w:hAnsi="Times New Roman"/>
          <w:sz w:val="20"/>
          <w:szCs w:val="20"/>
          <w:color w:val="auto"/>
        </w:rPr>
        <w:t>9.4.  Your salary provided for in clause 9.1 shall be deemed to include any fee receivable by you as a director of the Company or Gentium Srl or any other company or unincorporated body in which you hold an office as nominee or representative of the Company or</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Gentium Srl.</w:t>
      </w:r>
    </w:p>
    <w:p>
      <w:pPr>
        <w:spacing w:after="0" w:line="54" w:lineRule="exact"/>
        <w:rPr>
          <w:sz w:val="20"/>
          <w:szCs w:val="20"/>
          <w:color w:val="auto"/>
        </w:rPr>
      </w:pPr>
    </w:p>
    <w:p>
      <w:pPr>
        <w:jc w:val="right"/>
        <w:spacing w:after="0" w:line="212" w:lineRule="auto"/>
        <w:rPr>
          <w:sz w:val="20"/>
          <w:szCs w:val="20"/>
          <w:color w:val="auto"/>
        </w:rPr>
      </w:pPr>
      <w:r>
        <w:rPr>
          <w:rFonts w:ascii="Times New Roman" w:cs="Times New Roman" w:eastAsia="Times New Roman" w:hAnsi="Times New Roman"/>
          <w:sz w:val="20"/>
          <w:szCs w:val="20"/>
          <w:color w:val="auto"/>
        </w:rPr>
        <w:t>9.5.   The Company may deduct from your salary, or other sums owed to you, any money owed to the Company by you. Where the Company suffers loss as a result of your actions or omissions, deductions will be made only after you have received written</w:t>
      </w:r>
    </w:p>
    <w:p>
      <w:pPr>
        <w:spacing w:after="0" w:line="2" w:lineRule="exact"/>
        <w:rPr>
          <w:sz w:val="20"/>
          <w:szCs w:val="20"/>
          <w:color w:val="auto"/>
        </w:rPr>
      </w:pPr>
    </w:p>
    <w:p>
      <w:pPr>
        <w:ind w:left="640" w:right="20"/>
        <w:spacing w:after="0" w:line="225" w:lineRule="auto"/>
        <w:rPr>
          <w:sz w:val="20"/>
          <w:szCs w:val="20"/>
          <w:color w:val="auto"/>
        </w:rPr>
      </w:pPr>
      <w:r>
        <w:rPr>
          <w:rFonts w:ascii="Times New Roman" w:cs="Times New Roman" w:eastAsia="Times New Roman" w:hAnsi="Times New Roman"/>
          <w:sz w:val="20"/>
          <w:szCs w:val="20"/>
          <w:color w:val="auto"/>
        </w:rPr>
        <w:t>notification providing at least one full week’s notice that the deduction will be made. The deduction must take place within 6 months of the loss/cost originally being incurred.</w:t>
      </w:r>
    </w:p>
    <w:p>
      <w:pPr>
        <w:spacing w:after="0" w:line="202" w:lineRule="exact"/>
        <w:rPr>
          <w:sz w:val="20"/>
          <w:szCs w:val="20"/>
          <w:color w:val="auto"/>
        </w:rPr>
      </w:pPr>
    </w:p>
    <w:p>
      <w:pPr>
        <w:ind w:left="520" w:hanging="509"/>
        <w:spacing w:after="0"/>
        <w:tabs>
          <w:tab w:leader="none" w:pos="520" w:val="left"/>
        </w:tabs>
        <w:numPr>
          <w:ilvl w:val="0"/>
          <w:numId w:val="82"/>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0"/>
          <w:szCs w:val="20"/>
          <w:b w:val="1"/>
          <w:bCs w:val="1"/>
          <w:u w:val="single" w:color="auto"/>
          <w:color w:val="auto"/>
        </w:rPr>
        <w:t>BONUS</w:t>
      </w:r>
    </w:p>
    <w:p>
      <w:pPr>
        <w:spacing w:after="0" w:line="3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18"/>
          <w:szCs w:val="18"/>
          <w:color w:val="auto"/>
        </w:rPr>
        <w:t>You will be eligible to participate in the Jazz Pharmaceuticals Global Cash Bonus Plan (the “Bonus Plan”). Your target award under</w:t>
      </w:r>
    </w:p>
    <w:p>
      <w:pPr>
        <w:ind w:left="640"/>
        <w:spacing w:after="0" w:line="201" w:lineRule="auto"/>
        <w:rPr>
          <w:sz w:val="20"/>
          <w:szCs w:val="20"/>
          <w:color w:val="auto"/>
        </w:rPr>
      </w:pPr>
      <w:r>
        <w:rPr>
          <w:rFonts w:ascii="Times New Roman" w:cs="Times New Roman" w:eastAsia="Times New Roman" w:hAnsi="Times New Roman"/>
          <w:sz w:val="20"/>
          <w:szCs w:val="20"/>
          <w:color w:val="auto"/>
        </w:rPr>
        <w:t>the Bonus Plan is fifty percent (50%) of your base salary. Bonus awards may be earned based on the Company’s success in achieving its annual corporate objectives, as well as your performance with respect to your individual objectives. Bonuses are not</w:t>
      </w:r>
    </w:p>
    <w:p>
      <w:pPr>
        <w:ind w:left="640"/>
        <w:spacing w:after="0" w:line="232" w:lineRule="auto"/>
        <w:rPr>
          <w:sz w:val="20"/>
          <w:szCs w:val="20"/>
          <w:color w:val="auto"/>
        </w:rPr>
      </w:pPr>
      <w:r>
        <w:rPr>
          <w:rFonts w:ascii="Times New Roman" w:cs="Times New Roman" w:eastAsia="Times New Roman" w:hAnsi="Times New Roman"/>
          <w:sz w:val="18"/>
          <w:szCs w:val="18"/>
          <w:color w:val="auto"/>
        </w:rPr>
        <w:t>guaranteed, and whether there will be a bonus in any year, and the size of any bonus if there is one, are within the sole discretion of</w:t>
      </w:r>
    </w:p>
    <w:p>
      <w:pPr>
        <w:ind w:left="640"/>
        <w:spacing w:after="0" w:line="218" w:lineRule="auto"/>
        <w:rPr>
          <w:sz w:val="20"/>
          <w:szCs w:val="20"/>
          <w:color w:val="auto"/>
        </w:rPr>
      </w:pPr>
      <w:r>
        <w:rPr>
          <w:rFonts w:ascii="Times New Roman" w:cs="Times New Roman" w:eastAsia="Times New Roman" w:hAnsi="Times New Roman"/>
          <w:sz w:val="20"/>
          <w:szCs w:val="20"/>
          <w:color w:val="auto"/>
        </w:rPr>
        <w:t>the Board. The Bonus Plan year runs January through December, and awards for each year are typically paid in the first quarter of the following year. Your 2023 Bonus award will be prorated based on your employment commencement date.</w:t>
      </w:r>
    </w:p>
    <w:p>
      <w:pPr>
        <w:spacing w:after="0" w:line="4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10.2.</w:t>
      </w:r>
      <w:r>
        <w:rPr>
          <w:sz w:val="20"/>
          <w:szCs w:val="20"/>
          <w:color w:val="auto"/>
        </w:rPr>
        <w:tab/>
      </w:r>
      <w:r>
        <w:rPr>
          <w:rFonts w:ascii="Times New Roman" w:cs="Times New Roman" w:eastAsia="Times New Roman" w:hAnsi="Times New Roman"/>
          <w:sz w:val="18"/>
          <w:szCs w:val="18"/>
          <w:color w:val="auto"/>
        </w:rPr>
        <w:t>Any bonus payment to you shall be purely discretionary and shall not form part of your contractual remuneration under this contract.</w:t>
      </w:r>
    </w:p>
    <w:p>
      <w:pPr>
        <w:ind w:left="640"/>
        <w:spacing w:after="0"/>
        <w:rPr>
          <w:sz w:val="20"/>
          <w:szCs w:val="20"/>
          <w:color w:val="auto"/>
        </w:rPr>
      </w:pPr>
      <w:r>
        <w:rPr>
          <w:rFonts w:ascii="Times New Roman" w:cs="Times New Roman" w:eastAsia="Times New Roman" w:hAnsi="Times New Roman"/>
          <w:sz w:val="20"/>
          <w:szCs w:val="20"/>
          <w:color w:val="auto"/>
        </w:rPr>
        <w:t>If the Company makes a payment to you, it shall not be obliged to make subsequent bonus payments.</w:t>
      </w:r>
    </w:p>
    <w:p>
      <w:pPr>
        <w:spacing w:after="0" w:line="41" w:lineRule="exact"/>
        <w:rPr>
          <w:sz w:val="20"/>
          <w:szCs w:val="20"/>
          <w:color w:val="auto"/>
        </w:rPr>
      </w:pPr>
    </w:p>
    <w:p>
      <w:pPr>
        <w:jc w:val="both"/>
        <w:ind w:left="600" w:hanging="639"/>
        <w:spacing w:after="0" w:line="227" w:lineRule="auto"/>
        <w:tabs>
          <w:tab w:leader="none" w:pos="580" w:val="left"/>
        </w:tabs>
        <w:rPr>
          <w:sz w:val="20"/>
          <w:szCs w:val="20"/>
          <w:color w:val="auto"/>
        </w:rPr>
      </w:pPr>
      <w:r>
        <w:rPr>
          <w:rFonts w:ascii="Times New Roman" w:cs="Times New Roman" w:eastAsia="Times New Roman" w:hAnsi="Times New Roman"/>
          <w:sz w:val="20"/>
          <w:szCs w:val="20"/>
          <w:color w:val="auto"/>
        </w:rPr>
        <w:t>10.3.</w:t>
        <w:tab/>
        <w:t>Except as provided for under the Bonus Plan, you will not be entitled to a bonus if your employment has been terminated or notice of such termination has been given by either you or the Company, prior to the date the bonus is scheduled to be paid or you have an unexpired disciplinary warning on file on the date when the bonus might otherwise have been payable.</w:t>
      </w:r>
    </w:p>
    <w:p>
      <w:pPr>
        <w:sectPr>
          <w:pgSz w:w="11900" w:h="16838" w:orient="portrait"/>
          <w:cols w:equalWidth="0" w:num="1">
            <w:col w:w="11020"/>
          </w:cols>
          <w:pgMar w:left="440" w:top="1440" w:right="439" w:bottom="1440" w:gutter="0" w:footer="0" w:header="0"/>
        </w:sectPr>
      </w:pPr>
    </w:p>
    <w:bookmarkStart w:id="185" w:name="page186"/>
    <w:bookmarkEnd w:id="185"/>
    <w:p>
      <w:pPr>
        <w:spacing w:after="0" w:line="200" w:lineRule="exact"/>
        <w:rPr>
          <w:sz w:val="20"/>
          <w:szCs w:val="20"/>
          <w:color w:val="auto"/>
        </w:rPr>
      </w:pPr>
    </w:p>
    <w:p>
      <w:pPr>
        <w:spacing w:after="0" w:line="31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18"/>
          <w:szCs w:val="18"/>
          <w:color w:val="auto"/>
        </w:rPr>
        <w:t>For the avoidance of doubt, any bonus, if awarded, does not become due and payable until the date of payment of any bonus.</w:t>
      </w:r>
    </w:p>
    <w:p>
      <w:pPr>
        <w:spacing w:after="0" w:line="225" w:lineRule="exact"/>
        <w:rPr>
          <w:sz w:val="20"/>
          <w:szCs w:val="20"/>
          <w:color w:val="auto"/>
        </w:rPr>
      </w:pPr>
    </w:p>
    <w:p>
      <w:pPr>
        <w:ind w:left="520" w:hanging="509"/>
        <w:spacing w:after="0"/>
        <w:tabs>
          <w:tab w:leader="none" w:pos="520" w:val="left"/>
        </w:tabs>
        <w:numPr>
          <w:ilvl w:val="0"/>
          <w:numId w:val="83"/>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0"/>
          <w:szCs w:val="20"/>
          <w:b w:val="1"/>
          <w:bCs w:val="1"/>
          <w:u w:val="single" w:color="auto"/>
          <w:color w:val="auto"/>
        </w:rPr>
        <w:t>BUSINESS EXPENSES INCLUDING COMMUTING EXPENSES</w:t>
      </w:r>
    </w:p>
    <w:p>
      <w:pPr>
        <w:spacing w:after="0" w:line="52" w:lineRule="exact"/>
        <w:rPr>
          <w:sz w:val="20"/>
          <w:szCs w:val="20"/>
          <w:color w:val="auto"/>
        </w:rPr>
      </w:pPr>
    </w:p>
    <w:p>
      <w:pPr>
        <w:ind w:left="640"/>
        <w:spacing w:after="0" w:line="236" w:lineRule="auto"/>
        <w:rPr>
          <w:sz w:val="20"/>
          <w:szCs w:val="20"/>
          <w:color w:val="auto"/>
        </w:rPr>
      </w:pPr>
      <w:r>
        <w:rPr>
          <w:rFonts w:ascii="Times New Roman" w:cs="Times New Roman" w:eastAsia="Times New Roman" w:hAnsi="Times New Roman"/>
          <w:sz w:val="18"/>
          <w:szCs w:val="18"/>
          <w:color w:val="auto"/>
        </w:rPr>
        <w:t>All properly vouched and authorised expenses incurred by you on Company business will be reimbursed by the Company, subject to the production of evidence of expenses satisfactory to the Company within four weeks of expenses being incurred and the terms of</w:t>
      </w:r>
    </w:p>
    <w:p>
      <w:pPr>
        <w:ind w:left="640"/>
        <w:spacing w:after="0" w:line="232" w:lineRule="auto"/>
        <w:rPr>
          <w:sz w:val="20"/>
          <w:szCs w:val="20"/>
          <w:color w:val="auto"/>
        </w:rPr>
      </w:pPr>
      <w:r>
        <w:rPr>
          <w:rFonts w:ascii="Times New Roman" w:cs="Times New Roman" w:eastAsia="Times New Roman" w:hAnsi="Times New Roman"/>
          <w:sz w:val="18"/>
          <w:szCs w:val="18"/>
          <w:color w:val="auto"/>
        </w:rPr>
        <w:t>the Global Travel &amp; Expense Policy. In addition, expenses, including travel and lodging, incurred for commutation to your principal</w:t>
      </w:r>
    </w:p>
    <w:p>
      <w:pPr>
        <w:spacing w:after="0" w:line="1" w:lineRule="exact"/>
        <w:rPr>
          <w:sz w:val="20"/>
          <w:szCs w:val="20"/>
          <w:color w:val="auto"/>
        </w:rPr>
      </w:pPr>
    </w:p>
    <w:p>
      <w:pPr>
        <w:ind w:left="640"/>
        <w:spacing w:after="0" w:line="223" w:lineRule="auto"/>
        <w:rPr>
          <w:sz w:val="20"/>
          <w:szCs w:val="20"/>
          <w:color w:val="auto"/>
        </w:rPr>
      </w:pPr>
      <w:r>
        <w:rPr>
          <w:rFonts w:ascii="Times New Roman" w:cs="Times New Roman" w:eastAsia="Times New Roman" w:hAnsi="Times New Roman"/>
          <w:sz w:val="18"/>
          <w:szCs w:val="18"/>
          <w:color w:val="auto"/>
        </w:rPr>
        <w:t>office location set forth in Clause 3.1, will be considered business expenses eligible for reimbursement, up to a total amount of €3,500 gross per month, subject to any deductions required by law. Failure to submit expenses within the required time period may</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result in non- payment.</w:t>
      </w:r>
    </w:p>
    <w:p>
      <w:pPr>
        <w:spacing w:after="0" w:line="203" w:lineRule="exact"/>
        <w:rPr>
          <w:sz w:val="20"/>
          <w:szCs w:val="20"/>
          <w:color w:val="auto"/>
        </w:rPr>
      </w:pPr>
    </w:p>
    <w:p>
      <w:pPr>
        <w:ind w:left="520" w:hanging="509"/>
        <w:spacing w:after="0"/>
        <w:tabs>
          <w:tab w:leader="none" w:pos="520" w:val="left"/>
        </w:tabs>
        <w:numPr>
          <w:ilvl w:val="0"/>
          <w:numId w:val="84"/>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0"/>
          <w:szCs w:val="20"/>
          <w:b w:val="1"/>
          <w:bCs w:val="1"/>
          <w:u w:val="single" w:color="auto"/>
          <w:color w:val="auto"/>
        </w:rPr>
        <w:t>HOLIDAYS</w:t>
      </w:r>
    </w:p>
    <w:p>
      <w:pPr>
        <w:spacing w:after="0" w:line="3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12.1.</w:t>
      </w:r>
      <w:r>
        <w:rPr>
          <w:sz w:val="20"/>
          <w:szCs w:val="20"/>
          <w:color w:val="auto"/>
        </w:rPr>
        <w:tab/>
      </w:r>
      <w:r>
        <w:rPr>
          <w:rFonts w:ascii="Times New Roman" w:cs="Times New Roman" w:eastAsia="Times New Roman" w:hAnsi="Times New Roman"/>
          <w:sz w:val="18"/>
          <w:szCs w:val="18"/>
          <w:color w:val="auto"/>
        </w:rPr>
        <w:t>You will be entitled to 25 days’ holidays (inclusive of nominated year-end shut down days as determined by the organisation). Other</w:t>
      </w:r>
    </w:p>
    <w:p>
      <w:pPr>
        <w:ind w:left="640"/>
        <w:spacing w:after="0" w:line="223" w:lineRule="auto"/>
        <w:rPr>
          <w:sz w:val="20"/>
          <w:szCs w:val="20"/>
          <w:color w:val="auto"/>
        </w:rPr>
      </w:pPr>
      <w:r>
        <w:rPr>
          <w:rFonts w:ascii="Times New Roman" w:cs="Times New Roman" w:eastAsia="Times New Roman" w:hAnsi="Times New Roman"/>
          <w:sz w:val="18"/>
          <w:szCs w:val="18"/>
          <w:color w:val="auto"/>
        </w:rPr>
        <w:t>paid Company holidays are provided for Irish bank and other public holidays in accordance with the Organisation of Working Time Act 1997. Your holidays are to be taken by arrangement with the Company, at such time or times that the Company considers to be</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most convenient having regard to the requirements of your position.</w:t>
      </w:r>
    </w:p>
    <w:p>
      <w:pPr>
        <w:spacing w:after="0" w:line="4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12.2.</w:t>
      </w:r>
      <w:r>
        <w:rPr>
          <w:sz w:val="20"/>
          <w:szCs w:val="20"/>
          <w:color w:val="auto"/>
        </w:rPr>
        <w:tab/>
      </w:r>
      <w:r>
        <w:rPr>
          <w:rFonts w:ascii="Times New Roman" w:cs="Times New Roman" w:eastAsia="Times New Roman" w:hAnsi="Times New Roman"/>
          <w:sz w:val="18"/>
          <w:szCs w:val="18"/>
          <w:color w:val="auto"/>
        </w:rPr>
        <w:t>The Company’s holiday year runs from 1 January to 31 December. Holidays from the previous year may not be carried over to the</w:t>
      </w:r>
    </w:p>
    <w:p>
      <w:pPr>
        <w:ind w:left="640"/>
        <w:spacing w:after="0" w:line="201" w:lineRule="auto"/>
        <w:rPr>
          <w:sz w:val="20"/>
          <w:szCs w:val="20"/>
          <w:color w:val="auto"/>
        </w:rPr>
      </w:pPr>
      <w:r>
        <w:rPr>
          <w:rFonts w:ascii="Times New Roman" w:cs="Times New Roman" w:eastAsia="Times New Roman" w:hAnsi="Times New Roman"/>
          <w:sz w:val="20"/>
          <w:szCs w:val="20"/>
          <w:color w:val="auto"/>
        </w:rPr>
        <w:t>following year except with the Company’s consent. Upon notice of termination of employment being served by either party, the Company may, subject to the provisions of the Organisation of Working Time Act 1997, require you to take any unused holidays</w:t>
      </w:r>
    </w:p>
    <w:p>
      <w:pPr>
        <w:spacing w:after="0" w:line="1" w:lineRule="exact"/>
        <w:rPr>
          <w:sz w:val="20"/>
          <w:szCs w:val="20"/>
          <w:color w:val="auto"/>
        </w:rPr>
      </w:pPr>
    </w:p>
    <w:p>
      <w:pPr>
        <w:ind w:left="640" w:right="20"/>
        <w:spacing w:after="0" w:line="225" w:lineRule="auto"/>
        <w:rPr>
          <w:sz w:val="20"/>
          <w:szCs w:val="20"/>
          <w:color w:val="auto"/>
        </w:rPr>
      </w:pPr>
      <w:r>
        <w:rPr>
          <w:rFonts w:ascii="Times New Roman" w:cs="Times New Roman" w:eastAsia="Times New Roman" w:hAnsi="Times New Roman"/>
          <w:sz w:val="20"/>
          <w:szCs w:val="20"/>
          <w:color w:val="auto"/>
        </w:rPr>
        <w:t>accrued at that time during any notice period. Alternatively, the Company may, at its discretion, on termination of the employment, make a payment in lieu of accrued contractual holiday entitlement.</w:t>
      </w:r>
    </w:p>
    <w:p>
      <w:pPr>
        <w:spacing w:after="0" w:line="39" w:lineRule="exact"/>
        <w:rPr>
          <w:sz w:val="20"/>
          <w:szCs w:val="20"/>
          <w:color w:val="auto"/>
        </w:rPr>
      </w:pPr>
    </w:p>
    <w:p>
      <w:pPr>
        <w:jc w:val="both"/>
        <w:ind w:left="620" w:hanging="639"/>
        <w:spacing w:after="0" w:line="236" w:lineRule="auto"/>
        <w:tabs>
          <w:tab w:leader="none" w:pos="600" w:val="left"/>
        </w:tabs>
        <w:rPr>
          <w:sz w:val="20"/>
          <w:szCs w:val="20"/>
          <w:color w:val="auto"/>
        </w:rPr>
      </w:pPr>
      <w:r>
        <w:rPr>
          <w:rFonts w:ascii="Times New Roman" w:cs="Times New Roman" w:eastAsia="Times New Roman" w:hAnsi="Times New Roman"/>
          <w:sz w:val="20"/>
          <w:szCs w:val="20"/>
          <w:color w:val="auto"/>
        </w:rPr>
        <w:t>12.3.</w:t>
        <w:tab/>
        <w:t>If you are ill during a period of annual leave and have a valid medical certificate for the days that you were ill, these sick days will not be counted as annual leave days.</w:t>
      </w:r>
    </w:p>
    <w:p>
      <w:pPr>
        <w:spacing w:after="0" w:line="40" w:lineRule="exact"/>
        <w:rPr>
          <w:sz w:val="20"/>
          <w:szCs w:val="20"/>
          <w:color w:val="auto"/>
        </w:rPr>
      </w:pPr>
    </w:p>
    <w:p>
      <w:pPr>
        <w:jc w:val="both"/>
        <w:ind w:left="640" w:hanging="639"/>
        <w:spacing w:after="0" w:line="236" w:lineRule="auto"/>
        <w:tabs>
          <w:tab w:leader="none" w:pos="620" w:val="left"/>
        </w:tabs>
        <w:rPr>
          <w:sz w:val="20"/>
          <w:szCs w:val="20"/>
          <w:color w:val="auto"/>
        </w:rPr>
      </w:pPr>
      <w:r>
        <w:rPr>
          <w:rFonts w:ascii="Times New Roman" w:cs="Times New Roman" w:eastAsia="Times New Roman" w:hAnsi="Times New Roman"/>
          <w:sz w:val="20"/>
          <w:szCs w:val="20"/>
          <w:color w:val="auto"/>
        </w:rPr>
        <w:t>12.4.</w:t>
        <w:tab/>
        <w:t>If on termination of employment, you have taken in excess of your accrued holiday entitlement, the Company shall be entitled to recover from you by way of deduction from any payments due to you or otherwise, one day’s pay for each excess day (calculated at 1/260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of your salary for each excess day).</w:t>
      </w:r>
    </w:p>
    <w:p>
      <w:pPr>
        <w:spacing w:after="0" w:line="120" w:lineRule="exact"/>
        <w:rPr>
          <w:sz w:val="20"/>
          <w:szCs w:val="20"/>
          <w:color w:val="auto"/>
        </w:rPr>
      </w:pPr>
    </w:p>
    <w:p>
      <w:pPr>
        <w:ind w:left="520" w:hanging="509"/>
        <w:spacing w:after="0"/>
        <w:tabs>
          <w:tab w:leader="none" w:pos="520" w:val="left"/>
        </w:tabs>
        <w:numPr>
          <w:ilvl w:val="0"/>
          <w:numId w:val="85"/>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0"/>
          <w:szCs w:val="20"/>
          <w:b w:val="1"/>
          <w:bCs w:val="1"/>
          <w:u w:val="single" w:color="auto"/>
          <w:color w:val="auto"/>
        </w:rPr>
        <w:t>PENSION</w:t>
      </w:r>
    </w:p>
    <w:p>
      <w:pPr>
        <w:spacing w:after="0" w:line="39" w:lineRule="exact"/>
        <w:rPr>
          <w:sz w:val="20"/>
          <w:szCs w:val="20"/>
          <w:color w:val="auto"/>
        </w:rPr>
      </w:pPr>
    </w:p>
    <w:p>
      <w:pPr>
        <w:ind w:left="640"/>
        <w:spacing w:after="0" w:line="236" w:lineRule="auto"/>
        <w:rPr>
          <w:sz w:val="20"/>
          <w:szCs w:val="20"/>
          <w:color w:val="auto"/>
        </w:rPr>
      </w:pPr>
      <w:r>
        <w:rPr>
          <w:rFonts w:ascii="Times New Roman" w:cs="Times New Roman" w:eastAsia="Times New Roman" w:hAnsi="Times New Roman"/>
          <w:sz w:val="20"/>
          <w:szCs w:val="20"/>
          <w:color w:val="auto"/>
        </w:rPr>
        <w:t>The Company has implemented a pension plan and you will be eligible to participate in accordance with the plan. Details will be made available to you upon commencement.</w:t>
      </w:r>
    </w:p>
    <w:p>
      <w:pPr>
        <w:spacing w:after="0" w:line="203" w:lineRule="exact"/>
        <w:rPr>
          <w:sz w:val="20"/>
          <w:szCs w:val="20"/>
          <w:color w:val="auto"/>
        </w:rPr>
      </w:pPr>
    </w:p>
    <w:p>
      <w:pPr>
        <w:ind w:left="520" w:hanging="509"/>
        <w:spacing w:after="0"/>
        <w:tabs>
          <w:tab w:leader="none" w:pos="520" w:val="left"/>
        </w:tabs>
        <w:numPr>
          <w:ilvl w:val="0"/>
          <w:numId w:val="86"/>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0"/>
          <w:szCs w:val="20"/>
          <w:b w:val="1"/>
          <w:bCs w:val="1"/>
          <w:u w:val="single" w:color="auto"/>
          <w:color w:val="auto"/>
        </w:rPr>
        <w:t>DUTIES</w:t>
      </w:r>
    </w:p>
    <w:p>
      <w:pPr>
        <w:spacing w:after="0" w:line="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Your duties in this position will include leading the Ireland management team and acting as Site leader in Dublin; you will also have</w:t>
      </w:r>
    </w:p>
    <w:p>
      <w:pPr>
        <w:spacing w:after="0" w:line="15" w:lineRule="exact"/>
        <w:rPr>
          <w:sz w:val="20"/>
          <w:szCs w:val="20"/>
          <w:color w:val="auto"/>
        </w:rPr>
      </w:pPr>
    </w:p>
    <w:p>
      <w:pPr>
        <w:ind w:left="640"/>
        <w:spacing w:after="0" w:line="223" w:lineRule="auto"/>
        <w:rPr>
          <w:sz w:val="20"/>
          <w:szCs w:val="20"/>
          <w:color w:val="auto"/>
        </w:rPr>
      </w:pPr>
      <w:r>
        <w:rPr>
          <w:rFonts w:ascii="Times New Roman" w:cs="Times New Roman" w:eastAsia="Times New Roman" w:hAnsi="Times New Roman"/>
          <w:sz w:val="18"/>
          <w:szCs w:val="18"/>
          <w:color w:val="auto"/>
        </w:rPr>
        <w:t>responsibility for our manufacturing site in Athlone. You will have a broad range of other managerial responsibilities including membership on various Committees as determined by your manager. Your area of work and/or specific duties and responsibilities</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may be altered from time to time by the Company as the circumstances of the business dictate.</w:t>
      </w:r>
    </w:p>
    <w:p>
      <w:pPr>
        <w:sectPr>
          <w:pgSz w:w="11900" w:h="16838" w:orient="portrait"/>
          <w:cols w:equalWidth="0" w:num="1">
            <w:col w:w="11020"/>
          </w:cols>
          <w:pgMar w:left="440" w:top="1440" w:right="439" w:bottom="1440" w:gutter="0" w:footer="0" w:header="0"/>
        </w:sectPr>
      </w:pPr>
    </w:p>
    <w:bookmarkStart w:id="186" w:name="page187"/>
    <w:bookmarkEnd w:id="186"/>
    <w:p>
      <w:pPr>
        <w:spacing w:after="0" w:line="200" w:lineRule="exact"/>
        <w:rPr>
          <w:sz w:val="20"/>
          <w:szCs w:val="20"/>
          <w:color w:val="auto"/>
        </w:rPr>
      </w:pPr>
    </w:p>
    <w:p>
      <w:pPr>
        <w:spacing w:after="0" w:line="330" w:lineRule="exact"/>
        <w:rPr>
          <w:sz w:val="20"/>
          <w:szCs w:val="20"/>
          <w:color w:val="auto"/>
        </w:rPr>
      </w:pPr>
    </w:p>
    <w:p>
      <w:pPr>
        <w:ind w:left="520" w:hanging="509"/>
        <w:spacing w:after="0"/>
        <w:tabs>
          <w:tab w:leader="none" w:pos="520" w:val="left"/>
        </w:tabs>
        <w:numPr>
          <w:ilvl w:val="0"/>
          <w:numId w:val="87"/>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0"/>
          <w:szCs w:val="20"/>
          <w:b w:val="1"/>
          <w:bCs w:val="1"/>
          <w:u w:val="single" w:color="auto"/>
          <w:color w:val="auto"/>
        </w:rPr>
        <w:t>PERIOD OF EMPLOYMENT</w:t>
      </w:r>
    </w:p>
    <w:p>
      <w:pPr>
        <w:spacing w:after="0" w:line="39" w:lineRule="exact"/>
        <w:rPr>
          <w:sz w:val="20"/>
          <w:szCs w:val="20"/>
          <w:color w:val="auto"/>
        </w:rPr>
      </w:pPr>
    </w:p>
    <w:p>
      <w:pPr>
        <w:ind w:left="640" w:hanging="639"/>
        <w:spacing w:after="0" w:line="236" w:lineRule="auto"/>
        <w:tabs>
          <w:tab w:leader="none" w:pos="620" w:val="left"/>
        </w:tabs>
        <w:rPr>
          <w:sz w:val="20"/>
          <w:szCs w:val="20"/>
          <w:color w:val="auto"/>
        </w:rPr>
      </w:pPr>
      <w:r>
        <w:rPr>
          <w:rFonts w:ascii="Times New Roman" w:cs="Times New Roman" w:eastAsia="Times New Roman" w:hAnsi="Times New Roman"/>
          <w:sz w:val="20"/>
          <w:szCs w:val="20"/>
          <w:color w:val="auto"/>
        </w:rPr>
        <w:t>15.1.</w:t>
        <w:tab/>
        <w:t>Subject to the provisions of Clauses 15, 16, 17 and 18, your employment will continue until terminated by you or the Company giving the other at least 3 months’ written notice of termination (or, if longer, the period required by law).</w:t>
      </w:r>
    </w:p>
    <w:p>
      <w:pPr>
        <w:spacing w:after="0" w:line="54" w:lineRule="exact"/>
        <w:rPr>
          <w:sz w:val="20"/>
          <w:szCs w:val="20"/>
          <w:color w:val="auto"/>
        </w:rPr>
      </w:pPr>
    </w:p>
    <w:p>
      <w:pPr>
        <w:jc w:val="right"/>
        <w:spacing w:after="0" w:line="212" w:lineRule="auto"/>
        <w:rPr>
          <w:sz w:val="20"/>
          <w:szCs w:val="20"/>
          <w:color w:val="auto"/>
        </w:rPr>
      </w:pPr>
      <w:r>
        <w:rPr>
          <w:rFonts w:ascii="Times New Roman" w:cs="Times New Roman" w:eastAsia="Times New Roman" w:hAnsi="Times New Roman"/>
          <w:sz w:val="20"/>
          <w:szCs w:val="20"/>
          <w:color w:val="auto"/>
        </w:rPr>
        <w:t>15.2.  The Company reserves the right to make a payment in lieu of basic salary for all or any unexpired part of the notice period. For the avoidance of doubt, any payment in lieu will not include any element in relation to any bonus payment that might otherwise have</w:t>
      </w:r>
    </w:p>
    <w:p>
      <w:pPr>
        <w:spacing w:after="0" w:line="2" w:lineRule="exact"/>
        <w:rPr>
          <w:sz w:val="20"/>
          <w:szCs w:val="20"/>
          <w:color w:val="auto"/>
        </w:rPr>
      </w:pPr>
    </w:p>
    <w:p>
      <w:pPr>
        <w:ind w:left="640"/>
        <w:spacing w:after="0" w:line="225" w:lineRule="auto"/>
        <w:rPr>
          <w:sz w:val="20"/>
          <w:szCs w:val="20"/>
          <w:color w:val="auto"/>
        </w:rPr>
      </w:pPr>
      <w:r>
        <w:rPr>
          <w:rFonts w:ascii="Times New Roman" w:cs="Times New Roman" w:eastAsia="Times New Roman" w:hAnsi="Times New Roman"/>
          <w:sz w:val="20"/>
          <w:szCs w:val="20"/>
          <w:color w:val="auto"/>
        </w:rPr>
        <w:t>been due to you and any payment in respect of any holiday entitlement that would have accrued during the period for which the payment in lieu is made.</w:t>
      </w:r>
    </w:p>
    <w:p>
      <w:pPr>
        <w:spacing w:after="0" w:line="39" w:lineRule="exact"/>
        <w:rPr>
          <w:sz w:val="20"/>
          <w:szCs w:val="20"/>
          <w:color w:val="auto"/>
        </w:rPr>
      </w:pPr>
    </w:p>
    <w:p>
      <w:pPr>
        <w:jc w:val="right"/>
        <w:spacing w:after="0" w:line="219" w:lineRule="auto"/>
        <w:rPr>
          <w:sz w:val="20"/>
          <w:szCs w:val="20"/>
          <w:color w:val="auto"/>
        </w:rPr>
      </w:pPr>
      <w:r>
        <w:rPr>
          <w:rFonts w:ascii="Times New Roman" w:cs="Times New Roman" w:eastAsia="Times New Roman" w:hAnsi="Times New Roman"/>
          <w:sz w:val="20"/>
          <w:szCs w:val="20"/>
          <w:color w:val="auto"/>
        </w:rPr>
        <w:t>15.3.    Upon termination of your employment you shall immediately deliver up to the Company all correspondence, documents, memoranda, papers, computer disks, object or source codes, credit cards, keys, mobile telephones and other property of the</w:t>
      </w:r>
    </w:p>
    <w:p>
      <w:pPr>
        <w:spacing w:after="0" w:line="2" w:lineRule="exact"/>
        <w:rPr>
          <w:sz w:val="20"/>
          <w:szCs w:val="20"/>
          <w:color w:val="auto"/>
        </w:rPr>
      </w:pPr>
    </w:p>
    <w:p>
      <w:pPr>
        <w:ind w:left="640" w:right="20"/>
        <w:spacing w:after="0" w:line="218" w:lineRule="auto"/>
        <w:rPr>
          <w:sz w:val="20"/>
          <w:szCs w:val="20"/>
          <w:color w:val="auto"/>
        </w:rPr>
      </w:pPr>
      <w:r>
        <w:rPr>
          <w:rFonts w:ascii="Times New Roman" w:cs="Times New Roman" w:eastAsia="Times New Roman" w:hAnsi="Times New Roman"/>
          <w:sz w:val="20"/>
          <w:szCs w:val="20"/>
          <w:color w:val="auto"/>
        </w:rPr>
        <w:t>company which may be in your possession or under your control by reason of this Agreement and you will not take copies of same without the Company’s express written authority.</w:t>
      </w:r>
    </w:p>
    <w:p>
      <w:pPr>
        <w:spacing w:after="0" w:line="53" w:lineRule="exact"/>
        <w:rPr>
          <w:sz w:val="20"/>
          <w:szCs w:val="20"/>
          <w:color w:val="auto"/>
        </w:rPr>
      </w:pPr>
    </w:p>
    <w:p>
      <w:pPr>
        <w:jc w:val="right"/>
        <w:ind w:right="20"/>
        <w:spacing w:after="0" w:line="212" w:lineRule="auto"/>
        <w:rPr>
          <w:sz w:val="20"/>
          <w:szCs w:val="20"/>
          <w:color w:val="auto"/>
        </w:rPr>
      </w:pPr>
      <w:r>
        <w:rPr>
          <w:rFonts w:ascii="Times New Roman" w:cs="Times New Roman" w:eastAsia="Times New Roman" w:hAnsi="Times New Roman"/>
          <w:sz w:val="20"/>
          <w:szCs w:val="20"/>
          <w:color w:val="auto"/>
        </w:rPr>
        <w:t>15.4.   The termination of your employment shall not affect such of the provisions hereof as are expressed to operate or have effect thereafter and shall be without prejudice to any right or action already accrued to either party in respect of any breach of this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Agreement by the other party.</w:t>
      </w:r>
    </w:p>
    <w:p>
      <w:pPr>
        <w:spacing w:after="0" w:line="203" w:lineRule="exact"/>
        <w:rPr>
          <w:sz w:val="20"/>
          <w:szCs w:val="20"/>
          <w:color w:val="auto"/>
        </w:rPr>
      </w:pPr>
    </w:p>
    <w:p>
      <w:pPr>
        <w:ind w:left="520" w:hanging="509"/>
        <w:spacing w:after="0"/>
        <w:tabs>
          <w:tab w:leader="none" w:pos="520" w:val="left"/>
        </w:tabs>
        <w:numPr>
          <w:ilvl w:val="0"/>
          <w:numId w:val="88"/>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0"/>
          <w:szCs w:val="20"/>
          <w:b w:val="1"/>
          <w:bCs w:val="1"/>
          <w:u w:val="single" w:color="auto"/>
          <w:color w:val="auto"/>
        </w:rPr>
        <w:t>GARDEN LEAVE</w:t>
      </w:r>
    </w:p>
    <w:p>
      <w:pPr>
        <w:spacing w:after="0" w:line="52" w:lineRule="exact"/>
        <w:rPr>
          <w:sz w:val="20"/>
          <w:szCs w:val="20"/>
          <w:color w:val="auto"/>
        </w:rPr>
      </w:pPr>
    </w:p>
    <w:p>
      <w:pPr>
        <w:jc w:val="right"/>
        <w:ind w:left="20"/>
        <w:spacing w:after="0" w:line="236" w:lineRule="auto"/>
        <w:rPr>
          <w:sz w:val="20"/>
          <w:szCs w:val="20"/>
          <w:color w:val="auto"/>
        </w:rPr>
      </w:pPr>
      <w:r>
        <w:rPr>
          <w:rFonts w:ascii="Times New Roman" w:cs="Times New Roman" w:eastAsia="Times New Roman" w:hAnsi="Times New Roman"/>
          <w:sz w:val="18"/>
          <w:szCs w:val="18"/>
          <w:color w:val="auto"/>
        </w:rPr>
        <w:t>16.1.  Following service of notice to terminate your employment by either party under Clause 15, the Company may, at its sole discretion, require that you do not attend the Company premises or have contact with other employees, staff, clients, customers or suppliers of</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the Company for some or all of the relevant notice period.</w:t>
      </w:r>
    </w:p>
    <w:p>
      <w:pPr>
        <w:spacing w:after="0" w:line="41"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20"/>
          <w:szCs w:val="20"/>
          <w:color w:val="auto"/>
        </w:rPr>
        <w:t>16.2.</w:t>
      </w:r>
      <w:r>
        <w:rPr>
          <w:sz w:val="20"/>
          <w:szCs w:val="20"/>
          <w:color w:val="auto"/>
        </w:rPr>
        <w:tab/>
      </w:r>
      <w:r>
        <w:rPr>
          <w:rFonts w:ascii="Times New Roman" w:cs="Times New Roman" w:eastAsia="Times New Roman" w:hAnsi="Times New Roman"/>
          <w:sz w:val="18"/>
          <w:szCs w:val="18"/>
          <w:color w:val="auto"/>
        </w:rPr>
        <w:t>You shall continue to owe all duties and obligations (whether express or implied) during any period of Garden Leave.</w:t>
      </w:r>
    </w:p>
    <w:p>
      <w:pPr>
        <w:spacing w:after="0" w:line="76" w:lineRule="exact"/>
        <w:rPr>
          <w:sz w:val="20"/>
          <w:szCs w:val="20"/>
          <w:color w:val="auto"/>
        </w:rPr>
      </w:pPr>
    </w:p>
    <w:p>
      <w:pPr>
        <w:ind w:left="20"/>
        <w:spacing w:after="0"/>
        <w:tabs>
          <w:tab w:leader="none" w:pos="580" w:val="left"/>
        </w:tabs>
        <w:rPr>
          <w:sz w:val="20"/>
          <w:szCs w:val="20"/>
          <w:color w:val="auto"/>
        </w:rPr>
      </w:pPr>
      <w:r>
        <w:rPr>
          <w:rFonts w:ascii="Times New Roman" w:cs="Times New Roman" w:eastAsia="Times New Roman" w:hAnsi="Times New Roman"/>
          <w:sz w:val="20"/>
          <w:szCs w:val="20"/>
          <w:color w:val="auto"/>
        </w:rPr>
        <w:t>16.3.</w:t>
      </w:r>
      <w:r>
        <w:rPr>
          <w:sz w:val="20"/>
          <w:szCs w:val="20"/>
          <w:color w:val="auto"/>
        </w:rPr>
        <w:tab/>
      </w:r>
      <w:r>
        <w:rPr>
          <w:rFonts w:ascii="Times New Roman" w:cs="Times New Roman" w:eastAsia="Times New Roman" w:hAnsi="Times New Roman"/>
          <w:sz w:val="18"/>
          <w:szCs w:val="18"/>
          <w:color w:val="auto"/>
        </w:rPr>
        <w:t>During any period of Garden Leave:</w:t>
      </w:r>
    </w:p>
    <w:p>
      <w:pPr>
        <w:spacing w:after="0" w:line="76" w:lineRule="exact"/>
        <w:rPr>
          <w:sz w:val="20"/>
          <w:szCs w:val="20"/>
          <w:color w:val="auto"/>
        </w:rPr>
      </w:pPr>
    </w:p>
    <w:p>
      <w:pPr>
        <w:ind w:left="640"/>
        <w:spacing w:after="0"/>
        <w:tabs>
          <w:tab w:leader="none" w:pos="1320" w:val="left"/>
        </w:tabs>
        <w:rPr>
          <w:sz w:val="20"/>
          <w:szCs w:val="20"/>
          <w:color w:val="auto"/>
        </w:rPr>
      </w:pPr>
      <w:r>
        <w:rPr>
          <w:rFonts w:ascii="Times New Roman" w:cs="Times New Roman" w:eastAsia="Times New Roman" w:hAnsi="Times New Roman"/>
          <w:sz w:val="20"/>
          <w:szCs w:val="20"/>
          <w:color w:val="auto"/>
        </w:rPr>
        <w:t>16.3.1</w:t>
      </w:r>
      <w:r>
        <w:rPr>
          <w:sz w:val="20"/>
          <w:szCs w:val="20"/>
          <w:color w:val="auto"/>
        </w:rPr>
        <w:tab/>
      </w:r>
      <w:r>
        <w:rPr>
          <w:rFonts w:ascii="Times New Roman" w:cs="Times New Roman" w:eastAsia="Times New Roman" w:hAnsi="Times New Roman"/>
          <w:sz w:val="18"/>
          <w:szCs w:val="18"/>
          <w:color w:val="auto"/>
        </w:rPr>
        <w:t>you will continue to receive full pay and benefits;</w:t>
      </w:r>
    </w:p>
    <w:p>
      <w:pPr>
        <w:spacing w:after="0" w:line="63" w:lineRule="exact"/>
        <w:rPr>
          <w:sz w:val="20"/>
          <w:szCs w:val="20"/>
          <w:color w:val="auto"/>
        </w:rPr>
      </w:pPr>
    </w:p>
    <w:p>
      <w:pPr>
        <w:ind w:left="1340" w:hanging="744"/>
        <w:spacing w:after="0" w:line="236" w:lineRule="auto"/>
        <w:tabs>
          <w:tab w:leader="none" w:pos="1320" w:val="left"/>
        </w:tabs>
        <w:rPr>
          <w:sz w:val="20"/>
          <w:szCs w:val="20"/>
          <w:color w:val="auto"/>
        </w:rPr>
      </w:pPr>
      <w:r>
        <w:rPr>
          <w:rFonts w:ascii="Times New Roman" w:cs="Times New Roman" w:eastAsia="Times New Roman" w:hAnsi="Times New Roman"/>
          <w:sz w:val="20"/>
          <w:szCs w:val="20"/>
          <w:color w:val="auto"/>
        </w:rPr>
        <w:t>16.3.2</w:t>
        <w:tab/>
        <w:t>the Company will be under no obligation to provide any work to you and you will have no right to perform any services for the Company or any Associated Undertaking;</w:t>
      </w:r>
    </w:p>
    <w:p>
      <w:pPr>
        <w:spacing w:after="0" w:line="54" w:lineRule="exact"/>
        <w:rPr>
          <w:sz w:val="20"/>
          <w:szCs w:val="20"/>
          <w:color w:val="auto"/>
        </w:rPr>
      </w:pPr>
    </w:p>
    <w:p>
      <w:pPr>
        <w:jc w:val="right"/>
        <w:ind w:left="640"/>
        <w:spacing w:after="0" w:line="212" w:lineRule="auto"/>
        <w:rPr>
          <w:sz w:val="20"/>
          <w:szCs w:val="20"/>
          <w:color w:val="auto"/>
        </w:rPr>
      </w:pPr>
      <w:r>
        <w:rPr>
          <w:rFonts w:ascii="Times New Roman" w:cs="Times New Roman" w:eastAsia="Times New Roman" w:hAnsi="Times New Roman"/>
          <w:sz w:val="20"/>
          <w:szCs w:val="20"/>
          <w:color w:val="auto"/>
        </w:rPr>
        <w:t>16.3.3  you will remain readily contactable and available for work. In the event that you are not available for work having been so requested by the Company, you will notwithstanding any other provision of this Agreement, forfeit any right to salary and</w:t>
      </w:r>
    </w:p>
    <w:p>
      <w:pPr>
        <w:spacing w:after="0" w:line="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0"/>
          <w:szCs w:val="20"/>
          <w:color w:val="auto"/>
        </w:rPr>
        <w:t>contractual benefits;</w:t>
      </w:r>
    </w:p>
    <w:p>
      <w:pPr>
        <w:spacing w:after="0" w:line="54" w:lineRule="exact"/>
        <w:rPr>
          <w:sz w:val="20"/>
          <w:szCs w:val="20"/>
          <w:color w:val="auto"/>
        </w:rPr>
      </w:pPr>
    </w:p>
    <w:p>
      <w:pPr>
        <w:jc w:val="right"/>
        <w:ind w:left="640"/>
        <w:spacing w:after="0" w:line="212" w:lineRule="auto"/>
        <w:rPr>
          <w:sz w:val="20"/>
          <w:szCs w:val="20"/>
          <w:color w:val="auto"/>
        </w:rPr>
      </w:pPr>
      <w:r>
        <w:rPr>
          <w:rFonts w:ascii="Times New Roman" w:cs="Times New Roman" w:eastAsia="Times New Roman" w:hAnsi="Times New Roman"/>
          <w:sz w:val="20"/>
          <w:szCs w:val="20"/>
          <w:color w:val="auto"/>
        </w:rPr>
        <w:t>16.3.4  you shall provide such assistance as the Company may require to effect an orderly handover of your responsibilities to any individual or individuals appointed by the Company or any Associated Undertaking to take over your role or</w:t>
      </w:r>
    </w:p>
    <w:p>
      <w:pPr>
        <w:spacing w:after="0" w:line="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0"/>
          <w:szCs w:val="20"/>
          <w:color w:val="auto"/>
        </w:rPr>
        <w:t>responsibilities;</w:t>
      </w:r>
    </w:p>
    <w:p>
      <w:pPr>
        <w:spacing w:after="0" w:line="54" w:lineRule="exact"/>
        <w:rPr>
          <w:sz w:val="20"/>
          <w:szCs w:val="20"/>
          <w:color w:val="auto"/>
        </w:rPr>
      </w:pPr>
    </w:p>
    <w:p>
      <w:pPr>
        <w:ind w:left="640"/>
        <w:spacing w:after="0"/>
        <w:tabs>
          <w:tab w:leader="none" w:pos="1320" w:val="left"/>
        </w:tabs>
        <w:rPr>
          <w:sz w:val="20"/>
          <w:szCs w:val="20"/>
          <w:color w:val="auto"/>
        </w:rPr>
      </w:pPr>
      <w:r>
        <w:rPr>
          <w:rFonts w:ascii="Times New Roman" w:cs="Times New Roman" w:eastAsia="Times New Roman" w:hAnsi="Times New Roman"/>
          <w:sz w:val="20"/>
          <w:szCs w:val="20"/>
          <w:color w:val="auto"/>
        </w:rPr>
        <w:t>16.3.5</w:t>
      </w:r>
      <w:r>
        <w:rPr>
          <w:sz w:val="20"/>
          <w:szCs w:val="20"/>
          <w:color w:val="auto"/>
        </w:rPr>
        <w:tab/>
      </w:r>
      <w:r>
        <w:rPr>
          <w:rFonts w:ascii="Times New Roman" w:cs="Times New Roman" w:eastAsia="Times New Roman" w:hAnsi="Times New Roman"/>
          <w:sz w:val="18"/>
          <w:szCs w:val="18"/>
          <w:color w:val="auto"/>
        </w:rPr>
        <w:t>the Company may appoint another person to carry out your duties in substitution for you;</w:t>
      </w:r>
    </w:p>
    <w:p>
      <w:pPr>
        <w:spacing w:after="0" w:line="63" w:lineRule="exact"/>
        <w:rPr>
          <w:sz w:val="20"/>
          <w:szCs w:val="20"/>
          <w:color w:val="auto"/>
        </w:rPr>
      </w:pPr>
    </w:p>
    <w:p>
      <w:pPr>
        <w:ind w:left="1340" w:right="20" w:hanging="744"/>
        <w:spacing w:after="0" w:line="236" w:lineRule="auto"/>
        <w:tabs>
          <w:tab w:leader="none" w:pos="1320" w:val="left"/>
        </w:tabs>
        <w:rPr>
          <w:sz w:val="20"/>
          <w:szCs w:val="20"/>
          <w:color w:val="auto"/>
        </w:rPr>
      </w:pPr>
      <w:r>
        <w:rPr>
          <w:rFonts w:ascii="Times New Roman" w:cs="Times New Roman" w:eastAsia="Times New Roman" w:hAnsi="Times New Roman"/>
          <w:sz w:val="20"/>
          <w:szCs w:val="20"/>
          <w:color w:val="auto"/>
        </w:rPr>
        <w:t>16.3.6</w:t>
        <w:tab/>
        <w:t>the Company may require you to deliver up any Confidential Information or property of the Company and you will confirm your compliance with this clause 16.3.6 in writing if requested to do so by the Company; and</w:t>
      </w:r>
    </w:p>
    <w:p>
      <w:pPr>
        <w:spacing w:after="0" w:line="54" w:lineRule="exact"/>
        <w:rPr>
          <w:sz w:val="20"/>
          <w:szCs w:val="20"/>
          <w:color w:val="auto"/>
        </w:rPr>
      </w:pPr>
    </w:p>
    <w:p>
      <w:pPr>
        <w:ind w:left="640"/>
        <w:spacing w:after="0"/>
        <w:tabs>
          <w:tab w:leader="none" w:pos="1320" w:val="left"/>
        </w:tabs>
        <w:rPr>
          <w:sz w:val="20"/>
          <w:szCs w:val="20"/>
          <w:color w:val="auto"/>
        </w:rPr>
      </w:pPr>
      <w:r>
        <w:rPr>
          <w:rFonts w:ascii="Times New Roman" w:cs="Times New Roman" w:eastAsia="Times New Roman" w:hAnsi="Times New Roman"/>
          <w:sz w:val="20"/>
          <w:szCs w:val="20"/>
          <w:color w:val="auto"/>
        </w:rPr>
        <w:t>16.3.7</w:t>
      </w:r>
      <w:r>
        <w:rPr>
          <w:sz w:val="20"/>
          <w:szCs w:val="20"/>
          <w:color w:val="auto"/>
        </w:rPr>
        <w:tab/>
      </w:r>
      <w:r>
        <w:rPr>
          <w:rFonts w:ascii="Times New Roman" w:cs="Times New Roman" w:eastAsia="Times New Roman" w:hAnsi="Times New Roman"/>
          <w:sz w:val="18"/>
          <w:szCs w:val="18"/>
          <w:color w:val="auto"/>
        </w:rPr>
        <w:t>the Company may require you to take any outstanding holiday entitlement.</w:t>
      </w:r>
    </w:p>
    <w:p>
      <w:pPr>
        <w:sectPr>
          <w:pgSz w:w="11900" w:h="16838" w:orient="portrait"/>
          <w:cols w:equalWidth="0" w:num="1">
            <w:col w:w="11020"/>
          </w:cols>
          <w:pgMar w:left="440" w:top="1440" w:right="439" w:bottom="1440" w:gutter="0" w:footer="0" w:header="0"/>
        </w:sectPr>
      </w:pPr>
    </w:p>
    <w:bookmarkStart w:id="187" w:name="page188"/>
    <w:bookmarkEnd w:id="187"/>
    <w:p>
      <w:pPr>
        <w:spacing w:after="0" w:line="200" w:lineRule="exact"/>
        <w:rPr>
          <w:sz w:val="20"/>
          <w:szCs w:val="20"/>
          <w:color w:val="auto"/>
        </w:rPr>
      </w:pPr>
    </w:p>
    <w:p>
      <w:pPr>
        <w:spacing w:after="0" w:line="330" w:lineRule="exact"/>
        <w:rPr>
          <w:sz w:val="20"/>
          <w:szCs w:val="20"/>
          <w:color w:val="auto"/>
        </w:rPr>
      </w:pPr>
    </w:p>
    <w:p>
      <w:pPr>
        <w:ind w:left="520" w:hanging="509"/>
        <w:spacing w:after="0"/>
        <w:tabs>
          <w:tab w:leader="none" w:pos="520" w:val="left"/>
        </w:tabs>
        <w:numPr>
          <w:ilvl w:val="0"/>
          <w:numId w:val="89"/>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0"/>
          <w:szCs w:val="20"/>
          <w:b w:val="1"/>
          <w:bCs w:val="1"/>
          <w:u w:val="single" w:color="auto"/>
          <w:color w:val="auto"/>
        </w:rPr>
        <w:t>TERMINATION WITHOUT NOTICE</w:t>
      </w:r>
    </w:p>
    <w:p>
      <w:pPr>
        <w:spacing w:after="0" w:line="39" w:lineRule="exact"/>
        <w:rPr>
          <w:sz w:val="20"/>
          <w:szCs w:val="20"/>
          <w:color w:val="auto"/>
        </w:rPr>
      </w:pPr>
    </w:p>
    <w:p>
      <w:pPr>
        <w:jc w:val="both"/>
        <w:ind w:left="640" w:hanging="639"/>
        <w:spacing w:after="0" w:line="227" w:lineRule="auto"/>
        <w:tabs>
          <w:tab w:leader="none" w:pos="620" w:val="left"/>
        </w:tabs>
        <w:rPr>
          <w:sz w:val="20"/>
          <w:szCs w:val="20"/>
          <w:color w:val="auto"/>
        </w:rPr>
      </w:pPr>
      <w:r>
        <w:rPr>
          <w:rFonts w:ascii="Times New Roman" w:cs="Times New Roman" w:eastAsia="Times New Roman" w:hAnsi="Times New Roman"/>
          <w:sz w:val="20"/>
          <w:szCs w:val="20"/>
          <w:color w:val="auto"/>
        </w:rPr>
        <w:t>17.1.</w:t>
        <w:tab/>
        <w:t>Nothing in this Agreement shall prevent the Company from terminating your employment summarily without notice or payment in lieu in the event of any serious breach or repeated breaches by you of the terms of this Agreement or in the event of any act or acts of gross misconduct by you.</w:t>
      </w:r>
    </w:p>
    <w:p>
      <w:pPr>
        <w:spacing w:after="0" w:line="40"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20"/>
          <w:szCs w:val="20"/>
          <w:color w:val="auto"/>
        </w:rPr>
        <w:t>17.2.</w:t>
      </w:r>
      <w:r>
        <w:rPr>
          <w:sz w:val="20"/>
          <w:szCs w:val="20"/>
          <w:color w:val="auto"/>
        </w:rPr>
        <w:tab/>
      </w:r>
      <w:r>
        <w:rPr>
          <w:rFonts w:ascii="Times New Roman" w:cs="Times New Roman" w:eastAsia="Times New Roman" w:hAnsi="Times New Roman"/>
          <w:sz w:val="18"/>
          <w:szCs w:val="18"/>
          <w:color w:val="auto"/>
        </w:rPr>
        <w:t>Your employment may be terminated without prior notice if, at any time after the date of this Agreement, you:</w:t>
      </w:r>
    </w:p>
    <w:p>
      <w:pPr>
        <w:spacing w:after="0" w:line="76" w:lineRule="exact"/>
        <w:rPr>
          <w:sz w:val="20"/>
          <w:szCs w:val="20"/>
          <w:color w:val="auto"/>
        </w:rPr>
      </w:pPr>
    </w:p>
    <w:p>
      <w:pPr>
        <w:ind w:left="640"/>
        <w:spacing w:after="0"/>
        <w:tabs>
          <w:tab w:leader="none" w:pos="1320" w:val="left"/>
        </w:tabs>
        <w:rPr>
          <w:sz w:val="20"/>
          <w:szCs w:val="20"/>
          <w:color w:val="auto"/>
        </w:rPr>
      </w:pPr>
      <w:r>
        <w:rPr>
          <w:rFonts w:ascii="Times New Roman" w:cs="Times New Roman" w:eastAsia="Times New Roman" w:hAnsi="Times New Roman"/>
          <w:sz w:val="20"/>
          <w:szCs w:val="20"/>
          <w:color w:val="auto"/>
        </w:rPr>
        <w:t>17.2.1</w:t>
      </w:r>
      <w:r>
        <w:rPr>
          <w:sz w:val="20"/>
          <w:szCs w:val="20"/>
          <w:color w:val="auto"/>
        </w:rPr>
        <w:tab/>
      </w:r>
      <w:r>
        <w:rPr>
          <w:rFonts w:ascii="Times New Roman" w:cs="Times New Roman" w:eastAsia="Times New Roman" w:hAnsi="Times New Roman"/>
          <w:sz w:val="18"/>
          <w:szCs w:val="18"/>
          <w:color w:val="auto"/>
        </w:rPr>
        <w:t>commit any material breach or non-observance of the provisions contained in this Agreement;</w:t>
      </w:r>
    </w:p>
    <w:p>
      <w:pPr>
        <w:spacing w:after="0" w:line="76" w:lineRule="exact"/>
        <w:rPr>
          <w:sz w:val="20"/>
          <w:szCs w:val="20"/>
          <w:color w:val="auto"/>
        </w:rPr>
      </w:pPr>
    </w:p>
    <w:p>
      <w:pPr>
        <w:ind w:left="1340" w:right="400" w:hanging="744"/>
        <w:spacing w:after="0" w:line="229" w:lineRule="auto"/>
        <w:tabs>
          <w:tab w:leader="none" w:pos="1320" w:val="left"/>
        </w:tabs>
        <w:rPr>
          <w:sz w:val="20"/>
          <w:szCs w:val="20"/>
          <w:color w:val="auto"/>
        </w:rPr>
      </w:pPr>
      <w:r>
        <w:rPr>
          <w:rFonts w:ascii="Times New Roman" w:cs="Times New Roman" w:eastAsia="Times New Roman" w:hAnsi="Times New Roman"/>
          <w:sz w:val="20"/>
          <w:szCs w:val="20"/>
          <w:color w:val="auto"/>
        </w:rPr>
        <w:t>17.2.2</w:t>
        <w:tab/>
        <w:t>are guilty of any serious or gross misconduct and/or negligence in the discharge of the duties of your employment or in connection with or affecting the business of the Company;</w:t>
      </w:r>
    </w:p>
    <w:p>
      <w:pPr>
        <w:spacing w:after="0" w:line="54" w:lineRule="exact"/>
        <w:rPr>
          <w:sz w:val="20"/>
          <w:szCs w:val="20"/>
          <w:color w:val="auto"/>
        </w:rPr>
      </w:pPr>
    </w:p>
    <w:p>
      <w:pPr>
        <w:ind w:left="640"/>
        <w:spacing w:after="0"/>
        <w:tabs>
          <w:tab w:leader="none" w:pos="1320" w:val="left"/>
        </w:tabs>
        <w:rPr>
          <w:sz w:val="20"/>
          <w:szCs w:val="20"/>
          <w:color w:val="auto"/>
        </w:rPr>
      </w:pPr>
      <w:r>
        <w:rPr>
          <w:rFonts w:ascii="Times New Roman" w:cs="Times New Roman" w:eastAsia="Times New Roman" w:hAnsi="Times New Roman"/>
          <w:sz w:val="20"/>
          <w:szCs w:val="20"/>
          <w:color w:val="auto"/>
        </w:rPr>
        <w:t>17.2.3</w:t>
      </w:r>
      <w:r>
        <w:rPr>
          <w:sz w:val="20"/>
          <w:szCs w:val="20"/>
          <w:color w:val="auto"/>
        </w:rPr>
        <w:tab/>
      </w:r>
      <w:r>
        <w:rPr>
          <w:rFonts w:ascii="Times New Roman" w:cs="Times New Roman" w:eastAsia="Times New Roman" w:hAnsi="Times New Roman"/>
          <w:sz w:val="18"/>
          <w:szCs w:val="18"/>
          <w:color w:val="auto"/>
        </w:rPr>
        <w:t>commit any serious act of dishonesty or repeated acts of dishonesty;</w:t>
      </w:r>
    </w:p>
    <w:p>
      <w:pPr>
        <w:spacing w:after="0" w:line="76" w:lineRule="exact"/>
        <w:rPr>
          <w:sz w:val="20"/>
          <w:szCs w:val="20"/>
          <w:color w:val="auto"/>
        </w:rPr>
      </w:pPr>
    </w:p>
    <w:p>
      <w:pPr>
        <w:ind w:left="1400" w:hanging="744"/>
        <w:spacing w:after="0" w:line="229" w:lineRule="auto"/>
        <w:tabs>
          <w:tab w:leader="none" w:pos="1380" w:val="left"/>
        </w:tabs>
        <w:rPr>
          <w:sz w:val="20"/>
          <w:szCs w:val="20"/>
          <w:color w:val="auto"/>
        </w:rPr>
      </w:pPr>
      <w:r>
        <w:rPr>
          <w:rFonts w:ascii="Times New Roman" w:cs="Times New Roman" w:eastAsia="Times New Roman" w:hAnsi="Times New Roman"/>
          <w:sz w:val="20"/>
          <w:szCs w:val="20"/>
          <w:color w:val="auto"/>
        </w:rPr>
        <w:t>17.2.4</w:t>
        <w:tab/>
        <w:t>act in a manner which in the reasonable opinion of the President or Chief Executive Officer brings the Company into disrepute or otherwise prejudices or is considered likely to prejudice the reputation of the Company;</w:t>
      </w:r>
    </w:p>
    <w:p>
      <w:pPr>
        <w:spacing w:after="0" w:line="54" w:lineRule="exact"/>
        <w:rPr>
          <w:sz w:val="20"/>
          <w:szCs w:val="20"/>
          <w:color w:val="auto"/>
        </w:rPr>
      </w:pPr>
    </w:p>
    <w:p>
      <w:pPr>
        <w:ind w:left="640"/>
        <w:spacing w:after="0"/>
        <w:tabs>
          <w:tab w:leader="none" w:pos="1320" w:val="left"/>
        </w:tabs>
        <w:rPr>
          <w:sz w:val="20"/>
          <w:szCs w:val="20"/>
          <w:color w:val="auto"/>
        </w:rPr>
      </w:pPr>
      <w:r>
        <w:rPr>
          <w:rFonts w:ascii="Times New Roman" w:cs="Times New Roman" w:eastAsia="Times New Roman" w:hAnsi="Times New Roman"/>
          <w:sz w:val="20"/>
          <w:szCs w:val="20"/>
          <w:color w:val="auto"/>
        </w:rPr>
        <w:t>17.2.5</w:t>
      </w:r>
      <w:r>
        <w:rPr>
          <w:sz w:val="20"/>
          <w:szCs w:val="20"/>
          <w:color w:val="auto"/>
        </w:rPr>
        <w:tab/>
      </w:r>
      <w:r>
        <w:rPr>
          <w:rFonts w:ascii="Times New Roman" w:cs="Times New Roman" w:eastAsia="Times New Roman" w:hAnsi="Times New Roman"/>
          <w:sz w:val="18"/>
          <w:szCs w:val="18"/>
          <w:color w:val="auto"/>
        </w:rPr>
        <w:t>are adjudicated bankrupt or commit any act of bankruptcy or make any arrangement or composition with your creditors;</w:t>
      </w:r>
    </w:p>
    <w:p>
      <w:pPr>
        <w:spacing w:after="0" w:line="63" w:lineRule="exact"/>
        <w:rPr>
          <w:sz w:val="20"/>
          <w:szCs w:val="20"/>
          <w:color w:val="auto"/>
        </w:rPr>
      </w:pPr>
    </w:p>
    <w:p>
      <w:pPr>
        <w:ind w:left="1340" w:right="20" w:hanging="744"/>
        <w:spacing w:after="0" w:line="236" w:lineRule="auto"/>
        <w:tabs>
          <w:tab w:leader="none" w:pos="1320" w:val="left"/>
        </w:tabs>
        <w:rPr>
          <w:sz w:val="20"/>
          <w:szCs w:val="20"/>
          <w:color w:val="auto"/>
        </w:rPr>
      </w:pPr>
      <w:r>
        <w:rPr>
          <w:rFonts w:ascii="Times New Roman" w:cs="Times New Roman" w:eastAsia="Times New Roman" w:hAnsi="Times New Roman"/>
          <w:sz w:val="20"/>
          <w:szCs w:val="20"/>
          <w:color w:val="auto"/>
        </w:rPr>
        <w:t>17.2.6</w:t>
        <w:tab/>
        <w:t>become of unsound mind or shall be or become a patient for the purposes of any mental health acts such that your unable to perform your duties under this Agreement;</w:t>
      </w:r>
    </w:p>
    <w:p>
      <w:pPr>
        <w:spacing w:after="0" w:line="54" w:lineRule="exact"/>
        <w:rPr>
          <w:sz w:val="20"/>
          <w:szCs w:val="20"/>
          <w:color w:val="auto"/>
        </w:rPr>
      </w:pPr>
    </w:p>
    <w:p>
      <w:pPr>
        <w:ind w:left="1360" w:hanging="744"/>
        <w:spacing w:after="0" w:line="236" w:lineRule="auto"/>
        <w:tabs>
          <w:tab w:leader="none" w:pos="1340" w:val="left"/>
        </w:tabs>
        <w:rPr>
          <w:sz w:val="20"/>
          <w:szCs w:val="20"/>
          <w:color w:val="auto"/>
        </w:rPr>
      </w:pPr>
      <w:r>
        <w:rPr>
          <w:rFonts w:ascii="Times New Roman" w:cs="Times New Roman" w:eastAsia="Times New Roman" w:hAnsi="Times New Roman"/>
          <w:sz w:val="20"/>
          <w:szCs w:val="20"/>
          <w:color w:val="auto"/>
        </w:rPr>
        <w:t>17.2.7</w:t>
        <w:tab/>
        <w:t>cease to be a director of the Company or are prohibited or disqualified by law from holding any office in the Company or any other company;</w:t>
      </w:r>
    </w:p>
    <w:p>
      <w:pPr>
        <w:spacing w:after="0" w:line="40" w:lineRule="exact"/>
        <w:rPr>
          <w:sz w:val="20"/>
          <w:szCs w:val="20"/>
          <w:color w:val="auto"/>
        </w:rPr>
      </w:pPr>
    </w:p>
    <w:p>
      <w:pPr>
        <w:ind w:left="1360" w:right="20" w:hanging="744"/>
        <w:spacing w:after="0" w:line="236" w:lineRule="auto"/>
        <w:tabs>
          <w:tab w:leader="none" w:pos="1340" w:val="left"/>
        </w:tabs>
        <w:rPr>
          <w:sz w:val="20"/>
          <w:szCs w:val="20"/>
          <w:color w:val="auto"/>
        </w:rPr>
      </w:pPr>
      <w:r>
        <w:rPr>
          <w:rFonts w:ascii="Times New Roman" w:cs="Times New Roman" w:eastAsia="Times New Roman" w:hAnsi="Times New Roman"/>
          <w:sz w:val="20"/>
          <w:szCs w:val="20"/>
          <w:color w:val="auto"/>
        </w:rPr>
        <w:t>17.2.8</w:t>
        <w:tab/>
        <w:t>are absent or unable through illness or injury to discharge in full your duties hereunder for a consecutive period of 90 days or for an aggregate period of 180 days in any period of 12 consecutive months;</w:t>
      </w:r>
    </w:p>
    <w:p>
      <w:pPr>
        <w:spacing w:after="0" w:line="54" w:lineRule="exact"/>
        <w:rPr>
          <w:sz w:val="20"/>
          <w:szCs w:val="20"/>
          <w:color w:val="auto"/>
        </w:rPr>
      </w:pPr>
    </w:p>
    <w:p>
      <w:pPr>
        <w:ind w:left="640"/>
        <w:spacing w:after="0"/>
        <w:tabs>
          <w:tab w:leader="none" w:pos="1320" w:val="left"/>
        </w:tabs>
        <w:rPr>
          <w:sz w:val="20"/>
          <w:szCs w:val="20"/>
          <w:color w:val="auto"/>
        </w:rPr>
      </w:pPr>
      <w:r>
        <w:rPr>
          <w:rFonts w:ascii="Times New Roman" w:cs="Times New Roman" w:eastAsia="Times New Roman" w:hAnsi="Times New Roman"/>
          <w:sz w:val="20"/>
          <w:szCs w:val="20"/>
          <w:color w:val="auto"/>
        </w:rPr>
        <w:t>17.2.9</w:t>
      </w:r>
      <w:r>
        <w:rPr>
          <w:sz w:val="20"/>
          <w:szCs w:val="20"/>
          <w:color w:val="auto"/>
        </w:rPr>
        <w:tab/>
      </w:r>
      <w:r>
        <w:rPr>
          <w:rFonts w:ascii="Times New Roman" w:cs="Times New Roman" w:eastAsia="Times New Roman" w:hAnsi="Times New Roman"/>
          <w:sz w:val="18"/>
          <w:szCs w:val="18"/>
          <w:color w:val="auto"/>
        </w:rPr>
        <w:t>cease to be eligible to work in the Republic of Ireland; or</w:t>
      </w:r>
    </w:p>
    <w:p>
      <w:pPr>
        <w:spacing w:after="0" w:line="63" w:lineRule="exact"/>
        <w:rPr>
          <w:sz w:val="20"/>
          <w:szCs w:val="20"/>
          <w:color w:val="auto"/>
        </w:rPr>
      </w:pPr>
    </w:p>
    <w:p>
      <w:pPr>
        <w:ind w:left="1400" w:right="20" w:hanging="744"/>
        <w:spacing w:after="0" w:line="236" w:lineRule="auto"/>
        <w:tabs>
          <w:tab w:leader="none" w:pos="1380" w:val="left"/>
        </w:tabs>
        <w:rPr>
          <w:sz w:val="20"/>
          <w:szCs w:val="20"/>
          <w:color w:val="auto"/>
        </w:rPr>
      </w:pPr>
      <w:r>
        <w:rPr>
          <w:rFonts w:ascii="Times New Roman" w:cs="Times New Roman" w:eastAsia="Times New Roman" w:hAnsi="Times New Roman"/>
          <w:sz w:val="20"/>
          <w:szCs w:val="20"/>
          <w:color w:val="auto"/>
        </w:rPr>
        <w:t>17.2.10</w:t>
        <w:tab/>
        <w:t>are convicted of a criminal offence which the Company considers affects or could affect your position within the Company (other than minor traffic offences).</w:t>
      </w:r>
    </w:p>
    <w:p>
      <w:pPr>
        <w:spacing w:after="0" w:line="203" w:lineRule="exact"/>
        <w:rPr>
          <w:sz w:val="20"/>
          <w:szCs w:val="20"/>
          <w:color w:val="auto"/>
        </w:rPr>
      </w:pPr>
    </w:p>
    <w:p>
      <w:pPr>
        <w:ind w:left="520" w:hanging="509"/>
        <w:spacing w:after="0"/>
        <w:tabs>
          <w:tab w:leader="none" w:pos="520" w:val="left"/>
        </w:tabs>
        <w:numPr>
          <w:ilvl w:val="0"/>
          <w:numId w:val="90"/>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0"/>
          <w:szCs w:val="20"/>
          <w:b w:val="1"/>
          <w:bCs w:val="1"/>
          <w:u w:val="single" w:color="auto"/>
          <w:color w:val="auto"/>
        </w:rPr>
        <w:t>ILLNESS</w:t>
      </w:r>
    </w:p>
    <w:p>
      <w:pPr>
        <w:spacing w:after="0" w:line="3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18.1.</w:t>
        <w:tab/>
        <w:t>Absences from work for whatever reason must be notified to your manager as soon as possible before your usual start time on the</w:t>
      </w:r>
    </w:p>
    <w:p>
      <w:pPr>
        <w:ind w:left="640"/>
        <w:spacing w:after="0" w:line="218" w:lineRule="auto"/>
        <w:rPr>
          <w:sz w:val="20"/>
          <w:szCs w:val="20"/>
          <w:color w:val="auto"/>
        </w:rPr>
      </w:pPr>
      <w:r>
        <w:rPr>
          <w:rFonts w:ascii="Times New Roman" w:cs="Times New Roman" w:eastAsia="Times New Roman" w:hAnsi="Times New Roman"/>
          <w:sz w:val="20"/>
          <w:szCs w:val="20"/>
          <w:color w:val="auto"/>
        </w:rPr>
        <w:t>first day of absence. You should contact your manager and confirm the reason for your absence and the expected length of such absence.</w:t>
      </w:r>
    </w:p>
    <w:p>
      <w:pPr>
        <w:spacing w:after="0" w:line="53" w:lineRule="exact"/>
        <w:rPr>
          <w:sz w:val="20"/>
          <w:szCs w:val="20"/>
          <w:color w:val="auto"/>
        </w:rPr>
      </w:pPr>
    </w:p>
    <w:p>
      <w:pPr>
        <w:ind w:left="600" w:hanging="639"/>
        <w:spacing w:after="0" w:line="236" w:lineRule="auto"/>
        <w:tabs>
          <w:tab w:leader="none" w:pos="580" w:val="left"/>
        </w:tabs>
        <w:rPr>
          <w:sz w:val="20"/>
          <w:szCs w:val="20"/>
          <w:color w:val="auto"/>
        </w:rPr>
      </w:pPr>
      <w:r>
        <w:rPr>
          <w:rFonts w:ascii="Times New Roman" w:cs="Times New Roman" w:eastAsia="Times New Roman" w:hAnsi="Times New Roman"/>
          <w:sz w:val="20"/>
          <w:szCs w:val="20"/>
          <w:color w:val="auto"/>
        </w:rPr>
        <w:t>18.2.</w:t>
        <w:tab/>
        <w:t>Payment of sick pay (over and above your entitlement to statutory sick pay) for any absences attributable to illness will be entirely at the sole discretion of the Company.</w:t>
      </w:r>
    </w:p>
    <w:p>
      <w:pPr>
        <w:spacing w:after="0" w:line="40" w:lineRule="exact"/>
        <w:rPr>
          <w:sz w:val="20"/>
          <w:szCs w:val="20"/>
          <w:color w:val="auto"/>
        </w:rPr>
      </w:pPr>
    </w:p>
    <w:p>
      <w:pPr>
        <w:ind w:left="620" w:right="20" w:hanging="639"/>
        <w:spacing w:after="0" w:line="236" w:lineRule="auto"/>
        <w:tabs>
          <w:tab w:leader="none" w:pos="600" w:val="left"/>
        </w:tabs>
        <w:rPr>
          <w:sz w:val="20"/>
          <w:szCs w:val="20"/>
          <w:color w:val="auto"/>
        </w:rPr>
      </w:pPr>
      <w:r>
        <w:rPr>
          <w:rFonts w:ascii="Times New Roman" w:cs="Times New Roman" w:eastAsia="Times New Roman" w:hAnsi="Times New Roman"/>
          <w:sz w:val="20"/>
          <w:szCs w:val="20"/>
          <w:color w:val="auto"/>
        </w:rPr>
        <w:t>18.3.</w:t>
        <w:tab/>
        <w:t>If you are at any time prevented by illness, injury, accident or any other circumstances from discharging all your duties for a period of three consecutive days, then a satisfactory certificate will be required from your doctor in respect of such absence.</w:t>
      </w:r>
    </w:p>
    <w:p>
      <w:pPr>
        <w:spacing w:after="0" w:line="54" w:lineRule="exact"/>
        <w:rPr>
          <w:sz w:val="20"/>
          <w:szCs w:val="20"/>
          <w:color w:val="auto"/>
        </w:rPr>
      </w:pPr>
    </w:p>
    <w:p>
      <w:pPr>
        <w:jc w:val="right"/>
        <w:spacing w:after="0" w:line="212" w:lineRule="auto"/>
        <w:rPr>
          <w:sz w:val="20"/>
          <w:szCs w:val="20"/>
          <w:color w:val="auto"/>
        </w:rPr>
      </w:pPr>
      <w:r>
        <w:rPr>
          <w:rFonts w:ascii="Times New Roman" w:cs="Times New Roman" w:eastAsia="Times New Roman" w:hAnsi="Times New Roman"/>
          <w:sz w:val="20"/>
          <w:szCs w:val="20"/>
          <w:color w:val="auto"/>
        </w:rPr>
        <w:t>18.4.   The Company reserves the right, at any time, to require you to undergo a medical examination by a doctor or consultant nominated by the Company, and the Company will bear the cost of such examination. Failure to attend at a medical examination when</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requested to do so may result in disciplinary action and/or termination of sick pay (if applicable).</w:t>
      </w:r>
    </w:p>
    <w:p>
      <w:pPr>
        <w:spacing w:after="0" w:line="54" w:lineRule="exact"/>
        <w:rPr>
          <w:sz w:val="20"/>
          <w:szCs w:val="20"/>
          <w:color w:val="auto"/>
        </w:rPr>
      </w:pPr>
    </w:p>
    <w:p>
      <w:pPr>
        <w:jc w:val="right"/>
        <w:spacing w:after="0" w:line="212" w:lineRule="auto"/>
        <w:rPr>
          <w:sz w:val="20"/>
          <w:szCs w:val="20"/>
          <w:color w:val="auto"/>
        </w:rPr>
      </w:pPr>
      <w:r>
        <w:rPr>
          <w:rFonts w:ascii="Times New Roman" w:cs="Times New Roman" w:eastAsia="Times New Roman" w:hAnsi="Times New Roman"/>
          <w:sz w:val="20"/>
          <w:szCs w:val="20"/>
          <w:color w:val="auto"/>
        </w:rPr>
        <w:t>18.5.   If your absence is or appears to be occasioned by actionable negligence, nuisance or breach of any statutory duty on the part of a third party in respect of which damages are or may be recoverable, you shall immediately notify your manager of that fact and of</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any claim, compromise, settlement or judgment made or awarded in connection</w:t>
      </w:r>
    </w:p>
    <w:p>
      <w:pPr>
        <w:sectPr>
          <w:pgSz w:w="11900" w:h="16838" w:orient="portrait"/>
          <w:cols w:equalWidth="0" w:num="1">
            <w:col w:w="11020"/>
          </w:cols>
          <w:pgMar w:left="440" w:top="1440" w:right="439" w:bottom="1440" w:gutter="0" w:footer="0" w:header="0"/>
        </w:sectPr>
      </w:pPr>
    </w:p>
    <w:bookmarkStart w:id="188" w:name="page189"/>
    <w:bookmarkEnd w:id="188"/>
    <w:p>
      <w:pPr>
        <w:spacing w:after="0" w:line="2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with it and all relevant particulars that the Company may reasonably require. You shall, if you have been in receipt of salary for a</w:t>
      </w:r>
    </w:p>
    <w:p>
      <w:pPr>
        <w:ind w:left="640"/>
        <w:spacing w:after="0" w:line="223" w:lineRule="auto"/>
        <w:rPr>
          <w:sz w:val="20"/>
          <w:szCs w:val="20"/>
          <w:color w:val="auto"/>
        </w:rPr>
      </w:pPr>
      <w:r>
        <w:rPr>
          <w:rFonts w:ascii="Times New Roman" w:cs="Times New Roman" w:eastAsia="Times New Roman" w:hAnsi="Times New Roman"/>
          <w:sz w:val="18"/>
          <w:szCs w:val="18"/>
          <w:color w:val="auto"/>
        </w:rPr>
        <w:t>period of absence and if required by the Company, refund to the Company that part of any damages or compensation recovered by you relating to the loss of earnings for the period of sickness as the Company may reasonably determine less any costs borne by you</w:t>
      </w:r>
    </w:p>
    <w:p>
      <w:pPr>
        <w:spacing w:after="0" w:line="1" w:lineRule="exact"/>
        <w:rPr>
          <w:sz w:val="20"/>
          <w:szCs w:val="20"/>
          <w:color w:val="auto"/>
        </w:rPr>
      </w:pPr>
    </w:p>
    <w:p>
      <w:pPr>
        <w:ind w:left="640" w:right="20"/>
        <w:spacing w:after="0" w:line="225" w:lineRule="auto"/>
        <w:rPr>
          <w:sz w:val="20"/>
          <w:szCs w:val="20"/>
          <w:color w:val="auto"/>
        </w:rPr>
      </w:pPr>
      <w:r>
        <w:rPr>
          <w:rFonts w:ascii="Times New Roman" w:cs="Times New Roman" w:eastAsia="Times New Roman" w:hAnsi="Times New Roman"/>
          <w:sz w:val="20"/>
          <w:szCs w:val="20"/>
          <w:color w:val="auto"/>
        </w:rPr>
        <w:t>in connection with the recovery of such damages or compensation, provided that the amount to be refunded shall not exceed the total amount paid to you by the Company in respect of the period of sickness.</w:t>
      </w:r>
    </w:p>
    <w:p>
      <w:pPr>
        <w:spacing w:after="0" w:line="202" w:lineRule="exact"/>
        <w:rPr>
          <w:sz w:val="20"/>
          <w:szCs w:val="20"/>
          <w:color w:val="auto"/>
        </w:rPr>
      </w:pPr>
    </w:p>
    <w:p>
      <w:pPr>
        <w:ind w:left="520" w:hanging="509"/>
        <w:spacing w:after="0"/>
        <w:tabs>
          <w:tab w:leader="none" w:pos="520" w:val="left"/>
        </w:tabs>
        <w:numPr>
          <w:ilvl w:val="0"/>
          <w:numId w:val="91"/>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0"/>
          <w:szCs w:val="20"/>
          <w:b w:val="1"/>
          <w:bCs w:val="1"/>
          <w:u w:val="single" w:color="auto"/>
          <w:color w:val="auto"/>
        </w:rPr>
        <w:t>DISCIPLINARY RULES AND PROCEDURE</w:t>
      </w:r>
    </w:p>
    <w:p>
      <w:pPr>
        <w:spacing w:after="0" w:line="3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19.1.</w:t>
      </w:r>
      <w:r>
        <w:rPr>
          <w:sz w:val="20"/>
          <w:szCs w:val="20"/>
          <w:color w:val="auto"/>
        </w:rPr>
        <w:tab/>
      </w:r>
      <w:r>
        <w:rPr>
          <w:rFonts w:ascii="Times New Roman" w:cs="Times New Roman" w:eastAsia="Times New Roman" w:hAnsi="Times New Roman"/>
          <w:sz w:val="18"/>
          <w:szCs w:val="18"/>
          <w:color w:val="auto"/>
        </w:rPr>
        <w:t>The Company’s grievance and disciplinary procedures, which are not contractual, are set out in the Company Handbook.</w:t>
      </w:r>
    </w:p>
    <w:p>
      <w:pPr>
        <w:spacing w:after="0" w:line="9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19.2.</w:t>
      </w:r>
      <w:r>
        <w:rPr>
          <w:sz w:val="20"/>
          <w:szCs w:val="20"/>
          <w:color w:val="auto"/>
        </w:rPr>
        <w:tab/>
      </w:r>
      <w:r>
        <w:rPr>
          <w:rFonts w:ascii="Times New Roman" w:cs="Times New Roman" w:eastAsia="Times New Roman" w:hAnsi="Times New Roman"/>
          <w:sz w:val="18"/>
          <w:szCs w:val="18"/>
          <w:color w:val="auto"/>
        </w:rPr>
        <w:t>The Company reserves the right to suspend you with pay for the purposes of investigating any allegations of misconduct.</w:t>
      </w:r>
    </w:p>
    <w:p>
      <w:pPr>
        <w:spacing w:after="0" w:line="90" w:lineRule="exact"/>
        <w:rPr>
          <w:sz w:val="20"/>
          <w:szCs w:val="20"/>
          <w:color w:val="auto"/>
        </w:rPr>
      </w:pPr>
    </w:p>
    <w:p>
      <w:pPr>
        <w:ind w:left="600" w:right="200" w:hanging="639"/>
        <w:spacing w:after="0" w:line="229" w:lineRule="auto"/>
        <w:tabs>
          <w:tab w:leader="none" w:pos="580" w:val="left"/>
        </w:tabs>
        <w:rPr>
          <w:sz w:val="20"/>
          <w:szCs w:val="20"/>
          <w:color w:val="auto"/>
        </w:rPr>
      </w:pPr>
      <w:r>
        <w:rPr>
          <w:rFonts w:ascii="Times New Roman" w:cs="Times New Roman" w:eastAsia="Times New Roman" w:hAnsi="Times New Roman"/>
          <w:sz w:val="20"/>
          <w:szCs w:val="20"/>
          <w:color w:val="auto"/>
        </w:rPr>
        <w:t>19.3.</w:t>
        <w:tab/>
        <w:t>In order to investigate a complaint against you, the Company may suspend you on full pay for as long as may be necessary to carry out an investigation and hold a disciplinary hearing.</w:t>
      </w:r>
    </w:p>
    <w:p>
      <w:pPr>
        <w:spacing w:after="0" w:line="203" w:lineRule="exact"/>
        <w:rPr>
          <w:sz w:val="20"/>
          <w:szCs w:val="20"/>
          <w:color w:val="auto"/>
        </w:rPr>
      </w:pPr>
    </w:p>
    <w:p>
      <w:pPr>
        <w:ind w:left="520" w:hanging="509"/>
        <w:spacing w:after="0"/>
        <w:tabs>
          <w:tab w:leader="none" w:pos="520" w:val="left"/>
        </w:tabs>
        <w:numPr>
          <w:ilvl w:val="0"/>
          <w:numId w:val="92"/>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0"/>
          <w:szCs w:val="20"/>
          <w:b w:val="1"/>
          <w:bCs w:val="1"/>
          <w:u w:val="single" w:color="auto"/>
          <w:color w:val="auto"/>
        </w:rPr>
        <w:t>MONITORING</w:t>
      </w:r>
    </w:p>
    <w:p>
      <w:pPr>
        <w:spacing w:after="0" w:line="52" w:lineRule="exact"/>
        <w:rPr>
          <w:sz w:val="20"/>
          <w:szCs w:val="20"/>
          <w:color w:val="auto"/>
        </w:rPr>
      </w:pPr>
    </w:p>
    <w:p>
      <w:pPr>
        <w:ind w:left="640"/>
        <w:spacing w:after="0" w:line="236" w:lineRule="auto"/>
        <w:rPr>
          <w:sz w:val="20"/>
          <w:szCs w:val="20"/>
          <w:color w:val="auto"/>
        </w:rPr>
      </w:pPr>
      <w:r>
        <w:rPr>
          <w:rFonts w:ascii="Times New Roman" w:cs="Times New Roman" w:eastAsia="Times New Roman" w:hAnsi="Times New Roman"/>
          <w:sz w:val="18"/>
          <w:szCs w:val="18"/>
          <w:color w:val="auto"/>
        </w:rPr>
        <w:t>You consent to the Company monitoring and recording any use that you make of the Company’s electronic communications systems for the purpose of ensuring that the Company’s rules are being complied with and for legitimate business purposes. You shall</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comply with any electronic communication systems policies that the Company may issue from time to time.</w:t>
      </w:r>
    </w:p>
    <w:p>
      <w:pPr>
        <w:spacing w:after="0" w:line="203" w:lineRule="exact"/>
        <w:rPr>
          <w:sz w:val="20"/>
          <w:szCs w:val="20"/>
          <w:color w:val="auto"/>
        </w:rPr>
      </w:pPr>
    </w:p>
    <w:p>
      <w:pPr>
        <w:ind w:left="520" w:hanging="509"/>
        <w:spacing w:after="0"/>
        <w:tabs>
          <w:tab w:leader="none" w:pos="520" w:val="left"/>
        </w:tabs>
        <w:numPr>
          <w:ilvl w:val="0"/>
          <w:numId w:val="93"/>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0"/>
          <w:szCs w:val="20"/>
          <w:b w:val="1"/>
          <w:bCs w:val="1"/>
          <w:u w:val="single" w:color="auto"/>
          <w:color w:val="auto"/>
        </w:rPr>
        <w:t>CONFIDENTIALITY</w:t>
      </w:r>
    </w:p>
    <w:p>
      <w:pPr>
        <w:spacing w:after="0" w:line="39" w:lineRule="exact"/>
        <w:rPr>
          <w:sz w:val="20"/>
          <w:szCs w:val="20"/>
          <w:color w:val="auto"/>
        </w:rPr>
      </w:pPr>
    </w:p>
    <w:p>
      <w:pPr>
        <w:jc w:val="right"/>
        <w:spacing w:after="0" w:line="219" w:lineRule="auto"/>
        <w:rPr>
          <w:sz w:val="20"/>
          <w:szCs w:val="20"/>
          <w:color w:val="auto"/>
        </w:rPr>
      </w:pPr>
      <w:r>
        <w:rPr>
          <w:rFonts w:ascii="Times New Roman" w:cs="Times New Roman" w:eastAsia="Times New Roman" w:hAnsi="Times New Roman"/>
          <w:sz w:val="20"/>
          <w:szCs w:val="20"/>
          <w:color w:val="auto"/>
        </w:rPr>
        <w:t>21.1.   You will not, except as authorised or required by your duties, reveal to any person, persons or company any information of a confidential or proprietary nature, including any trade secrets, secret or confidential operations, processes or dealings or any</w:t>
      </w:r>
    </w:p>
    <w:p>
      <w:pPr>
        <w:spacing w:after="0" w:line="2" w:lineRule="exact"/>
        <w:rPr>
          <w:sz w:val="20"/>
          <w:szCs w:val="20"/>
          <w:color w:val="auto"/>
        </w:rPr>
      </w:pPr>
    </w:p>
    <w:p>
      <w:pPr>
        <w:ind w:left="640"/>
        <w:spacing w:after="0" w:line="223" w:lineRule="auto"/>
        <w:rPr>
          <w:sz w:val="20"/>
          <w:szCs w:val="20"/>
          <w:color w:val="auto"/>
        </w:rPr>
      </w:pPr>
      <w:r>
        <w:rPr>
          <w:rFonts w:ascii="Times New Roman" w:cs="Times New Roman" w:eastAsia="Times New Roman" w:hAnsi="Times New Roman"/>
          <w:sz w:val="18"/>
          <w:szCs w:val="18"/>
          <w:color w:val="auto"/>
        </w:rPr>
        <w:t>information concerning the organisation, business, finances, transactions or affairs of the Company, its subsidiary or associated companies or their existing or potential customers including but not limited to: client lists, prices, financial information, information</w:t>
      </w:r>
    </w:p>
    <w:p>
      <w:pPr>
        <w:spacing w:after="0" w:line="1" w:lineRule="exact"/>
        <w:rPr>
          <w:sz w:val="20"/>
          <w:szCs w:val="20"/>
          <w:color w:val="auto"/>
        </w:rPr>
      </w:pPr>
    </w:p>
    <w:p>
      <w:pPr>
        <w:ind w:left="640"/>
        <w:spacing w:after="0" w:line="223" w:lineRule="auto"/>
        <w:rPr>
          <w:sz w:val="20"/>
          <w:szCs w:val="20"/>
          <w:color w:val="auto"/>
        </w:rPr>
      </w:pPr>
      <w:r>
        <w:rPr>
          <w:rFonts w:ascii="Times New Roman" w:cs="Times New Roman" w:eastAsia="Times New Roman" w:hAnsi="Times New Roman"/>
          <w:sz w:val="18"/>
          <w:szCs w:val="18"/>
          <w:color w:val="auto"/>
        </w:rPr>
        <w:t>on the marketing and development of products, which may come to your knowledge during the period of your employment with the Company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You will keep all Confidential Information entrusted to you completely secret and will not</w:t>
      </w:r>
    </w:p>
    <w:p>
      <w:pPr>
        <w:ind w:left="640"/>
        <w:spacing w:after="0" w:line="233" w:lineRule="auto"/>
        <w:rPr>
          <w:sz w:val="20"/>
          <w:szCs w:val="20"/>
          <w:color w:val="auto"/>
        </w:rPr>
      </w:pPr>
      <w:r>
        <w:rPr>
          <w:rFonts w:ascii="Times New Roman" w:cs="Times New Roman" w:eastAsia="Times New Roman" w:hAnsi="Times New Roman"/>
          <w:sz w:val="18"/>
          <w:szCs w:val="18"/>
          <w:color w:val="auto"/>
        </w:rPr>
        <w:t>use or attempt to use any Confidential Information in any manner which may injure or cause loss either directly or indirectly to the</w:t>
      </w:r>
    </w:p>
    <w:p>
      <w:pPr>
        <w:ind w:left="640"/>
        <w:spacing w:after="0" w:line="201" w:lineRule="auto"/>
        <w:rPr>
          <w:sz w:val="20"/>
          <w:szCs w:val="20"/>
          <w:color w:val="auto"/>
        </w:rPr>
      </w:pPr>
      <w:r>
        <w:rPr>
          <w:rFonts w:ascii="Times New Roman" w:cs="Times New Roman" w:eastAsia="Times New Roman" w:hAnsi="Times New Roman"/>
          <w:sz w:val="20"/>
          <w:szCs w:val="20"/>
          <w:color w:val="auto"/>
        </w:rPr>
        <w:t>Company or any of its subsidiary or associated companies or their existing or potential customers or its or their business or businesses. This restriction will continue to apply after the termination of your employment without limit in point of time but will</w:t>
      </w:r>
    </w:p>
    <w:p>
      <w:pPr>
        <w:spacing w:after="0" w:line="1" w:lineRule="exact"/>
        <w:rPr>
          <w:sz w:val="20"/>
          <w:szCs w:val="20"/>
          <w:color w:val="auto"/>
        </w:rPr>
      </w:pPr>
    </w:p>
    <w:p>
      <w:pPr>
        <w:ind w:left="640"/>
        <w:spacing w:after="0" w:line="225" w:lineRule="auto"/>
        <w:rPr>
          <w:sz w:val="20"/>
          <w:szCs w:val="20"/>
          <w:color w:val="auto"/>
        </w:rPr>
      </w:pPr>
      <w:r>
        <w:rPr>
          <w:rFonts w:ascii="Times New Roman" w:cs="Times New Roman" w:eastAsia="Times New Roman" w:hAnsi="Times New Roman"/>
          <w:sz w:val="20"/>
          <w:szCs w:val="20"/>
          <w:color w:val="auto"/>
        </w:rPr>
        <w:t>cease to apply to information or knowledge which may reasonably be said to have come into the public domain other than by reason of breach of the provisions of this contract.</w:t>
      </w:r>
    </w:p>
    <w:p>
      <w:pPr>
        <w:spacing w:after="0" w:line="53" w:lineRule="exact"/>
        <w:rPr>
          <w:sz w:val="20"/>
          <w:szCs w:val="20"/>
          <w:color w:val="auto"/>
        </w:rPr>
      </w:pPr>
    </w:p>
    <w:p>
      <w:pPr>
        <w:jc w:val="right"/>
        <w:spacing w:after="0" w:line="212" w:lineRule="auto"/>
        <w:rPr>
          <w:sz w:val="20"/>
          <w:szCs w:val="20"/>
          <w:color w:val="auto"/>
        </w:rPr>
      </w:pPr>
      <w:r>
        <w:rPr>
          <w:rFonts w:ascii="Times New Roman" w:cs="Times New Roman" w:eastAsia="Times New Roman" w:hAnsi="Times New Roman"/>
          <w:sz w:val="20"/>
          <w:szCs w:val="20"/>
          <w:color w:val="auto"/>
        </w:rPr>
        <w:t>21.2.  You will not during the term of your employment with the Company make, otherwise than for the benefit of the Company, any notes or memoranda relating to any matter within the scope of the business of the Company, its subsidiary or associated companies or</w:t>
      </w:r>
    </w:p>
    <w:p>
      <w:pPr>
        <w:ind w:left="640"/>
        <w:spacing w:after="0" w:line="233" w:lineRule="auto"/>
        <w:rPr>
          <w:sz w:val="20"/>
          <w:szCs w:val="20"/>
          <w:color w:val="auto"/>
        </w:rPr>
      </w:pPr>
      <w:r>
        <w:rPr>
          <w:rFonts w:ascii="Times New Roman" w:cs="Times New Roman" w:eastAsia="Times New Roman" w:hAnsi="Times New Roman"/>
          <w:sz w:val="18"/>
          <w:szCs w:val="18"/>
          <w:color w:val="auto"/>
        </w:rPr>
        <w:t>their existing or potential customers or concerning any of the dealings or affairs of any such company nor will you either during the</w:t>
      </w:r>
    </w:p>
    <w:p>
      <w:pPr>
        <w:ind w:left="640"/>
        <w:spacing w:after="0" w:line="223" w:lineRule="auto"/>
        <w:rPr>
          <w:sz w:val="20"/>
          <w:szCs w:val="20"/>
          <w:color w:val="auto"/>
        </w:rPr>
      </w:pPr>
      <w:r>
        <w:rPr>
          <w:rFonts w:ascii="Times New Roman" w:cs="Times New Roman" w:eastAsia="Times New Roman" w:hAnsi="Times New Roman"/>
          <w:sz w:val="18"/>
          <w:szCs w:val="18"/>
          <w:color w:val="auto"/>
        </w:rPr>
        <w:t>term of your employment with the Company or afterwards use or permit to be used any such notes or memoranda otherwise than for the benefit of the Company, it being the intention of the parties that all such notes or memoranda made by you will be the property</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of the Company and left at its offices upon the termination of your employment with the Company.</w:t>
      </w:r>
    </w:p>
    <w:p>
      <w:pPr>
        <w:sectPr>
          <w:pgSz w:w="11900" w:h="16838" w:orient="portrait"/>
          <w:cols w:equalWidth="0" w:num="1">
            <w:col w:w="11020"/>
          </w:cols>
          <w:pgMar w:left="440" w:top="1440" w:right="439" w:bottom="1440" w:gutter="0" w:footer="0" w:header="0"/>
        </w:sectPr>
      </w:pPr>
    </w:p>
    <w:bookmarkStart w:id="189" w:name="page190"/>
    <w:bookmarkEnd w:id="189"/>
    <w:p>
      <w:pPr>
        <w:spacing w:after="0" w:line="200" w:lineRule="exact"/>
        <w:rPr>
          <w:sz w:val="20"/>
          <w:szCs w:val="20"/>
          <w:color w:val="auto"/>
        </w:rPr>
      </w:pPr>
    </w:p>
    <w:p>
      <w:pPr>
        <w:spacing w:after="0" w:line="330" w:lineRule="exact"/>
        <w:rPr>
          <w:sz w:val="20"/>
          <w:szCs w:val="20"/>
          <w:color w:val="auto"/>
        </w:rPr>
      </w:pPr>
    </w:p>
    <w:p>
      <w:pPr>
        <w:ind w:left="520" w:hanging="509"/>
        <w:spacing w:after="0"/>
        <w:tabs>
          <w:tab w:leader="none" w:pos="520" w:val="left"/>
        </w:tabs>
        <w:numPr>
          <w:ilvl w:val="0"/>
          <w:numId w:val="94"/>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0"/>
          <w:szCs w:val="20"/>
          <w:b w:val="1"/>
          <w:bCs w:val="1"/>
          <w:u w:val="single" w:color="auto"/>
          <w:color w:val="auto"/>
        </w:rPr>
        <w:t>PROPRIETARY RIGHTS</w:t>
      </w:r>
    </w:p>
    <w:p>
      <w:pPr>
        <w:spacing w:after="0" w:line="35" w:lineRule="exact"/>
        <w:rPr>
          <w:sz w:val="20"/>
          <w:szCs w:val="20"/>
          <w:color w:val="auto"/>
        </w:rPr>
      </w:pPr>
    </w:p>
    <w:p>
      <w:pPr>
        <w:jc w:val="both"/>
        <w:ind w:left="640" w:hanging="639"/>
        <w:spacing w:after="0" w:line="221" w:lineRule="auto"/>
        <w:tabs>
          <w:tab w:leader="none" w:pos="620" w:val="left"/>
        </w:tabs>
        <w:rPr>
          <w:sz w:val="20"/>
          <w:szCs w:val="20"/>
          <w:color w:val="auto"/>
        </w:rPr>
      </w:pPr>
      <w:r>
        <w:rPr>
          <w:rFonts w:ascii="Times New Roman" w:cs="Times New Roman" w:eastAsia="Times New Roman" w:hAnsi="Times New Roman"/>
          <w:sz w:val="20"/>
          <w:szCs w:val="20"/>
          <w:color w:val="auto"/>
        </w:rPr>
        <w:t>22.1.</w:t>
        <w:tab/>
        <w:t>“</w:t>
      </w:r>
      <w:r>
        <w:rPr>
          <w:rFonts w:ascii="Times New Roman" w:cs="Times New Roman" w:eastAsia="Times New Roman" w:hAnsi="Times New Roman"/>
          <w:sz w:val="20"/>
          <w:szCs w:val="20"/>
          <w:b w:val="1"/>
          <w:bCs w:val="1"/>
          <w:color w:val="auto"/>
        </w:rPr>
        <w:t>IP</w:t>
      </w:r>
      <w:r>
        <w:rPr>
          <w:rFonts w:ascii="Times New Roman" w:cs="Times New Roman" w:eastAsia="Times New Roman" w:hAnsi="Times New Roman"/>
          <w:sz w:val="20"/>
          <w:szCs w:val="20"/>
          <w:color w:val="auto"/>
        </w:rPr>
        <w:t>” means all intellectual property rights of whatever nature, including copyright (present and future), patents, trademarks, trade names, domain names, rights in get-up, goodwill and the right to sue for passing off or unfair competition, rights in computer</w:t>
      </w:r>
    </w:p>
    <w:p>
      <w:pPr>
        <w:spacing w:after="0" w:line="2" w:lineRule="exact"/>
        <w:rPr>
          <w:sz w:val="20"/>
          <w:szCs w:val="20"/>
          <w:color w:val="auto"/>
        </w:rPr>
      </w:pPr>
    </w:p>
    <w:p>
      <w:pPr>
        <w:ind w:left="640"/>
        <w:spacing w:after="0" w:line="201" w:lineRule="auto"/>
        <w:rPr>
          <w:sz w:val="20"/>
          <w:szCs w:val="20"/>
          <w:color w:val="auto"/>
        </w:rPr>
      </w:pPr>
      <w:r>
        <w:rPr>
          <w:rFonts w:ascii="Times New Roman" w:cs="Times New Roman" w:eastAsia="Times New Roman" w:hAnsi="Times New Roman"/>
          <w:sz w:val="20"/>
          <w:szCs w:val="20"/>
          <w:color w:val="auto"/>
        </w:rPr>
        <w:t>software, design rights, rights to inventions and database rights (whether or not any of these is registered and including any applications for registration of any such rights), rights to preserve the confidentiality of information (including trade secrets and</w:t>
      </w:r>
    </w:p>
    <w:p>
      <w:pPr>
        <w:ind w:left="640"/>
        <w:spacing w:after="0" w:line="232" w:lineRule="auto"/>
        <w:rPr>
          <w:sz w:val="20"/>
          <w:szCs w:val="20"/>
          <w:color w:val="auto"/>
        </w:rPr>
      </w:pPr>
      <w:r>
        <w:rPr>
          <w:rFonts w:ascii="Times New Roman" w:cs="Times New Roman" w:eastAsia="Times New Roman" w:hAnsi="Times New Roman"/>
          <w:sz w:val="18"/>
          <w:szCs w:val="18"/>
          <w:color w:val="auto"/>
        </w:rPr>
        <w:t>know-how) and any other intellectual property rights, in each case whether registered or unregistered and including all applications</w:t>
      </w:r>
    </w:p>
    <w:p>
      <w:pPr>
        <w:ind w:left="640" w:right="20"/>
        <w:spacing w:after="0" w:line="218" w:lineRule="auto"/>
        <w:rPr>
          <w:sz w:val="20"/>
          <w:szCs w:val="20"/>
          <w:color w:val="auto"/>
        </w:rPr>
      </w:pPr>
      <w:r>
        <w:rPr>
          <w:rFonts w:ascii="Times New Roman" w:cs="Times New Roman" w:eastAsia="Times New Roman" w:hAnsi="Times New Roman"/>
          <w:sz w:val="20"/>
          <w:szCs w:val="20"/>
          <w:color w:val="auto"/>
        </w:rPr>
        <w:t>(or rights to apply) for and be granted, renewals or extensions of, and rights to claim priority from, such rights and all similar or equivalent rights or forms of protection which may now or in the future subsist in any part of the world.</w:t>
      </w:r>
    </w:p>
    <w:p>
      <w:pPr>
        <w:spacing w:after="0" w:line="4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22.2.</w:t>
      </w:r>
      <w:r>
        <w:rPr>
          <w:sz w:val="20"/>
          <w:szCs w:val="20"/>
          <w:color w:val="auto"/>
        </w:rPr>
        <w:tab/>
      </w:r>
      <w:r>
        <w:rPr>
          <w:rFonts w:ascii="Times New Roman" w:cs="Times New Roman" w:eastAsia="Times New Roman" w:hAnsi="Times New Roman"/>
          <w:sz w:val="20"/>
          <w:szCs w:val="20"/>
          <w:color w:val="auto"/>
        </w:rPr>
        <w:t>You will immediately disclose to the Company in writing full details of any discovery, invention, process or improvement in</w:t>
      </w:r>
    </w:p>
    <w:p>
      <w:pPr>
        <w:ind w:left="640"/>
        <w:spacing w:after="0" w:line="223" w:lineRule="auto"/>
        <w:rPr>
          <w:sz w:val="20"/>
          <w:szCs w:val="20"/>
          <w:color w:val="auto"/>
        </w:rPr>
      </w:pPr>
      <w:r>
        <w:rPr>
          <w:rFonts w:ascii="Times New Roman" w:cs="Times New Roman" w:eastAsia="Times New Roman" w:hAnsi="Times New Roman"/>
          <w:sz w:val="18"/>
          <w:szCs w:val="18"/>
          <w:color w:val="auto"/>
        </w:rPr>
        <w:t>procedure made or discovered by you (whether or not in conjunction with any other person or persons) together with all works embodying IP rights while in the employment of the Company in connection with or in any way affecting or relating to the business</w:t>
      </w:r>
    </w:p>
    <w:p>
      <w:pPr>
        <w:spacing w:after="0" w:line="1" w:lineRule="exact"/>
        <w:rPr>
          <w:sz w:val="20"/>
          <w:szCs w:val="20"/>
          <w:color w:val="auto"/>
        </w:rPr>
      </w:pPr>
    </w:p>
    <w:p>
      <w:pPr>
        <w:ind w:left="640"/>
        <w:spacing w:after="0" w:line="225" w:lineRule="auto"/>
        <w:rPr>
          <w:sz w:val="20"/>
          <w:szCs w:val="20"/>
          <w:color w:val="auto"/>
        </w:rPr>
      </w:pPr>
      <w:r>
        <w:rPr>
          <w:rFonts w:ascii="Times New Roman" w:cs="Times New Roman" w:eastAsia="Times New Roman" w:hAnsi="Times New Roman"/>
          <w:sz w:val="20"/>
          <w:szCs w:val="20"/>
          <w:color w:val="auto"/>
        </w:rPr>
        <w:t>of the Company, its subsidiary or associated companies or capable of being used or adapted for use therein or in connection therewith (“</w:t>
      </w:r>
      <w:r>
        <w:rPr>
          <w:rFonts w:ascii="Times New Roman" w:cs="Times New Roman" w:eastAsia="Times New Roman" w:hAnsi="Times New Roman"/>
          <w:sz w:val="20"/>
          <w:szCs w:val="20"/>
          <w:b w:val="1"/>
          <w:bCs w:val="1"/>
          <w:color w:val="auto"/>
        </w:rPr>
        <w:t>Inventions</w:t>
      </w:r>
      <w:r>
        <w:rPr>
          <w:rFonts w:ascii="Times New Roman" w:cs="Times New Roman" w:eastAsia="Times New Roman" w:hAnsi="Times New Roman"/>
          <w:sz w:val="20"/>
          <w:szCs w:val="20"/>
          <w:color w:val="auto"/>
        </w:rPr>
        <w:t>”).</w:t>
      </w:r>
    </w:p>
    <w:p>
      <w:pPr>
        <w:spacing w:after="0" w:line="3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22.3.</w:t>
      </w:r>
      <w:r>
        <w:rPr>
          <w:sz w:val="20"/>
          <w:szCs w:val="20"/>
          <w:color w:val="auto"/>
        </w:rPr>
        <w:tab/>
      </w:r>
      <w:r>
        <w:rPr>
          <w:rFonts w:ascii="Times New Roman" w:cs="Times New Roman" w:eastAsia="Times New Roman" w:hAnsi="Times New Roman"/>
          <w:sz w:val="20"/>
          <w:szCs w:val="20"/>
          <w:color w:val="auto"/>
        </w:rPr>
        <w:t>You acknowledge that all IP rights subsisting (or which may in the future subsist) in all such Inventions and works shall</w:t>
      </w:r>
    </w:p>
    <w:p>
      <w:pPr>
        <w:ind w:left="640"/>
        <w:spacing w:after="0" w:line="223" w:lineRule="auto"/>
        <w:rPr>
          <w:sz w:val="20"/>
          <w:szCs w:val="20"/>
          <w:color w:val="auto"/>
        </w:rPr>
      </w:pPr>
      <w:r>
        <w:rPr>
          <w:rFonts w:ascii="Times New Roman" w:cs="Times New Roman" w:eastAsia="Times New Roman" w:hAnsi="Times New Roman"/>
          <w:sz w:val="18"/>
          <w:szCs w:val="18"/>
          <w:color w:val="auto"/>
        </w:rPr>
        <w:t>automatically, on creation, vest in the Company absolutely. To the extent that any IP rights do not automatically vest in the Company, you hereby assign exclusively to the Company, whether as a present or future assignment, any and all IP rights in every</w:t>
      </w:r>
    </w:p>
    <w:p>
      <w:pPr>
        <w:spacing w:after="0" w:line="1" w:lineRule="exact"/>
        <w:rPr>
          <w:sz w:val="20"/>
          <w:szCs w:val="20"/>
          <w:color w:val="auto"/>
        </w:rPr>
      </w:pPr>
    </w:p>
    <w:p>
      <w:pPr>
        <w:ind w:left="640" w:right="20"/>
        <w:spacing w:after="0" w:line="225" w:lineRule="auto"/>
        <w:rPr>
          <w:sz w:val="20"/>
          <w:szCs w:val="20"/>
          <w:color w:val="auto"/>
        </w:rPr>
      </w:pPr>
      <w:r>
        <w:rPr>
          <w:rFonts w:ascii="Times New Roman" w:cs="Times New Roman" w:eastAsia="Times New Roman" w:hAnsi="Times New Roman"/>
          <w:sz w:val="20"/>
          <w:szCs w:val="20"/>
          <w:color w:val="auto"/>
        </w:rPr>
        <w:t>Invention made, discovered, developed, or otherwise created by you (whether alone or with others and whether or not during working hours or prior to or after the date of this Agreement) during the course of your employment with the Company.</w:t>
      </w:r>
    </w:p>
    <w:p>
      <w:pPr>
        <w:spacing w:after="0" w:line="53" w:lineRule="exact"/>
        <w:rPr>
          <w:sz w:val="20"/>
          <w:szCs w:val="20"/>
          <w:color w:val="auto"/>
        </w:rPr>
      </w:pPr>
    </w:p>
    <w:p>
      <w:pPr>
        <w:jc w:val="both"/>
        <w:ind w:left="640" w:hanging="639"/>
        <w:spacing w:after="0" w:line="236" w:lineRule="auto"/>
        <w:tabs>
          <w:tab w:leader="none" w:pos="620" w:val="left"/>
        </w:tabs>
        <w:rPr>
          <w:sz w:val="20"/>
          <w:szCs w:val="20"/>
          <w:color w:val="auto"/>
        </w:rPr>
      </w:pPr>
      <w:r>
        <w:rPr>
          <w:rFonts w:ascii="Times New Roman" w:cs="Times New Roman" w:eastAsia="Times New Roman" w:hAnsi="Times New Roman"/>
          <w:sz w:val="20"/>
          <w:szCs w:val="20"/>
          <w:color w:val="auto"/>
        </w:rPr>
        <w:t>22.4.</w:t>
      </w:r>
      <w:r>
        <w:rPr>
          <w:sz w:val="20"/>
          <w:szCs w:val="20"/>
          <w:color w:val="auto"/>
        </w:rPr>
        <w:tab/>
      </w:r>
      <w:r>
        <w:rPr>
          <w:rFonts w:ascii="Times New Roman" w:cs="Times New Roman" w:eastAsia="Times New Roman" w:hAnsi="Times New Roman"/>
          <w:sz w:val="18"/>
          <w:szCs w:val="18"/>
          <w:color w:val="auto"/>
        </w:rPr>
        <w:t>To the extent that any IP rights cannot be assigned to the Company under applicable law, you hereby grant to the Company an exclusive, fully paid-up, royalty free, perpetual, world-wide license with the right to transfer, sub- license and exploit such IP rights</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under all applicable intellectual property laws.</w:t>
      </w:r>
    </w:p>
    <w:p>
      <w:pPr>
        <w:spacing w:after="0" w:line="41" w:lineRule="exact"/>
        <w:rPr>
          <w:sz w:val="20"/>
          <w:szCs w:val="20"/>
          <w:color w:val="auto"/>
        </w:rPr>
      </w:pPr>
    </w:p>
    <w:p>
      <w:pPr>
        <w:jc w:val="both"/>
        <w:ind w:left="640" w:hanging="639"/>
        <w:spacing w:after="0" w:line="244" w:lineRule="auto"/>
        <w:tabs>
          <w:tab w:leader="none" w:pos="620" w:val="left"/>
        </w:tabs>
        <w:rPr>
          <w:sz w:val="20"/>
          <w:szCs w:val="20"/>
          <w:color w:val="auto"/>
        </w:rPr>
      </w:pPr>
      <w:r>
        <w:rPr>
          <w:rFonts w:ascii="Times New Roman" w:cs="Times New Roman" w:eastAsia="Times New Roman" w:hAnsi="Times New Roman"/>
          <w:sz w:val="20"/>
          <w:szCs w:val="20"/>
          <w:color w:val="auto"/>
        </w:rPr>
        <w:t>22.5.</w:t>
      </w:r>
      <w:r>
        <w:rPr>
          <w:sz w:val="20"/>
          <w:szCs w:val="20"/>
          <w:color w:val="auto"/>
        </w:rPr>
        <w:tab/>
      </w:r>
      <w:r>
        <w:rPr>
          <w:rFonts w:ascii="Times New Roman" w:cs="Times New Roman" w:eastAsia="Times New Roman" w:hAnsi="Times New Roman"/>
          <w:sz w:val="18"/>
          <w:szCs w:val="18"/>
          <w:color w:val="auto"/>
        </w:rPr>
        <w:t>You agree promptly to execute all documents and do all acts as may, in the opinion of the Company, be necessary to give effect to this clause 22. In particular, if and whenever required to do so (whether during or after the termination of your employment), you</w:t>
      </w:r>
    </w:p>
    <w:p>
      <w:pPr>
        <w:ind w:left="640"/>
        <w:spacing w:after="0" w:line="223" w:lineRule="auto"/>
        <w:rPr>
          <w:sz w:val="20"/>
          <w:szCs w:val="20"/>
          <w:color w:val="auto"/>
        </w:rPr>
      </w:pPr>
      <w:r>
        <w:rPr>
          <w:rFonts w:ascii="Times New Roman" w:cs="Times New Roman" w:eastAsia="Times New Roman" w:hAnsi="Times New Roman"/>
          <w:sz w:val="18"/>
          <w:szCs w:val="18"/>
          <w:color w:val="auto"/>
        </w:rPr>
        <w:t>will without charge and at the expense of the Company or its nominee apply or join in applying for letters, patents or other forms of protection for any IP referred to in this Clause 22 and execute all instruments and do all things considered necessary in the absolute</w:t>
      </w:r>
    </w:p>
    <w:p>
      <w:pPr>
        <w:spacing w:after="0" w:line="1" w:lineRule="exact"/>
        <w:rPr>
          <w:sz w:val="20"/>
          <w:szCs w:val="20"/>
          <w:color w:val="auto"/>
        </w:rPr>
      </w:pPr>
    </w:p>
    <w:p>
      <w:pPr>
        <w:ind w:left="640"/>
        <w:spacing w:after="0" w:line="225" w:lineRule="auto"/>
        <w:rPr>
          <w:sz w:val="20"/>
          <w:szCs w:val="20"/>
          <w:color w:val="auto"/>
        </w:rPr>
      </w:pPr>
      <w:r>
        <w:rPr>
          <w:rFonts w:ascii="Times New Roman" w:cs="Times New Roman" w:eastAsia="Times New Roman" w:hAnsi="Times New Roman"/>
          <w:sz w:val="20"/>
          <w:szCs w:val="20"/>
          <w:color w:val="auto"/>
        </w:rPr>
        <w:t>discretion of the Company in relation to the said IP including vesting all rights and titles to such IP, when obtained, in the Company (or its nominee) as sole beneficial owner, or in such other person as the Company may require.</w:t>
      </w:r>
    </w:p>
    <w:p>
      <w:pPr>
        <w:spacing w:after="0" w:line="39" w:lineRule="exact"/>
        <w:rPr>
          <w:sz w:val="20"/>
          <w:szCs w:val="20"/>
          <w:color w:val="auto"/>
        </w:rPr>
      </w:pPr>
    </w:p>
    <w:p>
      <w:pPr>
        <w:jc w:val="both"/>
        <w:ind w:left="640" w:hanging="639"/>
        <w:spacing w:after="0" w:line="227" w:lineRule="auto"/>
        <w:tabs>
          <w:tab w:leader="none" w:pos="620" w:val="left"/>
        </w:tabs>
        <w:rPr>
          <w:sz w:val="20"/>
          <w:szCs w:val="20"/>
          <w:color w:val="auto"/>
        </w:rPr>
      </w:pPr>
      <w:r>
        <w:rPr>
          <w:rFonts w:ascii="Times New Roman" w:cs="Times New Roman" w:eastAsia="Times New Roman" w:hAnsi="Times New Roman"/>
          <w:sz w:val="20"/>
          <w:szCs w:val="20"/>
          <w:color w:val="auto"/>
        </w:rPr>
        <w:t>22.6.</w:t>
        <w:tab/>
        <w:t>You agree to waive any and all moral rights (as provided for by Chapter 7 of the Copyright and Related Rights Act 2000 and equivalent or similar provisions of any foreign law) that you may have in respect of any copyright works of which you are the author.</w:t>
      </w:r>
    </w:p>
    <w:p>
      <w:pPr>
        <w:spacing w:after="0" w:line="40" w:lineRule="exact"/>
        <w:rPr>
          <w:sz w:val="20"/>
          <w:szCs w:val="20"/>
          <w:color w:val="auto"/>
        </w:rPr>
      </w:pPr>
    </w:p>
    <w:p>
      <w:pPr>
        <w:jc w:val="both"/>
        <w:ind w:left="620" w:right="20" w:hanging="639"/>
        <w:spacing w:after="0" w:line="244" w:lineRule="auto"/>
        <w:tabs>
          <w:tab w:leader="none" w:pos="600" w:val="left"/>
        </w:tabs>
        <w:rPr>
          <w:sz w:val="20"/>
          <w:szCs w:val="20"/>
          <w:color w:val="auto"/>
        </w:rPr>
      </w:pPr>
      <w:r>
        <w:rPr>
          <w:rFonts w:ascii="Times New Roman" w:cs="Times New Roman" w:eastAsia="Times New Roman" w:hAnsi="Times New Roman"/>
          <w:sz w:val="20"/>
          <w:szCs w:val="20"/>
          <w:color w:val="auto"/>
        </w:rPr>
        <w:t>22.7.</w:t>
      </w:r>
      <w:r>
        <w:rPr>
          <w:sz w:val="20"/>
          <w:szCs w:val="20"/>
          <w:color w:val="auto"/>
        </w:rPr>
        <w:tab/>
      </w:r>
      <w:r>
        <w:rPr>
          <w:rFonts w:ascii="Times New Roman" w:cs="Times New Roman" w:eastAsia="Times New Roman" w:hAnsi="Times New Roman"/>
          <w:sz w:val="18"/>
          <w:szCs w:val="18"/>
          <w:color w:val="auto"/>
        </w:rPr>
        <w:t>You irrevocably appoint the Company to be your attorney in your name and on your behalf to execute and do any such instruments or things and generally to use your name for the purpose of giving to the Company (or its nominee) the full benefit of the provisions</w:t>
      </w:r>
    </w:p>
    <w:p>
      <w:pPr>
        <w:ind w:left="640" w:right="20"/>
        <w:spacing w:after="0" w:line="218" w:lineRule="auto"/>
        <w:rPr>
          <w:sz w:val="20"/>
          <w:szCs w:val="20"/>
          <w:color w:val="auto"/>
        </w:rPr>
      </w:pPr>
      <w:r>
        <w:rPr>
          <w:rFonts w:ascii="Times New Roman" w:cs="Times New Roman" w:eastAsia="Times New Roman" w:hAnsi="Times New Roman"/>
          <w:sz w:val="20"/>
          <w:szCs w:val="20"/>
          <w:color w:val="auto"/>
        </w:rPr>
        <w:t>of this Clause 22. A certificate in writing signed by any executive or the Secretary of the Company that any instrument or act falls within the authority conferred in this Clause 22 will be conclusive evidence that such is the case in favour of a third party.</w:t>
      </w:r>
    </w:p>
    <w:p>
      <w:pPr>
        <w:spacing w:after="0" w:line="202" w:lineRule="exact"/>
        <w:rPr>
          <w:sz w:val="20"/>
          <w:szCs w:val="20"/>
          <w:color w:val="auto"/>
        </w:rPr>
      </w:pPr>
    </w:p>
    <w:p>
      <w:pPr>
        <w:ind w:left="520" w:hanging="509"/>
        <w:spacing w:after="0"/>
        <w:tabs>
          <w:tab w:leader="none" w:pos="520" w:val="left"/>
        </w:tabs>
        <w:numPr>
          <w:ilvl w:val="0"/>
          <w:numId w:val="95"/>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0"/>
          <w:szCs w:val="20"/>
          <w:b w:val="1"/>
          <w:bCs w:val="1"/>
          <w:u w:val="single" w:color="auto"/>
          <w:color w:val="auto"/>
        </w:rPr>
        <w:t>RESTRICTIVE COVENANTS</w:t>
      </w:r>
    </w:p>
    <w:p>
      <w:pPr>
        <w:spacing w:after="0" w:line="52" w:lineRule="exact"/>
        <w:rPr>
          <w:sz w:val="20"/>
          <w:szCs w:val="20"/>
          <w:color w:val="auto"/>
        </w:rPr>
      </w:pPr>
    </w:p>
    <w:p>
      <w:pPr>
        <w:ind w:left="20"/>
        <w:spacing w:after="0"/>
        <w:tabs>
          <w:tab w:leader="none" w:pos="580" w:val="left"/>
        </w:tabs>
        <w:rPr>
          <w:sz w:val="20"/>
          <w:szCs w:val="20"/>
          <w:color w:val="auto"/>
        </w:rPr>
      </w:pPr>
      <w:r>
        <w:rPr>
          <w:rFonts w:ascii="Times New Roman" w:cs="Times New Roman" w:eastAsia="Times New Roman" w:hAnsi="Times New Roman"/>
          <w:sz w:val="20"/>
          <w:szCs w:val="20"/>
          <w:color w:val="auto"/>
        </w:rPr>
        <w:t>23.1.</w:t>
      </w:r>
      <w:r>
        <w:rPr>
          <w:sz w:val="20"/>
          <w:szCs w:val="20"/>
          <w:color w:val="auto"/>
        </w:rPr>
        <w:tab/>
      </w:r>
      <w:r>
        <w:rPr>
          <w:rFonts w:ascii="Times New Roman" w:cs="Times New Roman" w:eastAsia="Times New Roman" w:hAnsi="Times New Roman"/>
          <w:sz w:val="18"/>
          <w:szCs w:val="18"/>
          <w:color w:val="auto"/>
        </w:rPr>
        <w:t>For the purposes of this clause 23 (and where the Agreement so requires):</w:t>
      </w:r>
    </w:p>
    <w:p>
      <w:pPr>
        <w:spacing w:after="0" w:line="59" w:lineRule="exact"/>
        <w:rPr>
          <w:sz w:val="20"/>
          <w:szCs w:val="20"/>
          <w:color w:val="auto"/>
        </w:rPr>
      </w:pPr>
    </w:p>
    <w:p>
      <w:pPr>
        <w:ind w:left="640" w:right="420"/>
        <w:spacing w:after="0" w:line="23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Associated Undertaking</w:t>
      </w:r>
      <w:r>
        <w:rPr>
          <w:rFonts w:ascii="Times New Roman" w:cs="Times New Roman" w:eastAsia="Times New Roman" w:hAnsi="Times New Roman"/>
          <w:sz w:val="20"/>
          <w:szCs w:val="20"/>
          <w:color w:val="auto"/>
        </w:rPr>
        <w:t>” means any undertaking which from time to time is a subsidiary undertaking of the Company or is a parent undertaking of the Company or a subsidiary undertaking of any such parent undertaking</w:t>
      </w:r>
    </w:p>
    <w:p>
      <w:pPr>
        <w:sectPr>
          <w:pgSz w:w="11900" w:h="16838" w:orient="portrait"/>
          <w:cols w:equalWidth="0" w:num="1">
            <w:col w:w="11020"/>
          </w:cols>
          <w:pgMar w:left="440" w:top="1440" w:right="439" w:bottom="1440" w:gutter="0" w:footer="0" w:header="0"/>
        </w:sectPr>
      </w:pPr>
    </w:p>
    <w:bookmarkStart w:id="190" w:name="page191"/>
    <w:bookmarkEnd w:id="190"/>
    <w:p>
      <w:pPr>
        <w:spacing w:after="0" w:line="2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and for the purposes of this definition “subsidiary undertaking” and “parent undertaking” shall have the meanings respectively given</w:t>
      </w:r>
    </w:p>
    <w:p>
      <w:pPr>
        <w:spacing w:after="0" w:line="15" w:lineRule="exact"/>
        <w:rPr>
          <w:sz w:val="20"/>
          <w:szCs w:val="20"/>
          <w:color w:val="auto"/>
        </w:rPr>
      </w:pPr>
    </w:p>
    <w:p>
      <w:pPr>
        <w:ind w:left="720" w:right="20"/>
        <w:spacing w:after="0" w:line="218" w:lineRule="auto"/>
        <w:rPr>
          <w:sz w:val="20"/>
          <w:szCs w:val="20"/>
          <w:color w:val="auto"/>
        </w:rPr>
      </w:pPr>
      <w:r>
        <w:rPr>
          <w:rFonts w:ascii="Times New Roman" w:cs="Times New Roman" w:eastAsia="Times New Roman" w:hAnsi="Times New Roman"/>
          <w:sz w:val="20"/>
          <w:szCs w:val="20"/>
          <w:color w:val="auto"/>
        </w:rPr>
        <w:t>to them by Regulations 4 and 3 of the European Communities (Companies: Group Accounts) Regulations, 1992 (as may be amended);</w:t>
      </w:r>
    </w:p>
    <w:p>
      <w:pPr>
        <w:spacing w:after="0" w:line="35" w:lineRule="exact"/>
        <w:rPr>
          <w:sz w:val="20"/>
          <w:szCs w:val="20"/>
          <w:color w:val="auto"/>
        </w:rPr>
      </w:pPr>
    </w:p>
    <w:p>
      <w:pPr>
        <w:ind w:left="720"/>
        <w:spacing w:after="0" w:line="23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means the board of directors of the Company from time to time and includes any person or committee duly authorised by the board of directors to act on its behalf for the purposes of this Agreement;</w:t>
      </w:r>
    </w:p>
    <w:p>
      <w:pPr>
        <w:spacing w:after="0" w:line="5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Group</w:t>
      </w:r>
      <w:r>
        <w:rPr>
          <w:rFonts w:ascii="Times New Roman" w:cs="Times New Roman" w:eastAsia="Times New Roman" w:hAnsi="Times New Roman"/>
          <w:sz w:val="20"/>
          <w:szCs w:val="20"/>
          <w:color w:val="auto"/>
        </w:rPr>
        <w:t>” means the Company and all Associated Undertakings;</w:t>
      </w:r>
    </w:p>
    <w:p>
      <w:pPr>
        <w:spacing w:after="0" w:line="6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person, firm, company, partnership, unincorporated association, joint venture or other legal entity;</w:t>
      </w:r>
    </w:p>
    <w:p>
      <w:pPr>
        <w:spacing w:after="0" w:line="9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Relevant Business</w:t>
      </w:r>
      <w:r>
        <w:rPr>
          <w:rFonts w:ascii="Times New Roman" w:cs="Times New Roman" w:eastAsia="Times New Roman" w:hAnsi="Times New Roman"/>
          <w:sz w:val="20"/>
          <w:szCs w:val="20"/>
          <w:color w:val="auto"/>
        </w:rPr>
        <w:t>” means the business or businesses from time to time carried on by the Company or any Associated</w:t>
      </w:r>
    </w:p>
    <w:p>
      <w:pPr>
        <w:ind w:left="720" w:right="20"/>
        <w:spacing w:after="0" w:line="223" w:lineRule="auto"/>
        <w:rPr>
          <w:sz w:val="20"/>
          <w:szCs w:val="20"/>
          <w:color w:val="auto"/>
        </w:rPr>
      </w:pPr>
      <w:r>
        <w:rPr>
          <w:rFonts w:ascii="Times New Roman" w:cs="Times New Roman" w:eastAsia="Times New Roman" w:hAnsi="Times New Roman"/>
          <w:sz w:val="18"/>
          <w:szCs w:val="18"/>
          <w:color w:val="auto"/>
        </w:rPr>
        <w:t>Undertaking, limited to the activities with which you were materially concerned or involved in the course of your employment during the Relevant Period, or in respect of which you possessed a material amount of Confidential Information as at the Relevant</w:t>
      </w:r>
    </w:p>
    <w:p>
      <w:pPr>
        <w:spacing w:after="0" w:line="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Date;</w:t>
      </w:r>
    </w:p>
    <w:p>
      <w:pPr>
        <w:spacing w:after="0" w:line="50" w:lineRule="exact"/>
        <w:rPr>
          <w:sz w:val="20"/>
          <w:szCs w:val="20"/>
          <w:color w:val="auto"/>
        </w:rPr>
      </w:pPr>
    </w:p>
    <w:p>
      <w:pPr>
        <w:ind w:left="720"/>
        <w:spacing w:after="0" w:line="21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Area</w:t>
      </w:r>
      <w:r>
        <w:rPr>
          <w:rFonts w:ascii="Times New Roman" w:cs="Times New Roman" w:eastAsia="Times New Roman" w:hAnsi="Times New Roman"/>
          <w:sz w:val="20"/>
          <w:szCs w:val="20"/>
          <w:color w:val="auto"/>
        </w:rPr>
        <w:t>” means the Republic of Ireland, and any other country in which the Company or any Associated Undertaking carries on a material amount of Relevant Business or intends to carry on Relevant Business, where such intention is reasonably</w:t>
      </w:r>
    </w:p>
    <w:p>
      <w:pPr>
        <w:spacing w:after="0" w:line="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within your knowledge, as at the Relevant Date;</w:t>
      </w:r>
    </w:p>
    <w:p>
      <w:pPr>
        <w:spacing w:after="0" w:line="50" w:lineRule="exact"/>
        <w:rPr>
          <w:sz w:val="20"/>
          <w:szCs w:val="20"/>
          <w:color w:val="auto"/>
        </w:rPr>
      </w:pPr>
    </w:p>
    <w:p>
      <w:pPr>
        <w:ind w:left="720"/>
        <w:spacing w:after="0" w:line="23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Person</w:t>
      </w:r>
      <w:r>
        <w:rPr>
          <w:rFonts w:ascii="Times New Roman" w:cs="Times New Roman" w:eastAsia="Times New Roman" w:hAnsi="Times New Roman"/>
          <w:sz w:val="18"/>
          <w:szCs w:val="18"/>
          <w:color w:val="auto"/>
        </w:rPr>
        <w:t>” means any Person with whom you had material or regular dealings at any time during the Relevant Period, or in relation to whose dealings with the Company or any Associated Undertaking you possessed a material amount of Confidential</w:t>
      </w:r>
    </w:p>
    <w:p>
      <w:pPr>
        <w:spacing w:after="0" w:line="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Information as at the Relevant Date;</w:t>
      </w:r>
    </w:p>
    <w:p>
      <w:pPr>
        <w:spacing w:after="0" w:line="50" w:lineRule="exact"/>
        <w:rPr>
          <w:sz w:val="20"/>
          <w:szCs w:val="20"/>
          <w:color w:val="auto"/>
        </w:rPr>
      </w:pPr>
    </w:p>
    <w:p>
      <w:pPr>
        <w:ind w:left="720"/>
        <w:spacing w:after="0" w:line="21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Products or Services</w:t>
      </w:r>
      <w:r>
        <w:rPr>
          <w:rFonts w:ascii="Times New Roman" w:cs="Times New Roman" w:eastAsia="Times New Roman" w:hAnsi="Times New Roman"/>
          <w:sz w:val="20"/>
          <w:szCs w:val="20"/>
          <w:color w:val="auto"/>
        </w:rPr>
        <w:t>" shall mean products or services of the same type as or similar to or competitive with any products or services supplied by the Company or any Associated Undertaking at the Relevant Date, in the sale or supply of which</w:t>
      </w:r>
    </w:p>
    <w:p>
      <w:pPr>
        <w:spacing w:after="0" w:line="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you shall have been involved to any material extent at any time during the Relevant Period;</w:t>
      </w:r>
    </w:p>
    <w:p>
      <w:pPr>
        <w:spacing w:after="0" w:line="50" w:lineRule="exact"/>
        <w:rPr>
          <w:sz w:val="20"/>
          <w:szCs w:val="20"/>
          <w:color w:val="auto"/>
        </w:rPr>
      </w:pPr>
    </w:p>
    <w:p>
      <w:pPr>
        <w:ind w:left="720" w:right="20"/>
        <w:spacing w:after="0" w:line="23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Relevant Date</w:t>
      </w:r>
      <w:r>
        <w:rPr>
          <w:rFonts w:ascii="Times New Roman" w:cs="Times New Roman" w:eastAsia="Times New Roman" w:hAnsi="Times New Roman"/>
          <w:sz w:val="20"/>
          <w:szCs w:val="20"/>
          <w:color w:val="auto"/>
        </w:rPr>
        <w:t>” means the earlier of (a) the Termination Date (howsoever arising); or (b) the date on which you commence Garden Leave pursuant to this Agreement;</w:t>
      </w:r>
    </w:p>
    <w:p>
      <w:pPr>
        <w:spacing w:after="0" w:line="50" w:lineRule="exact"/>
        <w:rPr>
          <w:sz w:val="20"/>
          <w:szCs w:val="20"/>
          <w:color w:val="auto"/>
        </w:rPr>
      </w:pPr>
    </w:p>
    <w:p>
      <w:pPr>
        <w:ind w:left="100" w:right="3780" w:firstLine="639"/>
        <w:spacing w:after="0" w:line="32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Relevant Period</w:t>
      </w:r>
      <w:r>
        <w:rPr>
          <w:rFonts w:ascii="Times New Roman" w:cs="Times New Roman" w:eastAsia="Times New Roman" w:hAnsi="Times New Roman"/>
          <w:sz w:val="20"/>
          <w:szCs w:val="20"/>
          <w:color w:val="auto"/>
        </w:rPr>
        <w:t>” means the six months prior to, and including, the Relevant Date; 23.2. You acknowledge:</w:t>
      </w:r>
    </w:p>
    <w:p>
      <w:pPr>
        <w:spacing w:after="0" w:line="1" w:lineRule="exact"/>
        <w:rPr>
          <w:sz w:val="20"/>
          <w:szCs w:val="20"/>
          <w:color w:val="auto"/>
        </w:rPr>
      </w:pPr>
    </w:p>
    <w:p>
      <w:pPr>
        <w:ind w:left="1120" w:right="840" w:hanging="316"/>
        <w:spacing w:after="0" w:line="271" w:lineRule="auto"/>
        <w:tabs>
          <w:tab w:leader="none" w:pos="106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 Group is in a unique and highly specialised business, which is international in scope with a limited number of competitors;</w:t>
      </w:r>
    </w:p>
    <w:p>
      <w:pPr>
        <w:ind w:left="1120" w:right="260" w:hanging="316"/>
        <w:spacing w:after="0" w:line="270" w:lineRule="auto"/>
        <w:tabs>
          <w:tab w:leader="none" w:pos="106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 Group possess a valuable body of Confidential Information and your knowledge of Confidential Information directly benefits you by enabling you to perform your duties;</w:t>
      </w:r>
    </w:p>
    <w:p>
      <w:pPr>
        <w:spacing w:after="0" w:line="1" w:lineRule="exact"/>
        <w:rPr>
          <w:rFonts w:ascii="Times New Roman" w:cs="Times New Roman" w:eastAsia="Times New Roman" w:hAnsi="Times New Roman"/>
          <w:sz w:val="20"/>
          <w:szCs w:val="20"/>
          <w:color w:val="auto"/>
        </w:rPr>
      </w:pPr>
    </w:p>
    <w:p>
      <w:pPr>
        <w:ind w:left="1120" w:right="260" w:hanging="316"/>
        <w:spacing w:after="0" w:line="270" w:lineRule="auto"/>
        <w:tabs>
          <w:tab w:leader="none" w:pos="106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 protection of Confidential Information, customer connections, supplier connections, goodwill, and the stability of the workforce of the Company and its Associated Undertakings are business interests requiring protection; and</w:t>
      </w:r>
    </w:p>
    <w:p>
      <w:pPr>
        <w:spacing w:after="0" w:line="1" w:lineRule="exact"/>
        <w:rPr>
          <w:rFonts w:ascii="Times New Roman" w:cs="Times New Roman" w:eastAsia="Times New Roman" w:hAnsi="Times New Roman"/>
          <w:sz w:val="20"/>
          <w:szCs w:val="20"/>
          <w:color w:val="auto"/>
        </w:rPr>
      </w:pPr>
    </w:p>
    <w:p>
      <w:pPr>
        <w:ind w:left="1120" w:right="240" w:hanging="316"/>
        <w:spacing w:after="0" w:line="282" w:lineRule="auto"/>
        <w:tabs>
          <w:tab w:leader="none" w:pos="106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 disclosure of any Confidential Information to any actual or potential competitor of the Company would place the Company at a serious competitive disadvantage and would cause immeasurable (financial and other) damage to the Relevant Business.</w:t>
      </w:r>
    </w:p>
    <w:p>
      <w:pPr>
        <w:spacing w:after="0" w:line="50" w:lineRule="exact"/>
        <w:rPr>
          <w:sz w:val="20"/>
          <w:szCs w:val="20"/>
          <w:color w:val="auto"/>
        </w:rPr>
      </w:pPr>
    </w:p>
    <w:p>
      <w:pPr>
        <w:ind w:left="100"/>
        <w:spacing w:after="0"/>
        <w:tabs>
          <w:tab w:leader="none" w:pos="660" w:val="left"/>
        </w:tabs>
        <w:rPr>
          <w:sz w:val="20"/>
          <w:szCs w:val="20"/>
          <w:color w:val="auto"/>
        </w:rPr>
      </w:pPr>
      <w:r>
        <w:rPr>
          <w:rFonts w:ascii="Times New Roman" w:cs="Times New Roman" w:eastAsia="Times New Roman" w:hAnsi="Times New Roman"/>
          <w:sz w:val="20"/>
          <w:szCs w:val="20"/>
          <w:color w:val="auto"/>
        </w:rPr>
        <w:t>23.3.</w:t>
      </w:r>
      <w:r>
        <w:rPr>
          <w:sz w:val="20"/>
          <w:szCs w:val="20"/>
          <w:color w:val="auto"/>
        </w:rPr>
        <w:tab/>
      </w:r>
      <w:r>
        <w:rPr>
          <w:rFonts w:ascii="Times New Roman" w:cs="Times New Roman" w:eastAsia="Times New Roman" w:hAnsi="Times New Roman"/>
          <w:sz w:val="18"/>
          <w:szCs w:val="18"/>
          <w:b w:val="1"/>
          <w:bCs w:val="1"/>
          <w:color w:val="auto"/>
        </w:rPr>
        <w:t>Non-Compete Restriction</w:t>
      </w:r>
    </w:p>
    <w:p>
      <w:pPr>
        <w:spacing w:after="0" w:line="80" w:lineRule="exact"/>
        <w:rPr>
          <w:sz w:val="20"/>
          <w:szCs w:val="20"/>
          <w:color w:val="auto"/>
        </w:rPr>
      </w:pPr>
    </w:p>
    <w:p>
      <w:pPr>
        <w:jc w:val="both"/>
        <w:ind w:left="720"/>
        <w:spacing w:after="0" w:line="236" w:lineRule="auto"/>
        <w:rPr>
          <w:sz w:val="20"/>
          <w:szCs w:val="20"/>
          <w:color w:val="auto"/>
        </w:rPr>
      </w:pPr>
      <w:r>
        <w:rPr>
          <w:rFonts w:ascii="Times New Roman" w:cs="Times New Roman" w:eastAsia="Times New Roman" w:hAnsi="Times New Roman"/>
          <w:sz w:val="18"/>
          <w:szCs w:val="18"/>
          <w:color w:val="auto"/>
        </w:rPr>
        <w:t>You agree with the Company that to protect the Company’s legitimate business interests (and / or those of any relevant Associated Undertaking) including those set out at clause 23.2, during your employment and for a period of six months after the Relevant Date,</w:t>
      </w:r>
    </w:p>
    <w:p>
      <w:pPr>
        <w:spacing w:after="0" w:line="1" w:lineRule="exact"/>
        <w:rPr>
          <w:sz w:val="20"/>
          <w:szCs w:val="20"/>
          <w:color w:val="auto"/>
        </w:rPr>
      </w:pPr>
    </w:p>
    <w:p>
      <w:pPr>
        <w:ind w:left="720"/>
        <w:spacing w:after="0" w:line="218" w:lineRule="auto"/>
        <w:rPr>
          <w:sz w:val="20"/>
          <w:szCs w:val="20"/>
          <w:color w:val="auto"/>
        </w:rPr>
      </w:pPr>
      <w:r>
        <w:rPr>
          <w:rFonts w:ascii="Times New Roman" w:cs="Times New Roman" w:eastAsia="Times New Roman" w:hAnsi="Times New Roman"/>
          <w:sz w:val="20"/>
          <w:szCs w:val="20"/>
          <w:color w:val="auto"/>
        </w:rPr>
        <w:t>you shall not within the Restricted Area, without the prior written consent of the Company, directly or indirectly in any capacity (limited to a role that is of the same, similar or greater seniority,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color w:val="5571B7"/>
        </w:rPr>
        <w:t>.</w:t>
      </w:r>
    </w:p>
    <w:p>
      <w:pPr>
        <w:sectPr>
          <w:pgSz w:w="11900" w:h="16838" w:orient="portrait"/>
          <w:cols w:equalWidth="0" w:num="1">
            <w:col w:w="11100"/>
          </w:cols>
          <w:pgMar w:left="360" w:top="1440" w:right="439" w:bottom="1440" w:gutter="0" w:footer="0" w:header="0"/>
        </w:sectPr>
      </w:pPr>
    </w:p>
    <w:bookmarkStart w:id="191" w:name="page192"/>
    <w:bookmarkEnd w:id="191"/>
    <w:p>
      <w:pPr>
        <w:spacing w:after="0" w:line="200" w:lineRule="exact"/>
        <w:rPr>
          <w:sz w:val="20"/>
          <w:szCs w:val="20"/>
          <w:color w:val="auto"/>
        </w:rPr>
      </w:pPr>
    </w:p>
    <w:p>
      <w:pPr>
        <w:spacing w:after="0" w:line="30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status and remuneration as your role of Senior Vice President, Technical Operations, as determined on the basis of the prevailing</w:t>
      </w:r>
    </w:p>
    <w:p>
      <w:pPr>
        <w:ind w:left="720"/>
        <w:spacing w:after="0" w:line="223" w:lineRule="auto"/>
        <w:rPr>
          <w:sz w:val="20"/>
          <w:szCs w:val="20"/>
          <w:color w:val="auto"/>
        </w:rPr>
      </w:pPr>
      <w:r>
        <w:rPr>
          <w:rFonts w:ascii="Times New Roman" w:cs="Times New Roman" w:eastAsia="Times New Roman" w:hAnsi="Times New Roman"/>
          <w:sz w:val="18"/>
          <w:szCs w:val="18"/>
          <w:color w:val="auto"/>
        </w:rPr>
        <w:t>industry norm for a role commensurate with any such role), either on your own behalf or in conjunction with or on behalf of any other Person, be engaged, concerned or interested in the Relevant Business or in any business wholly or partly in competition with</w:t>
      </w:r>
    </w:p>
    <w:p>
      <w:pPr>
        <w:spacing w:after="0" w:line="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Relevant Business, save that you may hold for investment:</w:t>
      </w:r>
    </w:p>
    <w:p>
      <w:pPr>
        <w:spacing w:after="0" w:line="41" w:lineRule="exact"/>
        <w:rPr>
          <w:sz w:val="20"/>
          <w:szCs w:val="20"/>
          <w:color w:val="auto"/>
        </w:rPr>
      </w:pPr>
    </w:p>
    <w:p>
      <w:pPr>
        <w:ind w:left="720"/>
        <w:spacing w:after="0"/>
        <w:tabs>
          <w:tab w:leader="none" w:pos="1400" w:val="left"/>
        </w:tabs>
        <w:rPr>
          <w:sz w:val="20"/>
          <w:szCs w:val="20"/>
          <w:color w:val="auto"/>
        </w:rPr>
      </w:pPr>
      <w:r>
        <w:rPr>
          <w:rFonts w:ascii="Times New Roman" w:cs="Times New Roman" w:eastAsia="Times New Roman" w:hAnsi="Times New Roman"/>
          <w:sz w:val="20"/>
          <w:szCs w:val="20"/>
          <w:color w:val="auto"/>
        </w:rPr>
        <w:t>23.3.1</w:t>
      </w:r>
      <w:r>
        <w:rPr>
          <w:sz w:val="20"/>
          <w:szCs w:val="20"/>
          <w:color w:val="auto"/>
        </w:rPr>
        <w:tab/>
      </w:r>
      <w:r>
        <w:rPr>
          <w:rFonts w:ascii="Times New Roman" w:cs="Times New Roman" w:eastAsia="Times New Roman" w:hAnsi="Times New Roman"/>
          <w:sz w:val="18"/>
          <w:szCs w:val="18"/>
          <w:color w:val="auto"/>
        </w:rPr>
        <w:t>up to 3% of any class of securities quoted or dealt in on a recognised investment exchange; and</w:t>
      </w:r>
    </w:p>
    <w:p>
      <w:pPr>
        <w:spacing w:after="0" w:line="76" w:lineRule="exact"/>
        <w:rPr>
          <w:sz w:val="20"/>
          <w:szCs w:val="20"/>
          <w:color w:val="auto"/>
        </w:rPr>
      </w:pPr>
    </w:p>
    <w:p>
      <w:pPr>
        <w:ind w:left="720"/>
        <w:spacing w:after="0"/>
        <w:tabs>
          <w:tab w:leader="none" w:pos="1400" w:val="left"/>
        </w:tabs>
        <w:rPr>
          <w:sz w:val="20"/>
          <w:szCs w:val="20"/>
          <w:color w:val="auto"/>
        </w:rPr>
      </w:pPr>
      <w:r>
        <w:rPr>
          <w:rFonts w:ascii="Times New Roman" w:cs="Times New Roman" w:eastAsia="Times New Roman" w:hAnsi="Times New Roman"/>
          <w:sz w:val="20"/>
          <w:szCs w:val="20"/>
          <w:color w:val="auto"/>
        </w:rPr>
        <w:t>23.3.2</w:t>
      </w:r>
      <w:r>
        <w:rPr>
          <w:sz w:val="20"/>
          <w:szCs w:val="20"/>
          <w:color w:val="auto"/>
        </w:rPr>
        <w:tab/>
      </w:r>
      <w:r>
        <w:rPr>
          <w:rFonts w:ascii="Times New Roman" w:cs="Times New Roman" w:eastAsia="Times New Roman" w:hAnsi="Times New Roman"/>
          <w:sz w:val="18"/>
          <w:szCs w:val="18"/>
          <w:color w:val="auto"/>
        </w:rPr>
        <w:t>up to 10% of any class of securities not so quoted or dealt.</w:t>
      </w:r>
    </w:p>
    <w:p>
      <w:pPr>
        <w:spacing w:after="0" w:line="72" w:lineRule="exact"/>
        <w:rPr>
          <w:sz w:val="20"/>
          <w:szCs w:val="20"/>
          <w:color w:val="auto"/>
        </w:rPr>
      </w:pPr>
    </w:p>
    <w:p>
      <w:pPr>
        <w:ind w:left="100"/>
        <w:spacing w:after="0"/>
        <w:tabs>
          <w:tab w:leader="none" w:pos="660" w:val="left"/>
        </w:tabs>
        <w:rPr>
          <w:sz w:val="20"/>
          <w:szCs w:val="20"/>
          <w:color w:val="auto"/>
        </w:rPr>
      </w:pPr>
      <w:r>
        <w:rPr>
          <w:rFonts w:ascii="Times New Roman" w:cs="Times New Roman" w:eastAsia="Times New Roman" w:hAnsi="Times New Roman"/>
          <w:sz w:val="20"/>
          <w:szCs w:val="20"/>
          <w:color w:val="auto"/>
        </w:rPr>
        <w:t>23.4.</w:t>
      </w:r>
      <w:r>
        <w:rPr>
          <w:sz w:val="20"/>
          <w:szCs w:val="20"/>
          <w:color w:val="auto"/>
        </w:rPr>
        <w:tab/>
      </w:r>
      <w:r>
        <w:rPr>
          <w:rFonts w:ascii="Times New Roman" w:cs="Times New Roman" w:eastAsia="Times New Roman" w:hAnsi="Times New Roman"/>
          <w:sz w:val="18"/>
          <w:szCs w:val="18"/>
          <w:b w:val="1"/>
          <w:bCs w:val="1"/>
          <w:color w:val="auto"/>
        </w:rPr>
        <w:t>Non-Solicitation / Non-Deal Restrictions</w:t>
      </w:r>
    </w:p>
    <w:p>
      <w:pPr>
        <w:spacing w:after="0" w:line="6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You agree with the Company that to protect the Company’s legitimate business interests (and / or those of any relevant Associated</w:t>
      </w:r>
    </w:p>
    <w:p>
      <w:pPr>
        <w:spacing w:after="0" w:line="15" w:lineRule="exact"/>
        <w:rPr>
          <w:sz w:val="20"/>
          <w:szCs w:val="20"/>
          <w:color w:val="auto"/>
        </w:rPr>
      </w:pPr>
    </w:p>
    <w:p>
      <w:pPr>
        <w:ind w:left="720"/>
        <w:spacing w:after="0" w:line="223" w:lineRule="auto"/>
        <w:rPr>
          <w:sz w:val="20"/>
          <w:szCs w:val="20"/>
          <w:color w:val="auto"/>
        </w:rPr>
      </w:pPr>
      <w:r>
        <w:rPr>
          <w:rFonts w:ascii="Times New Roman" w:cs="Times New Roman" w:eastAsia="Times New Roman" w:hAnsi="Times New Roman"/>
          <w:sz w:val="18"/>
          <w:szCs w:val="18"/>
          <w:color w:val="auto"/>
        </w:rPr>
        <w:t>Undertaking) including those set out at clause 23.2, during your employment and for a period of twelve months after the Relevant Date, you shall not within the Restricted Area, without the prior written consent of the Company, directly or indirectly in any</w:t>
      </w:r>
    </w:p>
    <w:p>
      <w:pPr>
        <w:spacing w:after="0" w:line="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capacity either on your own behalf or in conjunction with or on behalf of any other Person:</w:t>
      </w:r>
    </w:p>
    <w:p>
      <w:pPr>
        <w:spacing w:after="0" w:line="33" w:lineRule="exact"/>
        <w:rPr>
          <w:sz w:val="20"/>
          <w:szCs w:val="20"/>
          <w:color w:val="auto"/>
        </w:rPr>
      </w:pPr>
    </w:p>
    <w:p>
      <w:pPr>
        <w:ind w:left="720"/>
        <w:spacing w:after="0"/>
        <w:tabs>
          <w:tab w:leader="none" w:pos="1400" w:val="left"/>
        </w:tabs>
        <w:rPr>
          <w:sz w:val="20"/>
          <w:szCs w:val="20"/>
          <w:color w:val="auto"/>
        </w:rPr>
      </w:pPr>
      <w:r>
        <w:rPr>
          <w:rFonts w:ascii="Times New Roman" w:cs="Times New Roman" w:eastAsia="Times New Roman" w:hAnsi="Times New Roman"/>
          <w:sz w:val="20"/>
          <w:szCs w:val="20"/>
          <w:color w:val="auto"/>
        </w:rPr>
        <w:t>23.4.1</w:t>
      </w:r>
      <w:r>
        <w:rPr>
          <w:sz w:val="20"/>
          <w:szCs w:val="20"/>
          <w:color w:val="auto"/>
        </w:rPr>
        <w:tab/>
      </w:r>
      <w:r>
        <w:rPr>
          <w:rFonts w:ascii="Times New Roman" w:cs="Times New Roman" w:eastAsia="Times New Roman" w:hAnsi="Times New Roman"/>
          <w:sz w:val="18"/>
          <w:szCs w:val="18"/>
          <w:color w:val="auto"/>
        </w:rPr>
        <w:t>accept orders for or supply or cause orders to be accepted for or cause to be supplied Restricted Products or Services to any</w:t>
      </w:r>
    </w:p>
    <w:p>
      <w:pPr>
        <w:ind w:left="1480"/>
        <w:spacing w:after="0"/>
        <w:rPr>
          <w:sz w:val="20"/>
          <w:szCs w:val="20"/>
          <w:color w:val="auto"/>
        </w:rPr>
      </w:pPr>
      <w:r>
        <w:rPr>
          <w:rFonts w:ascii="Times New Roman" w:cs="Times New Roman" w:eastAsia="Times New Roman" w:hAnsi="Times New Roman"/>
          <w:sz w:val="20"/>
          <w:szCs w:val="20"/>
          <w:color w:val="auto"/>
        </w:rPr>
        <w:t>Restricted Person who:</w:t>
      </w:r>
    </w:p>
    <w:p>
      <w:pPr>
        <w:spacing w:after="0" w:line="54" w:lineRule="exact"/>
        <w:rPr>
          <w:sz w:val="20"/>
          <w:szCs w:val="20"/>
          <w:color w:val="auto"/>
        </w:rPr>
      </w:pPr>
    </w:p>
    <w:p>
      <w:pPr>
        <w:ind w:left="2120" w:right="20" w:hanging="645"/>
        <w:spacing w:after="0" w:line="236" w:lineRule="auto"/>
        <w:tabs>
          <w:tab w:leader="none" w:pos="1977"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was provided with products or services by the Company or any Associated Undertaking at any time during the Relevant Period; or</w:t>
      </w:r>
    </w:p>
    <w:p>
      <w:pPr>
        <w:spacing w:after="0" w:line="40" w:lineRule="exact"/>
        <w:rPr>
          <w:rFonts w:ascii="Times New Roman" w:cs="Times New Roman" w:eastAsia="Times New Roman" w:hAnsi="Times New Roman"/>
          <w:sz w:val="20"/>
          <w:szCs w:val="20"/>
          <w:color w:val="auto"/>
        </w:rPr>
      </w:pPr>
    </w:p>
    <w:p>
      <w:pPr>
        <w:ind w:left="2120" w:right="20" w:hanging="645"/>
        <w:spacing w:after="0" w:line="236" w:lineRule="auto"/>
        <w:tabs>
          <w:tab w:leader="none" w:pos="1999"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who was negotiating with the Company or any Associated Undertaking in relation to orders for or the supply of products or services from the Company or any Associated Undertaking at any time during the Relevant Period.</w:t>
      </w:r>
    </w:p>
    <w:p>
      <w:pPr>
        <w:spacing w:after="0" w:line="54" w:lineRule="exact"/>
        <w:rPr>
          <w:sz w:val="20"/>
          <w:szCs w:val="20"/>
          <w:color w:val="auto"/>
        </w:rPr>
      </w:pPr>
    </w:p>
    <w:p>
      <w:pPr>
        <w:ind w:left="1440" w:hanging="744"/>
        <w:spacing w:after="0" w:line="229" w:lineRule="auto"/>
        <w:tabs>
          <w:tab w:leader="none" w:pos="1420" w:val="left"/>
        </w:tabs>
        <w:rPr>
          <w:sz w:val="20"/>
          <w:szCs w:val="20"/>
          <w:color w:val="auto"/>
        </w:rPr>
      </w:pPr>
      <w:r>
        <w:rPr>
          <w:rFonts w:ascii="Times New Roman" w:cs="Times New Roman" w:eastAsia="Times New Roman" w:hAnsi="Times New Roman"/>
          <w:sz w:val="20"/>
          <w:szCs w:val="20"/>
          <w:color w:val="auto"/>
        </w:rPr>
        <w:t>23.4.2</w:t>
        <w:tab/>
        <w:t>solicit, canvass or approach or endeavour to solicit, canvass or approach or cause to be solicited, canvassed or approached any Restricted Person who:</w:t>
      </w:r>
    </w:p>
    <w:p>
      <w:pPr>
        <w:spacing w:after="0" w:line="54" w:lineRule="exact"/>
        <w:rPr>
          <w:sz w:val="20"/>
          <w:szCs w:val="20"/>
          <w:color w:val="auto"/>
        </w:rPr>
      </w:pPr>
    </w:p>
    <w:p>
      <w:pPr>
        <w:ind w:left="2120" w:right="20" w:hanging="645"/>
        <w:spacing w:after="0" w:line="236" w:lineRule="auto"/>
        <w:tabs>
          <w:tab w:leader="none" w:pos="1977"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was provided with products or services by the Company or any Associated Undertaking at any time during the Relevant Period; or</w:t>
      </w:r>
    </w:p>
    <w:p>
      <w:pPr>
        <w:spacing w:after="0" w:line="40" w:lineRule="exact"/>
        <w:rPr>
          <w:rFonts w:ascii="Times New Roman" w:cs="Times New Roman" w:eastAsia="Times New Roman" w:hAnsi="Times New Roman"/>
          <w:sz w:val="20"/>
          <w:szCs w:val="20"/>
          <w:color w:val="auto"/>
        </w:rPr>
      </w:pPr>
    </w:p>
    <w:p>
      <w:pPr>
        <w:ind w:left="2120" w:hanging="645"/>
        <w:spacing w:after="0" w:line="236" w:lineRule="auto"/>
        <w:tabs>
          <w:tab w:leader="none" w:pos="1939"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was negotiating with the Company or any Associated Undertaking in relation to orders for or the supply of products or services from the Company or any Associated Undertaking at any time during the Relevant Period,</w:t>
      </w:r>
    </w:p>
    <w:p>
      <w:pPr>
        <w:spacing w:after="0" w:line="5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color w:val="auto"/>
        </w:rPr>
        <w:t>for the purpose of offering to that Person Restricted Products or Services.</w:t>
      </w:r>
    </w:p>
    <w:p>
      <w:pPr>
        <w:spacing w:after="0" w:line="63" w:lineRule="exact"/>
        <w:rPr>
          <w:sz w:val="20"/>
          <w:szCs w:val="20"/>
          <w:color w:val="auto"/>
        </w:rPr>
      </w:pPr>
    </w:p>
    <w:p>
      <w:pPr>
        <w:ind w:left="1420" w:right="20" w:hanging="744"/>
        <w:spacing w:after="0" w:line="236" w:lineRule="auto"/>
        <w:tabs>
          <w:tab w:leader="none" w:pos="1400" w:val="left"/>
        </w:tabs>
        <w:rPr>
          <w:sz w:val="20"/>
          <w:szCs w:val="20"/>
          <w:color w:val="auto"/>
        </w:rPr>
      </w:pPr>
      <w:r>
        <w:rPr>
          <w:rFonts w:ascii="Times New Roman" w:cs="Times New Roman" w:eastAsia="Times New Roman" w:hAnsi="Times New Roman"/>
          <w:sz w:val="20"/>
          <w:szCs w:val="20"/>
          <w:color w:val="auto"/>
        </w:rPr>
        <w:t>23.4.3</w:t>
        <w:tab/>
        <w:t>interfere or seek to interfere or take steps as may interfere with the supplies (or the prospective supplies) to the Company or any Associated Undertaking (or the terms relating to such supplies) from any Restricted Person who:</w:t>
      </w:r>
    </w:p>
    <w:p>
      <w:pPr>
        <w:spacing w:after="0" w:line="54" w:lineRule="exact"/>
        <w:rPr>
          <w:sz w:val="20"/>
          <w:szCs w:val="20"/>
          <w:color w:val="auto"/>
        </w:rPr>
      </w:pPr>
    </w:p>
    <w:p>
      <w:pPr>
        <w:ind w:left="2120" w:right="20" w:hanging="645"/>
        <w:spacing w:after="0" w:line="229" w:lineRule="auto"/>
        <w:tabs>
          <w:tab w:leader="none" w:pos="195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supplied components, materials, products or services to the Company or any Associated Undertaking at any time during the Relevant Period;</w:t>
      </w:r>
    </w:p>
    <w:p>
      <w:pPr>
        <w:spacing w:after="0" w:line="53" w:lineRule="exact"/>
        <w:rPr>
          <w:rFonts w:ascii="Times New Roman" w:cs="Times New Roman" w:eastAsia="Times New Roman" w:hAnsi="Times New Roman"/>
          <w:sz w:val="20"/>
          <w:szCs w:val="20"/>
          <w:color w:val="auto"/>
        </w:rPr>
      </w:pPr>
    </w:p>
    <w:p>
      <w:pPr>
        <w:ind w:left="2120" w:hanging="645"/>
        <w:spacing w:after="0" w:line="285" w:lineRule="auto"/>
        <w:tabs>
          <w:tab w:leader="none" w:pos="19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negotiating with the Company or any Associated Undertaking in relation to the supply of components, materials, products or services to the Company or any Associated Undertaking at any time during the Relevant Period.</w:t>
      </w:r>
    </w:p>
    <w:p>
      <w:pPr>
        <w:spacing w:after="0" w:line="1" w:lineRule="exact"/>
        <w:rPr>
          <w:sz w:val="20"/>
          <w:szCs w:val="20"/>
          <w:color w:val="auto"/>
        </w:rPr>
      </w:pPr>
    </w:p>
    <w:p>
      <w:pPr>
        <w:jc w:val="right"/>
        <w:ind w:left="720"/>
        <w:spacing w:after="0" w:line="211" w:lineRule="auto"/>
        <w:rPr>
          <w:sz w:val="20"/>
          <w:szCs w:val="20"/>
          <w:color w:val="auto"/>
        </w:rPr>
      </w:pPr>
      <w:r>
        <w:rPr>
          <w:rFonts w:ascii="Times New Roman" w:cs="Times New Roman" w:eastAsia="Times New Roman" w:hAnsi="Times New Roman"/>
          <w:sz w:val="20"/>
          <w:szCs w:val="20"/>
          <w:color w:val="auto"/>
        </w:rPr>
        <w:t>23.4.4  solicit or entice away or endeavour to solicit or entice away or cause to be solicited or enticed away from the Company or any Associated Undertaking any Person with whom you worked with, or had managerial responsibility for, at any time during the Relevant Period (or in relation to whom, as at the Relevant Date, you possessed a material amount of</w:t>
      </w:r>
    </w:p>
    <w:p>
      <w:pPr>
        <w:spacing w:after="0" w:line="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Confidential Information)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color w:val="5571B7"/>
        </w:rPr>
        <w:t>.</w:t>
      </w:r>
    </w:p>
    <w:p>
      <w:pPr>
        <w:sectPr>
          <w:pgSz w:w="11900" w:h="16838" w:orient="portrait"/>
          <w:cols w:equalWidth="0" w:num="1">
            <w:col w:w="11100"/>
          </w:cols>
          <w:pgMar w:left="360" w:top="1440" w:right="439" w:bottom="1440" w:gutter="0" w:footer="0" w:header="0"/>
        </w:sectPr>
      </w:pPr>
    </w:p>
    <w:bookmarkStart w:id="192" w:name="page193"/>
    <w:bookmarkEnd w:id="192"/>
    <w:p>
      <w:pPr>
        <w:spacing w:after="0" w:line="200" w:lineRule="exact"/>
        <w:rPr>
          <w:sz w:val="20"/>
          <w:szCs w:val="20"/>
          <w:color w:val="auto"/>
        </w:rPr>
      </w:pPr>
    </w:p>
    <w:p>
      <w:pPr>
        <w:spacing w:after="0" w:line="314" w:lineRule="exact"/>
        <w:rPr>
          <w:sz w:val="20"/>
          <w:szCs w:val="20"/>
          <w:color w:val="auto"/>
        </w:rPr>
      </w:pPr>
    </w:p>
    <w:p>
      <w:pPr>
        <w:ind w:left="2120" w:hanging="645"/>
        <w:spacing w:after="0" w:line="236" w:lineRule="auto"/>
        <w:tabs>
          <w:tab w:leader="none" w:pos="1977"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who was, at the Relevant Date, employed or directly or indirectly engaged by the Company or any Associated Undertaking in an executive, sales, marketing, research or technical capacity; and</w:t>
      </w:r>
    </w:p>
    <w:p>
      <w:pPr>
        <w:spacing w:after="0" w:line="18" w:lineRule="exact"/>
        <w:rPr>
          <w:rFonts w:ascii="Times New Roman" w:cs="Times New Roman" w:eastAsia="Times New Roman" w:hAnsi="Times New Roman"/>
          <w:sz w:val="20"/>
          <w:szCs w:val="20"/>
          <w:color w:val="auto"/>
        </w:rPr>
      </w:pPr>
    </w:p>
    <w:p>
      <w:pPr>
        <w:ind w:left="1960" w:hanging="485"/>
        <w:spacing w:after="0"/>
        <w:tabs>
          <w:tab w:leader="none" w:pos="196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whose departure from the Company or any Associated Undertaking would have a material adverse effect on</w:t>
      </w:r>
    </w:p>
    <w:p>
      <w:pPr>
        <w:ind w:left="2120"/>
        <w:spacing w:after="0"/>
        <w:rPr>
          <w:sz w:val="20"/>
          <w:szCs w:val="20"/>
          <w:color w:val="auto"/>
        </w:rPr>
      </w:pPr>
      <w:r>
        <w:rPr>
          <w:rFonts w:ascii="Times New Roman" w:cs="Times New Roman" w:eastAsia="Times New Roman" w:hAnsi="Times New Roman"/>
          <w:sz w:val="20"/>
          <w:szCs w:val="20"/>
          <w:color w:val="auto"/>
        </w:rPr>
        <w:t>the business of such undertaking.</w:t>
      </w:r>
    </w:p>
    <w:p>
      <w:pPr>
        <w:spacing w:after="0" w:line="46" w:lineRule="exact"/>
        <w:rPr>
          <w:sz w:val="20"/>
          <w:szCs w:val="20"/>
          <w:color w:val="auto"/>
        </w:rPr>
      </w:pPr>
    </w:p>
    <w:p>
      <w:pPr>
        <w:ind w:left="80"/>
        <w:spacing w:after="0"/>
        <w:tabs>
          <w:tab w:leader="none" w:pos="660" w:val="left"/>
        </w:tabs>
        <w:rPr>
          <w:sz w:val="20"/>
          <w:szCs w:val="20"/>
          <w:color w:val="auto"/>
        </w:rPr>
      </w:pPr>
      <w:r>
        <w:rPr>
          <w:rFonts w:ascii="Times New Roman" w:cs="Times New Roman" w:eastAsia="Times New Roman" w:hAnsi="Times New Roman"/>
          <w:sz w:val="20"/>
          <w:szCs w:val="20"/>
          <w:color w:val="auto"/>
        </w:rPr>
        <w:t>23.5.</w:t>
      </w:r>
      <w:r>
        <w:rPr>
          <w:sz w:val="20"/>
          <w:szCs w:val="20"/>
          <w:color w:val="auto"/>
        </w:rPr>
        <w:tab/>
      </w:r>
      <w:r>
        <w:rPr>
          <w:rFonts w:ascii="Times New Roman" w:cs="Times New Roman" w:eastAsia="Times New Roman" w:hAnsi="Times New Roman"/>
          <w:sz w:val="18"/>
          <w:szCs w:val="18"/>
          <w:color w:val="auto"/>
        </w:rPr>
        <w:t>You agree that you will not, after the Termination Date, whether directly or indirectly, use in connection with any business, any name</w:t>
      </w:r>
    </w:p>
    <w:p>
      <w:pPr>
        <w:ind w:left="720"/>
        <w:spacing w:after="0" w:line="223" w:lineRule="auto"/>
        <w:rPr>
          <w:sz w:val="20"/>
          <w:szCs w:val="20"/>
          <w:color w:val="auto"/>
        </w:rPr>
      </w:pPr>
      <w:r>
        <w:rPr>
          <w:rFonts w:ascii="Times New Roman" w:cs="Times New Roman" w:eastAsia="Times New Roman" w:hAnsi="Times New Roman"/>
          <w:sz w:val="18"/>
          <w:szCs w:val="18"/>
          <w:color w:val="auto"/>
        </w:rPr>
        <w:t>that includes the name of the Company or any Associated Undertaking, or any colourable imitation of such names, and that you shall not represent yourself or permit yourself to be held out as being in any way connected with or interested in the business of the</w:t>
      </w:r>
    </w:p>
    <w:p>
      <w:pPr>
        <w:ind w:left="720"/>
        <w:spacing w:after="0" w:line="209" w:lineRule="auto"/>
        <w:rPr>
          <w:sz w:val="20"/>
          <w:szCs w:val="20"/>
          <w:color w:val="auto"/>
        </w:rPr>
      </w:pPr>
      <w:r>
        <w:rPr>
          <w:rFonts w:ascii="Times New Roman" w:cs="Times New Roman" w:eastAsia="Times New Roman" w:hAnsi="Times New Roman"/>
          <w:sz w:val="20"/>
          <w:szCs w:val="20"/>
          <w:color w:val="auto"/>
        </w:rPr>
        <w:t>Company or of any Associated Undertaking and that you shall take such steps as are necessary to comply with this obligation</w:t>
      </w:r>
    </w:p>
    <w:p>
      <w:pPr>
        <w:spacing w:after="0" w:line="1" w:lineRule="exact"/>
        <w:rPr>
          <w:sz w:val="20"/>
          <w:szCs w:val="20"/>
          <w:color w:val="auto"/>
        </w:rPr>
      </w:pPr>
    </w:p>
    <w:p>
      <w:pPr>
        <w:ind w:left="720"/>
        <w:spacing w:after="0" w:line="218" w:lineRule="auto"/>
        <w:rPr>
          <w:sz w:val="20"/>
          <w:szCs w:val="20"/>
          <w:color w:val="auto"/>
        </w:rPr>
      </w:pPr>
      <w:r>
        <w:rPr>
          <w:rFonts w:ascii="Times New Roman" w:cs="Times New Roman" w:eastAsia="Times New Roman" w:hAnsi="Times New Roman"/>
          <w:sz w:val="20"/>
          <w:szCs w:val="20"/>
          <w:color w:val="auto"/>
        </w:rPr>
        <w:t>(including, but not limited to, by amending your social media profile) provided that such steps are not inconsistent with your on-going obligations under this Agreement.</w:t>
      </w:r>
    </w:p>
    <w:p>
      <w:pPr>
        <w:spacing w:after="0" w:line="53" w:lineRule="exact"/>
        <w:rPr>
          <w:sz w:val="20"/>
          <w:szCs w:val="20"/>
          <w:color w:val="auto"/>
        </w:rPr>
      </w:pPr>
    </w:p>
    <w:p>
      <w:pPr>
        <w:jc w:val="both"/>
        <w:ind w:left="720" w:hanging="639"/>
        <w:spacing w:after="0" w:line="236" w:lineRule="auto"/>
        <w:tabs>
          <w:tab w:leader="none" w:pos="700" w:val="left"/>
        </w:tabs>
        <w:rPr>
          <w:sz w:val="20"/>
          <w:szCs w:val="20"/>
          <w:color w:val="auto"/>
        </w:rPr>
      </w:pPr>
      <w:r>
        <w:rPr>
          <w:rFonts w:ascii="Times New Roman" w:cs="Times New Roman" w:eastAsia="Times New Roman" w:hAnsi="Times New Roman"/>
          <w:sz w:val="20"/>
          <w:szCs w:val="20"/>
          <w:color w:val="auto"/>
        </w:rPr>
        <w:t>23.6.</w:t>
        <w:tab/>
        <w:t>You agree that if, during the continuance in force of the restrictions set out in this clause 23, you receive an offer of employment from any Person, you will immediately provide that Person with a complete and accurate copy of the restrictions set out herein.</w:t>
      </w:r>
    </w:p>
    <w:p>
      <w:pPr>
        <w:spacing w:after="0" w:line="40" w:lineRule="exact"/>
        <w:rPr>
          <w:sz w:val="20"/>
          <w:szCs w:val="20"/>
          <w:color w:val="auto"/>
        </w:rPr>
      </w:pPr>
    </w:p>
    <w:p>
      <w:pPr>
        <w:jc w:val="both"/>
        <w:ind w:left="680" w:hanging="639"/>
        <w:spacing w:after="0" w:line="227" w:lineRule="auto"/>
        <w:tabs>
          <w:tab w:leader="none" w:pos="660" w:val="left"/>
        </w:tabs>
        <w:rPr>
          <w:sz w:val="20"/>
          <w:szCs w:val="20"/>
          <w:color w:val="auto"/>
        </w:rPr>
      </w:pPr>
      <w:r>
        <w:rPr>
          <w:rFonts w:ascii="Times New Roman" w:cs="Times New Roman" w:eastAsia="Times New Roman" w:hAnsi="Times New Roman"/>
          <w:sz w:val="20"/>
          <w:szCs w:val="20"/>
          <w:color w:val="auto"/>
        </w:rPr>
        <w:t>23.7.</w:t>
        <w:tab/>
        <w:t>You acknowledge and confirm that the restrictions set out in this clause are reasonable and go no further than is reasonably necessary to protect the legitimate business interests of the Company and its Associated Undertakings (including, but not limited to, those interests acknowledged by you in clause 23.2 of this Agreement).</w:t>
      </w:r>
    </w:p>
    <w:p>
      <w:pPr>
        <w:spacing w:after="0" w:line="40" w:lineRule="exact"/>
        <w:rPr>
          <w:sz w:val="20"/>
          <w:szCs w:val="20"/>
          <w:color w:val="auto"/>
        </w:rPr>
      </w:pPr>
    </w:p>
    <w:p>
      <w:pPr>
        <w:jc w:val="both"/>
        <w:ind w:left="700" w:hanging="639"/>
        <w:spacing w:after="0" w:line="236" w:lineRule="auto"/>
        <w:tabs>
          <w:tab w:leader="none" w:pos="680" w:val="left"/>
        </w:tabs>
        <w:rPr>
          <w:sz w:val="20"/>
          <w:szCs w:val="20"/>
          <w:color w:val="auto"/>
        </w:rPr>
      </w:pPr>
      <w:r>
        <w:rPr>
          <w:rFonts w:ascii="Times New Roman" w:cs="Times New Roman" w:eastAsia="Times New Roman" w:hAnsi="Times New Roman"/>
          <w:sz w:val="20"/>
          <w:szCs w:val="20"/>
          <w:color w:val="auto"/>
        </w:rPr>
        <w:t>23.8.</w:t>
        <w:tab/>
        <w:t>Nothing contained in this clause 23 shall act to prevent you from using generic skills learnt while employed by the Company in any business or activity which is not in competition with the Company.</w:t>
      </w:r>
    </w:p>
    <w:p>
      <w:pPr>
        <w:spacing w:after="0" w:line="54" w:lineRule="exact"/>
        <w:rPr>
          <w:sz w:val="20"/>
          <w:szCs w:val="20"/>
          <w:color w:val="auto"/>
        </w:rPr>
      </w:pPr>
    </w:p>
    <w:p>
      <w:pPr>
        <w:jc w:val="both"/>
        <w:ind w:left="720" w:right="20" w:hanging="639"/>
        <w:spacing w:after="0" w:line="212" w:lineRule="auto"/>
        <w:tabs>
          <w:tab w:leader="none" w:pos="700" w:val="left"/>
        </w:tabs>
        <w:rPr>
          <w:sz w:val="20"/>
          <w:szCs w:val="20"/>
          <w:color w:val="auto"/>
        </w:rPr>
      </w:pPr>
      <w:r>
        <w:rPr>
          <w:rFonts w:ascii="Times New Roman" w:cs="Times New Roman" w:eastAsia="Times New Roman" w:hAnsi="Times New Roman"/>
          <w:sz w:val="20"/>
          <w:szCs w:val="20"/>
          <w:color w:val="auto"/>
        </w:rPr>
        <w:t>23.9.</w:t>
        <w:tab/>
        <w:t>Each of the restrictions set out in this clause 23 is separate and severable and in the event of any such restriction (including the defined expressions) being determined as being unenforceable in whole or in part for any reason such unenforceability shall not</w:t>
      </w:r>
    </w:p>
    <w:p>
      <w:pPr>
        <w:spacing w:after="0" w:line="2" w:lineRule="exact"/>
        <w:rPr>
          <w:sz w:val="20"/>
          <w:szCs w:val="20"/>
          <w:color w:val="auto"/>
        </w:rPr>
      </w:pPr>
    </w:p>
    <w:p>
      <w:pPr>
        <w:ind w:left="720"/>
        <w:spacing w:after="0" w:line="225" w:lineRule="auto"/>
        <w:rPr>
          <w:sz w:val="20"/>
          <w:szCs w:val="20"/>
          <w:color w:val="auto"/>
        </w:rPr>
      </w:pPr>
      <w:r>
        <w:rPr>
          <w:rFonts w:ascii="Times New Roman" w:cs="Times New Roman" w:eastAsia="Times New Roman" w:hAnsi="Times New Roman"/>
          <w:sz w:val="20"/>
          <w:szCs w:val="20"/>
          <w:color w:val="auto"/>
        </w:rPr>
        <w:t>affect the enforceability of the remaining restrictions or, in the case of part of a restriction being unenforceable, the remainder of that restriction.</w:t>
      </w:r>
    </w:p>
    <w:p>
      <w:pPr>
        <w:spacing w:after="0" w:line="39" w:lineRule="exact"/>
        <w:rPr>
          <w:sz w:val="20"/>
          <w:szCs w:val="20"/>
          <w:color w:val="auto"/>
        </w:rPr>
      </w:pPr>
    </w:p>
    <w:p>
      <w:pPr>
        <w:ind w:left="720" w:right="20" w:hanging="639"/>
        <w:spacing w:after="0" w:line="236" w:lineRule="auto"/>
        <w:tabs>
          <w:tab w:leader="none" w:pos="700" w:val="left"/>
        </w:tabs>
        <w:rPr>
          <w:sz w:val="20"/>
          <w:szCs w:val="20"/>
          <w:color w:val="auto"/>
        </w:rPr>
      </w:pPr>
      <w:r>
        <w:rPr>
          <w:rFonts w:ascii="Times New Roman" w:cs="Times New Roman" w:eastAsia="Times New Roman" w:hAnsi="Times New Roman"/>
          <w:sz w:val="20"/>
          <w:szCs w:val="20"/>
          <w:color w:val="auto"/>
        </w:rPr>
        <w:t>23.10.</w:t>
        <w:tab/>
        <w:t>You acknowledge and confirm that you shall at the request (and cost) of the Company enter into a further agreement with any Associated Undertaking whereby you shall accept restrictions corresponding to the restrictions in this Agreement.</w:t>
      </w:r>
    </w:p>
    <w:p>
      <w:pPr>
        <w:spacing w:after="0" w:line="203" w:lineRule="exact"/>
        <w:rPr>
          <w:sz w:val="20"/>
          <w:szCs w:val="20"/>
          <w:color w:val="auto"/>
        </w:rPr>
      </w:pPr>
    </w:p>
    <w:p>
      <w:pPr>
        <w:ind w:left="600" w:hanging="509"/>
        <w:spacing w:after="0"/>
        <w:tabs>
          <w:tab w:leader="none" w:pos="600" w:val="left"/>
        </w:tabs>
        <w:numPr>
          <w:ilvl w:val="0"/>
          <w:numId w:val="101"/>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0"/>
          <w:szCs w:val="20"/>
          <w:b w:val="1"/>
          <w:bCs w:val="1"/>
          <w:u w:val="single" w:color="auto"/>
          <w:color w:val="auto"/>
        </w:rPr>
        <w:t>PROBATIONARY PERIOD</w:t>
      </w:r>
    </w:p>
    <w:p>
      <w:pPr>
        <w:spacing w:after="0" w:line="39" w:lineRule="exact"/>
        <w:rPr>
          <w:sz w:val="20"/>
          <w:szCs w:val="20"/>
          <w:color w:val="auto"/>
        </w:rPr>
      </w:pPr>
    </w:p>
    <w:p>
      <w:pPr>
        <w:ind w:left="720"/>
        <w:spacing w:after="0" w:line="244" w:lineRule="auto"/>
        <w:rPr>
          <w:sz w:val="20"/>
          <w:szCs w:val="20"/>
          <w:color w:val="auto"/>
        </w:rPr>
      </w:pPr>
      <w:r>
        <w:rPr>
          <w:rFonts w:ascii="Times New Roman" w:cs="Times New Roman" w:eastAsia="Times New Roman" w:hAnsi="Times New Roman"/>
          <w:sz w:val="18"/>
          <w:szCs w:val="18"/>
          <w:color w:val="auto"/>
        </w:rPr>
        <w:t>The first six months of your employment will be on a probationary basis. The Company may, at its discretion, extend the probationary period, subject to any legal requirement. Where you have been on leave during the probationary period, the Company</w:t>
      </w:r>
    </w:p>
    <w:p>
      <w:pPr>
        <w:ind w:left="720" w:right="20"/>
        <w:spacing w:after="0" w:line="201" w:lineRule="auto"/>
        <w:rPr>
          <w:sz w:val="20"/>
          <w:szCs w:val="20"/>
          <w:color w:val="auto"/>
        </w:rPr>
      </w:pPr>
      <w:r>
        <w:rPr>
          <w:rFonts w:ascii="Times New Roman" w:cs="Times New Roman" w:eastAsia="Times New Roman" w:hAnsi="Times New Roman"/>
          <w:sz w:val="20"/>
          <w:szCs w:val="20"/>
          <w:color w:val="auto"/>
        </w:rPr>
        <w:t>reserves the right to extend your probationary period by the period of such leave, at the Company's discretion. During the probationary period your performance and suitability will be monitored and your continued employment is subject to the</w:t>
      </w:r>
    </w:p>
    <w:p>
      <w:pPr>
        <w:spacing w:after="0" w:line="1" w:lineRule="exact"/>
        <w:rPr>
          <w:sz w:val="20"/>
          <w:szCs w:val="20"/>
          <w:color w:val="auto"/>
        </w:rPr>
      </w:pPr>
    </w:p>
    <w:p>
      <w:pPr>
        <w:jc w:val="both"/>
        <w:ind w:left="720"/>
        <w:spacing w:after="0" w:line="260" w:lineRule="auto"/>
        <w:rPr>
          <w:sz w:val="20"/>
          <w:szCs w:val="20"/>
          <w:color w:val="auto"/>
        </w:rPr>
      </w:pPr>
      <w:r>
        <w:rPr>
          <w:rFonts w:ascii="Times New Roman" w:cs="Times New Roman" w:eastAsia="Times New Roman" w:hAnsi="Times New Roman"/>
          <w:sz w:val="18"/>
          <w:szCs w:val="18"/>
          <w:color w:val="auto"/>
        </w:rPr>
        <w:t>satisfactory completion of the probationary period. Your employment may be terminated at any time during the probationary period on the giving of one months’ notice by you or by the Company. The Company reserves the right to make a payment in lieu of notice.</w:t>
      </w:r>
    </w:p>
    <w:p>
      <w:pPr>
        <w:spacing w:after="0" w:line="185" w:lineRule="exact"/>
        <w:rPr>
          <w:sz w:val="20"/>
          <w:szCs w:val="20"/>
          <w:color w:val="auto"/>
        </w:rPr>
      </w:pPr>
    </w:p>
    <w:p>
      <w:pPr>
        <w:ind w:left="600" w:hanging="509"/>
        <w:spacing w:after="0"/>
        <w:tabs>
          <w:tab w:leader="none" w:pos="600" w:val="left"/>
        </w:tabs>
        <w:numPr>
          <w:ilvl w:val="0"/>
          <w:numId w:val="102"/>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0"/>
          <w:szCs w:val="20"/>
          <w:b w:val="1"/>
          <w:bCs w:val="1"/>
          <w:u w:val="single" w:color="auto"/>
          <w:color w:val="auto"/>
        </w:rPr>
        <w:t>DATA PROTECTION</w:t>
      </w:r>
    </w:p>
    <w:p>
      <w:pPr>
        <w:spacing w:after="0" w:line="39" w:lineRule="exact"/>
        <w:rPr>
          <w:sz w:val="20"/>
          <w:szCs w:val="20"/>
          <w:color w:val="auto"/>
        </w:rPr>
      </w:pPr>
    </w:p>
    <w:p>
      <w:pPr>
        <w:ind w:left="720"/>
        <w:spacing w:after="0" w:line="236" w:lineRule="auto"/>
        <w:rPr>
          <w:sz w:val="20"/>
          <w:szCs w:val="20"/>
          <w:color w:val="auto"/>
        </w:rPr>
      </w:pPr>
      <w:r>
        <w:rPr>
          <w:rFonts w:ascii="Times New Roman" w:cs="Times New Roman" w:eastAsia="Times New Roman" w:hAnsi="Times New Roman"/>
          <w:sz w:val="20"/>
          <w:szCs w:val="20"/>
          <w:color w:val="auto"/>
        </w:rPr>
        <w:t>The Company processes your personal data in accordance with applicable data protection legislation and as outlined in the Employee Data Privacy Notice. You and the Company both agree to comply with applicable data protection legislation.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5571B7"/>
        </w:rPr>
        <w:t>.</w:t>
      </w:r>
    </w:p>
    <w:p>
      <w:pPr>
        <w:sectPr>
          <w:pgSz w:w="11900" w:h="16838" w:orient="portrait"/>
          <w:cols w:equalWidth="0" w:num="1">
            <w:col w:w="11100"/>
          </w:cols>
          <w:pgMar w:left="360" w:top="1440" w:right="439" w:bottom="1440" w:gutter="0" w:footer="0" w:header="0"/>
        </w:sectPr>
      </w:pPr>
    </w:p>
    <w:bookmarkStart w:id="193" w:name="page194"/>
    <w:bookmarkEnd w:id="193"/>
    <w:p>
      <w:pPr>
        <w:spacing w:after="0" w:line="200" w:lineRule="exact"/>
        <w:rPr>
          <w:sz w:val="20"/>
          <w:szCs w:val="20"/>
          <w:color w:val="auto"/>
        </w:rPr>
      </w:pPr>
    </w:p>
    <w:p>
      <w:pPr>
        <w:spacing w:after="0" w:line="330" w:lineRule="exact"/>
        <w:rPr>
          <w:sz w:val="20"/>
          <w:szCs w:val="20"/>
          <w:color w:val="auto"/>
        </w:rPr>
      </w:pPr>
    </w:p>
    <w:p>
      <w:pPr>
        <w:ind w:left="600" w:hanging="509"/>
        <w:spacing w:after="0"/>
        <w:tabs>
          <w:tab w:leader="none" w:pos="600" w:val="left"/>
        </w:tabs>
        <w:numPr>
          <w:ilvl w:val="0"/>
          <w:numId w:val="103"/>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0"/>
          <w:szCs w:val="20"/>
          <w:b w:val="1"/>
          <w:bCs w:val="1"/>
          <w:u w:val="single" w:color="auto"/>
          <w:color w:val="auto"/>
        </w:rPr>
        <w:t>HEALTH &amp; SAFETY</w:t>
      </w:r>
    </w:p>
    <w:p>
      <w:pPr>
        <w:spacing w:after="0" w:line="39" w:lineRule="exact"/>
        <w:rPr>
          <w:sz w:val="20"/>
          <w:szCs w:val="20"/>
          <w:color w:val="auto"/>
        </w:rPr>
      </w:pPr>
    </w:p>
    <w:p>
      <w:pPr>
        <w:ind w:left="720"/>
        <w:spacing w:after="0" w:line="244" w:lineRule="auto"/>
        <w:rPr>
          <w:sz w:val="20"/>
          <w:szCs w:val="20"/>
          <w:color w:val="auto"/>
        </w:rPr>
      </w:pPr>
      <w:r>
        <w:rPr>
          <w:rFonts w:ascii="Times New Roman" w:cs="Times New Roman" w:eastAsia="Times New Roman" w:hAnsi="Times New Roman"/>
          <w:sz w:val="18"/>
          <w:szCs w:val="18"/>
          <w:color w:val="auto"/>
        </w:rPr>
        <w:t>The Company takes seriously its obligations regarding the safety, health and welfare of its employees and in that regard your attention is drawn to the Company safety statement (which is available for viewing on the intranet). By signing this Agreement, you</w:t>
      </w:r>
    </w:p>
    <w:p>
      <w:pPr>
        <w:ind w:left="720"/>
        <w:spacing w:after="0" w:line="201" w:lineRule="auto"/>
        <w:rPr>
          <w:sz w:val="20"/>
          <w:szCs w:val="20"/>
          <w:color w:val="auto"/>
        </w:rPr>
      </w:pPr>
      <w:r>
        <w:rPr>
          <w:rFonts w:ascii="Times New Roman" w:cs="Times New Roman" w:eastAsia="Times New Roman" w:hAnsi="Times New Roman"/>
          <w:sz w:val="20"/>
          <w:szCs w:val="20"/>
          <w:color w:val="auto"/>
        </w:rPr>
        <w:t>agree to take reasonable care of your own safety and health and that of any other persons who may be affected by your acts or admissions while at work. You also agree to cooperate with the Company and any other person to enable compliance with any</w:t>
      </w:r>
    </w:p>
    <w:p>
      <w:pPr>
        <w:spacing w:after="0" w:line="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provision of the Safety, Health and Welfare at Work Acts 1989 and 2005 to 2014 and any Regulation made thereunder.</w:t>
      </w:r>
    </w:p>
    <w:p>
      <w:pPr>
        <w:spacing w:after="0" w:line="203" w:lineRule="exact"/>
        <w:rPr>
          <w:sz w:val="20"/>
          <w:szCs w:val="20"/>
          <w:color w:val="auto"/>
        </w:rPr>
      </w:pPr>
    </w:p>
    <w:p>
      <w:pPr>
        <w:ind w:left="600" w:hanging="509"/>
        <w:spacing w:after="0"/>
        <w:tabs>
          <w:tab w:leader="none" w:pos="600" w:val="left"/>
        </w:tabs>
        <w:numPr>
          <w:ilvl w:val="0"/>
          <w:numId w:val="104"/>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0"/>
          <w:szCs w:val="20"/>
          <w:b w:val="1"/>
          <w:bCs w:val="1"/>
          <w:u w:val="single" w:color="auto"/>
          <w:color w:val="auto"/>
        </w:rPr>
        <w:t>GRATUITIES</w:t>
      </w:r>
    </w:p>
    <w:p>
      <w:pPr>
        <w:spacing w:after="0" w:line="39" w:lineRule="exact"/>
        <w:rPr>
          <w:sz w:val="20"/>
          <w:szCs w:val="20"/>
          <w:color w:val="auto"/>
        </w:rPr>
      </w:pPr>
    </w:p>
    <w:p>
      <w:pPr>
        <w:ind w:left="100"/>
        <w:spacing w:after="0"/>
        <w:tabs>
          <w:tab w:leader="none" w:pos="660" w:val="left"/>
        </w:tabs>
        <w:rPr>
          <w:sz w:val="20"/>
          <w:szCs w:val="20"/>
          <w:color w:val="auto"/>
        </w:rPr>
      </w:pPr>
      <w:r>
        <w:rPr>
          <w:rFonts w:ascii="Times New Roman" w:cs="Times New Roman" w:eastAsia="Times New Roman" w:hAnsi="Times New Roman"/>
          <w:sz w:val="20"/>
          <w:szCs w:val="20"/>
          <w:color w:val="auto"/>
        </w:rPr>
        <w:t>27.1.</w:t>
      </w:r>
      <w:r>
        <w:rPr>
          <w:sz w:val="20"/>
          <w:szCs w:val="20"/>
          <w:color w:val="auto"/>
        </w:rPr>
        <w:tab/>
      </w:r>
      <w:r>
        <w:rPr>
          <w:rFonts w:ascii="Times New Roman" w:cs="Times New Roman" w:eastAsia="Times New Roman" w:hAnsi="Times New Roman"/>
          <w:sz w:val="18"/>
          <w:szCs w:val="18"/>
          <w:color w:val="auto"/>
        </w:rPr>
        <w:t>During the Employment, you:</w:t>
      </w:r>
    </w:p>
    <w:p>
      <w:pPr>
        <w:spacing w:after="0" w:line="68" w:lineRule="exact"/>
        <w:rPr>
          <w:sz w:val="20"/>
          <w:szCs w:val="20"/>
          <w:color w:val="auto"/>
        </w:rPr>
      </w:pPr>
    </w:p>
    <w:p>
      <w:pPr>
        <w:ind w:left="720"/>
        <w:spacing w:after="0"/>
        <w:tabs>
          <w:tab w:leader="none" w:pos="1500" w:val="left"/>
        </w:tabs>
        <w:rPr>
          <w:sz w:val="20"/>
          <w:szCs w:val="20"/>
          <w:color w:val="auto"/>
        </w:rPr>
      </w:pPr>
      <w:r>
        <w:rPr>
          <w:rFonts w:ascii="Times New Roman" w:cs="Times New Roman" w:eastAsia="Times New Roman" w:hAnsi="Times New Roman"/>
          <w:sz w:val="20"/>
          <w:szCs w:val="20"/>
          <w:color w:val="auto"/>
        </w:rPr>
        <w:t>27.1.1</w:t>
      </w:r>
      <w:r>
        <w:rPr>
          <w:sz w:val="20"/>
          <w:szCs w:val="20"/>
          <w:color w:val="auto"/>
        </w:rPr>
        <w:tab/>
      </w:r>
      <w:r>
        <w:rPr>
          <w:rFonts w:ascii="Times New Roman" w:cs="Times New Roman" w:eastAsia="Times New Roman" w:hAnsi="Times New Roman"/>
          <w:sz w:val="20"/>
          <w:szCs w:val="20"/>
          <w:color w:val="auto"/>
        </w:rPr>
        <w:t>shall not directly or indirectly procure, accept or obtain for your own benefit (or for the benefit of any other person)</w:t>
      </w:r>
    </w:p>
    <w:p>
      <w:pPr>
        <w:ind w:left="1480"/>
        <w:spacing w:after="0" w:line="218" w:lineRule="auto"/>
        <w:rPr>
          <w:sz w:val="20"/>
          <w:szCs w:val="20"/>
          <w:color w:val="auto"/>
        </w:rPr>
      </w:pPr>
      <w:r>
        <w:rPr>
          <w:rFonts w:ascii="Times New Roman" w:cs="Times New Roman" w:eastAsia="Times New Roman" w:hAnsi="Times New Roman"/>
          <w:sz w:val="20"/>
          <w:szCs w:val="20"/>
          <w:color w:val="auto"/>
        </w:rPr>
        <w:t>Gratuities from any third party in respect of any business transacted (whether or not by you) by or on behalf of the Company or any Associated Undertaking;</w:t>
      </w:r>
    </w:p>
    <w:p>
      <w:pPr>
        <w:spacing w:after="0" w:line="53" w:lineRule="exact"/>
        <w:rPr>
          <w:sz w:val="20"/>
          <w:szCs w:val="20"/>
          <w:color w:val="auto"/>
        </w:rPr>
      </w:pPr>
    </w:p>
    <w:p>
      <w:pPr>
        <w:ind w:left="720"/>
        <w:spacing w:after="0"/>
        <w:tabs>
          <w:tab w:leader="none" w:pos="1400" w:val="left"/>
        </w:tabs>
        <w:rPr>
          <w:sz w:val="20"/>
          <w:szCs w:val="20"/>
          <w:color w:val="auto"/>
        </w:rPr>
      </w:pPr>
      <w:r>
        <w:rPr>
          <w:rFonts w:ascii="Times New Roman" w:cs="Times New Roman" w:eastAsia="Times New Roman" w:hAnsi="Times New Roman"/>
          <w:sz w:val="20"/>
          <w:szCs w:val="20"/>
          <w:color w:val="auto"/>
        </w:rPr>
        <w:t>27.1.2</w:t>
      </w:r>
      <w:r>
        <w:rPr>
          <w:sz w:val="20"/>
          <w:szCs w:val="20"/>
          <w:color w:val="auto"/>
        </w:rPr>
        <w:tab/>
      </w:r>
      <w:r>
        <w:rPr>
          <w:rFonts w:ascii="Times New Roman" w:cs="Times New Roman" w:eastAsia="Times New Roman" w:hAnsi="Times New Roman"/>
          <w:sz w:val="18"/>
          <w:szCs w:val="18"/>
          <w:color w:val="auto"/>
        </w:rPr>
        <w:t>shall observe the terms of any policy issued by the Company or any Associated Undertaking in relation to Gratuities; and</w:t>
      </w:r>
    </w:p>
    <w:p>
      <w:pPr>
        <w:spacing w:after="0" w:line="76" w:lineRule="exact"/>
        <w:rPr>
          <w:sz w:val="20"/>
          <w:szCs w:val="20"/>
          <w:color w:val="auto"/>
        </w:rPr>
      </w:pPr>
    </w:p>
    <w:p>
      <w:pPr>
        <w:ind w:left="1480" w:right="20" w:hanging="744"/>
        <w:spacing w:after="0" w:line="229" w:lineRule="auto"/>
        <w:tabs>
          <w:tab w:leader="none" w:pos="1460" w:val="left"/>
        </w:tabs>
        <w:rPr>
          <w:sz w:val="20"/>
          <w:szCs w:val="20"/>
          <w:color w:val="auto"/>
        </w:rPr>
      </w:pPr>
      <w:r>
        <w:rPr>
          <w:rFonts w:ascii="Times New Roman" w:cs="Times New Roman" w:eastAsia="Times New Roman" w:hAnsi="Times New Roman"/>
          <w:sz w:val="20"/>
          <w:szCs w:val="20"/>
          <w:color w:val="auto"/>
        </w:rPr>
        <w:t>27.1.3</w:t>
        <w:tab/>
        <w:t>shall, as soon as reasonably practicable, disclose or account to the Company or any Associated Undertaking for any Gratuities received by you (or any other person on your behalf or at your instruction).</w:t>
      </w:r>
    </w:p>
    <w:p>
      <w:pPr>
        <w:spacing w:after="0" w:line="54" w:lineRule="exact"/>
        <w:rPr>
          <w:sz w:val="20"/>
          <w:szCs w:val="20"/>
          <w:color w:val="auto"/>
        </w:rPr>
      </w:pPr>
    </w:p>
    <w:p>
      <w:pPr>
        <w:ind w:left="720" w:hanging="639"/>
        <w:spacing w:after="0" w:line="236" w:lineRule="auto"/>
        <w:tabs>
          <w:tab w:leader="none" w:pos="700" w:val="left"/>
        </w:tabs>
        <w:rPr>
          <w:sz w:val="20"/>
          <w:szCs w:val="20"/>
          <w:color w:val="auto"/>
        </w:rPr>
      </w:pPr>
      <w:r>
        <w:rPr>
          <w:rFonts w:ascii="Times New Roman" w:cs="Times New Roman" w:eastAsia="Times New Roman" w:hAnsi="Times New Roman"/>
          <w:sz w:val="20"/>
          <w:szCs w:val="20"/>
          <w:color w:val="auto"/>
        </w:rPr>
        <w:t>27.2.</w:t>
        <w:tab/>
        <w:t>Provided that nothing in this clause shall prevent you from giving or participating in business in which the Company or any Associated Undertaking is involved from time to time.</w:t>
      </w:r>
    </w:p>
    <w:p>
      <w:pPr>
        <w:spacing w:after="0" w:line="189" w:lineRule="exact"/>
        <w:rPr>
          <w:sz w:val="20"/>
          <w:szCs w:val="20"/>
          <w:color w:val="auto"/>
        </w:rPr>
      </w:pPr>
    </w:p>
    <w:p>
      <w:pPr>
        <w:ind w:left="600" w:hanging="509"/>
        <w:spacing w:after="0"/>
        <w:tabs>
          <w:tab w:leader="none" w:pos="600" w:val="left"/>
        </w:tabs>
        <w:numPr>
          <w:ilvl w:val="0"/>
          <w:numId w:val="105"/>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0"/>
          <w:szCs w:val="20"/>
          <w:b w:val="1"/>
          <w:bCs w:val="1"/>
          <w:u w:val="single" w:color="auto"/>
          <w:color w:val="auto"/>
        </w:rPr>
        <w:t>COLLECTIVE AGREEMENT</w:t>
      </w:r>
    </w:p>
    <w:p>
      <w:pPr>
        <w:spacing w:after="0" w:line="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There is no collective agreement which directly affects your employment.</w:t>
      </w:r>
    </w:p>
    <w:p>
      <w:pPr>
        <w:spacing w:after="0" w:line="225" w:lineRule="exact"/>
        <w:rPr>
          <w:sz w:val="20"/>
          <w:szCs w:val="20"/>
          <w:color w:val="auto"/>
        </w:rPr>
      </w:pPr>
    </w:p>
    <w:p>
      <w:pPr>
        <w:ind w:left="600" w:hanging="509"/>
        <w:spacing w:after="0"/>
        <w:tabs>
          <w:tab w:leader="none" w:pos="600" w:val="left"/>
        </w:tabs>
        <w:numPr>
          <w:ilvl w:val="0"/>
          <w:numId w:val="106"/>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0"/>
          <w:szCs w:val="20"/>
          <w:b w:val="1"/>
          <w:bCs w:val="1"/>
          <w:u w:val="single" w:color="auto"/>
          <w:color w:val="auto"/>
        </w:rPr>
        <w:t>REPRESENTATIONS AND WARRANTIES</w:t>
      </w:r>
    </w:p>
    <w:p>
      <w:pPr>
        <w:spacing w:after="0" w:line="39" w:lineRule="exact"/>
        <w:rPr>
          <w:sz w:val="20"/>
          <w:szCs w:val="20"/>
          <w:color w:val="auto"/>
        </w:rPr>
      </w:pPr>
    </w:p>
    <w:p>
      <w:pPr>
        <w:ind w:left="100"/>
        <w:spacing w:after="0"/>
        <w:tabs>
          <w:tab w:leader="none" w:pos="640" w:val="left"/>
        </w:tabs>
        <w:rPr>
          <w:sz w:val="20"/>
          <w:szCs w:val="20"/>
          <w:color w:val="auto"/>
        </w:rPr>
      </w:pPr>
      <w:r>
        <w:rPr>
          <w:rFonts w:ascii="Times New Roman" w:cs="Times New Roman" w:eastAsia="Times New Roman" w:hAnsi="Times New Roman"/>
          <w:sz w:val="20"/>
          <w:szCs w:val="20"/>
          <w:color w:val="auto"/>
        </w:rPr>
        <w:t>29.1.</w:t>
      </w:r>
      <w:r>
        <w:rPr>
          <w:sz w:val="20"/>
          <w:szCs w:val="20"/>
          <w:color w:val="auto"/>
        </w:rPr>
        <w:tab/>
      </w:r>
      <w:r>
        <w:rPr>
          <w:rFonts w:ascii="Times New Roman" w:cs="Times New Roman" w:eastAsia="Times New Roman" w:hAnsi="Times New Roman"/>
          <w:sz w:val="18"/>
          <w:szCs w:val="18"/>
          <w:color w:val="auto"/>
        </w:rPr>
        <w:t>You hereby make the following representations and warranties:</w:t>
      </w:r>
    </w:p>
    <w:p>
      <w:pPr>
        <w:spacing w:after="0" w:line="76" w:lineRule="exact"/>
        <w:rPr>
          <w:sz w:val="20"/>
          <w:szCs w:val="20"/>
          <w:color w:val="auto"/>
        </w:rPr>
      </w:pPr>
    </w:p>
    <w:p>
      <w:pPr>
        <w:ind w:left="1460" w:right="20" w:hanging="741"/>
        <w:spacing w:after="0" w:line="229" w:lineRule="auto"/>
        <w:tabs>
          <w:tab w:leader="none" w:pos="1440" w:val="left"/>
        </w:tabs>
        <w:rPr>
          <w:sz w:val="20"/>
          <w:szCs w:val="20"/>
          <w:color w:val="auto"/>
        </w:rPr>
      </w:pPr>
      <w:r>
        <w:rPr>
          <w:rFonts w:ascii="Times New Roman" w:cs="Times New Roman" w:eastAsia="Times New Roman" w:hAnsi="Times New Roman"/>
          <w:sz w:val="20"/>
          <w:szCs w:val="20"/>
          <w:color w:val="auto"/>
        </w:rPr>
        <w:t>29.1.1</w:t>
        <w:tab/>
        <w:t>in entering into this Agreement you have not and will not be in breach of any agreement with or obligations owed to any third party, including any current or previous employer;</w:t>
      </w:r>
    </w:p>
    <w:p>
      <w:pPr>
        <w:spacing w:after="0" w:line="54" w:lineRule="exact"/>
        <w:rPr>
          <w:sz w:val="20"/>
          <w:szCs w:val="20"/>
          <w:color w:val="auto"/>
        </w:rPr>
      </w:pPr>
    </w:p>
    <w:p>
      <w:pPr>
        <w:ind w:left="720"/>
        <w:spacing w:after="0"/>
        <w:tabs>
          <w:tab w:leader="none" w:pos="1400" w:val="left"/>
        </w:tabs>
        <w:rPr>
          <w:sz w:val="20"/>
          <w:szCs w:val="20"/>
          <w:color w:val="auto"/>
        </w:rPr>
      </w:pPr>
      <w:r>
        <w:rPr>
          <w:rFonts w:ascii="Times New Roman" w:cs="Times New Roman" w:eastAsia="Times New Roman" w:hAnsi="Times New Roman"/>
          <w:sz w:val="20"/>
          <w:szCs w:val="20"/>
          <w:color w:val="auto"/>
        </w:rPr>
        <w:t>29.1.2</w:t>
      </w:r>
      <w:r>
        <w:rPr>
          <w:sz w:val="20"/>
          <w:szCs w:val="20"/>
          <w:color w:val="auto"/>
        </w:rPr>
        <w:tab/>
      </w:r>
      <w:r>
        <w:rPr>
          <w:rFonts w:ascii="Times New Roman" w:cs="Times New Roman" w:eastAsia="Times New Roman" w:hAnsi="Times New Roman"/>
          <w:sz w:val="18"/>
          <w:szCs w:val="18"/>
          <w:color w:val="auto"/>
        </w:rPr>
        <w:t>you are not currently and have never been disqualified to act as a director of a company within Ireland or elsewhere;</w:t>
      </w:r>
    </w:p>
    <w:p>
      <w:pPr>
        <w:spacing w:after="0" w:line="76" w:lineRule="exact"/>
        <w:rPr>
          <w:sz w:val="20"/>
          <w:szCs w:val="20"/>
          <w:color w:val="auto"/>
        </w:rPr>
      </w:pPr>
    </w:p>
    <w:p>
      <w:pPr>
        <w:jc w:val="right"/>
        <w:ind w:left="720"/>
        <w:spacing w:after="0" w:line="212" w:lineRule="auto"/>
        <w:rPr>
          <w:sz w:val="20"/>
          <w:szCs w:val="20"/>
          <w:color w:val="auto"/>
        </w:rPr>
      </w:pPr>
      <w:r>
        <w:rPr>
          <w:rFonts w:ascii="Times New Roman" w:cs="Times New Roman" w:eastAsia="Times New Roman" w:hAnsi="Times New Roman"/>
          <w:sz w:val="20"/>
          <w:szCs w:val="20"/>
          <w:color w:val="auto"/>
        </w:rPr>
        <w:t>29.1.3    the curriculum vitae and other details provided to the Company or a third party in relation to your application for employment by the Company (including, but not limited to academic and/or professional qualifications, career history or</w:t>
      </w:r>
    </w:p>
    <w:p>
      <w:pPr>
        <w:spacing w:after="0" w:line="2" w:lineRule="exact"/>
        <w:rPr>
          <w:sz w:val="20"/>
          <w:szCs w:val="20"/>
          <w:color w:val="auto"/>
        </w:rPr>
      </w:pPr>
    </w:p>
    <w:p>
      <w:pPr>
        <w:ind w:left="1480"/>
        <w:spacing w:after="0" w:line="225" w:lineRule="auto"/>
        <w:rPr>
          <w:sz w:val="20"/>
          <w:szCs w:val="20"/>
          <w:color w:val="auto"/>
        </w:rPr>
      </w:pPr>
      <w:r>
        <w:rPr>
          <w:rFonts w:ascii="Times New Roman" w:cs="Times New Roman" w:eastAsia="Times New Roman" w:hAnsi="Times New Roman"/>
          <w:sz w:val="20"/>
          <w:szCs w:val="20"/>
          <w:color w:val="auto"/>
        </w:rPr>
        <w:t>level of experience) are complete and accurate in all material respects and you have provided the Company with genuine copies of certificates of your academic and professional qualifications if requested;</w:t>
      </w:r>
    </w:p>
    <w:p>
      <w:pPr>
        <w:spacing w:after="0" w:line="39" w:lineRule="exact"/>
        <w:rPr>
          <w:sz w:val="20"/>
          <w:szCs w:val="20"/>
          <w:color w:val="auto"/>
        </w:rPr>
      </w:pPr>
    </w:p>
    <w:p>
      <w:pPr>
        <w:ind w:left="1420" w:right="20" w:hanging="741"/>
        <w:spacing w:after="0" w:line="236" w:lineRule="auto"/>
        <w:tabs>
          <w:tab w:leader="none" w:pos="1400" w:val="left"/>
        </w:tabs>
        <w:rPr>
          <w:sz w:val="20"/>
          <w:szCs w:val="20"/>
          <w:color w:val="auto"/>
        </w:rPr>
      </w:pPr>
      <w:r>
        <w:rPr>
          <w:rFonts w:ascii="Times New Roman" w:cs="Times New Roman" w:eastAsia="Times New Roman" w:hAnsi="Times New Roman"/>
          <w:sz w:val="20"/>
          <w:szCs w:val="20"/>
          <w:color w:val="auto"/>
        </w:rPr>
        <w:t>29.1.4</w:t>
        <w:tab/>
        <w:t>the carrying out of your duties pursuant to this Agreement will not result in the disclosure or use by you of any confidential information or intellectual property of any other party, including any previous employer; and</w:t>
      </w:r>
    </w:p>
    <w:p>
      <w:pPr>
        <w:spacing w:after="0" w:line="54" w:lineRule="exact"/>
        <w:rPr>
          <w:sz w:val="20"/>
          <w:szCs w:val="20"/>
          <w:color w:val="auto"/>
        </w:rPr>
      </w:pPr>
    </w:p>
    <w:p>
      <w:pPr>
        <w:ind w:left="720"/>
        <w:spacing w:after="0"/>
        <w:tabs>
          <w:tab w:leader="none" w:pos="1400" w:val="left"/>
        </w:tabs>
        <w:rPr>
          <w:sz w:val="20"/>
          <w:szCs w:val="20"/>
          <w:color w:val="auto"/>
        </w:rPr>
      </w:pPr>
      <w:r>
        <w:rPr>
          <w:rFonts w:ascii="Times New Roman" w:cs="Times New Roman" w:eastAsia="Times New Roman" w:hAnsi="Times New Roman"/>
          <w:sz w:val="20"/>
          <w:szCs w:val="20"/>
          <w:color w:val="auto"/>
        </w:rPr>
        <w:t>29.1.5</w:t>
      </w:r>
      <w:r>
        <w:rPr>
          <w:sz w:val="20"/>
          <w:szCs w:val="20"/>
          <w:color w:val="auto"/>
        </w:rPr>
        <w:tab/>
      </w:r>
      <w:r>
        <w:rPr>
          <w:rFonts w:ascii="Times New Roman" w:cs="Times New Roman" w:eastAsia="Times New Roman" w:hAnsi="Times New Roman"/>
          <w:sz w:val="18"/>
          <w:szCs w:val="18"/>
          <w:color w:val="auto"/>
        </w:rPr>
        <w:t>at the time of entering into the Agreement you have the right to work in Ireland.</w:t>
      </w:r>
    </w:p>
    <w:p>
      <w:pPr>
        <w:spacing w:after="0" w:line="63" w:lineRule="exact"/>
        <w:rPr>
          <w:sz w:val="20"/>
          <w:szCs w:val="20"/>
          <w:color w:val="auto"/>
        </w:rPr>
      </w:pPr>
    </w:p>
    <w:p>
      <w:pPr>
        <w:jc w:val="both"/>
        <w:ind w:left="660" w:hanging="703"/>
        <w:spacing w:after="0" w:line="227" w:lineRule="auto"/>
        <w:tabs>
          <w:tab w:leader="none" w:pos="640" w:val="left"/>
        </w:tabs>
        <w:rPr>
          <w:sz w:val="20"/>
          <w:szCs w:val="20"/>
          <w:color w:val="auto"/>
        </w:rPr>
      </w:pPr>
      <w:r>
        <w:rPr>
          <w:rFonts w:ascii="Times New Roman" w:cs="Times New Roman" w:eastAsia="Times New Roman" w:hAnsi="Times New Roman"/>
          <w:sz w:val="20"/>
          <w:szCs w:val="20"/>
          <w:color w:val="auto"/>
        </w:rPr>
        <w:t>29.2.</w:t>
        <w:tab/>
        <w:t>You shall indemnify the Company against all claims, liabilities, losses, costs and expenses which the Company may suffer or incur or which may be made against the Company arising out of, or in respect of, any breach of the warranties and representations in this clause 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4"/>
          <w:szCs w:val="14"/>
          <w:color w:val="5571B7"/>
        </w:rPr>
        <w:t>.</w:t>
      </w:r>
    </w:p>
    <w:p>
      <w:pPr>
        <w:sectPr>
          <w:pgSz w:w="11900" w:h="16838" w:orient="portrait"/>
          <w:cols w:equalWidth="0" w:num="1">
            <w:col w:w="11100"/>
          </w:cols>
          <w:pgMar w:left="360" w:top="1440" w:right="439" w:bottom="1440" w:gutter="0" w:footer="0" w:header="0"/>
        </w:sectPr>
      </w:pPr>
    </w:p>
    <w:bookmarkStart w:id="194" w:name="page195"/>
    <w:bookmarkEnd w:id="194"/>
    <w:p>
      <w:pPr>
        <w:spacing w:after="0" w:line="200" w:lineRule="exact"/>
        <w:rPr>
          <w:sz w:val="20"/>
          <w:szCs w:val="20"/>
          <w:color w:val="auto"/>
        </w:rPr>
      </w:pPr>
    </w:p>
    <w:p>
      <w:pPr>
        <w:spacing w:after="0" w:line="330" w:lineRule="exact"/>
        <w:rPr>
          <w:sz w:val="20"/>
          <w:szCs w:val="20"/>
          <w:color w:val="auto"/>
        </w:rPr>
      </w:pPr>
    </w:p>
    <w:p>
      <w:pPr>
        <w:ind w:left="600" w:hanging="509"/>
        <w:spacing w:after="0"/>
        <w:tabs>
          <w:tab w:leader="none" w:pos="600" w:val="left"/>
        </w:tabs>
        <w:numPr>
          <w:ilvl w:val="0"/>
          <w:numId w:val="107"/>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0"/>
          <w:szCs w:val="20"/>
          <w:b w:val="1"/>
          <w:bCs w:val="1"/>
          <w:u w:val="single" w:color="auto"/>
          <w:color w:val="auto"/>
        </w:rPr>
        <w:t>MISCELLANEOUS PROVISIONS</w:t>
      </w:r>
    </w:p>
    <w:p>
      <w:pPr>
        <w:spacing w:after="0" w:line="39" w:lineRule="exact"/>
        <w:rPr>
          <w:sz w:val="20"/>
          <w:szCs w:val="20"/>
          <w:color w:val="auto"/>
        </w:rPr>
      </w:pPr>
    </w:p>
    <w:p>
      <w:pPr>
        <w:jc w:val="right"/>
        <w:ind w:left="80"/>
        <w:spacing w:after="0" w:line="219" w:lineRule="auto"/>
        <w:rPr>
          <w:sz w:val="20"/>
          <w:szCs w:val="20"/>
          <w:color w:val="auto"/>
        </w:rPr>
      </w:pPr>
      <w:r>
        <w:rPr>
          <w:rFonts w:ascii="Times New Roman" w:cs="Times New Roman" w:eastAsia="Times New Roman" w:hAnsi="Times New Roman"/>
          <w:sz w:val="20"/>
          <w:szCs w:val="20"/>
          <w:color w:val="auto"/>
        </w:rPr>
        <w:t xml:space="preserve">30.1.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or other communication under this contract, whether required or permitted to be given in accordance with this sub-clause 30.1, will be given in writing and will be deemed to have been duly given if delivered personally to the addressee or the</w:t>
      </w:r>
    </w:p>
    <w:p>
      <w:pPr>
        <w:spacing w:after="0" w:line="2" w:lineRule="exact"/>
        <w:rPr>
          <w:sz w:val="20"/>
          <w:szCs w:val="20"/>
          <w:color w:val="auto"/>
        </w:rPr>
      </w:pPr>
    </w:p>
    <w:p>
      <w:pPr>
        <w:ind w:left="720"/>
        <w:spacing w:after="0" w:line="223" w:lineRule="auto"/>
        <w:rPr>
          <w:sz w:val="20"/>
          <w:szCs w:val="20"/>
          <w:color w:val="auto"/>
        </w:rPr>
      </w:pPr>
      <w:r>
        <w:rPr>
          <w:rFonts w:ascii="Times New Roman" w:cs="Times New Roman" w:eastAsia="Times New Roman" w:hAnsi="Times New Roman"/>
          <w:sz w:val="18"/>
          <w:szCs w:val="18"/>
          <w:color w:val="auto"/>
        </w:rPr>
        <w:t>duly authorised agent of the addressee, sent by email or sent by prepaid registered post to the to the party to whom such notice is to be given as set out for such party herein (or such other address as such party may from time to time designate in writing to the other</w:t>
      </w:r>
    </w:p>
    <w:p>
      <w:pPr>
        <w:ind w:left="720"/>
        <w:spacing w:after="0" w:line="233" w:lineRule="auto"/>
        <w:rPr>
          <w:sz w:val="20"/>
          <w:szCs w:val="20"/>
          <w:color w:val="auto"/>
        </w:rPr>
      </w:pPr>
      <w:r>
        <w:rPr>
          <w:rFonts w:ascii="Times New Roman" w:cs="Times New Roman" w:eastAsia="Times New Roman" w:hAnsi="Times New Roman"/>
          <w:sz w:val="18"/>
          <w:szCs w:val="18"/>
          <w:color w:val="auto"/>
        </w:rPr>
        <w:t>party hereto in accordance with the provisions of this clause). In the absence of evidence of earlier receipt, any such notice will be</w:t>
      </w:r>
    </w:p>
    <w:p>
      <w:pPr>
        <w:ind w:left="720"/>
        <w:spacing w:after="0" w:line="223" w:lineRule="auto"/>
        <w:rPr>
          <w:sz w:val="20"/>
          <w:szCs w:val="20"/>
          <w:color w:val="auto"/>
        </w:rPr>
      </w:pPr>
      <w:r>
        <w:rPr>
          <w:rFonts w:ascii="Times New Roman" w:cs="Times New Roman" w:eastAsia="Times New Roman" w:hAnsi="Times New Roman"/>
          <w:sz w:val="18"/>
          <w:szCs w:val="18"/>
          <w:color w:val="auto"/>
        </w:rPr>
        <w:t>deemed to have been duly given at the time of delivery if delivered personally or by email, or two working days after posting if sent by prepaid registered post. You undertake to provide the Company, upon request, with an address in Ireland and/or email address for</w:t>
      </w:r>
    </w:p>
    <w:p>
      <w:pPr>
        <w:spacing w:after="0" w:line="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service of notices pursuant to this sub-clause.</w:t>
      </w:r>
    </w:p>
    <w:p>
      <w:pPr>
        <w:spacing w:after="0" w:line="54" w:lineRule="exact"/>
        <w:rPr>
          <w:sz w:val="20"/>
          <w:szCs w:val="20"/>
          <w:color w:val="auto"/>
        </w:rPr>
      </w:pPr>
    </w:p>
    <w:p>
      <w:pPr>
        <w:ind w:left="720" w:right="20" w:hanging="639"/>
        <w:spacing w:after="0" w:line="229" w:lineRule="auto"/>
        <w:tabs>
          <w:tab w:leader="none" w:pos="700" w:val="left"/>
        </w:tabs>
        <w:rPr>
          <w:sz w:val="20"/>
          <w:szCs w:val="20"/>
          <w:color w:val="auto"/>
        </w:rPr>
      </w:pPr>
      <w:r>
        <w:rPr>
          <w:rFonts w:ascii="Times New Roman" w:cs="Times New Roman" w:eastAsia="Times New Roman" w:hAnsi="Times New Roman"/>
          <w:sz w:val="20"/>
          <w:szCs w:val="20"/>
          <w:color w:val="auto"/>
        </w:rPr>
        <w:t>30.2.</w:t>
      </w:r>
      <w:r>
        <w:rPr>
          <w:sz w:val="20"/>
          <w:szCs w:val="20"/>
          <w:color w:val="auto"/>
        </w:rPr>
        <w:tab/>
      </w:r>
      <w:r>
        <w:rPr>
          <w:rFonts w:ascii="Times New Roman" w:cs="Times New Roman" w:eastAsia="Times New Roman" w:hAnsi="Times New Roman"/>
          <w:sz w:val="20"/>
          <w:szCs w:val="20"/>
          <w:u w:val="single" w:color="auto"/>
          <w:color w:val="auto"/>
        </w:rPr>
        <w:t>Electronic Signature</w:t>
      </w:r>
      <w:r>
        <w:rPr>
          <w:rFonts w:ascii="Times New Roman" w:cs="Times New Roman" w:eastAsia="Times New Roman" w:hAnsi="Times New Roman"/>
          <w:sz w:val="20"/>
          <w:szCs w:val="20"/>
          <w:color w:val="auto"/>
        </w:rPr>
        <w:t>. The parties consent to the use of an electronic signature to execute this contract and any other applicable</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agreements relating to your employment by the Company.</w:t>
      </w:r>
    </w:p>
    <w:p>
      <w:pPr>
        <w:spacing w:after="0" w:line="54" w:lineRule="exact"/>
        <w:rPr>
          <w:sz w:val="20"/>
          <w:szCs w:val="20"/>
          <w:color w:val="auto"/>
        </w:rPr>
      </w:pPr>
    </w:p>
    <w:p>
      <w:pPr>
        <w:jc w:val="right"/>
        <w:ind w:left="80"/>
        <w:spacing w:after="0" w:line="212" w:lineRule="auto"/>
        <w:rPr>
          <w:sz w:val="20"/>
          <w:szCs w:val="20"/>
          <w:color w:val="auto"/>
        </w:rPr>
      </w:pPr>
      <w:r>
        <w:rPr>
          <w:rFonts w:ascii="Times New Roman" w:cs="Times New Roman" w:eastAsia="Times New Roman" w:hAnsi="Times New Roman"/>
          <w:sz w:val="20"/>
          <w:szCs w:val="20"/>
          <w:color w:val="auto"/>
        </w:rPr>
        <w:t xml:space="preserve">30.3.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is in substitution for all other agreements and undertakings (if any) either written or verbal between the Company and you, and all such agreements and undertakings will be deemed to have been terminated by mutual</w:t>
      </w:r>
    </w:p>
    <w:p>
      <w:pPr>
        <w:spacing w:after="0" w:line="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consent as from the date of your execution of this Agreement.</w:t>
      </w:r>
    </w:p>
    <w:p>
      <w:pPr>
        <w:spacing w:after="0" w:line="54" w:lineRule="exact"/>
        <w:rPr>
          <w:sz w:val="20"/>
          <w:szCs w:val="20"/>
          <w:color w:val="auto"/>
        </w:rPr>
      </w:pPr>
    </w:p>
    <w:p>
      <w:pPr>
        <w:ind w:left="720" w:right="20" w:hanging="639"/>
        <w:spacing w:after="0" w:line="236" w:lineRule="auto"/>
        <w:tabs>
          <w:tab w:leader="none" w:pos="700" w:val="left"/>
        </w:tabs>
        <w:rPr>
          <w:sz w:val="20"/>
          <w:szCs w:val="20"/>
          <w:color w:val="auto"/>
        </w:rPr>
      </w:pPr>
      <w:r>
        <w:rPr>
          <w:rFonts w:ascii="Times New Roman" w:cs="Times New Roman" w:eastAsia="Times New Roman" w:hAnsi="Times New Roman"/>
          <w:sz w:val="20"/>
          <w:szCs w:val="20"/>
          <w:color w:val="auto"/>
        </w:rPr>
        <w:t>30.4.</w:t>
      </w:r>
      <w:r>
        <w:rPr>
          <w:sz w:val="20"/>
          <w:szCs w:val="20"/>
          <w:color w:val="auto"/>
        </w:rPr>
        <w:tab/>
      </w:r>
      <w:r>
        <w:rPr>
          <w:rFonts w:ascii="Times New Roman" w:cs="Times New Roman" w:eastAsia="Times New Roman" w:hAnsi="Times New Roman"/>
          <w:sz w:val="20"/>
          <w:szCs w:val="20"/>
          <w:u w:val="single" w:color="auto"/>
          <w:color w:val="auto"/>
        </w:rPr>
        <w:t>Governing Law and Jurisdiction</w:t>
      </w:r>
      <w:r>
        <w:rPr>
          <w:rFonts w:ascii="Times New Roman" w:cs="Times New Roman" w:eastAsia="Times New Roman" w:hAnsi="Times New Roman"/>
          <w:sz w:val="20"/>
          <w:szCs w:val="20"/>
          <w:color w:val="auto"/>
        </w:rPr>
        <w:t>. This Agreement shall be governed by and construed in accordance with the laws of Ireland, and</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shall be subject to the exclusive jurisdiction of the Irish courts.</w:t>
      </w:r>
    </w:p>
    <w:p>
      <w:pPr>
        <w:spacing w:after="0" w:line="40" w:lineRule="exact"/>
        <w:rPr>
          <w:sz w:val="20"/>
          <w:szCs w:val="20"/>
          <w:color w:val="auto"/>
        </w:rPr>
      </w:pPr>
    </w:p>
    <w:p>
      <w:pPr>
        <w:ind w:left="720" w:right="20" w:hanging="639"/>
        <w:spacing w:after="0" w:line="236" w:lineRule="auto"/>
        <w:tabs>
          <w:tab w:leader="none" w:pos="700" w:val="left"/>
        </w:tabs>
        <w:rPr>
          <w:sz w:val="20"/>
          <w:szCs w:val="20"/>
          <w:color w:val="auto"/>
        </w:rPr>
      </w:pPr>
      <w:r>
        <w:rPr>
          <w:rFonts w:ascii="Times New Roman" w:cs="Times New Roman" w:eastAsia="Times New Roman" w:hAnsi="Times New Roman"/>
          <w:sz w:val="20"/>
          <w:szCs w:val="20"/>
          <w:color w:val="auto"/>
        </w:rPr>
        <w:t>30.5.</w:t>
      </w:r>
      <w:r>
        <w:rPr>
          <w:sz w:val="20"/>
          <w:szCs w:val="20"/>
          <w:color w:val="auto"/>
        </w:rPr>
        <w:tab/>
      </w:r>
      <w:r>
        <w:rPr>
          <w:rFonts w:ascii="Times New Roman" w:cs="Times New Roman" w:eastAsia="Times New Roman" w:hAnsi="Times New Roman"/>
          <w:sz w:val="20"/>
          <w:szCs w:val="20"/>
          <w:u w:val="single" w:color="auto"/>
          <w:color w:val="auto"/>
        </w:rPr>
        <w:t>Training Entitlement</w:t>
      </w:r>
      <w:r>
        <w:rPr>
          <w:rFonts w:ascii="Times New Roman" w:cs="Times New Roman" w:eastAsia="Times New Roman" w:hAnsi="Times New Roman"/>
          <w:sz w:val="20"/>
          <w:szCs w:val="20"/>
          <w:color w:val="auto"/>
        </w:rPr>
        <w:t>. As part of your role as Senior Vice President, Global Technical Operations, you do not have any contractual</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training entitlement.</w:t>
      </w:r>
    </w:p>
    <w:p>
      <w:pPr>
        <w:spacing w:after="0" w:line="40" w:lineRule="exact"/>
        <w:rPr>
          <w:sz w:val="20"/>
          <w:szCs w:val="20"/>
          <w:color w:val="auto"/>
        </w:rPr>
      </w:pPr>
    </w:p>
    <w:p>
      <w:pPr>
        <w:ind w:left="700" w:right="20" w:hanging="639"/>
        <w:spacing w:after="0" w:line="236" w:lineRule="auto"/>
        <w:tabs>
          <w:tab w:leader="none" w:pos="680" w:val="left"/>
        </w:tabs>
        <w:rPr>
          <w:sz w:val="20"/>
          <w:szCs w:val="20"/>
          <w:color w:val="auto"/>
        </w:rPr>
      </w:pPr>
      <w:r>
        <w:rPr>
          <w:rFonts w:ascii="Times New Roman" w:cs="Times New Roman" w:eastAsia="Times New Roman" w:hAnsi="Times New Roman"/>
          <w:sz w:val="20"/>
          <w:szCs w:val="20"/>
          <w:color w:val="auto"/>
        </w:rPr>
        <w:t>30.6.</w:t>
      </w:r>
      <w:r>
        <w:rPr>
          <w:sz w:val="20"/>
          <w:szCs w:val="20"/>
          <w:color w:val="auto"/>
        </w:rPr>
        <w:tab/>
      </w:r>
      <w:r>
        <w:rPr>
          <w:rFonts w:ascii="Times New Roman" w:cs="Times New Roman" w:eastAsia="Times New Roman" w:hAnsi="Times New Roman"/>
          <w:sz w:val="20"/>
          <w:szCs w:val="20"/>
          <w:u w:val="single" w:color="auto"/>
          <w:color w:val="auto"/>
        </w:rPr>
        <w:t>Written Particulars</w:t>
      </w:r>
      <w:r>
        <w:rPr>
          <w:rFonts w:ascii="Times New Roman" w:cs="Times New Roman" w:eastAsia="Times New Roman" w:hAnsi="Times New Roman"/>
          <w:sz w:val="20"/>
          <w:szCs w:val="20"/>
          <w:color w:val="auto"/>
        </w:rPr>
        <w:t>. The information contained in this Agreement constitutes a written statement of particulars of your employment</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with the Company in accordance with the requirements of section 3 of the Terms of Employment Act 1994 to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5571B7"/>
        </w:rPr>
        <w:t>.</w:t>
      </w:r>
    </w:p>
    <w:p>
      <w:pPr>
        <w:sectPr>
          <w:pgSz w:w="11900" w:h="16838" w:orient="portrait"/>
          <w:cols w:equalWidth="0" w:num="1">
            <w:col w:w="11100"/>
          </w:cols>
          <w:pgMar w:left="360" w:top="1440" w:right="439" w:bottom="1440" w:gutter="0" w:footer="0" w:header="0"/>
        </w:sectPr>
      </w:pPr>
    </w:p>
    <w:bookmarkStart w:id="195" w:name="page196"/>
    <w:bookmarkEnd w:id="195"/>
    <w:p>
      <w:pPr>
        <w:spacing w:after="0" w:line="2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you choose to accept the terms and conditions of employment set out in this Agreement, please sign the Agreement in the signature</w:t>
      </w:r>
    </w:p>
    <w:p>
      <w:pPr>
        <w:spacing w:after="0" w:line="15" w:lineRule="exact"/>
        <w:rPr>
          <w:sz w:val="20"/>
          <w:szCs w:val="20"/>
          <w:color w:val="auto"/>
        </w:rPr>
      </w:pPr>
    </w:p>
    <w:p>
      <w:pPr>
        <w:ind w:left="440"/>
        <w:spacing w:after="0" w:line="218" w:lineRule="auto"/>
        <w:rPr>
          <w:sz w:val="20"/>
          <w:szCs w:val="20"/>
          <w:color w:val="auto"/>
        </w:rPr>
      </w:pPr>
      <w:r>
        <w:rPr>
          <w:rFonts w:ascii="Times New Roman" w:cs="Times New Roman" w:eastAsia="Times New Roman" w:hAnsi="Times New Roman"/>
          <w:sz w:val="20"/>
          <w:szCs w:val="20"/>
          <w:color w:val="auto"/>
        </w:rPr>
        <w:t>block below, as well as signing the Sign-On Bonus Repayment Agreement attached as Schedule 1, and returned the signed documents to me.</w:t>
      </w:r>
    </w:p>
    <w:p>
      <w:pPr>
        <w:spacing w:after="0" w:line="200" w:lineRule="exact"/>
        <w:rPr>
          <w:sz w:val="20"/>
          <w:szCs w:val="20"/>
          <w:color w:val="auto"/>
        </w:rPr>
      </w:pP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Yours sincerely</w:t>
      </w:r>
    </w:p>
    <w:p>
      <w:pPr>
        <w:spacing w:after="0" w:line="2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u w:val="single" w:color="auto"/>
          <w:color w:val="auto"/>
        </w:rPr>
        <w:t>/s/ Heidi Manna</w:t>
      </w:r>
      <w:r>
        <w:rPr>
          <w:rFonts w:ascii="Times New Roman" w:cs="Times New Roman" w:eastAsia="Times New Roman" w:hAnsi="Times New Roman"/>
          <w:sz w:val="20"/>
          <w:szCs w:val="20"/>
          <w:color w:val="auto"/>
        </w:rPr>
        <w:t xml:space="preserve"> 06 April 2023</w:t>
      </w:r>
    </w:p>
    <w:p>
      <w:pPr>
        <w:spacing w:after="0" w:line="2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Heidi Manna</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Chief Human Resources Officer</w:t>
      </w:r>
    </w:p>
    <w:p>
      <w:pPr>
        <w:spacing w:after="0" w:line="26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Duly authorised for and on behalf of</w:t>
      </w:r>
    </w:p>
    <w:p>
      <w:pPr>
        <w:spacing w:after="0" w:line="2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Jazz Pharmaceuticals Ireland Limited</w:t>
      </w:r>
    </w:p>
    <w:p>
      <w:pPr>
        <w:spacing w:after="0" w:line="2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i w:val="1"/>
          <w:iCs w:val="1"/>
          <w:color w:val="auto"/>
        </w:rPr>
        <w:t>I accept employment with the Company on the terms and conditions</w:t>
      </w:r>
    </w:p>
    <w:p>
      <w:pPr>
        <w:spacing w:after="0" w:line="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0"/>
          <w:szCs w:val="20"/>
          <w:b w:val="1"/>
          <w:bCs w:val="1"/>
          <w:i w:val="1"/>
          <w:iCs w:val="1"/>
          <w:color w:val="auto"/>
        </w:rPr>
        <w:t>as set out in the Company’s contract of which this is a copy.</w:t>
      </w:r>
    </w:p>
    <w:p>
      <w:pPr>
        <w:spacing w:after="0" w:line="23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0"/>
          <w:szCs w:val="20"/>
          <w:b w:val="1"/>
          <w:bCs w:val="1"/>
          <w:color w:val="auto"/>
        </w:rPr>
        <w:t xml:space="preserve">Signed: </w:t>
      </w:r>
      <w:r>
        <w:rPr>
          <w:rFonts w:ascii="Times New Roman" w:cs="Times New Roman" w:eastAsia="Times New Roman" w:hAnsi="Times New Roman"/>
          <w:sz w:val="20"/>
          <w:szCs w:val="20"/>
          <w:color w:val="auto"/>
        </w:rPr>
        <w:t>/s/ Liz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3987165</wp:posOffset>
            </wp:positionH>
            <wp:positionV relativeFrom="paragraph">
              <wp:posOffset>-10160</wp:posOffset>
            </wp:positionV>
            <wp:extent cx="9118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66">
                      <a:extLst>
                        <a:ext uri="{28A0092B-C50C-407E-A947-70E740481C1C}"/>
                      </a:extLst>
                    </a:blip>
                    <a:srcRect/>
                    <a:stretch>
                      <a:fillRect/>
                    </a:stretch>
                  </pic:blipFill>
                  <pic:spPr bwMode="auto">
                    <a:xfrm>
                      <a:off x="0" y="0"/>
                      <a:ext cx="911860" cy="8255"/>
                    </a:xfrm>
                    <a:prstGeom prst="rect">
                      <a:avLst/>
                    </a:prstGeom>
                    <a:noFill/>
                  </pic:spPr>
                </pic:pic>
              </a:graphicData>
            </a:graphic>
          </wp:anchor>
        </w:drawing>
      </w:r>
    </w:p>
    <w:p>
      <w:pPr>
        <w:spacing w:after="0" w:line="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0"/>
          <w:szCs w:val="20"/>
          <w:b w:val="1"/>
          <w:bCs w:val="1"/>
          <w:color w:val="auto"/>
        </w:rPr>
        <w:t xml:space="preserve">Dated: </w:t>
      </w:r>
      <w:r>
        <w:rPr>
          <w:rFonts w:ascii="Times New Roman" w:cs="Times New Roman" w:eastAsia="Times New Roman" w:hAnsi="Times New Roman"/>
          <w:sz w:val="20"/>
          <w:szCs w:val="20"/>
          <w:u w:val="single" w:color="auto"/>
          <w:color w:val="auto"/>
        </w:rPr>
        <w:t>07 April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4"/>
          <w:szCs w:val="14"/>
          <w:color w:val="5571B7"/>
        </w:rPr>
        <w:t>.</w:t>
      </w:r>
    </w:p>
    <w:p>
      <w:pPr>
        <w:sectPr>
          <w:pgSz w:w="11900" w:h="16838" w:orient="portrait"/>
          <w:cols w:equalWidth="0" w:num="1">
            <w:col w:w="11100"/>
          </w:cols>
          <w:pgMar w:left="360" w:top="1440" w:right="439" w:bottom="1440" w:gutter="0" w:footer="0" w:header="0"/>
        </w:sectPr>
      </w:pPr>
    </w:p>
    <w:bookmarkStart w:id="196" w:name="page197"/>
    <w:bookmarkEnd w:id="19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SCHEDULE 1</w:t>
      </w:r>
    </w:p>
    <w:p>
      <w:pPr>
        <w:spacing w:after="0" w:line="2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Sign-On Bonus Repayment Agreement For Liz</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Henderson</w:t>
      </w:r>
    </w:p>
    <w:p>
      <w:pPr>
        <w:spacing w:after="0" w:line="227" w:lineRule="exact"/>
        <w:rPr>
          <w:sz w:val="20"/>
          <w:szCs w:val="20"/>
          <w:color w:val="auto"/>
        </w:rPr>
      </w:pPr>
    </w:p>
    <w:p>
      <w:pPr>
        <w:jc w:val="both"/>
        <w:ind w:left="100"/>
        <w:spacing w:after="0" w:line="283" w:lineRule="auto"/>
        <w:rPr>
          <w:sz w:val="20"/>
          <w:szCs w:val="20"/>
          <w:color w:val="auto"/>
        </w:rPr>
      </w:pPr>
      <w:r>
        <w:rPr>
          <w:rFonts w:ascii="Times New Roman" w:cs="Times New Roman" w:eastAsia="Times New Roman" w:hAnsi="Times New Roman"/>
          <w:sz w:val="20"/>
          <w:szCs w:val="20"/>
          <w:color w:val="auto"/>
        </w:rPr>
        <w:t>In exchange for receiving a sign-on bonus in the gross amount of One Hundred Fifty Thousand Euros (€150,000) offered to me by Jazz Pharmaceuticals Ireland Limited (“Jazz Pharmaceuticals”), I acknowledge and agree to the following Sign- On Bonus Repayment Agreement (the “Agreement”):</w:t>
      </w:r>
    </w:p>
    <w:p>
      <w:pPr>
        <w:spacing w:after="0" w:line="211" w:lineRule="exact"/>
        <w:rPr>
          <w:sz w:val="20"/>
          <w:szCs w:val="20"/>
          <w:color w:val="auto"/>
        </w:rPr>
      </w:pPr>
    </w:p>
    <w:p>
      <w:pPr>
        <w:jc w:val="both"/>
        <w:ind w:left="420" w:hanging="329"/>
        <w:spacing w:after="0" w:line="274" w:lineRule="auto"/>
        <w:tabs>
          <w:tab w:leader="none" w:pos="446"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understand and agree that I will only retain the full sign-on bonus amount if my employment continues (and I am not subject to notice of termination of employment) for twenty-four (24) months with Jazz Pharmaceuticals (or any undertaking which from time to time is a subsidiary of Jazz Pharmaceuticals or is a holding company of Jazz Pharmaceuticals or a subsidiary of any such holding company (“holding company” and “subsidiary” having the meanings set out in section 7 and 8 of the Irish Companies Act 2014)). Because this bonus is being provided in consideration for my employment for twenty-four (24) months from my commencement date, all amounts expended by Jazz Pharmaceuticals pursuant to this Agreement, including but not limited to tax withholdings, constitute an advance to me. I understand that this is a non-recurring once-off sign-on bonus arrangement, and the full bonus amount will be subject to forfeiture until after I have completed twelve (12) months of employment, and fifty percent (50%) of the bonus amount will be subject to forfeiture between twelve (12) and twenty-four (24) months of employment.</w:t>
      </w:r>
    </w:p>
    <w:p>
      <w:pPr>
        <w:spacing w:after="0" w:line="219" w:lineRule="exact"/>
        <w:rPr>
          <w:rFonts w:ascii="Times New Roman" w:cs="Times New Roman" w:eastAsia="Times New Roman" w:hAnsi="Times New Roman"/>
          <w:sz w:val="20"/>
          <w:szCs w:val="20"/>
          <w:color w:val="auto"/>
        </w:rPr>
      </w:pPr>
    </w:p>
    <w:p>
      <w:pPr>
        <w:jc w:val="both"/>
        <w:ind w:left="420" w:hanging="329"/>
        <w:spacing w:after="0" w:line="273" w:lineRule="auto"/>
        <w:tabs>
          <w:tab w:leader="none" w:pos="46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understand and agree that, if within twenty-four months after the commencement date, either I resign my employment for any reason or I am terminated (or I am under notice of termination) by Jazz Pharmaceuticals for Cause (as defined below), I am obligated to repay to Jazz Pharmaceuticals the following amount: (i) if my employment ends prior to the 12-month anniversary of my commencement date, I must repay 100% of the sign-on bonus amount; or (ii) if my employment ends on or after the 12-month anniversary and prior to the twenty-four month anniversary of my commencement date, I must repay 50% of the sign-on bonus amount. The time period for me to repay the amount owed to Jazz Pharmaceuticals, as stated in the preceding sentence, will be no later than 30 days from my last day of employment unless Jazz Pharmaceuticals agrees, in writing, to a different payment schedule. If my employment ends after the twenty-four month anniversary of the commencement date, no repayment will be owed.</w:t>
      </w:r>
    </w:p>
    <w:p>
      <w:pPr>
        <w:spacing w:after="0" w:line="223" w:lineRule="exact"/>
        <w:rPr>
          <w:rFonts w:ascii="Times New Roman" w:cs="Times New Roman" w:eastAsia="Times New Roman" w:hAnsi="Times New Roman"/>
          <w:sz w:val="20"/>
          <w:szCs w:val="20"/>
          <w:color w:val="auto"/>
        </w:rPr>
      </w:pPr>
    </w:p>
    <w:p>
      <w:pPr>
        <w:jc w:val="both"/>
        <w:ind w:left="420" w:hanging="329"/>
        <w:spacing w:after="0" w:line="276" w:lineRule="auto"/>
        <w:tabs>
          <w:tab w:leader="none" w:pos="544"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Cause shall mean any of the following: (i) unsatisfactory job performance; (ii) violation of Jazz Pharmaceuticals policy or of any global policy applicable to me (including but not limited to the Jazz Global Code of Conduct); (iii) serious misconduct; (iv) breach of any of my contractual obligations; and (v) any other action or omission that is considered cause for termination of employment under applicable law.</w:t>
      </w:r>
    </w:p>
    <w:p>
      <w:pPr>
        <w:spacing w:after="0" w:line="220" w:lineRule="exact"/>
        <w:rPr>
          <w:rFonts w:ascii="Times New Roman" w:cs="Times New Roman" w:eastAsia="Times New Roman" w:hAnsi="Times New Roman"/>
          <w:sz w:val="20"/>
          <w:szCs w:val="20"/>
          <w:color w:val="auto"/>
        </w:rPr>
      </w:pPr>
    </w:p>
    <w:p>
      <w:pPr>
        <w:jc w:val="both"/>
        <w:ind w:left="420" w:right="20" w:hanging="329"/>
        <w:spacing w:after="0" w:line="281" w:lineRule="auto"/>
        <w:tabs>
          <w:tab w:leader="none" w:pos="453"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hereby authorise Jazz Pharmaceuticals to deduct from my salary, notice pay or any other amounts due to me, the amount of all or any part of the bonus that I am obligated to repay to Jazz Pharmaceuticals and I consent to such deduction for the purposes of the Payment of Wages Act, 1991. In the event the repayment amount is greater than monies owed to me by Jazz Pharmaceuticals, the balance will be recoverable as a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5571B7"/>
        </w:rPr>
        <w:t>.</w:t>
      </w:r>
    </w:p>
    <w:p>
      <w:pPr>
        <w:sectPr>
          <w:pgSz w:w="11900" w:h="16838" w:orient="portrait"/>
          <w:cols w:equalWidth="0" w:num="1">
            <w:col w:w="11040"/>
          </w:cols>
          <w:pgMar w:left="360" w:top="1440" w:right="499" w:bottom="1440" w:gutter="0" w:footer="0" w:header="0"/>
        </w:sectPr>
      </w:pPr>
    </w:p>
    <w:bookmarkStart w:id="197" w:name="page198"/>
    <w:bookmarkEnd w:id="197"/>
    <w:p>
      <w:pPr>
        <w:spacing w:after="0" w:line="200" w:lineRule="exact"/>
        <w:rPr>
          <w:sz w:val="20"/>
          <w:szCs w:val="20"/>
          <w:color w:val="auto"/>
        </w:rPr>
      </w:pPr>
    </w:p>
    <w:p>
      <w:pPr>
        <w:spacing w:after="0" w:line="314" w:lineRule="exact"/>
        <w:rPr>
          <w:sz w:val="20"/>
          <w:szCs w:val="20"/>
          <w:color w:val="auto"/>
        </w:rPr>
      </w:pPr>
    </w:p>
    <w:p>
      <w:pPr>
        <w:ind w:left="140"/>
        <w:spacing w:after="0"/>
        <w:tabs>
          <w:tab w:leader="none" w:pos="460" w:val="left"/>
        </w:tabs>
        <w:rPr>
          <w:sz w:val="20"/>
          <w:szCs w:val="20"/>
          <w:color w:val="auto"/>
        </w:rPr>
      </w:pPr>
      <w:r>
        <w:rPr>
          <w:rFonts w:ascii="Times New Roman" w:cs="Times New Roman" w:eastAsia="Times New Roman" w:hAnsi="Times New Roman"/>
          <w:sz w:val="20"/>
          <w:szCs w:val="20"/>
          <w:color w:val="auto"/>
        </w:rPr>
        <w:t>5.</w:t>
      </w:r>
      <w:r>
        <w:rPr>
          <w:sz w:val="20"/>
          <w:szCs w:val="20"/>
          <w:color w:val="auto"/>
        </w:rPr>
        <w:tab/>
      </w:r>
      <w:r>
        <w:rPr>
          <w:rFonts w:ascii="Times New Roman" w:cs="Times New Roman" w:eastAsia="Times New Roman" w:hAnsi="Times New Roman"/>
          <w:sz w:val="18"/>
          <w:szCs w:val="18"/>
          <w:color w:val="auto"/>
        </w:rPr>
        <w:t>I further understand and agree to the following: (i) any sign-on bonus paid will not be part of normal or expected salary</w:t>
      </w:r>
    </w:p>
    <w:p>
      <w:pPr>
        <w:spacing w:after="0" w:line="200" w:lineRule="exact"/>
        <w:rPr>
          <w:sz w:val="20"/>
          <w:szCs w:val="20"/>
          <w:color w:val="auto"/>
        </w:rPr>
      </w:pPr>
    </w:p>
    <w:p>
      <w:pPr>
        <w:spacing w:after="0" w:line="276" w:lineRule="exact"/>
        <w:rPr>
          <w:sz w:val="20"/>
          <w:szCs w:val="20"/>
          <w:color w:val="auto"/>
        </w:rPr>
      </w:pPr>
    </w:p>
    <w:p>
      <w:pPr>
        <w:jc w:val="both"/>
        <w:ind w:left="460" w:right="20"/>
        <w:spacing w:after="0" w:line="276" w:lineRule="auto"/>
        <w:rPr>
          <w:sz w:val="20"/>
          <w:szCs w:val="20"/>
          <w:color w:val="auto"/>
        </w:rPr>
      </w:pPr>
      <w:r>
        <w:rPr>
          <w:rFonts w:ascii="Times New Roman" w:cs="Times New Roman" w:eastAsia="Times New Roman" w:hAnsi="Times New Roman"/>
          <w:sz w:val="20"/>
          <w:szCs w:val="20"/>
          <w:color w:val="auto"/>
        </w:rPr>
        <w:t>or compensation for any purpose, including the calculation of severance, if any, upon termination; (ii) I will reimburse Jazz Pharmaceuticals for any and all reasonable costs incurred in enforcing this Agreement, including but not limited to any legal fees incurred by Jazz Pharmaceuticals; and (iii) this Agreement does not constitute a contract of employment or a guarantee of employment for any period of time.</w:t>
      </w:r>
    </w:p>
    <w:p>
      <w:pPr>
        <w:spacing w:after="0" w:line="220" w:lineRule="exact"/>
        <w:rPr>
          <w:sz w:val="20"/>
          <w:szCs w:val="20"/>
          <w:color w:val="auto"/>
        </w:rPr>
      </w:pPr>
    </w:p>
    <w:p>
      <w:pPr>
        <w:jc w:val="both"/>
        <w:ind w:left="460" w:hanging="329"/>
        <w:spacing w:after="0" w:line="313" w:lineRule="auto"/>
        <w:tabs>
          <w:tab w:leader="none" w:pos="481"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the entire agreement between me and Jazz Pharmaceuticals with respect to my repayment obligations for the sign-on bonus and it supersedes any other promises, representations or agreements concerning this subject matter, whether written or oral. The terms of this Agreement may not be modified or waived unless such modification or waiver is agreed to in writing signed by me and an authorized representative of Jazz Pharmaceuticals. Nothing contained herein shall be held to alter, vary, or affect any of the terms or conditions of my employment with Jazz Pharmaceuticals. The invalidity or unenforceability of any provision of this Agreement shall not affect the validity or enforceability of any other provision of this Agreement, which shall remain in full force and effect.</w:t>
      </w:r>
    </w:p>
    <w:p>
      <w:pPr>
        <w:spacing w:after="0" w:line="38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Employee Signature:</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 Liz Henderson</w:t>
            </w:r>
          </w:p>
        </w:tc>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07 April 2023</w:t>
            </w:r>
          </w:p>
        </w:tc>
      </w:tr>
      <w:tr>
        <w:trPr>
          <w:trHeight w:val="218"/>
        </w:trPr>
        <w:tc>
          <w:tcPr>
            <w:tcW w:w="45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Signature</w:t>
            </w:r>
          </w:p>
        </w:tc>
        <w:tc>
          <w:tcPr>
            <w:tcW w:w="1320" w:type="dxa"/>
            <w:vAlign w:val="bottom"/>
          </w:tcPr>
          <w:p>
            <w:pPr>
              <w:spacing w:after="0"/>
              <w:rPr>
                <w:sz w:val="18"/>
                <w:szCs w:val="18"/>
                <w:color w:val="auto"/>
              </w:rPr>
            </w:pPr>
          </w:p>
        </w:tc>
        <w:tc>
          <w:tcPr>
            <w:tcW w:w="2840" w:type="dxa"/>
            <w:vAlign w:val="bottom"/>
            <w:tcBorders>
              <w:top w:val="single" w:sz="8" w:color="auto"/>
            </w:tcBorders>
          </w:tcPr>
          <w:p>
            <w:pPr>
              <w:spacing w:after="0" w:line="203" w:lineRule="exact"/>
              <w:rPr>
                <w:sz w:val="20"/>
                <w:szCs w:val="20"/>
                <w:color w:val="auto"/>
              </w:rPr>
            </w:pPr>
            <w:r>
              <w:rPr>
                <w:rFonts w:ascii="Calibri" w:cs="Calibri" w:eastAsia="Calibri" w:hAnsi="Calibri"/>
                <w:sz w:val="17"/>
                <w:szCs w:val="17"/>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4"/>
          <w:szCs w:val="14"/>
          <w:color w:val="5571B7"/>
        </w:rPr>
        <w:t>.</w:t>
      </w:r>
    </w:p>
    <w:p>
      <w:pPr>
        <w:sectPr>
          <w:pgSz w:w="11900" w:h="16838" w:orient="portrait"/>
          <w:cols w:equalWidth="0" w:num="1">
            <w:col w:w="11080"/>
          </w:cols>
          <w:pgMar w:left="320" w:top="1440" w:right="49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18"/>
          <w:szCs w:val="18"/>
          <w:b w:val="1"/>
          <w:bCs w:val="1"/>
          <w:color w:val="auto"/>
        </w:rPr>
        <w:t>Exhibit 10.17B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color w:val="auto"/>
        </w:rPr>
        <w:t>[JAZZ PHARMACEUTICALS LETTERHEAD]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1"/>
          <w:szCs w:val="21"/>
          <w:color w:val="auto"/>
        </w:rPr>
        <w:t>Liz Henderson</w:t>
      </w:r>
    </w:p>
    <w:p>
      <w:pPr>
        <w:spacing w:after="0" w:line="209" w:lineRule="exact"/>
        <w:rPr>
          <w:sz w:val="20"/>
          <w:szCs w:val="20"/>
          <w:color w:val="auto"/>
        </w:rPr>
      </w:pPr>
    </w:p>
    <w:p>
      <w:pPr>
        <w:spacing w:after="0"/>
        <w:tabs>
          <w:tab w:leader="none" w:pos="9480" w:val="left"/>
        </w:tabs>
        <w:rPr>
          <w:sz w:val="20"/>
          <w:szCs w:val="20"/>
          <w:color w:val="auto"/>
        </w:rPr>
      </w:pPr>
      <w:r>
        <w:rPr>
          <w:rFonts w:ascii="Arial" w:cs="Arial" w:eastAsia="Arial" w:hAnsi="Arial"/>
          <w:sz w:val="21"/>
          <w:szCs w:val="21"/>
          <w:b w:val="1"/>
          <w:bCs w:val="1"/>
          <w:color w:val="auto"/>
        </w:rPr>
        <w:t>New Hire Equity Award</w:t>
      </w:r>
      <w:r>
        <w:rPr>
          <w:sz w:val="20"/>
          <w:szCs w:val="20"/>
          <w:color w:val="auto"/>
        </w:rPr>
        <w:tab/>
      </w:r>
      <w:r>
        <w:rPr>
          <w:rFonts w:ascii="Arial" w:cs="Arial" w:eastAsia="Arial" w:hAnsi="Arial"/>
          <w:sz w:val="21"/>
          <w:szCs w:val="21"/>
          <w:color w:val="auto"/>
        </w:rPr>
        <w:t>April 4, 2023</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auto"/>
        </w:rPr>
        <w:t>Dear Liz,</w:t>
      </w:r>
    </w:p>
    <w:p>
      <w:pPr>
        <w:spacing w:after="0" w:line="304" w:lineRule="exact"/>
        <w:rPr>
          <w:sz w:val="20"/>
          <w:szCs w:val="20"/>
          <w:color w:val="auto"/>
        </w:rPr>
      </w:pPr>
    </w:p>
    <w:p>
      <w:pPr>
        <w:jc w:val="both"/>
        <w:ind w:right="100"/>
        <w:spacing w:after="0" w:line="225" w:lineRule="auto"/>
        <w:rPr>
          <w:sz w:val="20"/>
          <w:szCs w:val="20"/>
          <w:color w:val="auto"/>
        </w:rPr>
      </w:pPr>
      <w:r>
        <w:rPr>
          <w:rFonts w:ascii="Arial" w:cs="Arial" w:eastAsia="Arial" w:hAnsi="Arial"/>
          <w:sz w:val="21"/>
          <w:szCs w:val="21"/>
          <w:color w:val="auto"/>
        </w:rPr>
        <w:t>Welcome to Jazz Pharmaceuticals. In parallel with your hiring by Jazz Pharmaceuticals Ireland Limited, a member of the Jazz Pharmaceuticals group of companies, you will receive equity awards from Jazz Pharmaceuticals plc in the amounts shown below pursuant to the Jazz Pharmaceuticals plc 2011 Equity Incentive Plan (the “EIP”) and subject to approval by the Compensation and Management Development Committee of the Board of Directors in accordance with the policies and guidelines of Jazz Pharmaceuticals plc.</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Value of Restricted Stock Units (“RSUs”): $1,400,000 </w:t>
      </w:r>
      <w:r>
        <w:rPr>
          <w:rFonts w:ascii="Arial" w:cs="Arial" w:eastAsia="Arial" w:hAnsi="Arial"/>
          <w:sz w:val="21"/>
          <w:szCs w:val="21"/>
          <w:i w:val="1"/>
          <w:iCs w:val="1"/>
          <w:color w:val="auto"/>
        </w:rPr>
        <w:t>USD</w:t>
      </w:r>
    </w:p>
    <w:p>
      <w:pPr>
        <w:spacing w:after="0"/>
        <w:rPr>
          <w:sz w:val="20"/>
          <w:szCs w:val="20"/>
          <w:color w:val="auto"/>
        </w:rPr>
      </w:pPr>
      <w:r>
        <w:rPr>
          <w:rFonts w:ascii="Arial" w:cs="Arial" w:eastAsia="Arial" w:hAnsi="Arial"/>
          <w:sz w:val="21"/>
          <w:szCs w:val="21"/>
          <w:color w:val="auto"/>
        </w:rPr>
        <w:t xml:space="preserve">Value of Performance Stock Units (“PSUs”): $1,400,000 </w:t>
      </w:r>
      <w:r>
        <w:rPr>
          <w:rFonts w:ascii="Arial" w:cs="Arial" w:eastAsia="Arial" w:hAnsi="Arial"/>
          <w:sz w:val="21"/>
          <w:szCs w:val="21"/>
          <w:i w:val="1"/>
          <w:iCs w:val="1"/>
          <w:color w:val="auto"/>
        </w:rPr>
        <w:t>USD</w:t>
      </w:r>
    </w:p>
    <w:p>
      <w:pPr>
        <w:spacing w:after="0" w:line="191" w:lineRule="exact"/>
        <w:rPr>
          <w:sz w:val="20"/>
          <w:szCs w:val="20"/>
          <w:color w:val="auto"/>
        </w:rPr>
      </w:pPr>
    </w:p>
    <w:p>
      <w:pPr>
        <w:jc w:val="both"/>
        <w:ind w:right="100"/>
        <w:spacing w:after="0" w:line="250" w:lineRule="auto"/>
        <w:rPr>
          <w:sz w:val="20"/>
          <w:szCs w:val="20"/>
          <w:color w:val="auto"/>
        </w:rPr>
      </w:pPr>
      <w:r>
        <w:rPr>
          <w:rFonts w:ascii="Arial" w:cs="Arial" w:eastAsia="Arial" w:hAnsi="Arial"/>
          <w:sz w:val="21"/>
          <w:szCs w:val="21"/>
          <w:color w:val="auto"/>
        </w:rPr>
        <w:t>Your equity awards will be subject to the terms of the EIP, as well as your applicable grant notices and award agreements which will be provided to you through E*Trade once the awards are approved and issued.</w:t>
      </w:r>
    </w:p>
    <w:p>
      <w:pPr>
        <w:spacing w:after="0" w:line="162" w:lineRule="exact"/>
        <w:rPr>
          <w:sz w:val="20"/>
          <w:szCs w:val="20"/>
          <w:color w:val="auto"/>
        </w:rPr>
      </w:pPr>
    </w:p>
    <w:p>
      <w:pPr>
        <w:jc w:val="both"/>
        <w:ind w:right="100"/>
        <w:spacing w:after="0" w:line="225" w:lineRule="auto"/>
        <w:rPr>
          <w:sz w:val="20"/>
          <w:szCs w:val="20"/>
          <w:color w:val="auto"/>
        </w:rPr>
      </w:pPr>
      <w:r>
        <w:rPr>
          <w:rFonts w:ascii="Arial" w:cs="Arial" w:eastAsia="Arial" w:hAnsi="Arial"/>
          <w:sz w:val="21"/>
          <w:szCs w:val="21"/>
          <w:color w:val="auto"/>
        </w:rPr>
        <w:t>Your RSUs and PSUs, upon vesting, will be released to you as Jazz Pharmaceuticals plc ordinary shares. The vesting schedule of your RSUs and PSUs will be set forth in your grant notices. We anticipate that (1) your RSUs will have a four-year vesting schedule with annual vesting tranches of 25% subject to your continued employment; and (2) your PSUs will vest following completion of the applicable performance period, subject to your continued employment and satisfaction of performance conditions.</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color w:val="auto"/>
        </w:rPr>
        <w:t>If you have questions, please feel free to discuss them with our Global Head of Total Rewards, Eric Stern.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tabs>
          <w:tab w:leader="none" w:pos="4420" w:val="left"/>
        </w:tabs>
        <w:rPr>
          <w:sz w:val="20"/>
          <w:szCs w:val="20"/>
          <w:color w:val="auto"/>
        </w:rPr>
      </w:pPr>
      <w:r>
        <w:rPr>
          <w:rFonts w:ascii="Calibri" w:cs="Calibri" w:eastAsia="Calibri" w:hAnsi="Calibri"/>
          <w:sz w:val="20"/>
          <w:szCs w:val="20"/>
          <w:color w:val="auto"/>
        </w:rPr>
        <w:t>/s/ LH</w:t>
      </w:r>
      <w:r>
        <w:rPr>
          <w:sz w:val="20"/>
          <w:szCs w:val="20"/>
          <w:color w:val="auto"/>
        </w:rPr>
        <w:tab/>
      </w:r>
      <w:r>
        <w:rPr>
          <w:rFonts w:ascii="Calibri" w:cs="Calibri" w:eastAsia="Calibri" w:hAnsi="Calibri"/>
          <w:sz w:val="18"/>
          <w:szCs w:val="18"/>
          <w:color w:val="auto"/>
        </w:rPr>
        <w:t>07 April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352488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67">
                      <a:extLst>
                        <a:ext uri="{28A0092B-C50C-407E-A947-70E740481C1C}"/>
                      </a:extLst>
                    </a:blip>
                    <a:srcRect/>
                    <a:stretch>
                      <a:fillRect/>
                    </a:stretch>
                  </pic:blipFill>
                  <pic:spPr bwMode="auto">
                    <a:xfrm>
                      <a:off x="0" y="0"/>
                      <a:ext cx="3524885"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1"/>
          <w:szCs w:val="21"/>
          <w:color w:val="auto"/>
        </w:rPr>
        <w:t>Please initial to acknowledge receipt of this document.</w:t>
      </w:r>
    </w:p>
    <w:p>
      <w:pPr>
        <w:sectPr>
          <w:pgSz w:w="11900" w:h="16838" w:orient="portrait"/>
          <w:cols w:equalWidth="0" w:num="1">
            <w:col w:w="10800"/>
          </w:cols>
          <w:pgMar w:left="760" w:top="1224" w:right="33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16"/>
          <w:szCs w:val="16"/>
          <w:b w:val="1"/>
          <w:bCs w:val="1"/>
          <w:color w:val="auto"/>
        </w:rPr>
        <w:t>Exhibit 10.18I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5"/>
          <w:szCs w:val="25"/>
          <w:b w:val="1"/>
          <w:bCs w:val="1"/>
          <w:color w:val="auto"/>
        </w:rPr>
        <w:t>Jazz Pharmaceuticals plc</w:t>
      </w:r>
    </w:p>
    <w:p>
      <w:pPr>
        <w:ind w:left="4200"/>
        <w:spacing w:after="0"/>
        <w:rPr>
          <w:sz w:val="20"/>
          <w:szCs w:val="20"/>
          <w:color w:val="auto"/>
        </w:rPr>
      </w:pPr>
      <w:r>
        <w:rPr>
          <w:rFonts w:ascii="Times New Roman" w:cs="Times New Roman" w:eastAsia="Times New Roman" w:hAnsi="Times New Roman"/>
          <w:sz w:val="25"/>
          <w:szCs w:val="25"/>
          <w:b w:val="1"/>
          <w:bCs w:val="1"/>
          <w:color w:val="auto"/>
        </w:rPr>
        <w:t>2011 Equity Incentive Plan</w:t>
      </w:r>
    </w:p>
    <w:p>
      <w:pPr>
        <w:spacing w:after="0" w:line="355" w:lineRule="exact"/>
        <w:rPr>
          <w:sz w:val="20"/>
          <w:szCs w:val="20"/>
          <w:color w:val="auto"/>
        </w:rPr>
      </w:pPr>
    </w:p>
    <w:p>
      <w:pPr>
        <w:ind w:left="640" w:hanging="634"/>
        <w:spacing w:after="0"/>
        <w:tabs>
          <w:tab w:leader="none" w:pos="640" w:val="left"/>
        </w:tabs>
        <w:numPr>
          <w:ilvl w:val="0"/>
          <w:numId w:val="11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General.</w:t>
      </w:r>
    </w:p>
    <w:p>
      <w:pPr>
        <w:spacing w:after="0" w:line="184" w:lineRule="exact"/>
        <w:rPr>
          <w:sz w:val="20"/>
          <w:szCs w:val="20"/>
          <w:color w:val="auto"/>
        </w:rPr>
      </w:pPr>
    </w:p>
    <w:p>
      <w:pPr>
        <w:jc w:val="both"/>
        <w:ind w:firstLine="6"/>
        <w:spacing w:after="0" w:line="218" w:lineRule="auto"/>
        <w:tabs>
          <w:tab w:leader="none" w:pos="634" w:val="left"/>
        </w:tabs>
        <w:numPr>
          <w:ilvl w:val="0"/>
          <w:numId w:val="11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Relationship to 2007 Plan and 2003 Plan. </w:t>
      </w:r>
      <w:r>
        <w:rPr>
          <w:rFonts w:ascii="Times New Roman" w:cs="Times New Roman" w:eastAsia="Times New Roman" w:hAnsi="Times New Roman"/>
          <w:sz w:val="21"/>
          <w:szCs w:val="21"/>
          <w:color w:val="auto"/>
        </w:rPr>
        <w:t>From and after 12:01 a.m. Pacific time on the Effective Date, all outstanding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stock awards granted under the Jazz Pharmaceuticals plc 2007 Equity Incentive Plan (the “</w:t>
      </w:r>
      <w:r>
        <w:rPr>
          <w:rFonts w:ascii="Times New Roman" w:cs="Times New Roman" w:eastAsia="Times New Roman" w:hAnsi="Times New Roman"/>
          <w:sz w:val="21"/>
          <w:szCs w:val="21"/>
          <w:b w:val="1"/>
          <w:bCs w:val="1"/>
          <w:i w:val="1"/>
          <w:iCs w:val="1"/>
          <w:color w:val="auto"/>
        </w:rPr>
        <w:t>2007 Plan</w:t>
      </w:r>
      <w:r>
        <w:rPr>
          <w:rFonts w:ascii="Times New Roman" w:cs="Times New Roman" w:eastAsia="Times New Roman" w:hAnsi="Times New Roman"/>
          <w:sz w:val="21"/>
          <w:szCs w:val="21"/>
          <w:color w:val="auto"/>
        </w:rPr>
        <w:t>”), which was the successor to and continuation of the Jazz Pharmaceuticals plc 2003 Equity Incentive Plan (the “</w:t>
      </w:r>
      <w:r>
        <w:rPr>
          <w:rFonts w:ascii="Times New Roman" w:cs="Times New Roman" w:eastAsia="Times New Roman" w:hAnsi="Times New Roman"/>
          <w:sz w:val="21"/>
          <w:szCs w:val="21"/>
          <w:b w:val="1"/>
          <w:bCs w:val="1"/>
          <w:i w:val="1"/>
          <w:iCs w:val="1"/>
          <w:color w:val="auto"/>
        </w:rPr>
        <w:t>2003 Plan</w:t>
      </w:r>
      <w:r>
        <w:rPr>
          <w:rFonts w:ascii="Times New Roman" w:cs="Times New Roman" w:eastAsia="Times New Roman" w:hAnsi="Times New Roman"/>
          <w:sz w:val="21"/>
          <w:szCs w:val="21"/>
          <w:color w:val="auto"/>
        </w:rPr>
        <w:t xml:space="preserve">”), will remain subject to the terms of the 2007 Plan or the 2003 Plan, as applicable;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any Ordinary Shares subject to outstanding stock awards granted under the 2007 Plan or the 2003 Plan that (i) expire or terminate for any reason prior to exercise or settlement, (ii) are forfeited because of the failure to meet a contingency or condition required to vest such Ordinary Shares or repurchased by the Company or an Affiliate at the original issuance price or (iii) are reacquired by the Company or an Affiliate or withheld (or not issued) to satisfy a tax withholding obligation in connection with an award (the “</w:t>
      </w:r>
      <w:r>
        <w:rPr>
          <w:rFonts w:ascii="Times New Roman" w:cs="Times New Roman" w:eastAsia="Times New Roman" w:hAnsi="Times New Roman"/>
          <w:sz w:val="21"/>
          <w:szCs w:val="21"/>
          <w:b w:val="1"/>
          <w:bCs w:val="1"/>
          <w:i w:val="1"/>
          <w:iCs w:val="1"/>
          <w:color w:val="auto"/>
        </w:rPr>
        <w:t>Returning Shares</w:t>
      </w:r>
      <w:r>
        <w:rPr>
          <w:rFonts w:ascii="Times New Roman" w:cs="Times New Roman" w:eastAsia="Times New Roman" w:hAnsi="Times New Roman"/>
          <w:sz w:val="21"/>
          <w:szCs w:val="21"/>
          <w:color w:val="auto"/>
        </w:rPr>
        <w:t>”) will immediately be added to the Share Reserve (as further described in Section 3(a) below) as and when such Ordinary Shares become Returning Shares, and become available for issuance pursuant to Awards granted under this Plan.</w:t>
      </w:r>
    </w:p>
    <w:p>
      <w:pPr>
        <w:spacing w:after="0" w:line="149" w:lineRule="exact"/>
        <w:rPr>
          <w:rFonts w:ascii="Times New Roman" w:cs="Times New Roman" w:eastAsia="Times New Roman" w:hAnsi="Times New Roman"/>
          <w:sz w:val="21"/>
          <w:szCs w:val="21"/>
          <w:b w:val="1"/>
          <w:bCs w:val="1"/>
          <w:color w:val="auto"/>
        </w:rPr>
      </w:pPr>
    </w:p>
    <w:p>
      <w:pPr>
        <w:ind w:left="640" w:hanging="634"/>
        <w:spacing w:after="0"/>
        <w:tabs>
          <w:tab w:leader="none" w:pos="640" w:val="left"/>
        </w:tabs>
        <w:numPr>
          <w:ilvl w:val="0"/>
          <w:numId w:val="11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Eligible Award Recipients. </w:t>
      </w:r>
      <w:r>
        <w:rPr>
          <w:rFonts w:ascii="Times New Roman" w:cs="Times New Roman" w:eastAsia="Times New Roman" w:hAnsi="Times New Roman"/>
          <w:sz w:val="21"/>
          <w:szCs w:val="21"/>
          <w:color w:val="auto"/>
        </w:rPr>
        <w:t>The persons eligible to receive Awards are Employees.</w:t>
      </w:r>
    </w:p>
    <w:p>
      <w:pPr>
        <w:spacing w:after="0" w:line="184" w:lineRule="exact"/>
        <w:rPr>
          <w:rFonts w:ascii="Times New Roman" w:cs="Times New Roman" w:eastAsia="Times New Roman" w:hAnsi="Times New Roman"/>
          <w:sz w:val="21"/>
          <w:szCs w:val="21"/>
          <w:b w:val="1"/>
          <w:bCs w:val="1"/>
          <w:color w:val="auto"/>
        </w:rPr>
      </w:pPr>
    </w:p>
    <w:p>
      <w:pPr>
        <w:jc w:val="both"/>
        <w:ind w:firstLine="6"/>
        <w:spacing w:after="0" w:line="234" w:lineRule="auto"/>
        <w:tabs>
          <w:tab w:leader="none" w:pos="636" w:val="left"/>
        </w:tabs>
        <w:numPr>
          <w:ilvl w:val="0"/>
          <w:numId w:val="11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Available Awards. </w:t>
      </w:r>
      <w:r>
        <w:rPr>
          <w:rFonts w:ascii="Times New Roman" w:cs="Times New Roman" w:eastAsia="Times New Roman" w:hAnsi="Times New Roman"/>
          <w:sz w:val="21"/>
          <w:szCs w:val="21"/>
          <w:color w:val="auto"/>
        </w:rPr>
        <w:t>The Plan provides for the grant of the following Awards: (i) Incentive Stock Options, (ii) Nonstatutory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Stock Options, (iii) Stock Appreciation Rights (iv) Restricted Stock Awards, (v) Restricted Stock Unit Awards, (vi) Performance Stock Awards, (vii) Performance Cash Awards, and (viii) Other Stock Awards.</w:t>
      </w:r>
    </w:p>
    <w:p>
      <w:pPr>
        <w:spacing w:after="0" w:line="145" w:lineRule="exact"/>
        <w:rPr>
          <w:rFonts w:ascii="Times New Roman" w:cs="Times New Roman" w:eastAsia="Times New Roman" w:hAnsi="Times New Roman"/>
          <w:sz w:val="21"/>
          <w:szCs w:val="21"/>
          <w:b w:val="1"/>
          <w:bCs w:val="1"/>
          <w:color w:val="auto"/>
        </w:rPr>
      </w:pPr>
    </w:p>
    <w:p>
      <w:pPr>
        <w:jc w:val="both"/>
        <w:ind w:firstLine="6"/>
        <w:spacing w:after="0" w:line="228" w:lineRule="auto"/>
        <w:tabs>
          <w:tab w:leader="none" w:pos="633" w:val="left"/>
        </w:tabs>
        <w:numPr>
          <w:ilvl w:val="0"/>
          <w:numId w:val="11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Purpose. </w:t>
      </w:r>
      <w:r>
        <w:rPr>
          <w:rFonts w:ascii="Times New Roman" w:cs="Times New Roman" w:eastAsia="Times New Roman" w:hAnsi="Times New Roman"/>
          <w:sz w:val="21"/>
          <w:szCs w:val="21"/>
          <w:color w:val="auto"/>
        </w:rPr>
        <w:t>The Company, by means of the Plan, seeks to secure and retain the services of the group of persons eligible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receive Awards as set forth in Section 1(b), to provide incentives for such persons to exert maximum efforts for the success of the Company and any Affiliate and to provide a means by which such eligible recipients may be given an opportunity to benefit from increases in value of the Ordinary Shares through the granting of Awards.</w:t>
      </w:r>
    </w:p>
    <w:p>
      <w:pPr>
        <w:spacing w:after="0" w:line="147" w:lineRule="exact"/>
        <w:rPr>
          <w:sz w:val="20"/>
          <w:szCs w:val="20"/>
          <w:color w:val="auto"/>
        </w:rPr>
      </w:pPr>
    </w:p>
    <w:p>
      <w:pPr>
        <w:ind w:left="640" w:hanging="634"/>
        <w:spacing w:after="0"/>
        <w:tabs>
          <w:tab w:leader="none" w:pos="640" w:val="left"/>
        </w:tabs>
        <w:numPr>
          <w:ilvl w:val="0"/>
          <w:numId w:val="11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Administration.</w:t>
      </w:r>
    </w:p>
    <w:p>
      <w:pPr>
        <w:spacing w:after="0" w:line="184" w:lineRule="exact"/>
        <w:rPr>
          <w:sz w:val="20"/>
          <w:szCs w:val="20"/>
          <w:color w:val="auto"/>
        </w:rPr>
      </w:pPr>
    </w:p>
    <w:p>
      <w:pPr>
        <w:ind w:firstLine="6"/>
        <w:spacing w:after="0" w:line="251" w:lineRule="auto"/>
        <w:tabs>
          <w:tab w:leader="none" w:pos="634" w:val="left"/>
        </w:tabs>
        <w:numPr>
          <w:ilvl w:val="0"/>
          <w:numId w:val="11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Administration by Board. </w:t>
      </w:r>
      <w:r>
        <w:rPr>
          <w:rFonts w:ascii="Times New Roman" w:cs="Times New Roman" w:eastAsia="Times New Roman" w:hAnsi="Times New Roman"/>
          <w:sz w:val="21"/>
          <w:szCs w:val="21"/>
          <w:color w:val="auto"/>
        </w:rPr>
        <w:t>The Board shall administer the Plan unless and until the Board delegates administration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Plan to a Committee or Committees, as provided in Section 2(c).</w:t>
      </w:r>
    </w:p>
    <w:p>
      <w:pPr>
        <w:spacing w:after="0" w:line="133" w:lineRule="exact"/>
        <w:rPr>
          <w:rFonts w:ascii="Times New Roman" w:cs="Times New Roman" w:eastAsia="Times New Roman" w:hAnsi="Times New Roman"/>
          <w:sz w:val="21"/>
          <w:szCs w:val="21"/>
          <w:b w:val="1"/>
          <w:bCs w:val="1"/>
          <w:color w:val="auto"/>
        </w:rPr>
      </w:pPr>
    </w:p>
    <w:p>
      <w:pPr>
        <w:ind w:left="640" w:hanging="634"/>
        <w:spacing w:after="0"/>
        <w:tabs>
          <w:tab w:leader="none" w:pos="640" w:val="left"/>
        </w:tabs>
        <w:numPr>
          <w:ilvl w:val="0"/>
          <w:numId w:val="11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Powers of Board. </w:t>
      </w:r>
      <w:r>
        <w:rPr>
          <w:rFonts w:ascii="Times New Roman" w:cs="Times New Roman" w:eastAsia="Times New Roman" w:hAnsi="Times New Roman"/>
          <w:sz w:val="21"/>
          <w:szCs w:val="21"/>
          <w:color w:val="auto"/>
        </w:rPr>
        <w:t>The Board shall have the power, subject to, and within the limitations of, the express provisions of the</w:t>
      </w: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Plan:</w:t>
      </w:r>
    </w:p>
    <w:p>
      <w:pPr>
        <w:spacing w:after="0" w:line="160" w:lineRule="exact"/>
        <w:rPr>
          <w:sz w:val="20"/>
          <w:szCs w:val="20"/>
          <w:color w:val="auto"/>
        </w:rPr>
      </w:pPr>
    </w:p>
    <w:p>
      <w:pPr>
        <w:jc w:val="both"/>
        <w:ind w:firstLine="6"/>
        <w:spacing w:after="0" w:line="224" w:lineRule="auto"/>
        <w:tabs>
          <w:tab w:leader="none" w:pos="627" w:val="left"/>
        </w:tabs>
        <w:numPr>
          <w:ilvl w:val="0"/>
          <w:numId w:val="11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To determine from time to time (A) which of the persons eligible under the Plan shall be granted Awards; (B) when and how each Award shall be granted; (C) what type or combination of types of Award shall be granted; (D) the provisions of each Award granted (which need not be identical), including the time or times when a person shall be permitted to receive cash or Ordinary Shares pursuant to a Stock Award; (E) the number of Ordinary Shares with respect to which a Stock Award shall be granted to each such person; and (F) the Fair Market Value applicable to a Stock Award.</w:t>
      </w:r>
    </w:p>
    <w:p>
      <w:pPr>
        <w:spacing w:after="0" w:line="151" w:lineRule="exact"/>
        <w:rPr>
          <w:rFonts w:ascii="Times New Roman" w:cs="Times New Roman" w:eastAsia="Times New Roman" w:hAnsi="Times New Roman"/>
          <w:sz w:val="21"/>
          <w:szCs w:val="21"/>
          <w:b w:val="1"/>
          <w:bCs w:val="1"/>
          <w:color w:val="auto"/>
        </w:rPr>
      </w:pPr>
    </w:p>
    <w:p>
      <w:pPr>
        <w:jc w:val="both"/>
        <w:ind w:firstLine="6"/>
        <w:spacing w:after="0" w:line="233" w:lineRule="auto"/>
        <w:tabs>
          <w:tab w:leader="none" w:pos="633" w:val="left"/>
        </w:tabs>
        <w:numPr>
          <w:ilvl w:val="0"/>
          <w:numId w:val="11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To construe and interpret the Plan and Awards granted under it, and to establish, amend and revoke rules and regulations for its administration. The Board, in the exercise of this power, may correct any defect, omission or inconsistency in the Plan or in any Stock Award Agreement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2"/>
          <w:szCs w:val="12"/>
          <w:color w:val="auto"/>
        </w:rPr>
        <w:t>130316850 v7</w:t>
      </w:r>
    </w:p>
    <w:p>
      <w:pPr>
        <w:sectPr>
          <w:pgSz w:w="11900" w:h="16838" w:orient="portrait"/>
          <w:cols w:equalWidth="0" w:num="1">
            <w:col w:w="11240"/>
          </w:cols>
          <w:pgMar w:left="320" w:top="110" w:right="339" w:bottom="1440" w:gutter="0" w:footer="0" w:header="0"/>
        </w:sectPr>
      </w:pPr>
    </w:p>
    <w:bookmarkStart w:id="200" w:name="page201"/>
    <w:bookmarkEnd w:id="200"/>
    <w:p>
      <w:pPr>
        <w:spacing w:after="0" w:line="247" w:lineRule="auto"/>
        <w:rPr>
          <w:sz w:val="20"/>
          <w:szCs w:val="20"/>
          <w:color w:val="auto"/>
        </w:rPr>
      </w:pPr>
      <w:r>
        <w:rPr>
          <w:rFonts w:ascii="Times New Roman" w:cs="Times New Roman" w:eastAsia="Times New Roman" w:hAnsi="Times New Roman"/>
          <w:sz w:val="21"/>
          <w:szCs w:val="21"/>
          <w:color w:val="auto"/>
        </w:rPr>
        <w:t>or in the written terms of a Performance Cash Award, in a manner and to the extent it shall deem necessary or expedient to make the Plan or Award fully effective.</w:t>
      </w:r>
    </w:p>
    <w:p>
      <w:pPr>
        <w:spacing w:after="0" w:line="142" w:lineRule="exact"/>
        <w:rPr>
          <w:sz w:val="20"/>
          <w:szCs w:val="20"/>
          <w:color w:val="auto"/>
        </w:rPr>
      </w:pPr>
    </w:p>
    <w:p>
      <w:pPr>
        <w:ind w:left="640" w:hanging="634"/>
        <w:spacing w:after="0"/>
        <w:tabs>
          <w:tab w:leader="none" w:pos="640" w:val="left"/>
        </w:tabs>
        <w:numPr>
          <w:ilvl w:val="0"/>
          <w:numId w:val="11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To settle all controversies regarding the Plan and Awards granted under it.</w:t>
      </w:r>
    </w:p>
    <w:p>
      <w:pPr>
        <w:spacing w:after="0" w:line="184" w:lineRule="exact"/>
        <w:rPr>
          <w:rFonts w:ascii="Times New Roman" w:cs="Times New Roman" w:eastAsia="Times New Roman" w:hAnsi="Times New Roman"/>
          <w:sz w:val="21"/>
          <w:szCs w:val="21"/>
          <w:b w:val="1"/>
          <w:bCs w:val="1"/>
          <w:color w:val="auto"/>
        </w:rPr>
      </w:pPr>
    </w:p>
    <w:p>
      <w:pPr>
        <w:jc w:val="both"/>
        <w:ind w:firstLine="6"/>
        <w:spacing w:after="0" w:line="233" w:lineRule="auto"/>
        <w:tabs>
          <w:tab w:leader="none" w:pos="627" w:val="left"/>
        </w:tabs>
        <w:numPr>
          <w:ilvl w:val="0"/>
          <w:numId w:val="11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To accelerate the time at which an Award may first be exercised or the time during which an Award or any part thereof will vest in accordance with the Plan, notwithstanding the provisions in the Award stating the time at which it may first be exercised or the time during which it will vest.</w:t>
      </w:r>
    </w:p>
    <w:p>
      <w:pPr>
        <w:spacing w:after="0" w:line="148" w:lineRule="exact"/>
        <w:rPr>
          <w:rFonts w:ascii="Times New Roman" w:cs="Times New Roman" w:eastAsia="Times New Roman" w:hAnsi="Times New Roman"/>
          <w:sz w:val="21"/>
          <w:szCs w:val="21"/>
          <w:b w:val="1"/>
          <w:bCs w:val="1"/>
          <w:color w:val="auto"/>
        </w:rPr>
      </w:pPr>
    </w:p>
    <w:p>
      <w:pPr>
        <w:jc w:val="both"/>
        <w:ind w:firstLine="6"/>
        <w:spacing w:after="0" w:line="220" w:lineRule="auto"/>
        <w:tabs>
          <w:tab w:leader="none" w:pos="634" w:val="left"/>
        </w:tabs>
        <w:numPr>
          <w:ilvl w:val="0"/>
          <w:numId w:val="11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To effect, at any time and from time to time, with the consent of any adversely affected Participant, (A) the reduction of the exercise price (or strike price) of any outstanding Option or SAR under the Plan, provided this does not reduce the exercise price or strike price below the nominal value of an Ordinary Share; (B) the cancellation of any outstanding Option or SAR under the Plan and the grant in substitution therefor of (1) a new Option or SAR under the Plan or another equity plan of the Company covering the same or a different number of Ordinary Shares, (2) a Restricted Stock Award, (3) a Restricted Stock Unit Award, (4) an Other Stock Award, (5) cash and/or (6) other valuable consideration (as determined by the Board, in its sole discretion); or (C) any other action that is treated as a repricing under generally accepted accounting principles.</w:t>
      </w:r>
    </w:p>
    <w:p>
      <w:pPr>
        <w:spacing w:after="0" w:line="154" w:lineRule="exact"/>
        <w:rPr>
          <w:rFonts w:ascii="Times New Roman" w:cs="Times New Roman" w:eastAsia="Times New Roman" w:hAnsi="Times New Roman"/>
          <w:sz w:val="21"/>
          <w:szCs w:val="21"/>
          <w:b w:val="1"/>
          <w:bCs w:val="1"/>
          <w:color w:val="auto"/>
        </w:rPr>
      </w:pPr>
    </w:p>
    <w:p>
      <w:pPr>
        <w:ind w:firstLine="6"/>
        <w:spacing w:after="0" w:line="247" w:lineRule="auto"/>
        <w:tabs>
          <w:tab w:leader="none" w:pos="627" w:val="left"/>
        </w:tabs>
        <w:numPr>
          <w:ilvl w:val="0"/>
          <w:numId w:val="11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To suspend or terminate the Plan at any time. Suspension or termination of the Plan shall not impair rights and obligations under any Award granted while the Plan is in effect except with the written consent of the affected Participant.</w:t>
      </w:r>
    </w:p>
    <w:p>
      <w:pPr>
        <w:spacing w:after="0" w:line="141" w:lineRule="exact"/>
        <w:rPr>
          <w:rFonts w:ascii="Times New Roman" w:cs="Times New Roman" w:eastAsia="Times New Roman" w:hAnsi="Times New Roman"/>
          <w:sz w:val="21"/>
          <w:szCs w:val="21"/>
          <w:b w:val="1"/>
          <w:bCs w:val="1"/>
          <w:color w:val="auto"/>
        </w:rPr>
      </w:pPr>
    </w:p>
    <w:p>
      <w:pPr>
        <w:jc w:val="both"/>
        <w:ind w:firstLine="6"/>
        <w:spacing w:after="0"/>
        <w:tabs>
          <w:tab w:leader="none" w:pos="633" w:val="left"/>
        </w:tabs>
        <w:numPr>
          <w:ilvl w:val="0"/>
          <w:numId w:val="11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To amend the Plan in any respect the Board deems necessary or advisable. However, except as provided in Section 9(a) relating to Capitalization Adjustments, to the extent required by applicable law or listing requirements, shareholder approval shall be required for any amendment of the Plan that either (A) materially increases the number of Ordinary Shares available for issuance under the Plan, (B) materially expands the class of individuals eligible to receive Awards under the Plan, (C) materially increases the benefits accruing to Participants under the Plan or materially reduces the price at which Ordinary Shares may be issued or purchased under the Plan, (D) materially extends the term of the Plan, or (E) expands the types of Awards available for issuance under the Plan. Except as provided above, rights under any Award granted before amendment of the Plan shall not be impaired by any amendment of the Plan unless (1) the Company requests the consent of the affected Participant, and (2) such Participant consents in writing.</w:t>
      </w:r>
    </w:p>
    <w:p>
      <w:pPr>
        <w:spacing w:after="0" w:line="198" w:lineRule="exact"/>
        <w:rPr>
          <w:rFonts w:ascii="Times New Roman" w:cs="Times New Roman" w:eastAsia="Times New Roman" w:hAnsi="Times New Roman"/>
          <w:sz w:val="21"/>
          <w:szCs w:val="21"/>
          <w:b w:val="1"/>
          <w:bCs w:val="1"/>
          <w:color w:val="auto"/>
        </w:rPr>
      </w:pPr>
    </w:p>
    <w:p>
      <w:pPr>
        <w:jc w:val="both"/>
        <w:ind w:firstLine="6"/>
        <w:spacing w:after="0" w:line="227" w:lineRule="auto"/>
        <w:tabs>
          <w:tab w:leader="none" w:pos="639" w:val="left"/>
        </w:tabs>
        <w:numPr>
          <w:ilvl w:val="0"/>
          <w:numId w:val="11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To submit any amendment to the Plan for shareholder approval, including, but not limited to, amendments to the Plan intended to satisfy the requirements of (A) Section 162(m) of the Code regarding the exclusion of performance-based compensation from the limit on corporate deductibility of compensation paid to Covered Employees, (B) Section 422 of the Code regarding incentive stock options or (C) Rule 16b-3.</w:t>
      </w:r>
    </w:p>
    <w:p>
      <w:pPr>
        <w:spacing w:after="0" w:line="151" w:lineRule="exact"/>
        <w:rPr>
          <w:rFonts w:ascii="Times New Roman" w:cs="Times New Roman" w:eastAsia="Times New Roman" w:hAnsi="Times New Roman"/>
          <w:sz w:val="21"/>
          <w:szCs w:val="21"/>
          <w:b w:val="1"/>
          <w:bCs w:val="1"/>
          <w:color w:val="auto"/>
        </w:rPr>
      </w:pPr>
    </w:p>
    <w:p>
      <w:pPr>
        <w:jc w:val="both"/>
        <w:ind w:firstLine="6"/>
        <w:spacing w:after="0" w:line="220" w:lineRule="auto"/>
        <w:tabs>
          <w:tab w:leader="none" w:pos="627" w:val="left"/>
        </w:tabs>
        <w:numPr>
          <w:ilvl w:val="0"/>
          <w:numId w:val="11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except with respect to amendments that disqualify or impair the status of an Incentive Stock Option, a Participant’s rights under any Award shall not be impaired by any such amendment unless (A) the Company requests the consent of the affected Participant, and (B) such Participant consents in writing. Notwithstanding the foregoing, subject to the limitations of applicable law, if any, the Board may amend the terms of any one or more Awards without the affected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2"/>
          <w:szCs w:val="12"/>
          <w:color w:val="auto"/>
        </w:rPr>
        <w:t>130316850 v7</w:t>
      </w:r>
    </w:p>
    <w:p>
      <w:pPr>
        <w:sectPr>
          <w:pgSz w:w="11900" w:h="16838" w:orient="portrait"/>
          <w:cols w:equalWidth="0" w:num="1">
            <w:col w:w="11240"/>
          </w:cols>
          <w:pgMar w:left="320" w:top="1377" w:right="339" w:bottom="1440" w:gutter="0" w:footer="0" w:header="0"/>
        </w:sectPr>
      </w:pPr>
    </w:p>
    <w:bookmarkStart w:id="201" w:name="page202"/>
    <w:bookmarkEnd w:id="201"/>
    <w:p>
      <w:pPr>
        <w:ind w:right="20"/>
        <w:spacing w:after="0" w:line="247" w:lineRule="auto"/>
        <w:rPr>
          <w:sz w:val="20"/>
          <w:szCs w:val="20"/>
          <w:color w:val="auto"/>
        </w:rPr>
      </w:pPr>
      <w:r>
        <w:rPr>
          <w:rFonts w:ascii="Times New Roman" w:cs="Times New Roman" w:eastAsia="Times New Roman" w:hAnsi="Times New Roman"/>
          <w:sz w:val="21"/>
          <w:szCs w:val="21"/>
          <w:color w:val="auto"/>
        </w:rPr>
        <w:t>Participant’s consent if necessary to maintain the qualified status of the Award as an Incentive Stock Option or to bring the Award into compliance with Section 409A of the Code.</w:t>
      </w:r>
    </w:p>
    <w:p>
      <w:pPr>
        <w:spacing w:after="0" w:line="142" w:lineRule="exact"/>
        <w:rPr>
          <w:sz w:val="20"/>
          <w:szCs w:val="20"/>
          <w:color w:val="auto"/>
        </w:rPr>
      </w:pPr>
    </w:p>
    <w:p>
      <w:pPr>
        <w:ind w:right="20" w:firstLine="6"/>
        <w:spacing w:after="0" w:line="247" w:lineRule="auto"/>
        <w:tabs>
          <w:tab w:leader="none" w:pos="634" w:val="left"/>
        </w:tabs>
        <w:numPr>
          <w:ilvl w:val="0"/>
          <w:numId w:val="11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Generally, to exercise such powers and to perform such acts as the Board deems necessary or expedient to promote the best interests of the Company and any Affiliates and that are not in conflict with the provisions of the Plan or Awards.</w:t>
      </w:r>
    </w:p>
    <w:p>
      <w:pPr>
        <w:spacing w:after="0" w:line="141" w:lineRule="exact"/>
        <w:rPr>
          <w:rFonts w:ascii="Times New Roman" w:cs="Times New Roman" w:eastAsia="Times New Roman" w:hAnsi="Times New Roman"/>
          <w:sz w:val="21"/>
          <w:szCs w:val="21"/>
          <w:b w:val="1"/>
          <w:bCs w:val="1"/>
          <w:color w:val="auto"/>
        </w:rPr>
      </w:pPr>
    </w:p>
    <w:p>
      <w:pPr>
        <w:ind w:right="20" w:firstLine="6"/>
        <w:spacing w:after="0" w:line="247" w:lineRule="auto"/>
        <w:tabs>
          <w:tab w:leader="none" w:pos="627" w:val="left"/>
        </w:tabs>
        <w:numPr>
          <w:ilvl w:val="0"/>
          <w:numId w:val="11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To adopt such procedures and sub-plans as are necessary or appropriate to permit participation in the Plan by Employees who are foreign nationals or employed outside the United States.</w:t>
      </w:r>
    </w:p>
    <w:p>
      <w:pPr>
        <w:spacing w:after="0" w:line="138" w:lineRule="exact"/>
        <w:rPr>
          <w:sz w:val="20"/>
          <w:szCs w:val="20"/>
          <w:color w:val="auto"/>
        </w:rPr>
      </w:pPr>
    </w:p>
    <w:p>
      <w:pPr>
        <w:ind w:left="640" w:hanging="634"/>
        <w:spacing w:after="0"/>
        <w:tabs>
          <w:tab w:leader="none" w:pos="640" w:val="left"/>
        </w:tabs>
        <w:numPr>
          <w:ilvl w:val="0"/>
          <w:numId w:val="11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Delegation to Committee.</w:t>
      </w:r>
    </w:p>
    <w:p>
      <w:pPr>
        <w:spacing w:after="0" w:line="184" w:lineRule="exact"/>
        <w:rPr>
          <w:sz w:val="20"/>
          <w:szCs w:val="20"/>
          <w:color w:val="auto"/>
        </w:rPr>
      </w:pPr>
    </w:p>
    <w:p>
      <w:pPr>
        <w:jc w:val="both"/>
        <w:ind w:firstLine="6"/>
        <w:spacing w:after="0" w:line="219" w:lineRule="auto"/>
        <w:tabs>
          <w:tab w:leader="none" w:pos="627" w:val="left"/>
        </w:tabs>
        <w:numPr>
          <w:ilvl w:val="0"/>
          <w:numId w:val="11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General. </w:t>
      </w:r>
      <w:r>
        <w:rPr>
          <w:rFonts w:ascii="Times New Roman" w:cs="Times New Roman" w:eastAsia="Times New Roman" w:hAnsi="Times New Roman"/>
          <w:sz w:val="21"/>
          <w:szCs w:val="21"/>
          <w:color w:val="auto"/>
        </w:rPr>
        <w:t>The Board may delegate some or all of the administration of the Plan to a Committee or Committees. If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administration of the Plan is delegated to a Committee, the Committee shall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the Plan to the Board shall thereafter be to the Committee or subcommittee), subject, however, to such resolutions, not inconsistent with the provisions of the Plan, as may be adopted from time to time by the Board. The Committee may, at any time, abolish the subcommittee and/or revest in the Committee any powers delegated to the subcommittee. The Board may retain the authority to concurrently administer the Plan with the Committee and may, at any time, revest in the Board some or all of the powers previously delegated.</w:t>
      </w:r>
    </w:p>
    <w:p>
      <w:pPr>
        <w:spacing w:after="0" w:line="146" w:lineRule="exact"/>
        <w:rPr>
          <w:rFonts w:ascii="Times New Roman" w:cs="Times New Roman" w:eastAsia="Times New Roman" w:hAnsi="Times New Roman"/>
          <w:sz w:val="21"/>
          <w:szCs w:val="21"/>
          <w:b w:val="1"/>
          <w:bCs w:val="1"/>
          <w:color w:val="auto"/>
        </w:rPr>
      </w:pPr>
    </w:p>
    <w:p>
      <w:pPr>
        <w:ind w:firstLine="6"/>
        <w:spacing w:after="0" w:line="251" w:lineRule="auto"/>
        <w:tabs>
          <w:tab w:leader="none" w:pos="633" w:val="left"/>
        </w:tabs>
        <w:numPr>
          <w:ilvl w:val="0"/>
          <w:numId w:val="11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Section 162(m) and Rule 16b-3 Compliance. </w:t>
      </w:r>
      <w:r>
        <w:rPr>
          <w:rFonts w:ascii="Times New Roman" w:cs="Times New Roman" w:eastAsia="Times New Roman" w:hAnsi="Times New Roman"/>
          <w:sz w:val="21"/>
          <w:szCs w:val="21"/>
          <w:color w:val="auto"/>
        </w:rPr>
        <w:t>The Committee may consist solely of two or more Outside Directors,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accordance with Section 162(m) of the Code, or solely of two or more Non-Employee Directors, in accordance with Rule 16b-3.</w:t>
      </w:r>
    </w:p>
    <w:p>
      <w:pPr>
        <w:spacing w:after="0" w:line="134" w:lineRule="exact"/>
        <w:rPr>
          <w:sz w:val="20"/>
          <w:szCs w:val="20"/>
          <w:color w:val="auto"/>
        </w:rPr>
      </w:pPr>
    </w:p>
    <w:p>
      <w:pPr>
        <w:jc w:val="both"/>
        <w:ind w:firstLine="6"/>
        <w:spacing w:after="0" w:line="217" w:lineRule="auto"/>
        <w:tabs>
          <w:tab w:leader="none" w:pos="633" w:val="left"/>
        </w:tabs>
        <w:numPr>
          <w:ilvl w:val="0"/>
          <w:numId w:val="11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Delegation to Other Person or Body. </w:t>
      </w:r>
      <w:r>
        <w:rPr>
          <w:rFonts w:ascii="Times New Roman" w:cs="Times New Roman" w:eastAsia="Times New Roman" w:hAnsi="Times New Roman"/>
          <w:sz w:val="21"/>
          <w:szCs w:val="21"/>
          <w:color w:val="auto"/>
        </w:rPr>
        <w:t>The Board or any Committee may delegate to one or more persons or bodies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authority to do one or more of the following to the extent permitted by applicable law: (i) designate recipients, other than Officers, of Stock Awards,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 person or body may be delegated authority to grant a Stock Award to themself; (ii) determine the number of Ordinary Shares subject to such Stock Awards; and (iii) determine the terms of such Stock Awards;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the Board or Committee action regarding such delegation will fix the terms of such delegation in accordance with applicable law, including without limitation Sections 152 and 157 of the Delaware General Corporation Law. Unless provided otherwise in the Board or Committee action regarding such delegation, each Stock Award granted pursuant to this section will be granted on the applicable form of Stock Award Agreement most recently approved for use by the Board or the Committee, with any modifications necessary to incorporate or reflect the terms of such Stock Award. Notwithstanding anything to the contrary herein, neither the Board nor any Committee may delegate to any person or body (who is not a Director or that is not comprised solely of Directors, respectively) the authority to determine the Fair Market Value pursuant to Section 13(w)(iii) below.</w:t>
      </w:r>
    </w:p>
    <w:p>
      <w:pPr>
        <w:spacing w:after="0" w:line="154" w:lineRule="exact"/>
        <w:rPr>
          <w:rFonts w:ascii="Times New Roman" w:cs="Times New Roman" w:eastAsia="Times New Roman" w:hAnsi="Times New Roman"/>
          <w:sz w:val="21"/>
          <w:szCs w:val="21"/>
          <w:b w:val="1"/>
          <w:bCs w:val="1"/>
          <w:color w:val="auto"/>
        </w:rPr>
      </w:pPr>
    </w:p>
    <w:p>
      <w:pPr>
        <w:ind w:firstLine="6"/>
        <w:spacing w:after="0" w:line="251" w:lineRule="auto"/>
        <w:tabs>
          <w:tab w:leader="none" w:pos="636" w:val="left"/>
        </w:tabs>
        <w:numPr>
          <w:ilvl w:val="0"/>
          <w:numId w:val="11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Effect of Board’s Decision. </w:t>
      </w:r>
      <w:r>
        <w:rPr>
          <w:rFonts w:ascii="Times New Roman" w:cs="Times New Roman" w:eastAsia="Times New Roman" w:hAnsi="Times New Roman"/>
          <w:sz w:val="21"/>
          <w:szCs w:val="21"/>
          <w:color w:val="auto"/>
        </w:rPr>
        <w:t>All determinations, interpretations and constructions made by the Board in good faith shall not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 subject to review by any person and shall be final, binding and conclusive on all persons.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2"/>
          <w:szCs w:val="12"/>
          <w:color w:val="auto"/>
        </w:rPr>
        <w:t>130316850 v7</w:t>
      </w:r>
    </w:p>
    <w:p>
      <w:pPr>
        <w:sectPr>
          <w:pgSz w:w="11900" w:h="16838" w:orient="portrait"/>
          <w:cols w:equalWidth="0" w:num="1">
            <w:col w:w="11240"/>
          </w:cols>
          <w:pgMar w:left="320" w:top="1377" w:right="339" w:bottom="1440" w:gutter="0" w:footer="0" w:header="0"/>
        </w:sectPr>
      </w:pPr>
    </w:p>
    <w:bookmarkStart w:id="202" w:name="page203"/>
    <w:bookmarkEnd w:id="202"/>
    <w:p>
      <w:pPr>
        <w:ind w:left="640" w:hanging="634"/>
        <w:spacing w:after="0"/>
        <w:tabs>
          <w:tab w:leader="none" w:pos="640" w:val="left"/>
        </w:tabs>
        <w:numPr>
          <w:ilvl w:val="0"/>
          <w:numId w:val="12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Shares Subject to the Plan.</w:t>
      </w:r>
    </w:p>
    <w:p>
      <w:pPr>
        <w:spacing w:after="0" w:line="184" w:lineRule="exact"/>
        <w:rPr>
          <w:sz w:val="20"/>
          <w:szCs w:val="20"/>
          <w:color w:val="auto"/>
        </w:rPr>
      </w:pPr>
    </w:p>
    <w:p>
      <w:pPr>
        <w:jc w:val="both"/>
        <w:ind w:firstLine="6"/>
        <w:spacing w:after="0" w:line="213" w:lineRule="auto"/>
        <w:tabs>
          <w:tab w:leader="none" w:pos="634" w:val="left"/>
        </w:tabs>
        <w:numPr>
          <w:ilvl w:val="0"/>
          <w:numId w:val="12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Share Reserve. </w:t>
      </w:r>
      <w:r>
        <w:rPr>
          <w:rFonts w:ascii="Times New Roman" w:cs="Times New Roman" w:eastAsia="Times New Roman" w:hAnsi="Times New Roman"/>
          <w:sz w:val="21"/>
          <w:szCs w:val="21"/>
          <w:color w:val="auto"/>
        </w:rPr>
        <w:t>Subject to the provisions of Section 9(a) relating to Capitalization Adjustments, the aggregate number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Ordinary Shares that may be issued pursuant to Stock Awards from and after the Effective Date shall not exceed eight million three hundred thirty five thousand two hundred fifty five (8,335,255) Ordinary Shares (the “</w:t>
      </w:r>
      <w:r>
        <w:rPr>
          <w:rFonts w:ascii="Times New Roman" w:cs="Times New Roman" w:eastAsia="Times New Roman" w:hAnsi="Times New Roman"/>
          <w:sz w:val="21"/>
          <w:szCs w:val="21"/>
          <w:b w:val="1"/>
          <w:bCs w:val="1"/>
          <w:i w:val="1"/>
          <w:iCs w:val="1"/>
          <w:color w:val="auto"/>
        </w:rPr>
        <w:t>Share Reserve</w:t>
      </w:r>
      <w:r>
        <w:rPr>
          <w:rFonts w:ascii="Times New Roman" w:cs="Times New Roman" w:eastAsia="Times New Roman" w:hAnsi="Times New Roman"/>
          <w:sz w:val="21"/>
          <w:szCs w:val="21"/>
          <w:color w:val="auto"/>
        </w:rPr>
        <w:t>”), which number is the sum of (i) five million (5,000,000) Ordinary Shares, plus (ii) an additional number of Ordinary Shares in an amount not to exceed three million three hundred thirty five thousand two hundred fifty five (3,335,255) Ordinary Shares (which number consists of the Returning Shares, if any, as such shares become available from time to time). In addition, the number of Ordinary Shares available for issuance under the Plan shall automatically increase on January 1st of each year for a period of ten (10) years commencing on January 1, 2013 and ending on (and including) January 1, 2022, in an amount equal to the lesser of (i) four and one-half percent (4.5%) of the total number of Ordinary Shares outstanding on December 31st of the preceding calendar year or (ii) five million (5,000,000) Ordinary Shares. Notwithstanding the foregoing, the Board may act prior to the first day of any calendar year, to provide that there shall be no increase in the Share Reserve for such calendar year or that the increase in the Share Reserve for such calendar year shall be a lesser number of Ordinary Shares than would otherwise occur pursuant to the preceding sentence. For clarity, the Share Reserve in this Section 3(a) is a limitation on the number of Ordinary Shares that may be issued pursuant to the Plan. Accordingly, this Section 3(a) does not limit the granting of Stock Awards except as provided in Section 7(a). Shares may be issued in connection with a merger or acquisition as permitted by, as applicable, NASDAQ Listing Rule 5635(c) or, if applicable, NYSE Listed Company Manual Section 303A.08, AMEX Company Guide Section 711 or other applicable rule, and such issuance shall not reduce the number of Ordinary Shares available for issuance under the Plan. Furthermore, if a Stock Award or any portion thereof (i) expires or otherwise terminates without all of the Ordinary Shares covered by such Stock Award having been issued or</w:t>
      </w:r>
    </w:p>
    <w:p>
      <w:pPr>
        <w:spacing w:after="0" w:line="4" w:lineRule="exact"/>
        <w:rPr>
          <w:rFonts w:ascii="Times New Roman" w:cs="Times New Roman" w:eastAsia="Times New Roman" w:hAnsi="Times New Roman"/>
          <w:sz w:val="21"/>
          <w:szCs w:val="21"/>
          <w:b w:val="1"/>
          <w:bCs w:val="1"/>
          <w:color w:val="auto"/>
        </w:rPr>
      </w:pPr>
    </w:p>
    <w:p>
      <w:pPr>
        <w:ind w:firstLine="6"/>
        <w:spacing w:after="0" w:line="231" w:lineRule="auto"/>
        <w:tabs>
          <w:tab w:leader="none" w:pos="314"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 settled in cash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the Participant receives cash rather than Ordinary Shares), such expiration, termination or settlement shall not reduce (or otherwise offset) the number of Ordinary Shares that may be available for issuance under the Plan.</w:t>
      </w:r>
    </w:p>
    <w:p>
      <w:pPr>
        <w:spacing w:after="0" w:line="146" w:lineRule="exact"/>
        <w:rPr>
          <w:rFonts w:ascii="Times New Roman" w:cs="Times New Roman" w:eastAsia="Times New Roman" w:hAnsi="Times New Roman"/>
          <w:sz w:val="21"/>
          <w:szCs w:val="21"/>
          <w:color w:val="auto"/>
        </w:rPr>
      </w:pPr>
    </w:p>
    <w:p>
      <w:pPr>
        <w:jc w:val="both"/>
        <w:ind w:firstLine="6"/>
        <w:spacing w:after="0" w:line="217" w:lineRule="auto"/>
        <w:tabs>
          <w:tab w:leader="none" w:pos="633" w:val="left"/>
        </w:tabs>
        <w:numPr>
          <w:ilvl w:val="0"/>
          <w:numId w:val="12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Reversion of Shares to the Share Reserve. </w:t>
      </w:r>
      <w:r>
        <w:rPr>
          <w:rFonts w:ascii="Times New Roman" w:cs="Times New Roman" w:eastAsia="Times New Roman" w:hAnsi="Times New Roman"/>
          <w:sz w:val="21"/>
          <w:szCs w:val="21"/>
          <w:color w:val="auto"/>
        </w:rPr>
        <w:t>If (i) any Ordinary Shares issued pursuant to a Stock Award are forfeited back</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or repurchased by the Company or any Affiliate because of the failure to meet a contingency or condition required for the vesting of such Ordinary Shares, or (ii) any Ordinary Shares are cancelled in accordance with the cancellation and regrant provisions of Section 2(b)(v), then the Ordinary Shares that are forfeited, repurchased or canceled shall revert to and again become available for issuance under the Plan. If any Ordinary Shares subject to a Stock Award are not delivered to a Participant because such Ordinary Shares are withheld for the payment of taxes pursuant to Section 8(g) or a Stock Award is exercised through a reduction of Ordinary Shares subject to the Stock Award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“net exercised”) or an appreciation distribution in respect of a Stock Appreciation Right is paid in Ordinary Shares, the number of Ordinary Shares subject to the Stock Award that are not delivered to the Participant shall remain available for subsequent issuance under the Plan. If the exercise price of any Stock Award is satisfied by tendering Ordinary Shares held by the Participant (either by actual delivery or attestation), then the number of Ordinary Shares so tendered shall remain available for issuance under the Plan.</w:t>
      </w:r>
    </w:p>
    <w:p>
      <w:pPr>
        <w:spacing w:after="0" w:line="154" w:lineRule="exact"/>
        <w:rPr>
          <w:rFonts w:ascii="Times New Roman" w:cs="Times New Roman" w:eastAsia="Times New Roman" w:hAnsi="Times New Roman"/>
          <w:sz w:val="21"/>
          <w:szCs w:val="21"/>
          <w:b w:val="1"/>
          <w:bCs w:val="1"/>
          <w:color w:val="auto"/>
        </w:rPr>
      </w:pPr>
    </w:p>
    <w:p>
      <w:pPr>
        <w:jc w:val="both"/>
        <w:ind w:firstLine="6"/>
        <w:spacing w:after="0" w:line="234" w:lineRule="auto"/>
        <w:tabs>
          <w:tab w:leader="none" w:pos="636" w:val="left"/>
        </w:tabs>
        <w:numPr>
          <w:ilvl w:val="0"/>
          <w:numId w:val="12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Incentive Stock Option Limit. </w:t>
      </w:r>
      <w:r>
        <w:rPr>
          <w:rFonts w:ascii="Times New Roman" w:cs="Times New Roman" w:eastAsia="Times New Roman" w:hAnsi="Times New Roman"/>
          <w:sz w:val="21"/>
          <w:szCs w:val="21"/>
          <w:color w:val="auto"/>
        </w:rPr>
        <w:t>Notwithstanding anything to the contrary in this Section 3 and, subject to the provisions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Section 9(a) relating to Capitalization Adjustments, the aggregate maximum number of Ordinary Shares that may be issued pursuant to the exercise of Incentive Stock Options shall be one hundred million (100,000,000) Ordinary Shares.</w:t>
      </w:r>
    </w:p>
    <w:p>
      <w:pPr>
        <w:spacing w:after="0" w:line="145" w:lineRule="exact"/>
        <w:rPr>
          <w:rFonts w:ascii="Times New Roman" w:cs="Times New Roman" w:eastAsia="Times New Roman" w:hAnsi="Times New Roman"/>
          <w:sz w:val="21"/>
          <w:szCs w:val="21"/>
          <w:b w:val="1"/>
          <w:bCs w:val="1"/>
          <w:color w:val="auto"/>
        </w:rPr>
      </w:pPr>
    </w:p>
    <w:p>
      <w:pPr>
        <w:ind w:firstLine="6"/>
        <w:spacing w:after="0" w:line="251" w:lineRule="auto"/>
        <w:tabs>
          <w:tab w:leader="none" w:pos="633" w:val="left"/>
        </w:tabs>
        <w:numPr>
          <w:ilvl w:val="0"/>
          <w:numId w:val="12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Section 162(m) Limitation on Annual Grants</w:t>
      </w:r>
      <w:r>
        <w:rPr>
          <w:rFonts w:ascii="Times New Roman" w:cs="Times New Roman" w:eastAsia="Times New Roman" w:hAnsi="Times New Roman"/>
          <w:sz w:val="21"/>
          <w:szCs w:val="21"/>
          <w:color w:val="auto"/>
        </w:rPr>
        <w:t>. Subject to the provisions of Section 9(a) relating to Capitalization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Adjustments, at such time as the Company may be subject to the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2"/>
          <w:szCs w:val="12"/>
          <w:color w:val="auto"/>
        </w:rPr>
        <w:t>130316850 v7</w:t>
      </w:r>
    </w:p>
    <w:p>
      <w:pPr>
        <w:sectPr>
          <w:pgSz w:w="11900" w:h="16838" w:orient="portrait"/>
          <w:cols w:equalWidth="0" w:num="1">
            <w:col w:w="11240"/>
          </w:cols>
          <w:pgMar w:left="320" w:top="1373" w:right="339" w:bottom="1440" w:gutter="0" w:footer="0" w:header="0"/>
        </w:sectPr>
      </w:pPr>
    </w:p>
    <w:bookmarkStart w:id="203" w:name="page204"/>
    <w:bookmarkEnd w:id="203"/>
    <w:p>
      <w:pPr>
        <w:jc w:val="both"/>
        <w:spacing w:after="0" w:line="218" w:lineRule="auto"/>
        <w:rPr>
          <w:sz w:val="20"/>
          <w:szCs w:val="20"/>
          <w:color w:val="auto"/>
        </w:rPr>
      </w:pPr>
      <w:r>
        <w:rPr>
          <w:rFonts w:ascii="Times New Roman" w:cs="Times New Roman" w:eastAsia="Times New Roman" w:hAnsi="Times New Roman"/>
          <w:sz w:val="21"/>
          <w:szCs w:val="21"/>
          <w:color w:val="auto"/>
        </w:rPr>
        <w:t>applicable provisions of Section 162(m) of the Code, a maximum of two million (2,000,000) Ordinary Shares subject to Options, Stock Appreciation Rights and Other Stock Awards whose value is determined by reference to an increase over an exercise or strike price of at least one hundred percent (100%) of the Fair Market Value on the date any such Stock Award is granted may be granted to any Participant during any calendar year. Notwithstanding the foregoing, if any additional Options, Stock Appreciation Rights or Other Stock Awards whose value is determined by reference to an increase over an exercise or strike price of at least one hundred percent (100%) of the Fair Market Value on the date the Stock Awards are granted to any Participant during any calendar year, compensation attributable to the exercise of such additional Stock Awards shall not satisfy the requirements to be considered “qualified performance-based compensation” under Section 162(m) of the Code unless such additional Stock Awards are approved by the Company’s shareholders.</w:t>
      </w:r>
    </w:p>
    <w:p>
      <w:pPr>
        <w:spacing w:after="0" w:line="152" w:lineRule="exact"/>
        <w:rPr>
          <w:sz w:val="20"/>
          <w:szCs w:val="20"/>
          <w:color w:val="auto"/>
        </w:rPr>
      </w:pPr>
    </w:p>
    <w:p>
      <w:pPr>
        <w:ind w:firstLine="6"/>
        <w:spacing w:after="0" w:line="251" w:lineRule="auto"/>
        <w:tabs>
          <w:tab w:leader="none" w:pos="636" w:val="left"/>
        </w:tabs>
        <w:numPr>
          <w:ilvl w:val="0"/>
          <w:numId w:val="12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Source of Shares. </w:t>
      </w:r>
      <w:r>
        <w:rPr>
          <w:rFonts w:ascii="Times New Roman" w:cs="Times New Roman" w:eastAsia="Times New Roman" w:hAnsi="Times New Roman"/>
          <w:sz w:val="21"/>
          <w:szCs w:val="21"/>
          <w:color w:val="auto"/>
        </w:rPr>
        <w:t>The shares issuable under the Plan shall be authorized but unissued or reacquired Ordinary Shares,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including Ordinary Shares repurchased by the Company or any Affiliate on the open market or otherwise.</w:t>
      </w:r>
    </w:p>
    <w:p>
      <w:pPr>
        <w:spacing w:after="0" w:line="134" w:lineRule="exact"/>
        <w:rPr>
          <w:sz w:val="20"/>
          <w:szCs w:val="20"/>
          <w:color w:val="auto"/>
        </w:rPr>
      </w:pPr>
    </w:p>
    <w:p>
      <w:pPr>
        <w:ind w:left="640" w:hanging="634"/>
        <w:spacing w:after="0"/>
        <w:tabs>
          <w:tab w:leader="none" w:pos="640" w:val="left"/>
        </w:tabs>
        <w:numPr>
          <w:ilvl w:val="0"/>
          <w:numId w:val="12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Eligibility.</w:t>
      </w:r>
    </w:p>
    <w:p>
      <w:pPr>
        <w:spacing w:after="0" w:line="184" w:lineRule="exact"/>
        <w:rPr>
          <w:sz w:val="20"/>
          <w:szCs w:val="20"/>
          <w:color w:val="auto"/>
        </w:rPr>
      </w:pPr>
    </w:p>
    <w:p>
      <w:pPr>
        <w:jc w:val="both"/>
        <w:ind w:firstLine="6"/>
        <w:spacing w:after="0"/>
        <w:tabs>
          <w:tab w:leader="none" w:pos="634" w:val="left"/>
        </w:tabs>
        <w:numPr>
          <w:ilvl w:val="0"/>
          <w:numId w:val="12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Eligibility for Specific Stock Awards</w:t>
      </w:r>
      <w:r>
        <w:rPr>
          <w:rFonts w:ascii="Times New Roman" w:cs="Times New Roman" w:eastAsia="Times New Roman" w:hAnsi="Times New Roman"/>
          <w:sz w:val="21"/>
          <w:szCs w:val="21"/>
          <w:color w:val="auto"/>
        </w:rPr>
        <w:t>. Incentive Stock Options may be granted only to employees of the Company or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“parent corporation” or “subsidiary corporation” thereof (as such terms are defined in Sections 424(e) and (f) of the Code). Stock Awards other than Incentive Stock Options may be granted to Employees;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Nonstatutory Stock Options and SARs may not be granted to Employees who are providing Continuous Service only to any “parent” of the Company, as such term is defined in Rule 405 promulgated under the Securities Act, unless the Ordinary Shares underlying such Stock Awards are treated as “service recipient stock” under Section 409A of the Code because the Stock Awards are granted pursuant to a corporate transaction (such as a spin off transaction) or unless such Stock Awards comply with the distribution requirements of Section 409A of the Code.</w:t>
      </w:r>
    </w:p>
    <w:p>
      <w:pPr>
        <w:spacing w:after="0" w:line="226" w:lineRule="exact"/>
        <w:rPr>
          <w:rFonts w:ascii="Times New Roman" w:cs="Times New Roman" w:eastAsia="Times New Roman" w:hAnsi="Times New Roman"/>
          <w:sz w:val="21"/>
          <w:szCs w:val="21"/>
          <w:b w:val="1"/>
          <w:bCs w:val="1"/>
          <w:color w:val="auto"/>
        </w:rPr>
      </w:pPr>
    </w:p>
    <w:p>
      <w:pPr>
        <w:jc w:val="both"/>
        <w:ind w:right="20" w:firstLine="6"/>
        <w:spacing w:after="0" w:line="234" w:lineRule="auto"/>
        <w:tabs>
          <w:tab w:leader="none" w:pos="633" w:val="left"/>
        </w:tabs>
        <w:numPr>
          <w:ilvl w:val="0"/>
          <w:numId w:val="12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Ten Percent Shareholders. </w:t>
      </w:r>
      <w:r>
        <w:rPr>
          <w:rFonts w:ascii="Times New Roman" w:cs="Times New Roman" w:eastAsia="Times New Roman" w:hAnsi="Times New Roman"/>
          <w:sz w:val="21"/>
          <w:szCs w:val="21"/>
          <w:color w:val="auto"/>
        </w:rPr>
        <w:t>A Ten Percent Shareholder shall not be granted an Incentive Stock Option unless the exercise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price of such Option is at least one hundred ten percent (110%) of the Fair Market Value on the date of grant and the Option is not exercisable after the expiration of five (5) years from the date of grant.</w:t>
      </w:r>
    </w:p>
    <w:p>
      <w:pPr>
        <w:spacing w:after="0" w:line="146" w:lineRule="exact"/>
        <w:rPr>
          <w:sz w:val="20"/>
          <w:szCs w:val="20"/>
          <w:color w:val="auto"/>
        </w:rPr>
      </w:pPr>
    </w:p>
    <w:p>
      <w:pPr>
        <w:ind w:left="640" w:hanging="634"/>
        <w:spacing w:after="0"/>
        <w:tabs>
          <w:tab w:leader="none" w:pos="640" w:val="left"/>
        </w:tabs>
        <w:numPr>
          <w:ilvl w:val="0"/>
          <w:numId w:val="12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Provisions Relating to Options and Stock Appreciation Rights.</w:t>
      </w:r>
    </w:p>
    <w:p>
      <w:pPr>
        <w:spacing w:after="0" w:line="188" w:lineRule="exact"/>
        <w:rPr>
          <w:sz w:val="20"/>
          <w:szCs w:val="20"/>
          <w:color w:val="auto"/>
        </w:rPr>
      </w:pPr>
    </w:p>
    <w:p>
      <w:pPr>
        <w:jc w:val="both"/>
        <w:ind w:firstLine="639"/>
        <w:spacing w:after="0" w:line="220" w:lineRule="auto"/>
        <w:rPr>
          <w:sz w:val="20"/>
          <w:szCs w:val="20"/>
          <w:color w:val="auto"/>
        </w:rPr>
      </w:pPr>
      <w:r>
        <w:rPr>
          <w:rFonts w:ascii="Times New Roman" w:cs="Times New Roman" w:eastAsia="Times New Roman" w:hAnsi="Times New Roman"/>
          <w:sz w:val="21"/>
          <w:szCs w:val="21"/>
          <w:color w:val="auto"/>
        </w:rPr>
        <w:t xml:space="preserve">Each Option or SAR shall be in such form and shall contain such terms and conditions as the Board shall deem appropriate. All Options shall be separately designated Incentive Stock Options or Nonstatutory Stock Options at the time of grant, and, if certificates are issued, a separate certificate or certificates shall be issued for Ordinary Shares purchased on exercise of each type of Option. If an Option is not specifically designated as an Incentive Stock Option, then the Option shall be a Nonstatutory Stock Option. The provisions of separate Options or SARs need not be identical;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each Option Agreement or Stock Appreciation Right Agreement shall conform to (through incorporation of provisions hereof by reference in the applicable Award Agreement or otherwise) the substance of each of the following provisions:</w:t>
      </w:r>
    </w:p>
    <w:p>
      <w:pPr>
        <w:spacing w:after="0" w:line="150" w:lineRule="exact"/>
        <w:rPr>
          <w:sz w:val="20"/>
          <w:szCs w:val="20"/>
          <w:color w:val="auto"/>
        </w:rPr>
      </w:pPr>
    </w:p>
    <w:p>
      <w:pPr>
        <w:ind w:firstLine="6"/>
        <w:spacing w:after="0" w:line="251" w:lineRule="auto"/>
        <w:tabs>
          <w:tab w:leader="none" w:pos="634" w:val="left"/>
        </w:tabs>
        <w:numPr>
          <w:ilvl w:val="0"/>
          <w:numId w:val="12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Term. </w:t>
      </w:r>
      <w:r>
        <w:rPr>
          <w:rFonts w:ascii="Times New Roman" w:cs="Times New Roman" w:eastAsia="Times New Roman" w:hAnsi="Times New Roman"/>
          <w:sz w:val="21"/>
          <w:szCs w:val="21"/>
          <w:color w:val="auto"/>
        </w:rPr>
        <w:t>Subject to the provisions of Section 4(b) regarding Ten Percent Shareholders, no Option or SAR shall be exercisable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after the expiration of ten (10) years from the date of its grant or such shorter period specified in the Award Agreement.</w:t>
      </w:r>
    </w:p>
    <w:p>
      <w:pPr>
        <w:spacing w:after="0" w:line="133" w:lineRule="exact"/>
        <w:rPr>
          <w:rFonts w:ascii="Times New Roman" w:cs="Times New Roman" w:eastAsia="Times New Roman" w:hAnsi="Times New Roman"/>
          <w:sz w:val="21"/>
          <w:szCs w:val="21"/>
          <w:b w:val="1"/>
          <w:bCs w:val="1"/>
          <w:color w:val="auto"/>
        </w:rPr>
      </w:pPr>
    </w:p>
    <w:p>
      <w:pPr>
        <w:ind w:firstLine="6"/>
        <w:spacing w:after="0" w:line="251" w:lineRule="auto"/>
        <w:tabs>
          <w:tab w:leader="none" w:pos="633" w:val="left"/>
        </w:tabs>
        <w:numPr>
          <w:ilvl w:val="0"/>
          <w:numId w:val="12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Exercise Price. </w:t>
      </w:r>
      <w:r>
        <w:rPr>
          <w:rFonts w:ascii="Times New Roman" w:cs="Times New Roman" w:eastAsia="Times New Roman" w:hAnsi="Times New Roman"/>
          <w:sz w:val="21"/>
          <w:szCs w:val="21"/>
          <w:color w:val="auto"/>
        </w:rPr>
        <w:t>Subject to the provisions of Section 4(b) regarding Ten Percent Shareholders, the exercise price (or strike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price) of each Option or SAR shall be not less than one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2"/>
          <w:szCs w:val="12"/>
          <w:color w:val="auto"/>
        </w:rPr>
        <w:t>130316850 v7</w:t>
      </w:r>
    </w:p>
    <w:p>
      <w:pPr>
        <w:sectPr>
          <w:pgSz w:w="11900" w:h="16838" w:orient="portrait"/>
          <w:cols w:equalWidth="0" w:num="1">
            <w:col w:w="11240"/>
          </w:cols>
          <w:pgMar w:left="320" w:top="1377" w:right="339" w:bottom="1440" w:gutter="0" w:footer="0" w:header="0"/>
        </w:sectPr>
      </w:pPr>
    </w:p>
    <w:bookmarkStart w:id="204" w:name="page205"/>
    <w:bookmarkEnd w:id="204"/>
    <w:p>
      <w:pPr>
        <w:jc w:val="both"/>
        <w:spacing w:after="0" w:line="220" w:lineRule="auto"/>
        <w:rPr>
          <w:sz w:val="20"/>
          <w:szCs w:val="20"/>
          <w:color w:val="auto"/>
        </w:rPr>
      </w:pPr>
      <w:r>
        <w:rPr>
          <w:rFonts w:ascii="Times New Roman" w:cs="Times New Roman" w:eastAsia="Times New Roman" w:hAnsi="Times New Roman"/>
          <w:sz w:val="21"/>
          <w:szCs w:val="21"/>
          <w:color w:val="auto"/>
        </w:rPr>
        <w:t>hundred percent (100%) of the Fair Market Value of the Ordinary Shares subject to the Option or SAR on the date the Option or SAR is granted. Notwithstanding the foregoing, an Option or SAR may be granted with an exercise price (or strike price) lower than one hundred percent (100%) of the Fair Market Value of the Ordinary Shares subject to the Option or SAR if such Option or SAR is granted pursuant to an assumption of or substitution for another option or stock appreciation right pursuant to a Corporate Transaction and in a manner consistent with the provisions of Sections 409A and, if applicable, 424(a) of the Code, provided that in all cases the exercise price is not less than the nominal value of an Ordinary Share. Each SAR will be denominated in Ordinary Share equivalents.</w:t>
      </w:r>
    </w:p>
    <w:p>
      <w:pPr>
        <w:spacing w:after="0" w:line="150" w:lineRule="exact"/>
        <w:rPr>
          <w:sz w:val="20"/>
          <w:szCs w:val="20"/>
          <w:color w:val="auto"/>
        </w:rPr>
      </w:pPr>
    </w:p>
    <w:p>
      <w:pPr>
        <w:jc w:val="both"/>
        <w:ind w:firstLine="6"/>
        <w:spacing w:after="0"/>
        <w:tabs>
          <w:tab w:leader="none" w:pos="636" w:val="left"/>
        </w:tabs>
        <w:numPr>
          <w:ilvl w:val="0"/>
          <w:numId w:val="12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Purchase Price for Options. </w:t>
      </w:r>
      <w:r>
        <w:rPr>
          <w:rFonts w:ascii="Times New Roman" w:cs="Times New Roman" w:eastAsia="Times New Roman" w:hAnsi="Times New Roman"/>
          <w:sz w:val="21"/>
          <w:szCs w:val="21"/>
          <w:color w:val="auto"/>
        </w:rPr>
        <w:t>The purchase price of Ordinary Shares acquired pursuant to the exercise of an Option shall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paid, to the extent permitted by applicable law and as determined by the Board in its sole discretion, by any combination of the methods of payment set forth below;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where Ordinary Shares are issued pursuant to the exercise of an Option the nominal value of each newly issued Ordinary Share is fully paid up. The Board shall have the authority to grant Options that do not permit all of the following methods of payment (or otherwise restrict the ability to use certain methods) and to grant Options that require the consent of the Company to utilize a particular method of payment. The permitted methods of payment are as follows:</w:t>
      </w:r>
    </w:p>
    <w:p>
      <w:pPr>
        <w:spacing w:after="0" w:line="259" w:lineRule="exact"/>
        <w:rPr>
          <w:sz w:val="20"/>
          <w:szCs w:val="20"/>
          <w:color w:val="auto"/>
        </w:rPr>
      </w:pPr>
    </w:p>
    <w:p>
      <w:pPr>
        <w:ind w:left="640" w:hanging="634"/>
        <w:spacing w:after="0"/>
        <w:tabs>
          <w:tab w:leader="none" w:pos="640" w:val="left"/>
        </w:tabs>
        <w:numPr>
          <w:ilvl w:val="0"/>
          <w:numId w:val="13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by cash, check, bank draft or money order payable to the Company;</w:t>
      </w:r>
    </w:p>
    <w:p>
      <w:pPr>
        <w:spacing w:after="0" w:line="184" w:lineRule="exact"/>
        <w:rPr>
          <w:rFonts w:ascii="Times New Roman" w:cs="Times New Roman" w:eastAsia="Times New Roman" w:hAnsi="Times New Roman"/>
          <w:sz w:val="21"/>
          <w:szCs w:val="21"/>
          <w:b w:val="1"/>
          <w:bCs w:val="1"/>
          <w:color w:val="auto"/>
        </w:rPr>
      </w:pPr>
    </w:p>
    <w:p>
      <w:pPr>
        <w:jc w:val="both"/>
        <w:ind w:firstLine="6"/>
        <w:spacing w:after="0" w:line="233" w:lineRule="auto"/>
        <w:tabs>
          <w:tab w:leader="none" w:pos="633" w:val="left"/>
        </w:tabs>
        <w:numPr>
          <w:ilvl w:val="0"/>
          <w:numId w:val="13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pursuant to a program developed under Regulation T as promulgated by the Federal Reserve Board that, prior to the issuance of the Ordinary Shares subject to the Option, results in either the receipt of cash (or check) by the Company or the receipt of irrevocable instructions to pay the aggregate exercise price to the Company from the sales proceeds;</w:t>
      </w:r>
    </w:p>
    <w:p>
      <w:pPr>
        <w:spacing w:after="0" w:line="148" w:lineRule="exact"/>
        <w:rPr>
          <w:rFonts w:ascii="Times New Roman" w:cs="Times New Roman" w:eastAsia="Times New Roman" w:hAnsi="Times New Roman"/>
          <w:sz w:val="21"/>
          <w:szCs w:val="21"/>
          <w:b w:val="1"/>
          <w:bCs w:val="1"/>
          <w:color w:val="auto"/>
        </w:rPr>
      </w:pPr>
    </w:p>
    <w:p>
      <w:pPr>
        <w:ind w:left="640" w:hanging="634"/>
        <w:spacing w:after="0"/>
        <w:tabs>
          <w:tab w:leader="none" w:pos="640" w:val="left"/>
        </w:tabs>
        <w:numPr>
          <w:ilvl w:val="0"/>
          <w:numId w:val="13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by delivery to the Company (either by actual delivery or attestation) of Ordinary Shares;</w:t>
      </w:r>
    </w:p>
    <w:p>
      <w:pPr>
        <w:spacing w:after="0" w:line="184" w:lineRule="exact"/>
        <w:rPr>
          <w:rFonts w:ascii="Times New Roman" w:cs="Times New Roman" w:eastAsia="Times New Roman" w:hAnsi="Times New Roman"/>
          <w:sz w:val="21"/>
          <w:szCs w:val="21"/>
          <w:b w:val="1"/>
          <w:bCs w:val="1"/>
          <w:color w:val="auto"/>
        </w:rPr>
      </w:pPr>
    </w:p>
    <w:p>
      <w:pPr>
        <w:jc w:val="both"/>
        <w:ind w:firstLine="6"/>
        <w:spacing w:after="0" w:line="219" w:lineRule="auto"/>
        <w:tabs>
          <w:tab w:leader="none" w:pos="627" w:val="left"/>
        </w:tabs>
        <w:numPr>
          <w:ilvl w:val="0"/>
          <w:numId w:val="13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 xml:space="preserve">if the option is a Nonstatutory Stock Option, by a “net exercise” arrangement pursuant to which the Company will reduce the number of Ordinary Shares issuable upon exercise by the largest whole number of Ordinary Shares with a Fair Market Value that does not exceed the aggregate exercise price;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the Company shall accept a cash or other payment from the Participant to the extent of any remaining balance of the aggregate exercise price not satisfied by such reduction in the number of whole Ordinary Shares to be issued;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that Ordinary Shares will no longer be subject to an Option and will not be exercisable thereafter to the extent that (A) Ordinary Shares issuable upon exercise are reduced to pay the exercise price pursuant to the “net exercise,” (B) Ordinary Shares are delivered to the Participant as a result of such exercise, and (C) Ordinary Shares are withheld to satisfy tax withholding obligations; or</w:t>
      </w:r>
    </w:p>
    <w:p>
      <w:pPr>
        <w:spacing w:after="0" w:line="154" w:lineRule="exact"/>
        <w:rPr>
          <w:rFonts w:ascii="Times New Roman" w:cs="Times New Roman" w:eastAsia="Times New Roman" w:hAnsi="Times New Roman"/>
          <w:sz w:val="21"/>
          <w:szCs w:val="21"/>
          <w:b w:val="1"/>
          <w:bCs w:val="1"/>
          <w:color w:val="auto"/>
        </w:rPr>
      </w:pPr>
    </w:p>
    <w:p>
      <w:pPr>
        <w:ind w:left="640" w:hanging="634"/>
        <w:spacing w:after="0"/>
        <w:tabs>
          <w:tab w:leader="none" w:pos="640" w:val="left"/>
        </w:tabs>
        <w:numPr>
          <w:ilvl w:val="0"/>
          <w:numId w:val="13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in any other form of legal consideration that may be acceptable to the Board.</w:t>
      </w:r>
    </w:p>
    <w:p>
      <w:pPr>
        <w:spacing w:after="0" w:line="180" w:lineRule="exact"/>
        <w:rPr>
          <w:sz w:val="20"/>
          <w:szCs w:val="20"/>
          <w:color w:val="auto"/>
        </w:rPr>
      </w:pPr>
    </w:p>
    <w:p>
      <w:pPr>
        <w:jc w:val="both"/>
        <w:ind w:firstLine="6"/>
        <w:spacing w:after="0" w:line="219" w:lineRule="auto"/>
        <w:tabs>
          <w:tab w:leader="none" w:pos="633" w:val="left"/>
        </w:tabs>
        <w:numPr>
          <w:ilvl w:val="0"/>
          <w:numId w:val="13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Exercise and Payment of a SAR. </w:t>
      </w:r>
      <w:r>
        <w:rPr>
          <w:rFonts w:ascii="Times New Roman" w:cs="Times New Roman" w:eastAsia="Times New Roman" w:hAnsi="Times New Roman"/>
          <w:sz w:val="21"/>
          <w:szCs w:val="21"/>
          <w:color w:val="auto"/>
        </w:rPr>
        <w:t>To exercise any outstanding Stock Appreciation Right, the Participant must provide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written notice of exercise to the Company in compliance with the provisions of the Stock Appreciation Right Agreement evidencing such Stock Appreciation Right. The appreciation distribution payable on the exercise of a Stock Appreciation Right will be not greater than an amount equal to the excess of (A) the aggregate Fair Market Value (on the date of the exercise of the Stock Appreciation Right) of a number of Ordinary Shares equal to the number of Ordinary Share equivalents in which the Participant is vested under such Stock Appreciation Right, and with respect to which the Participant is exercising the Stock Appreciation Right on such date, over (B) the strike price that will be determined by the Board at the time of grant of the Stock Appreciation Right. The appreciation distribution in respect to a Stock Appreciation Right may be paid in Ordinary Shares, in cash, in any combination of the two</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2"/>
          <w:szCs w:val="12"/>
          <w:color w:val="auto"/>
        </w:rPr>
        <w:t>130316850 v7</w:t>
      </w:r>
    </w:p>
    <w:p>
      <w:pPr>
        <w:sectPr>
          <w:pgSz w:w="11900" w:h="16838" w:orient="portrait"/>
          <w:cols w:equalWidth="0" w:num="1">
            <w:col w:w="11240"/>
          </w:cols>
          <w:pgMar w:left="320" w:top="1377" w:right="339" w:bottom="1440" w:gutter="0" w:footer="0" w:header="0"/>
        </w:sectPr>
      </w:pPr>
    </w:p>
    <w:bookmarkStart w:id="205" w:name="page206"/>
    <w:bookmarkEnd w:id="205"/>
    <w:p>
      <w:pPr>
        <w:jc w:val="both"/>
        <w:spacing w:after="0" w:line="233" w:lineRule="auto"/>
        <w:rPr>
          <w:sz w:val="20"/>
          <w:szCs w:val="20"/>
          <w:color w:val="auto"/>
        </w:rPr>
      </w:pPr>
      <w:r>
        <w:rPr>
          <w:rFonts w:ascii="Times New Roman" w:cs="Times New Roman" w:eastAsia="Times New Roman" w:hAnsi="Times New Roman"/>
          <w:sz w:val="21"/>
          <w:szCs w:val="21"/>
          <w:color w:val="auto"/>
        </w:rPr>
        <w:t xml:space="preserve">or in any other form of consideration, as determined by the Board and contained in the Stock Appreciation Right Agreement evidencing such Stock Appreciation Right;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where Ordinary Shares are issued pursuant to a Stock Appreciation Right the nominal value of each newly issued Ordinary Share is fully paid up.</w:t>
      </w:r>
    </w:p>
    <w:p>
      <w:pPr>
        <w:spacing w:after="0" w:line="145" w:lineRule="exact"/>
        <w:rPr>
          <w:sz w:val="20"/>
          <w:szCs w:val="20"/>
          <w:color w:val="auto"/>
        </w:rPr>
      </w:pPr>
    </w:p>
    <w:p>
      <w:pPr>
        <w:jc w:val="both"/>
        <w:ind w:firstLine="6"/>
        <w:spacing w:after="0" w:line="234" w:lineRule="auto"/>
        <w:tabs>
          <w:tab w:leader="none" w:pos="636" w:val="left"/>
        </w:tabs>
        <w:numPr>
          <w:ilvl w:val="0"/>
          <w:numId w:val="13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Transferability of Options and SARs. </w:t>
      </w:r>
      <w:r>
        <w:rPr>
          <w:rFonts w:ascii="Times New Roman" w:cs="Times New Roman" w:eastAsia="Times New Roman" w:hAnsi="Times New Roman"/>
          <w:sz w:val="21"/>
          <w:szCs w:val="21"/>
          <w:color w:val="auto"/>
        </w:rPr>
        <w:t>The Board may, in its sole discretion, impose such limitations on the transferability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Options and SARs as the Board shall determine. In the absence of such a determination by the Board to the contrary, the following restrictions on the transferability of Options and SARs shall apply:</w:t>
      </w:r>
    </w:p>
    <w:p>
      <w:pPr>
        <w:spacing w:after="0" w:line="146" w:lineRule="exact"/>
        <w:rPr>
          <w:sz w:val="20"/>
          <w:szCs w:val="20"/>
          <w:color w:val="auto"/>
        </w:rPr>
      </w:pPr>
    </w:p>
    <w:p>
      <w:pPr>
        <w:jc w:val="both"/>
        <w:ind w:firstLine="6"/>
        <w:spacing w:after="0" w:line="225" w:lineRule="auto"/>
        <w:tabs>
          <w:tab w:leader="none" w:pos="627" w:val="left"/>
        </w:tabs>
        <w:numPr>
          <w:ilvl w:val="0"/>
          <w:numId w:val="13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Restrictions on Transfer. </w:t>
      </w:r>
      <w:r>
        <w:rPr>
          <w:rFonts w:ascii="Times New Roman" w:cs="Times New Roman" w:eastAsia="Times New Roman" w:hAnsi="Times New Roman"/>
          <w:sz w:val="21"/>
          <w:szCs w:val="21"/>
          <w:color w:val="auto"/>
        </w:rPr>
        <w:t>An Option or SAR shall not be transferable except by will or by the laws of descent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distribution and shall be exercisable during the lifetime of the Participant only by the Participant;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the Board may, in its sole discretion, permit transfer of the Option or SAR in a manner that is not prohibited by applicable tax and securities laws upon the Participant’s request. Except as explicitly provided herein, neither an Option nor a SAR may be transferred for consideration.</w:t>
      </w:r>
    </w:p>
    <w:p>
      <w:pPr>
        <w:spacing w:after="0" w:line="145" w:lineRule="exact"/>
        <w:rPr>
          <w:rFonts w:ascii="Times New Roman" w:cs="Times New Roman" w:eastAsia="Times New Roman" w:hAnsi="Times New Roman"/>
          <w:sz w:val="21"/>
          <w:szCs w:val="21"/>
          <w:b w:val="1"/>
          <w:bCs w:val="1"/>
          <w:color w:val="auto"/>
        </w:rPr>
      </w:pPr>
    </w:p>
    <w:p>
      <w:pPr>
        <w:jc w:val="both"/>
        <w:ind w:firstLine="6"/>
        <w:spacing w:after="0" w:line="228" w:lineRule="auto"/>
        <w:tabs>
          <w:tab w:leader="none" w:pos="633" w:val="left"/>
        </w:tabs>
        <w:numPr>
          <w:ilvl w:val="0"/>
          <w:numId w:val="13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Domestic Relations Orders. </w:t>
      </w:r>
      <w:r>
        <w:rPr>
          <w:rFonts w:ascii="Times New Roman" w:cs="Times New Roman" w:eastAsia="Times New Roman" w:hAnsi="Times New Roman"/>
          <w:sz w:val="21"/>
          <w:szCs w:val="21"/>
          <w:color w:val="auto"/>
        </w:rPr>
        <w:t>Subject to the approval of the Board or a duly authorized Officer, an Option or SAR may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transferred pursuant to the terms of a domestic relations order, official marital settlement agreement or other divorce or separation instrument as permitted by Treasury Regulation 1.421-1(b)(2). If an Option is an Incentive Stock Option, such Option may be deemed to be a Nonstatutory Stock Option as a result of such transfer.</w:t>
      </w:r>
    </w:p>
    <w:p>
      <w:pPr>
        <w:spacing w:after="0" w:line="147" w:lineRule="exact"/>
        <w:rPr>
          <w:rFonts w:ascii="Times New Roman" w:cs="Times New Roman" w:eastAsia="Times New Roman" w:hAnsi="Times New Roman"/>
          <w:sz w:val="21"/>
          <w:szCs w:val="21"/>
          <w:b w:val="1"/>
          <w:bCs w:val="1"/>
          <w:color w:val="auto"/>
        </w:rPr>
      </w:pPr>
    </w:p>
    <w:p>
      <w:pPr>
        <w:jc w:val="both"/>
        <w:ind w:firstLine="6"/>
        <w:spacing w:after="0" w:line="223" w:lineRule="auto"/>
        <w:tabs>
          <w:tab w:leader="none" w:pos="639" w:val="left"/>
        </w:tabs>
        <w:numPr>
          <w:ilvl w:val="0"/>
          <w:numId w:val="13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Beneficiary Designation. </w:t>
      </w:r>
      <w:r>
        <w:rPr>
          <w:rFonts w:ascii="Times New Roman" w:cs="Times New Roman" w:eastAsia="Times New Roman" w:hAnsi="Times New Roman"/>
          <w:sz w:val="21"/>
          <w:szCs w:val="21"/>
          <w:color w:val="auto"/>
        </w:rPr>
        <w:t>Notwithstanding the foregoing, the Participant may, by delivering written notice to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a form provided by or otherwise satisfactory to the Company and any broker designated by the Company to effect Option exercises, designate a third party who, in the event of the death of the Participant, shall thereafter be entitled to exercise the Option or SAR and receive the Ordinary Shares or other consideration resulting from such exercise. In the absence of such a designation, the executor or administrator of the Participant’s estate shall be entitled to exercise the Option or SAR and receive the Ordinary Shares or other consideration resulting from such exercise.</w:t>
      </w:r>
    </w:p>
    <w:p>
      <w:pPr>
        <w:spacing w:after="0" w:line="145" w:lineRule="exact"/>
        <w:rPr>
          <w:sz w:val="20"/>
          <w:szCs w:val="20"/>
          <w:color w:val="auto"/>
        </w:rPr>
      </w:pPr>
    </w:p>
    <w:p>
      <w:pPr>
        <w:jc w:val="both"/>
        <w:ind w:firstLine="6"/>
        <w:spacing w:after="0" w:line="223" w:lineRule="auto"/>
        <w:tabs>
          <w:tab w:leader="none" w:pos="639" w:val="left"/>
        </w:tabs>
        <w:numPr>
          <w:ilvl w:val="0"/>
          <w:numId w:val="13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Vesting Generally. </w:t>
      </w:r>
      <w:r>
        <w:rPr>
          <w:rFonts w:ascii="Times New Roman" w:cs="Times New Roman" w:eastAsia="Times New Roman" w:hAnsi="Times New Roman"/>
          <w:sz w:val="21"/>
          <w:szCs w:val="21"/>
          <w:color w:val="auto"/>
        </w:rPr>
        <w:t>The total number of Ordinary Shares subject to an Option or SAR may vest and therefore become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exercisable in periodic 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Ordinary Shares as to which an Option or SAR may be exercised.</w:t>
      </w:r>
    </w:p>
    <w:p>
      <w:pPr>
        <w:spacing w:after="0" w:line="144" w:lineRule="exact"/>
        <w:rPr>
          <w:rFonts w:ascii="Times New Roman" w:cs="Times New Roman" w:eastAsia="Times New Roman" w:hAnsi="Times New Roman"/>
          <w:sz w:val="21"/>
          <w:szCs w:val="21"/>
          <w:b w:val="1"/>
          <w:bCs w:val="1"/>
          <w:color w:val="auto"/>
        </w:rPr>
      </w:pPr>
    </w:p>
    <w:p>
      <w:pPr>
        <w:jc w:val="both"/>
        <w:ind w:firstLine="6"/>
        <w:spacing w:after="0" w:line="220" w:lineRule="auto"/>
        <w:tabs>
          <w:tab w:leader="none" w:pos="634" w:val="left"/>
        </w:tabs>
        <w:numPr>
          <w:ilvl w:val="0"/>
          <w:numId w:val="13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Termination of Continuous Service. </w:t>
      </w:r>
      <w:r>
        <w:rPr>
          <w:rFonts w:ascii="Times New Roman" w:cs="Times New Roman" w:eastAsia="Times New Roman" w:hAnsi="Times New Roman"/>
          <w:sz w:val="21"/>
          <w:szCs w:val="21"/>
          <w:color w:val="auto"/>
        </w:rPr>
        <w:t>Except as otherwise provided in the applicable Award Agreement or other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between the Participant and the Company or any Affiliate, if a Participant’s Continuous Service terminates (other than for Cause or upon the Participant’s death or Disability), the Participant may exercise his or her Option or SAR (to the extent that the Participant was entitled to exercise such Award as of the date of termination of Continuous Service) but only within such period of time ending on the earlier of (i) the date three (3) months following the termination of the Participant’s Continuous Service (or such longer or shorter period specified in the applicable Award Agreement), or (ii) the expiration of the term of the Option or SAR as set forth in the Award Agreement. If, after termination of Continuous Service, the Participant does not exercise his or her Option or SAR within the time specified herein or in the Award Agreement (as applicable), the Option or SAR shall terminate.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2"/>
          <w:szCs w:val="12"/>
          <w:color w:val="auto"/>
        </w:rPr>
        <w:t>130316850 v7</w:t>
      </w:r>
    </w:p>
    <w:p>
      <w:pPr>
        <w:sectPr>
          <w:pgSz w:w="11900" w:h="16838" w:orient="portrait"/>
          <w:cols w:equalWidth="0" w:num="1">
            <w:col w:w="11240"/>
          </w:cols>
          <w:pgMar w:left="320" w:top="1377" w:right="339" w:bottom="1440" w:gutter="0" w:footer="0" w:header="0"/>
        </w:sectPr>
      </w:pPr>
    </w:p>
    <w:bookmarkStart w:id="206" w:name="page207"/>
    <w:bookmarkEnd w:id="206"/>
    <w:p>
      <w:pPr>
        <w:jc w:val="both"/>
        <w:ind w:firstLine="6"/>
        <w:spacing w:after="0" w:line="214" w:lineRule="auto"/>
        <w:tabs>
          <w:tab w:leader="none" w:pos="633" w:val="left"/>
        </w:tabs>
        <w:numPr>
          <w:ilvl w:val="0"/>
          <w:numId w:val="13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Extension of Termination Date. </w:t>
      </w:r>
      <w:r>
        <w:rPr>
          <w:rFonts w:ascii="Times New Roman" w:cs="Times New Roman" w:eastAsia="Times New Roman" w:hAnsi="Times New Roman"/>
          <w:sz w:val="21"/>
          <w:szCs w:val="21"/>
          <w:color w:val="auto"/>
        </w:rPr>
        <w:t>If the exercise of an Option or SAR following the termination of the Participant’s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Continuous Service (other than upon the Participant’s death or Disability) would be prohibited at any time solely because the issuance of Ordinary Shares would violate the registration requirements under the Securities Act, then the Option or SAR shall terminate on the earlier of (i) the expiration of a total period of three (3) months (that need not be consecutive) after the termination of the Participant’s Continuous Service (other than for Cause) during which the exercise of the Option or SAR would not be in violation of such registration requirements or five (5) days (that need not be consecutive) after the termination of the Participant’s Continuous Service for Cause, as applicable, or (ii) the expiration of the term of the Option or SAR as set forth in the applicable Award Agreement. In addition, unless otherwise provided in a Participant’s Award Agreement, if the immediate sale of any Ordinary Shares received upon exercise of an Option or SAR following the termination of the Participant’s Continuous Service (other than for Cause) would violate the Company’s insider trading policy, then the Option or SAR shall terminate on the earlier of</w:t>
      </w:r>
    </w:p>
    <w:p>
      <w:pPr>
        <w:spacing w:after="0" w:line="4" w:lineRule="exact"/>
        <w:rPr>
          <w:rFonts w:ascii="Times New Roman" w:cs="Times New Roman" w:eastAsia="Times New Roman" w:hAnsi="Times New Roman"/>
          <w:sz w:val="21"/>
          <w:szCs w:val="21"/>
          <w:b w:val="1"/>
          <w:bCs w:val="1"/>
          <w:color w:val="auto"/>
        </w:rPr>
      </w:pPr>
    </w:p>
    <w:p>
      <w:pPr>
        <w:jc w:val="both"/>
        <w:ind w:firstLine="6"/>
        <w:spacing w:after="0" w:line="221" w:lineRule="auto"/>
        <w:tabs>
          <w:tab w:leader="none" w:pos="287"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expiration of a period equal to the applicable post-termination exercise period after the termination of the Participant’s Continuous Service during which the sale of the Ordinary Shares received upon exercise of the Option or SAR would not be in violation of the Company’s insider trading policy, or (ii) the expiration of the term of the Option or SAR as set forth in the applicable Award Agreement.</w:t>
      </w:r>
    </w:p>
    <w:p>
      <w:pPr>
        <w:spacing w:after="0" w:line="147" w:lineRule="exact"/>
        <w:rPr>
          <w:sz w:val="20"/>
          <w:szCs w:val="20"/>
          <w:color w:val="auto"/>
        </w:rPr>
      </w:pPr>
    </w:p>
    <w:p>
      <w:pPr>
        <w:jc w:val="both"/>
        <w:ind w:firstLine="6"/>
        <w:spacing w:after="0" w:line="220" w:lineRule="auto"/>
        <w:tabs>
          <w:tab w:leader="none" w:pos="627" w:val="left"/>
        </w:tabs>
        <w:numPr>
          <w:ilvl w:val="0"/>
          <w:numId w:val="13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Disability of Participant. </w:t>
      </w:r>
      <w:r>
        <w:rPr>
          <w:rFonts w:ascii="Times New Roman" w:cs="Times New Roman" w:eastAsia="Times New Roman" w:hAnsi="Times New Roman"/>
          <w:sz w:val="21"/>
          <w:szCs w:val="21"/>
          <w:color w:val="auto"/>
        </w:rPr>
        <w:t>Except as otherwise provided in the applicable Award Agreement or other agreement between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Participant and the Company or any Affiliate,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twelve (12) months following such termination of Continuous Service (or such longer or shorter period specified in the Award Agreement), or (ii) the expiration of the term of the Option or SAR as set forth in the Award Agreement. If, after termination of Continuous Service, the Participant does not exercise his or her Option or SAR within the time specified herein or in the Award Agreement (as applicable), the Option or SAR (as applicable) shall terminate.</w:t>
      </w:r>
    </w:p>
    <w:p>
      <w:pPr>
        <w:spacing w:after="0" w:line="146" w:lineRule="exact"/>
        <w:rPr>
          <w:rFonts w:ascii="Times New Roman" w:cs="Times New Roman" w:eastAsia="Times New Roman" w:hAnsi="Times New Roman"/>
          <w:sz w:val="21"/>
          <w:szCs w:val="21"/>
          <w:b w:val="1"/>
          <w:bCs w:val="1"/>
          <w:color w:val="auto"/>
        </w:rPr>
      </w:pPr>
    </w:p>
    <w:p>
      <w:pPr>
        <w:jc w:val="both"/>
        <w:ind w:firstLine="6"/>
        <w:spacing w:after="0" w:line="218" w:lineRule="auto"/>
        <w:tabs>
          <w:tab w:leader="none" w:pos="639" w:val="left"/>
        </w:tabs>
        <w:numPr>
          <w:ilvl w:val="0"/>
          <w:numId w:val="13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Death of Participant. </w:t>
      </w:r>
      <w:r>
        <w:rPr>
          <w:rFonts w:ascii="Times New Roman" w:cs="Times New Roman" w:eastAsia="Times New Roman" w:hAnsi="Times New Roman"/>
          <w:sz w:val="21"/>
          <w:szCs w:val="21"/>
          <w:color w:val="auto"/>
        </w:rPr>
        <w:t>Except as otherwise provided in the applicable Award Agreement or other agreement between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Participant and the Company or any Affiliate, if (i) a Participant’s Continuous Service terminates as a result of the Participant’s death, or (ii) the Participant dies within the period (if any) specified in the Award Agreement for exercisability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eighteen (18) months following the date of death (or such longer or shorter period specified in the Award Agreement), or (ii) the expiration of the term of such Option or SAR as set forth in the Award Agreement. If, after the Participant’s death, the Option or SAR is not exercised within the time specified herein or in the Award Agreement (as applicable), the Option or SAR shall terminate.</w:t>
      </w:r>
    </w:p>
    <w:p>
      <w:pPr>
        <w:spacing w:after="0" w:line="149" w:lineRule="exact"/>
        <w:rPr>
          <w:rFonts w:ascii="Times New Roman" w:cs="Times New Roman" w:eastAsia="Times New Roman" w:hAnsi="Times New Roman"/>
          <w:sz w:val="21"/>
          <w:szCs w:val="21"/>
          <w:b w:val="1"/>
          <w:bCs w:val="1"/>
          <w:color w:val="auto"/>
        </w:rPr>
      </w:pPr>
    </w:p>
    <w:p>
      <w:pPr>
        <w:jc w:val="both"/>
        <w:ind w:firstLine="6"/>
        <w:spacing w:after="0" w:line="223" w:lineRule="auto"/>
        <w:tabs>
          <w:tab w:leader="none" w:pos="633" w:val="left"/>
        </w:tabs>
        <w:numPr>
          <w:ilvl w:val="0"/>
          <w:numId w:val="13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Termination for Cause. </w:t>
      </w:r>
      <w:r>
        <w:rPr>
          <w:rFonts w:ascii="Times New Roman" w:cs="Times New Roman" w:eastAsia="Times New Roman" w:hAnsi="Times New Roman"/>
          <w:sz w:val="21"/>
          <w:szCs w:val="21"/>
          <w:color w:val="auto"/>
        </w:rPr>
        <w:t>Except as explicitly provided otherwise in a Participant’s Award Agreement or other individual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written agreement between the Company or any Affiliate and the Participant, if a Participant’s Continuous Service is terminated for Cause, the Participant may exercise his or her Option or SAR (to the extent that the Participant was entitled to exercise such Award as of the date of termination of Continuous Service) but only within such period of time ending on the earlier of (i) the date five (5) days following the termination of the Participant’s Continuous Service (or such longer or shorter period specified in the applicable Award Agreement), or (ii) the expiration of the term of the Option or SAR as set forth in the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2"/>
          <w:szCs w:val="12"/>
          <w:color w:val="auto"/>
        </w:rPr>
        <w:t>130316850 v7</w:t>
      </w:r>
    </w:p>
    <w:p>
      <w:pPr>
        <w:sectPr>
          <w:pgSz w:w="11900" w:h="16838" w:orient="portrait"/>
          <w:cols w:equalWidth="0" w:num="1">
            <w:col w:w="11240"/>
          </w:cols>
          <w:pgMar w:left="320" w:top="1373" w:right="339" w:bottom="1440" w:gutter="0" w:footer="0" w:header="0"/>
        </w:sectPr>
      </w:pPr>
    </w:p>
    <w:bookmarkStart w:id="207" w:name="page208"/>
    <w:bookmarkEnd w:id="207"/>
    <w:p>
      <w:pPr>
        <w:spacing w:after="0" w:line="247" w:lineRule="auto"/>
        <w:rPr>
          <w:sz w:val="20"/>
          <w:szCs w:val="20"/>
          <w:color w:val="auto"/>
        </w:rPr>
      </w:pPr>
      <w:r>
        <w:rPr>
          <w:rFonts w:ascii="Times New Roman" w:cs="Times New Roman" w:eastAsia="Times New Roman" w:hAnsi="Times New Roman"/>
          <w:sz w:val="21"/>
          <w:szCs w:val="21"/>
          <w:color w:val="auto"/>
        </w:rPr>
        <w:t>Award Agreement. If, after termination of Continuous Service, the Participant does not exercise his or her Option or SAR within the time specified herein or in the Award Agreement (as applicable), the Option or SAR shall terminate.</w:t>
      </w:r>
    </w:p>
    <w:p>
      <w:pPr>
        <w:spacing w:after="0" w:line="138" w:lineRule="exact"/>
        <w:rPr>
          <w:sz w:val="20"/>
          <w:szCs w:val="20"/>
          <w:color w:val="auto"/>
        </w:rPr>
      </w:pPr>
    </w:p>
    <w:p>
      <w:pPr>
        <w:jc w:val="both"/>
        <w:ind w:firstLine="6"/>
        <w:spacing w:after="0" w:line="218" w:lineRule="auto"/>
        <w:tabs>
          <w:tab w:leader="none" w:pos="627" w:val="left"/>
        </w:tabs>
        <w:numPr>
          <w:ilvl w:val="0"/>
          <w:numId w:val="13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Non-Exempt Employees</w:t>
      </w:r>
      <w:r>
        <w:rPr>
          <w:rFonts w:ascii="Times New Roman" w:cs="Times New Roman" w:eastAsia="Times New Roman" w:hAnsi="Times New Roman"/>
          <w:sz w:val="21"/>
          <w:szCs w:val="21"/>
          <w:color w:val="auto"/>
        </w:rPr>
        <w:t>. No Option or SAR, whether or not vested, granted to an Employee who is a non-exempt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employee for purposes of the Fair Labor Standards Act of 1938, as amended, shall be first exercisable for any Ordinary Shares until at least six months following the date of grant of the Option or SAR. Notwithstanding the foregoing, consistent with the provisions of the Worker Economic Opportunity Act, (i) in the event of the Participant’s death or Disability, (ii) upon a Corporate Transaction in which such Option or SAR is not assumed, continued, or substituted, (iii) upon a Change in Control, or (iv) upon the Participant’s retirement (as such term may be defined in the Participant’s Award Agreement or in another applicable agreement or in accordance with the Company’s (or Affiliate’s, if applicable) then current employment policies and guidelines), any such vested Options and SARs may be exercised earlier than six months following the date of grant. The foregoing provision is intended to operate so that any income derived by a non-exempt employee in connection with the exercise or vesting of an Option or SAR will be exempt from his or her regular rate of pay.</w:t>
      </w:r>
    </w:p>
    <w:p>
      <w:pPr>
        <w:spacing w:after="0" w:line="149" w:lineRule="exact"/>
        <w:rPr>
          <w:sz w:val="20"/>
          <w:szCs w:val="20"/>
          <w:color w:val="auto"/>
        </w:rPr>
      </w:pPr>
    </w:p>
    <w:p>
      <w:pPr>
        <w:ind w:left="640" w:hanging="634"/>
        <w:spacing w:after="0"/>
        <w:tabs>
          <w:tab w:leader="none" w:pos="640" w:val="left"/>
        </w:tabs>
        <w:numPr>
          <w:ilvl w:val="0"/>
          <w:numId w:val="13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Provisions of Stock Awards other than Options and SARs.</w:t>
      </w:r>
    </w:p>
    <w:p>
      <w:pPr>
        <w:spacing w:after="0" w:line="184" w:lineRule="exact"/>
        <w:rPr>
          <w:sz w:val="20"/>
          <w:szCs w:val="20"/>
          <w:color w:val="auto"/>
        </w:rPr>
      </w:pPr>
    </w:p>
    <w:p>
      <w:pPr>
        <w:jc w:val="both"/>
        <w:ind w:firstLine="6"/>
        <w:spacing w:after="0" w:line="220" w:lineRule="auto"/>
        <w:tabs>
          <w:tab w:leader="none" w:pos="634" w:val="left"/>
        </w:tabs>
        <w:numPr>
          <w:ilvl w:val="0"/>
          <w:numId w:val="13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Restricted Stock Awards. </w:t>
      </w:r>
      <w:r>
        <w:rPr>
          <w:rFonts w:ascii="Times New Roman" w:cs="Times New Roman" w:eastAsia="Times New Roman" w:hAnsi="Times New Roman"/>
          <w:sz w:val="21"/>
          <w:szCs w:val="21"/>
          <w:color w:val="auto"/>
        </w:rPr>
        <w:t>Each Restricted Stock Award Agreement shall be in such form and shall contain such terms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conditions as the Board shall deem appropriate. To the extent consistent with the Company’s Bylaws, at the Board’s election, Ordinary Shares may be (i) held in book entry form subject to the Company’s instructions until any restrictions relating to the Restricted Stock Award lapse; or (ii) evidenced by a certificate, which certificate shall be held in such form and manner as determined by the Board. The terms and conditions of Restricted Stock Award Agreements may change from time to time, and the terms and conditions of separate Restricted Stock Award Agreements need not be identical;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each Restricted Stock Award Agreement shall conform to (through incorporation of the provisions hereof by reference in the agreement or otherwise) the substance of each of the following provisions:</w:t>
      </w:r>
    </w:p>
    <w:p>
      <w:pPr>
        <w:spacing w:after="0" w:line="146" w:lineRule="exact"/>
        <w:rPr>
          <w:sz w:val="20"/>
          <w:szCs w:val="20"/>
          <w:color w:val="auto"/>
        </w:rPr>
      </w:pPr>
    </w:p>
    <w:p>
      <w:pPr>
        <w:jc w:val="both"/>
        <w:ind w:firstLine="6"/>
        <w:spacing w:after="0" w:line="225" w:lineRule="auto"/>
        <w:tabs>
          <w:tab w:leader="none" w:pos="627" w:val="left"/>
        </w:tabs>
        <w:numPr>
          <w:ilvl w:val="0"/>
          <w:numId w:val="14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Consideration. </w:t>
      </w:r>
      <w:r>
        <w:rPr>
          <w:rFonts w:ascii="Times New Roman" w:cs="Times New Roman" w:eastAsia="Times New Roman" w:hAnsi="Times New Roman"/>
          <w:sz w:val="21"/>
          <w:szCs w:val="21"/>
          <w:color w:val="auto"/>
        </w:rPr>
        <w:t>A Restricted Stock Award may be awarded in consideration for (A) cash, check, bank draft or money order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payable to the Company, (B) past services to the Company or an Affiliate, or (C) any other form of legal consideration (including future services) that may be acceptable to the Board, in its sole discretion, and permissible under applicable law;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where Ordinary Shares are issued pursuant to a Restricted Stock Award the nominal value of each newly issued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Ordinary Share is fully paid up.</w:t>
      </w:r>
    </w:p>
    <w:p>
      <w:pPr>
        <w:spacing w:after="0" w:line="145" w:lineRule="exact"/>
        <w:rPr>
          <w:rFonts w:ascii="Times New Roman" w:cs="Times New Roman" w:eastAsia="Times New Roman" w:hAnsi="Times New Roman"/>
          <w:sz w:val="21"/>
          <w:szCs w:val="21"/>
          <w:b w:val="1"/>
          <w:bCs w:val="1"/>
          <w:color w:val="auto"/>
        </w:rPr>
      </w:pPr>
    </w:p>
    <w:p>
      <w:pPr>
        <w:ind w:firstLine="6"/>
        <w:spacing w:after="0" w:line="251" w:lineRule="auto"/>
        <w:tabs>
          <w:tab w:leader="none" w:pos="633" w:val="left"/>
        </w:tabs>
        <w:numPr>
          <w:ilvl w:val="0"/>
          <w:numId w:val="14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Vesting. </w:t>
      </w:r>
      <w:r>
        <w:rPr>
          <w:rFonts w:ascii="Times New Roman" w:cs="Times New Roman" w:eastAsia="Times New Roman" w:hAnsi="Times New Roman"/>
          <w:sz w:val="21"/>
          <w:szCs w:val="21"/>
          <w:color w:val="auto"/>
        </w:rPr>
        <w:t>Ordinary Shares awarded under a Restricted Stock Award Agreement may be subject to forfeiture to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accordance with a vesting schedule to be determined by the Board.</w:t>
      </w:r>
    </w:p>
    <w:p>
      <w:pPr>
        <w:spacing w:after="0" w:line="133" w:lineRule="exact"/>
        <w:rPr>
          <w:rFonts w:ascii="Times New Roman" w:cs="Times New Roman" w:eastAsia="Times New Roman" w:hAnsi="Times New Roman"/>
          <w:sz w:val="21"/>
          <w:szCs w:val="21"/>
          <w:b w:val="1"/>
          <w:bCs w:val="1"/>
          <w:color w:val="auto"/>
        </w:rPr>
      </w:pPr>
    </w:p>
    <w:p>
      <w:pPr>
        <w:jc w:val="both"/>
        <w:ind w:firstLine="6"/>
        <w:spacing w:after="0" w:line="234" w:lineRule="auto"/>
        <w:tabs>
          <w:tab w:leader="none" w:pos="639" w:val="left"/>
        </w:tabs>
        <w:numPr>
          <w:ilvl w:val="0"/>
          <w:numId w:val="14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Termination of Participant’s Continuous Service. </w:t>
      </w:r>
      <w:r>
        <w:rPr>
          <w:rFonts w:ascii="Times New Roman" w:cs="Times New Roman" w:eastAsia="Times New Roman" w:hAnsi="Times New Roman"/>
          <w:sz w:val="21"/>
          <w:szCs w:val="21"/>
          <w:color w:val="auto"/>
        </w:rPr>
        <w:t>If a Participant’s Continuous Service terminates, the Company or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Affiliate may receive through a forfeiture condition or a repurchase right any or all of the Ordinary Shares held by the Participant that have not vested as of the date of termination of Continuous Service under the terms of the Restricted Stock Award Agreement.</w:t>
      </w:r>
    </w:p>
    <w:p>
      <w:pPr>
        <w:spacing w:after="0" w:line="145" w:lineRule="exact"/>
        <w:rPr>
          <w:rFonts w:ascii="Times New Roman" w:cs="Times New Roman" w:eastAsia="Times New Roman" w:hAnsi="Times New Roman"/>
          <w:sz w:val="21"/>
          <w:szCs w:val="21"/>
          <w:b w:val="1"/>
          <w:bCs w:val="1"/>
          <w:color w:val="auto"/>
        </w:rPr>
      </w:pPr>
    </w:p>
    <w:p>
      <w:pPr>
        <w:jc w:val="both"/>
        <w:ind w:firstLine="6"/>
        <w:spacing w:after="0" w:line="228" w:lineRule="auto"/>
        <w:tabs>
          <w:tab w:leader="none" w:pos="627" w:val="left"/>
        </w:tabs>
        <w:numPr>
          <w:ilvl w:val="0"/>
          <w:numId w:val="14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Transferability. </w:t>
      </w:r>
      <w:r>
        <w:rPr>
          <w:rFonts w:ascii="Times New Roman" w:cs="Times New Roman" w:eastAsia="Times New Roman" w:hAnsi="Times New Roman"/>
          <w:sz w:val="21"/>
          <w:szCs w:val="21"/>
          <w:color w:val="auto"/>
        </w:rPr>
        <w:t>Rights to acquire Ordinary Shares under the Restricted Stock Award Agreement shall be transferable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Participant only upon such terms and conditions as are set forth in the Restricted Stock Award Agreement, as the Board shall determine in its sole discretion, so long as the Ordinary Shares awarded under the Restricted Stock Award Agreement remain subject to the terms of the Restricted Stock Award Agreement.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2"/>
          <w:szCs w:val="12"/>
          <w:color w:val="auto"/>
        </w:rPr>
        <w:t>130316850 v7</w:t>
      </w:r>
    </w:p>
    <w:p>
      <w:pPr>
        <w:sectPr>
          <w:pgSz w:w="11900" w:h="16838" w:orient="portrait"/>
          <w:cols w:equalWidth="0" w:num="1">
            <w:col w:w="11240"/>
          </w:cols>
          <w:pgMar w:left="320" w:top="1377" w:right="339" w:bottom="1440" w:gutter="0" w:footer="0" w:header="0"/>
        </w:sectPr>
      </w:pPr>
    </w:p>
    <w:bookmarkStart w:id="208" w:name="page209"/>
    <w:bookmarkEnd w:id="208"/>
    <w:p>
      <w:pPr>
        <w:jc w:val="both"/>
        <w:ind w:firstLine="6"/>
        <w:spacing w:after="0" w:line="234" w:lineRule="auto"/>
        <w:tabs>
          <w:tab w:leader="none" w:pos="634" w:val="left"/>
        </w:tabs>
        <w:numPr>
          <w:ilvl w:val="0"/>
          <w:numId w:val="14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Dividends. </w:t>
      </w:r>
      <w:r>
        <w:rPr>
          <w:rFonts w:ascii="Times New Roman" w:cs="Times New Roman" w:eastAsia="Times New Roman" w:hAnsi="Times New Roman"/>
          <w:sz w:val="21"/>
          <w:szCs w:val="21"/>
          <w:color w:val="auto"/>
        </w:rPr>
        <w:t>A Restricted Stock Award Agreement may provide that any dividends paid on Restricted Stock will be subject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the same vesting and forfeiture restrictions as apply to the Ordinary Shares subject to the Restricted Stock Award to which they relate.</w:t>
      </w:r>
    </w:p>
    <w:p>
      <w:pPr>
        <w:spacing w:after="0" w:line="146" w:lineRule="exact"/>
        <w:rPr>
          <w:sz w:val="20"/>
          <w:szCs w:val="20"/>
          <w:color w:val="auto"/>
        </w:rPr>
      </w:pPr>
    </w:p>
    <w:p>
      <w:pPr>
        <w:jc w:val="both"/>
        <w:ind w:firstLine="6"/>
        <w:spacing w:after="0" w:line="225" w:lineRule="auto"/>
        <w:tabs>
          <w:tab w:leader="none" w:pos="633" w:val="left"/>
        </w:tabs>
        <w:numPr>
          <w:ilvl w:val="0"/>
          <w:numId w:val="14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Restricted Stock Unit Awards. </w:t>
      </w:r>
      <w:r>
        <w:rPr>
          <w:rFonts w:ascii="Times New Roman" w:cs="Times New Roman" w:eastAsia="Times New Roman" w:hAnsi="Times New Roman"/>
          <w:sz w:val="21"/>
          <w:szCs w:val="21"/>
          <w:color w:val="auto"/>
        </w:rPr>
        <w:t>Each Restricted Stock Unit Award Agreement shall be in such form and shall contain such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terms and conditions as the Board shall deem appropriate. The terms and conditions of Restricted Stock Unit Award Agreements may change from time to time, and the terms and conditions of separate Restricted Stock Unit Award Agreements need not be identical;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each Restricted Stock Unit Award Agreement shall conform to (through incorporation of the provisions hereof by reference in the Agreement or otherwise) the substance of each of the following provisions:</w:t>
      </w:r>
    </w:p>
    <w:p>
      <w:pPr>
        <w:spacing w:after="0" w:line="146" w:lineRule="exact"/>
        <w:rPr>
          <w:sz w:val="20"/>
          <w:szCs w:val="20"/>
          <w:color w:val="auto"/>
        </w:rPr>
      </w:pPr>
    </w:p>
    <w:p>
      <w:pPr>
        <w:jc w:val="both"/>
        <w:ind w:firstLine="6"/>
        <w:spacing w:after="0" w:line="225" w:lineRule="auto"/>
        <w:tabs>
          <w:tab w:leader="none" w:pos="627" w:val="left"/>
        </w:tabs>
        <w:numPr>
          <w:ilvl w:val="0"/>
          <w:numId w:val="14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Consideration. </w:t>
      </w:r>
      <w:r>
        <w:rPr>
          <w:rFonts w:ascii="Times New Roman" w:cs="Times New Roman" w:eastAsia="Times New Roman" w:hAnsi="Times New Roman"/>
          <w:sz w:val="21"/>
          <w:szCs w:val="21"/>
          <w:color w:val="auto"/>
        </w:rPr>
        <w:t>At the time of grant of a Restricted Stock Unit Award, the Board will determine the consideration, if any,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be paid upon delivery of each Ordinary Share subject to the Restricted Stock Unit Award. The consideration to be paid (if any) for each Ordinary Share subject to a Restricted Stock Unit Award may be paid in any form of legal consideration that may be acceptable to the Board, in its sole discretion, and permissible under applicable law;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where Ordinary Shares are issued pursuant to a Restricted Stock Unit Award the nominal value of each newly issued Ordinary Share is fully paid up.</w:t>
      </w:r>
    </w:p>
    <w:p>
      <w:pPr>
        <w:spacing w:after="0" w:line="145" w:lineRule="exact"/>
        <w:rPr>
          <w:rFonts w:ascii="Times New Roman" w:cs="Times New Roman" w:eastAsia="Times New Roman" w:hAnsi="Times New Roman"/>
          <w:sz w:val="21"/>
          <w:szCs w:val="21"/>
          <w:b w:val="1"/>
          <w:bCs w:val="1"/>
          <w:color w:val="auto"/>
        </w:rPr>
      </w:pPr>
    </w:p>
    <w:p>
      <w:pPr>
        <w:ind w:firstLine="6"/>
        <w:spacing w:after="0" w:line="251" w:lineRule="auto"/>
        <w:tabs>
          <w:tab w:leader="none" w:pos="633" w:val="left"/>
        </w:tabs>
        <w:numPr>
          <w:ilvl w:val="0"/>
          <w:numId w:val="14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Vesting. </w:t>
      </w:r>
      <w:r>
        <w:rPr>
          <w:rFonts w:ascii="Times New Roman" w:cs="Times New Roman" w:eastAsia="Times New Roman" w:hAnsi="Times New Roman"/>
          <w:sz w:val="21"/>
          <w:szCs w:val="21"/>
          <w:color w:val="auto"/>
        </w:rPr>
        <w:t>At the time of the grant of a Restricted Stock Unit Award, the Board may impose such restrictions on or conditions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the vesting of the Restricted Stock Unit Award as it, in its sole discretion, deems appropriate.</w:t>
      </w:r>
    </w:p>
    <w:p>
      <w:pPr>
        <w:spacing w:after="0" w:line="133" w:lineRule="exact"/>
        <w:rPr>
          <w:rFonts w:ascii="Times New Roman" w:cs="Times New Roman" w:eastAsia="Times New Roman" w:hAnsi="Times New Roman"/>
          <w:sz w:val="21"/>
          <w:szCs w:val="21"/>
          <w:b w:val="1"/>
          <w:bCs w:val="1"/>
          <w:color w:val="auto"/>
        </w:rPr>
      </w:pPr>
    </w:p>
    <w:p>
      <w:pPr>
        <w:jc w:val="both"/>
        <w:ind w:firstLine="6"/>
        <w:spacing w:after="0" w:line="234" w:lineRule="auto"/>
        <w:tabs>
          <w:tab w:leader="none" w:pos="639" w:val="left"/>
        </w:tabs>
        <w:numPr>
          <w:ilvl w:val="0"/>
          <w:numId w:val="14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Payment</w:t>
      </w:r>
      <w:r>
        <w:rPr>
          <w:rFonts w:ascii="Times New Roman" w:cs="Times New Roman" w:eastAsia="Times New Roman" w:hAnsi="Times New Roman"/>
          <w:sz w:val="21"/>
          <w:szCs w:val="21"/>
          <w:color w:val="auto"/>
        </w:rPr>
        <w:t>. A Restricted Stock Unit Award may be settled by the delivery of Ordinary Shares, their cash equivalent,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combination thereof or in any other form of consideration, as determined by the Board and contained in the Restricted Stock Unit Award Agreement.</w:t>
      </w:r>
    </w:p>
    <w:p>
      <w:pPr>
        <w:spacing w:after="0" w:line="145" w:lineRule="exact"/>
        <w:rPr>
          <w:rFonts w:ascii="Times New Roman" w:cs="Times New Roman" w:eastAsia="Times New Roman" w:hAnsi="Times New Roman"/>
          <w:sz w:val="21"/>
          <w:szCs w:val="21"/>
          <w:b w:val="1"/>
          <w:bCs w:val="1"/>
          <w:color w:val="auto"/>
        </w:rPr>
      </w:pPr>
    </w:p>
    <w:p>
      <w:pPr>
        <w:jc w:val="both"/>
        <w:ind w:firstLine="6"/>
        <w:spacing w:after="0" w:line="234" w:lineRule="auto"/>
        <w:tabs>
          <w:tab w:leader="none" w:pos="627" w:val="left"/>
        </w:tabs>
        <w:numPr>
          <w:ilvl w:val="0"/>
          <w:numId w:val="14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Additional Restrictions. </w:t>
      </w:r>
      <w:r>
        <w:rPr>
          <w:rFonts w:ascii="Times New Roman" w:cs="Times New Roman" w:eastAsia="Times New Roman" w:hAnsi="Times New Roman"/>
          <w:sz w:val="21"/>
          <w:szCs w:val="21"/>
          <w:color w:val="auto"/>
        </w:rPr>
        <w:t>At the time of the grant of a Restricted Stock Unit Award, the Board, as it deems appropriate, may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impose such restrictions or conditions that delay the delivery of the Ordinary Shares (or their cash equivalent) subject to a Restricted Stock Unit Award to a time after the vesting of such Restricted Stock Unit Award.</w:t>
      </w:r>
    </w:p>
    <w:p>
      <w:pPr>
        <w:spacing w:after="0" w:line="145" w:lineRule="exact"/>
        <w:rPr>
          <w:rFonts w:ascii="Times New Roman" w:cs="Times New Roman" w:eastAsia="Times New Roman" w:hAnsi="Times New Roman"/>
          <w:sz w:val="21"/>
          <w:szCs w:val="21"/>
          <w:b w:val="1"/>
          <w:bCs w:val="1"/>
          <w:color w:val="auto"/>
        </w:rPr>
      </w:pPr>
    </w:p>
    <w:p>
      <w:pPr>
        <w:jc w:val="both"/>
        <w:ind w:firstLine="6"/>
        <w:spacing w:after="0" w:line="223" w:lineRule="auto"/>
        <w:tabs>
          <w:tab w:leader="none" w:pos="634" w:val="left"/>
        </w:tabs>
        <w:numPr>
          <w:ilvl w:val="0"/>
          <w:numId w:val="14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Dividend Equivalents. </w:t>
      </w:r>
      <w:r>
        <w:rPr>
          <w:rFonts w:ascii="Times New Roman" w:cs="Times New Roman" w:eastAsia="Times New Roman" w:hAnsi="Times New Roman"/>
          <w:sz w:val="21"/>
          <w:szCs w:val="21"/>
          <w:color w:val="auto"/>
        </w:rPr>
        <w:t>Dividend equivalents may be credited in respect of Ordinary Shares covered by a Restricted Stock</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Unit Award, as determined by the Board and contained in the Restricted Stock Unit Award Agreement. At the sole discretion of the Board, such dividend equivalents may be converted into additional Ordinary Shares covered by the Restricted Stock Unit Award in such manner as determined by the Board. Any additional Ordinary Shares covered by the Restricted Stock Unit Award credited by reason of such dividend equivalents will be subject to all of the same terms and conditions of the underlying Restricted Stock Unit Award Agreement to which they relate.</w:t>
      </w:r>
    </w:p>
    <w:p>
      <w:pPr>
        <w:spacing w:after="0" w:line="144" w:lineRule="exact"/>
        <w:rPr>
          <w:rFonts w:ascii="Times New Roman" w:cs="Times New Roman" w:eastAsia="Times New Roman" w:hAnsi="Times New Roman"/>
          <w:sz w:val="21"/>
          <w:szCs w:val="21"/>
          <w:b w:val="1"/>
          <w:bCs w:val="1"/>
          <w:color w:val="auto"/>
        </w:rPr>
      </w:pPr>
    </w:p>
    <w:p>
      <w:pPr>
        <w:jc w:val="both"/>
        <w:ind w:firstLine="6"/>
        <w:spacing w:after="0" w:line="234" w:lineRule="auto"/>
        <w:tabs>
          <w:tab w:leader="none" w:pos="627" w:val="left"/>
        </w:tabs>
        <w:numPr>
          <w:ilvl w:val="0"/>
          <w:numId w:val="14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Termination of Participant’s Continuous Service. </w:t>
      </w:r>
      <w:r>
        <w:rPr>
          <w:rFonts w:ascii="Times New Roman" w:cs="Times New Roman" w:eastAsia="Times New Roman" w:hAnsi="Times New Roman"/>
          <w:sz w:val="21"/>
          <w:szCs w:val="21"/>
          <w:color w:val="auto"/>
        </w:rPr>
        <w:t>Except as otherwise provided in the applicable Restricted Stock Unit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Award Agreement, such portion of the Restricted Stock Unit Award that has not vested will be forfeited upon the Participant’s termination of Continuous Service.</w:t>
      </w:r>
    </w:p>
    <w:p>
      <w:pPr>
        <w:spacing w:after="0" w:line="145" w:lineRule="exact"/>
        <w:rPr>
          <w:rFonts w:ascii="Times New Roman" w:cs="Times New Roman" w:eastAsia="Times New Roman" w:hAnsi="Times New Roman"/>
          <w:sz w:val="21"/>
          <w:szCs w:val="21"/>
          <w:b w:val="1"/>
          <w:bCs w:val="1"/>
          <w:color w:val="auto"/>
        </w:rPr>
      </w:pPr>
    </w:p>
    <w:p>
      <w:pPr>
        <w:jc w:val="both"/>
        <w:ind w:firstLine="6"/>
        <w:spacing w:after="0" w:line="225" w:lineRule="auto"/>
        <w:tabs>
          <w:tab w:leader="none" w:pos="633" w:val="left"/>
        </w:tabs>
        <w:numPr>
          <w:ilvl w:val="0"/>
          <w:numId w:val="14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Transferability. </w:t>
      </w:r>
      <w:r>
        <w:rPr>
          <w:rFonts w:ascii="Times New Roman" w:cs="Times New Roman" w:eastAsia="Times New Roman" w:hAnsi="Times New Roman"/>
          <w:sz w:val="21"/>
          <w:szCs w:val="21"/>
          <w:color w:val="auto"/>
        </w:rPr>
        <w:t>Unless otherwise determined by the Board in its sole discretion and provided in the applicable Restricted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Stock Unit Award Agreement, a Restricted Stock Unit Award shall not be transferable except by will or by the laws of descent and distribution. Notwithstanding the foregoing, subject to the approval of the Board or a duly authorized Officer, a Restricted Stock Unit Award may be transferred pursuant to the terms of a domestic relations order, official marital settlement agreement or other divorce or separation instrument as permitted by Treasury Regulation 1.421-1(b)(2).</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2"/>
          <w:szCs w:val="12"/>
          <w:color w:val="auto"/>
        </w:rPr>
        <w:t>130316850 v7</w:t>
      </w:r>
    </w:p>
    <w:p>
      <w:pPr>
        <w:sectPr>
          <w:pgSz w:w="11900" w:h="16838" w:orient="portrait"/>
          <w:cols w:equalWidth="0" w:num="1">
            <w:col w:w="11240"/>
          </w:cols>
          <w:pgMar w:left="320" w:top="1373" w:right="339" w:bottom="1440" w:gutter="0" w:footer="0" w:header="0"/>
        </w:sectPr>
      </w:pPr>
    </w:p>
    <w:bookmarkStart w:id="209" w:name="page210"/>
    <w:bookmarkEnd w:id="209"/>
    <w:p>
      <w:pPr>
        <w:ind w:left="640" w:hanging="634"/>
        <w:spacing w:after="0"/>
        <w:tabs>
          <w:tab w:leader="none" w:pos="640" w:val="left"/>
        </w:tabs>
        <w:numPr>
          <w:ilvl w:val="0"/>
          <w:numId w:val="14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Performance Awards</w:t>
      </w:r>
      <w:r>
        <w:rPr>
          <w:rFonts w:ascii="Times New Roman" w:cs="Times New Roman" w:eastAsia="Times New Roman" w:hAnsi="Times New Roman"/>
          <w:sz w:val="21"/>
          <w:szCs w:val="21"/>
          <w:color w:val="auto"/>
        </w:rPr>
        <w:t>.</w:t>
      </w:r>
    </w:p>
    <w:p>
      <w:pPr>
        <w:spacing w:after="0" w:line="184" w:lineRule="exact"/>
        <w:rPr>
          <w:sz w:val="20"/>
          <w:szCs w:val="20"/>
          <w:color w:val="auto"/>
        </w:rPr>
      </w:pPr>
    </w:p>
    <w:p>
      <w:pPr>
        <w:jc w:val="both"/>
        <w:ind w:firstLine="6"/>
        <w:spacing w:after="0" w:line="216" w:lineRule="auto"/>
        <w:tabs>
          <w:tab w:leader="none" w:pos="627" w:val="left"/>
        </w:tabs>
        <w:numPr>
          <w:ilvl w:val="0"/>
          <w:numId w:val="14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Performance Stock Awards</w:t>
      </w:r>
      <w:r>
        <w:rPr>
          <w:rFonts w:ascii="Times New Roman" w:cs="Times New Roman" w:eastAsia="Times New Roman" w:hAnsi="Times New Roman"/>
          <w:sz w:val="21"/>
          <w:szCs w:val="21"/>
          <w:color w:val="auto"/>
        </w:rPr>
        <w:t>. A Performance Stock Award is a Stock Award that may be granted, may vest or may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exercised contingent upon the attainment during a Performance Period of certain Performance Goals. A Performance Stock Award may, but need not, require the completion of a specified period of Continuous Service. The length of any Performance Period, the Performance Goals to be achieved during the Performance Period, and the measure of whether and to what degree such Performance Goals have been attained with respect to a Performance Stock Award shall be conclusively determined by the Committee, in its sole discretion;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the Board also may make any such determinations to the extent that the Performance Stock Award is not intended to comply with Section 162(m) of the Code. The maximum number of Ordinary Shares covered by an Award that may be granted to any Participant in a calendar year attributable to Performance Stock Awards (whether the grant, vesting or exercise is contingent upon the attainment during a Performance Period of the Performance Goals) shall not exceed two million (2,000,000) Ordinary Shares. The Board may provide for or, subject to such terms and conditions as the Board may specify, may permit a Participant to elect for, the payment of any Performance Stock Award to be deferred to a specified date or event. In addition, to the extent permitted by applicable law and the applicable Award Agreement, the Board may determine that cash may be used in payment of Performance Stock Awards.</w:t>
      </w:r>
    </w:p>
    <w:p>
      <w:pPr>
        <w:spacing w:after="0" w:line="156" w:lineRule="exact"/>
        <w:rPr>
          <w:rFonts w:ascii="Times New Roman" w:cs="Times New Roman" w:eastAsia="Times New Roman" w:hAnsi="Times New Roman"/>
          <w:sz w:val="21"/>
          <w:szCs w:val="21"/>
          <w:b w:val="1"/>
          <w:bCs w:val="1"/>
          <w:color w:val="auto"/>
        </w:rPr>
      </w:pPr>
    </w:p>
    <w:p>
      <w:pPr>
        <w:jc w:val="both"/>
        <w:ind w:firstLine="6"/>
        <w:spacing w:after="0" w:line="217" w:lineRule="auto"/>
        <w:tabs>
          <w:tab w:leader="none" w:pos="633" w:val="left"/>
        </w:tabs>
        <w:numPr>
          <w:ilvl w:val="0"/>
          <w:numId w:val="14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Performance Cash Awards</w:t>
      </w:r>
      <w:r>
        <w:rPr>
          <w:rFonts w:ascii="Times New Roman" w:cs="Times New Roman" w:eastAsia="Times New Roman" w:hAnsi="Times New Roman"/>
          <w:sz w:val="21"/>
          <w:szCs w:val="21"/>
          <w:color w:val="auto"/>
        </w:rPr>
        <w:t>. A Performance Cash Award is a cash award that may be paid contingent upon the attainment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during a Performance Period of certain Performance Goals. A Performance Cash Award may, but need not, require the completion of a specified period of Continuous Service. The length of any Performance Period, the Performance Goals to be achieved during the Performance Period, and the measure of whether and to what degree such Performance Goals have been attained with respect to a Performance Cash Award shall be conclusively determined by the Committee, in its sole discretion;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the Board also may make any such determinations to the extent that the Performance Cash Award is not intended to comply with Section 162(m) of the Code. The maximum value that may be paid to any Participant in a calendar year pursuant to Performance Cash Awards shall not exceed fifteen million dollars ($15,000,000). The Board may provide for or, subject to such terms and conditions as the Board may specify, may permit a Participant to elect for, the payment of any Performance Cash Award to be deferred to a specified date or event. The Board may specify the form of payment of Performance Cash Awards, which may be cash or other property, or may provide for a Participant to have the option for his or her Performance Cash Award, or such portion thereof as the Board may specify, to be paid in whole or in part in cash or other property.</w:t>
      </w:r>
    </w:p>
    <w:p>
      <w:pPr>
        <w:spacing w:after="0" w:line="148" w:lineRule="exact"/>
        <w:rPr>
          <w:rFonts w:ascii="Times New Roman" w:cs="Times New Roman" w:eastAsia="Times New Roman" w:hAnsi="Times New Roman"/>
          <w:sz w:val="21"/>
          <w:szCs w:val="21"/>
          <w:b w:val="1"/>
          <w:bCs w:val="1"/>
          <w:color w:val="auto"/>
        </w:rPr>
      </w:pPr>
    </w:p>
    <w:p>
      <w:pPr>
        <w:jc w:val="both"/>
        <w:ind w:firstLine="6"/>
        <w:spacing w:after="0" w:line="225" w:lineRule="auto"/>
        <w:tabs>
          <w:tab w:leader="none" w:pos="639" w:val="left"/>
        </w:tabs>
        <w:numPr>
          <w:ilvl w:val="0"/>
          <w:numId w:val="14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Committee and Board Discretion</w:t>
      </w:r>
      <w:r>
        <w:rPr>
          <w:rFonts w:ascii="Times New Roman" w:cs="Times New Roman" w:eastAsia="Times New Roman" w:hAnsi="Times New Roman"/>
          <w:sz w:val="21"/>
          <w:szCs w:val="21"/>
          <w:color w:val="auto"/>
        </w:rPr>
        <w:t>. The Committee retains the discretion to reduce or eliminate the compensation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economic benefit due upon the attainment of any Performance Goals and to define the manner of calculating the Performance Criteria it selects to use for a Performance Period with respect to a Performance Stock Award or Performance Cash Award;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the Board also retains any such discretion to the extent that the Performance Stock Award or Performance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Cash Award is not intended to comply with Section 162(m) of the Code.</w:t>
      </w:r>
    </w:p>
    <w:p>
      <w:pPr>
        <w:spacing w:after="0" w:line="145" w:lineRule="exact"/>
        <w:rPr>
          <w:rFonts w:ascii="Times New Roman" w:cs="Times New Roman" w:eastAsia="Times New Roman" w:hAnsi="Times New Roman"/>
          <w:sz w:val="21"/>
          <w:szCs w:val="21"/>
          <w:b w:val="1"/>
          <w:bCs w:val="1"/>
          <w:color w:val="auto"/>
        </w:rPr>
      </w:pPr>
    </w:p>
    <w:p>
      <w:pPr>
        <w:jc w:val="both"/>
        <w:ind w:firstLine="6"/>
        <w:spacing w:after="0" w:line="223" w:lineRule="auto"/>
        <w:tabs>
          <w:tab w:leader="none" w:pos="627" w:val="left"/>
        </w:tabs>
        <w:numPr>
          <w:ilvl w:val="0"/>
          <w:numId w:val="14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Section 162(m) Compliance</w:t>
      </w:r>
      <w:r>
        <w:rPr>
          <w:rFonts w:ascii="Times New Roman" w:cs="Times New Roman" w:eastAsia="Times New Roman" w:hAnsi="Times New Roman"/>
          <w:sz w:val="21"/>
          <w:szCs w:val="21"/>
          <w:color w:val="auto"/>
        </w:rPr>
        <w:t>. Unless otherwise permitted in compliance with the requirements of Section 162(m)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Code with respect to an Award intended to qualify as “performance-based compensation” thereunder, the Committee shall establish the Performance Goals applicable to, and the formula for calculating the amount payable under, the Award no later than the earlier of (a) the date ninety (90) days after the commencement of the applicable Performance Period, or (b) the date on which twenty-five percent (25%) of the Performance Period has elapsed, and in either event at a time when the achievement of the applicable Performance Goals remains substantially uncertain. Prior to the payment of any compensation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2"/>
          <w:szCs w:val="12"/>
          <w:color w:val="auto"/>
        </w:rPr>
        <w:t>130316850 v7</w:t>
      </w:r>
    </w:p>
    <w:p>
      <w:pPr>
        <w:sectPr>
          <w:pgSz w:w="11900" w:h="16838" w:orient="portrait"/>
          <w:cols w:equalWidth="0" w:num="1">
            <w:col w:w="11240"/>
          </w:cols>
          <w:pgMar w:left="320" w:top="1373" w:right="339" w:bottom="1440" w:gutter="0" w:footer="0" w:header="0"/>
        </w:sectPr>
      </w:pPr>
    </w:p>
    <w:bookmarkStart w:id="210" w:name="page211"/>
    <w:bookmarkEnd w:id="210"/>
    <w:p>
      <w:pPr>
        <w:jc w:val="both"/>
        <w:spacing w:after="0" w:line="219" w:lineRule="auto"/>
        <w:rPr>
          <w:sz w:val="20"/>
          <w:szCs w:val="20"/>
          <w:color w:val="auto"/>
        </w:rPr>
      </w:pPr>
      <w:r>
        <w:rPr>
          <w:rFonts w:ascii="Times New Roman" w:cs="Times New Roman" w:eastAsia="Times New Roman" w:hAnsi="Times New Roman"/>
          <w:sz w:val="21"/>
          <w:szCs w:val="21"/>
          <w:color w:val="auto"/>
        </w:rPr>
        <w:t>under an Award intended to qualify as “performance-based compensation” under Section 162(m) of the Code, the Committee shall certify the extent to which any Performance Goals and any other material terms under such Award have been satisfied (other than in cases where such relate solely to the increase in the value of the Ordinary Shares). Notwithstanding the satisfaction of any Performance Goals, to the extent specified at the time of grant of an Award to any “covered employee” within the meaning of Section 162(m) of the Code that is intended to qualify as “performance-based compensation” thereunder, the number of Ordinary Shares, Options, cash or other benefits granted, issued, retainable and/or vested under the Award on account of the satisfaction of such Performance Goals may be reduced by the Committee on the basis of such further considerations as the Committee, in its sole discretion, shall determine.</w:t>
      </w:r>
    </w:p>
    <w:p>
      <w:pPr>
        <w:spacing w:after="0" w:line="150" w:lineRule="exact"/>
        <w:rPr>
          <w:sz w:val="20"/>
          <w:szCs w:val="20"/>
          <w:color w:val="auto"/>
        </w:rPr>
      </w:pPr>
    </w:p>
    <w:p>
      <w:pPr>
        <w:jc w:val="both"/>
        <w:ind w:firstLine="6"/>
        <w:spacing w:after="0" w:line="220" w:lineRule="auto"/>
        <w:tabs>
          <w:tab w:leader="none" w:pos="633" w:val="left"/>
        </w:tabs>
        <w:numPr>
          <w:ilvl w:val="0"/>
          <w:numId w:val="14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Other Stock Awards</w:t>
      </w:r>
      <w:r>
        <w:rPr>
          <w:rFonts w:ascii="Times New Roman" w:cs="Times New Roman" w:eastAsia="Times New Roman" w:hAnsi="Times New Roman"/>
          <w:sz w:val="21"/>
          <w:szCs w:val="21"/>
          <w:color w:val="auto"/>
        </w:rPr>
        <w:t>. Other forms of Stock Awards valued in whole or in part by reference to, or otherwise based 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Ordinary Shares, including the appreciation in value thereof (e.g., options or share rights with an exercise price or strike price less than 100% of the Fair Market Value of the Ordinary Shares at the time of grant) may be granted either alone or in addition to Stock Awards provided for under Section 5 and the preceding provisions of this Section 6. Subject to the provisions of the Plan, the Board shall have sole and complete authority to determine the persons to whom and the time or times at which such Other Stock Awards will be granted, the number of Ordinary Shares (or the cash equivalent thereof) to be granted pursuant to such Other Stock Awards and all other terms and conditions of such Other Stock Awards;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where Ordinary Shares are issued pursuant to an Other Stock Award the nominal value of each newly issued Ordinary Share is fully paid up.</w:t>
      </w:r>
    </w:p>
    <w:p>
      <w:pPr>
        <w:spacing w:after="0" w:line="146" w:lineRule="exact"/>
        <w:rPr>
          <w:sz w:val="20"/>
          <w:szCs w:val="20"/>
          <w:color w:val="auto"/>
        </w:rPr>
      </w:pPr>
    </w:p>
    <w:p>
      <w:pPr>
        <w:ind w:left="640" w:hanging="634"/>
        <w:spacing w:after="0"/>
        <w:tabs>
          <w:tab w:leader="none" w:pos="640" w:val="left"/>
        </w:tabs>
        <w:numPr>
          <w:ilvl w:val="0"/>
          <w:numId w:val="14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Covenants of the Company.</w:t>
      </w:r>
    </w:p>
    <w:p>
      <w:pPr>
        <w:spacing w:after="0" w:line="184" w:lineRule="exact"/>
        <w:rPr>
          <w:sz w:val="20"/>
          <w:szCs w:val="20"/>
          <w:color w:val="auto"/>
        </w:rPr>
      </w:pPr>
    </w:p>
    <w:p>
      <w:pPr>
        <w:ind w:firstLine="6"/>
        <w:spacing w:after="0" w:line="251" w:lineRule="auto"/>
        <w:tabs>
          <w:tab w:leader="none" w:pos="634" w:val="left"/>
        </w:tabs>
        <w:numPr>
          <w:ilvl w:val="0"/>
          <w:numId w:val="14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Availability of Shares. </w:t>
      </w:r>
      <w:r>
        <w:rPr>
          <w:rFonts w:ascii="Times New Roman" w:cs="Times New Roman" w:eastAsia="Times New Roman" w:hAnsi="Times New Roman"/>
          <w:sz w:val="21"/>
          <w:szCs w:val="21"/>
          <w:color w:val="auto"/>
        </w:rPr>
        <w:t>During the terms of the Stock Awards, the Company shall keep available at all times the number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Ordinary Shares reasonably required to satisfy such Stock Awards.</w:t>
      </w:r>
    </w:p>
    <w:p>
      <w:pPr>
        <w:spacing w:after="0" w:line="133" w:lineRule="exact"/>
        <w:rPr>
          <w:rFonts w:ascii="Times New Roman" w:cs="Times New Roman" w:eastAsia="Times New Roman" w:hAnsi="Times New Roman"/>
          <w:sz w:val="21"/>
          <w:szCs w:val="21"/>
          <w:b w:val="1"/>
          <w:bCs w:val="1"/>
          <w:color w:val="auto"/>
        </w:rPr>
      </w:pPr>
    </w:p>
    <w:p>
      <w:pPr>
        <w:jc w:val="both"/>
        <w:ind w:firstLine="6"/>
        <w:spacing w:after="0" w:line="219" w:lineRule="auto"/>
        <w:tabs>
          <w:tab w:leader="none" w:pos="633" w:val="left"/>
        </w:tabs>
        <w:numPr>
          <w:ilvl w:val="0"/>
          <w:numId w:val="14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Securities Law Compliance. </w:t>
      </w:r>
      <w:r>
        <w:rPr>
          <w:rFonts w:ascii="Times New Roman" w:cs="Times New Roman" w:eastAsia="Times New Roman" w:hAnsi="Times New Roman"/>
          <w:sz w:val="21"/>
          <w:szCs w:val="21"/>
          <w:color w:val="auto"/>
        </w:rPr>
        <w:t>The Company shall seek to obtain from each regulatory commission or agency having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jurisdiction over the Plan such authority as may be required to grant Stock Awards and to issue and sell Ordinary Shares upon exercise of the Stock Awards;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this undertaking shall not require the Company to register under the Securities Act the Plan, any Stock Award or any Ordinary Shares issued or issuable pursuant to any such Stock Award. If, after reasonable efforts, the Company is unable to obtain from any such regulatory commission or agency the authority that counsel for the Company deems necessary for the lawful issuance and sale of Ordinary Shares under the Plan, the Company shall be relieved from any liability for failure to issue and sell Ordinary Shares upon exercise of such Stock Awards unless and until such authority is obtained. A Participant shall not be eligible for the grant of a Stock Award or the subsequent issuance of Ordinary Shares pursuant to the Stock Award if such grant or issuance would be in violation of any applicable securities law.</w:t>
      </w:r>
    </w:p>
    <w:p>
      <w:pPr>
        <w:spacing w:after="0" w:line="146" w:lineRule="exact"/>
        <w:rPr>
          <w:rFonts w:ascii="Times New Roman" w:cs="Times New Roman" w:eastAsia="Times New Roman" w:hAnsi="Times New Roman"/>
          <w:sz w:val="21"/>
          <w:szCs w:val="21"/>
          <w:b w:val="1"/>
          <w:bCs w:val="1"/>
          <w:color w:val="auto"/>
        </w:rPr>
      </w:pPr>
    </w:p>
    <w:p>
      <w:pPr>
        <w:jc w:val="both"/>
        <w:ind w:firstLine="6"/>
        <w:spacing w:after="0" w:line="225" w:lineRule="auto"/>
        <w:tabs>
          <w:tab w:leader="none" w:pos="636" w:val="left"/>
        </w:tabs>
        <w:numPr>
          <w:ilvl w:val="0"/>
          <w:numId w:val="14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No Obligation to Notify or Minimize Taxes. </w:t>
      </w:r>
      <w:r>
        <w:rPr>
          <w:rFonts w:ascii="Times New Roman" w:cs="Times New Roman" w:eastAsia="Times New Roman" w:hAnsi="Times New Roman"/>
          <w:sz w:val="21"/>
          <w:szCs w:val="21"/>
          <w:color w:val="auto"/>
        </w:rPr>
        <w:t>The Company and any Affiliates shall have no duty or obligation to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Participant to advise such holder as to the time or manner of exercising a Stock Award. Furthermore, the Company and any Affiliates shall have no duty or obligation to warn or otherwise advise such holder of a pending termination or expiration of a Stock Award or a possible period in which the Stock Award may not be exercised. The Company and any Affiliates have no duty or obligation to minimize the tax consequences of a Stock Award to the holder of such Stock Award.</w:t>
      </w:r>
    </w:p>
    <w:p>
      <w:pPr>
        <w:spacing w:after="0" w:line="146" w:lineRule="exact"/>
        <w:rPr>
          <w:sz w:val="20"/>
          <w:szCs w:val="20"/>
          <w:color w:val="auto"/>
        </w:rPr>
      </w:pPr>
    </w:p>
    <w:p>
      <w:pPr>
        <w:ind w:left="640" w:hanging="634"/>
        <w:spacing w:after="0"/>
        <w:tabs>
          <w:tab w:leader="none" w:pos="640" w:val="left"/>
        </w:tabs>
        <w:numPr>
          <w:ilvl w:val="0"/>
          <w:numId w:val="14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Miscellaneous.</w:t>
      </w:r>
    </w:p>
    <w:p>
      <w:pPr>
        <w:spacing w:after="0" w:line="184" w:lineRule="exact"/>
        <w:rPr>
          <w:sz w:val="20"/>
          <w:szCs w:val="20"/>
          <w:color w:val="auto"/>
        </w:rPr>
      </w:pPr>
    </w:p>
    <w:p>
      <w:pPr>
        <w:ind w:firstLine="6"/>
        <w:spacing w:after="0" w:line="251" w:lineRule="auto"/>
        <w:tabs>
          <w:tab w:leader="none" w:pos="634" w:val="left"/>
        </w:tabs>
        <w:numPr>
          <w:ilvl w:val="0"/>
          <w:numId w:val="15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Use of Proceeds from Sales of Ordinary Shares. </w:t>
      </w:r>
      <w:r>
        <w:rPr>
          <w:rFonts w:ascii="Times New Roman" w:cs="Times New Roman" w:eastAsia="Times New Roman" w:hAnsi="Times New Roman"/>
          <w:sz w:val="21"/>
          <w:szCs w:val="21"/>
          <w:color w:val="auto"/>
        </w:rPr>
        <w:t>Proceeds from the sale of Ordinary Shares pursuant to Stock Awards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constitute general funds of the Company.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2"/>
          <w:szCs w:val="12"/>
          <w:color w:val="auto"/>
        </w:rPr>
        <w:t>130316850 v7</w:t>
      </w:r>
    </w:p>
    <w:p>
      <w:pPr>
        <w:sectPr>
          <w:pgSz w:w="11900" w:h="16838" w:orient="portrait"/>
          <w:cols w:equalWidth="0" w:num="1">
            <w:col w:w="11240"/>
          </w:cols>
          <w:pgMar w:left="320" w:top="1377" w:right="339" w:bottom="1440" w:gutter="0" w:footer="0" w:header="0"/>
        </w:sectPr>
      </w:pPr>
    </w:p>
    <w:bookmarkStart w:id="211" w:name="page212"/>
    <w:bookmarkEnd w:id="211"/>
    <w:p>
      <w:pPr>
        <w:jc w:val="both"/>
        <w:ind w:firstLine="6"/>
        <w:spacing w:after="0" w:line="228" w:lineRule="auto"/>
        <w:tabs>
          <w:tab w:leader="none" w:pos="633" w:val="left"/>
        </w:tabs>
        <w:numPr>
          <w:ilvl w:val="0"/>
          <w:numId w:val="15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Corporate Action Constituting Grant of Stock Awards. </w:t>
      </w:r>
      <w:r>
        <w:rPr>
          <w:rFonts w:ascii="Times New Roman" w:cs="Times New Roman" w:eastAsia="Times New Roman" w:hAnsi="Times New Roman"/>
          <w:sz w:val="21"/>
          <w:szCs w:val="21"/>
          <w:color w:val="auto"/>
        </w:rPr>
        <w:t>Corporate action constituting a grant by the Company of a Stock</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Award to any Participant shall be deemed completed as of the date of such corporate action, unless otherwise determined by the Board, regardless of when the instrument, certificate, or letter evidencing the Stock Award is communicated to, or actually received or accepted by, the Participant.</w:t>
      </w:r>
    </w:p>
    <w:p>
      <w:pPr>
        <w:spacing w:after="0" w:line="147" w:lineRule="exact"/>
        <w:rPr>
          <w:rFonts w:ascii="Times New Roman" w:cs="Times New Roman" w:eastAsia="Times New Roman" w:hAnsi="Times New Roman"/>
          <w:sz w:val="21"/>
          <w:szCs w:val="21"/>
          <w:b w:val="1"/>
          <w:bCs w:val="1"/>
          <w:color w:val="auto"/>
        </w:rPr>
      </w:pPr>
    </w:p>
    <w:p>
      <w:pPr>
        <w:jc w:val="both"/>
        <w:ind w:firstLine="6"/>
        <w:spacing w:after="0" w:line="228" w:lineRule="auto"/>
        <w:tabs>
          <w:tab w:leader="none" w:pos="636" w:val="left"/>
        </w:tabs>
        <w:numPr>
          <w:ilvl w:val="0"/>
          <w:numId w:val="15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Shareholder Rights. </w:t>
      </w:r>
      <w:r>
        <w:rPr>
          <w:rFonts w:ascii="Times New Roman" w:cs="Times New Roman" w:eastAsia="Times New Roman" w:hAnsi="Times New Roman"/>
          <w:sz w:val="21"/>
          <w:szCs w:val="21"/>
          <w:color w:val="auto"/>
        </w:rPr>
        <w:t>No Participant shall be deemed to be the holder of, or to have any of the rights of a holder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respect to, any Ordinary Shares subject to such Stock Award unless and until (i) such Participant has satisfied all requirements for exercise of the Stock Award pursuant to its terms, if applicable, and (ii) the issuance of the Ordinary Shares subject to such Stock Award has been entered into the books and records of the Company.</w:t>
      </w:r>
    </w:p>
    <w:p>
      <w:pPr>
        <w:spacing w:after="0" w:line="147" w:lineRule="exact"/>
        <w:rPr>
          <w:rFonts w:ascii="Times New Roman" w:cs="Times New Roman" w:eastAsia="Times New Roman" w:hAnsi="Times New Roman"/>
          <w:sz w:val="21"/>
          <w:szCs w:val="21"/>
          <w:b w:val="1"/>
          <w:bCs w:val="1"/>
          <w:color w:val="auto"/>
        </w:rPr>
      </w:pPr>
    </w:p>
    <w:p>
      <w:pPr>
        <w:jc w:val="both"/>
        <w:ind w:firstLine="6"/>
        <w:spacing w:after="0"/>
        <w:tabs>
          <w:tab w:leader="none" w:pos="633" w:val="left"/>
        </w:tabs>
        <w:numPr>
          <w:ilvl w:val="0"/>
          <w:numId w:val="15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No Employment or Other Service Rights. </w:t>
      </w:r>
      <w:r>
        <w:rPr>
          <w:rFonts w:ascii="Times New Roman" w:cs="Times New Roman" w:eastAsia="Times New Roman" w:hAnsi="Times New Roman"/>
          <w:sz w:val="21"/>
          <w:szCs w:val="21"/>
          <w:color w:val="auto"/>
        </w:rPr>
        <w:t>Nothing in the Plan, any Stock Award Agreement or any other instrument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executed thereunder or in connection with any Award granted pursuant thereto shall confer upon any Participant any right to continue to serve the Company or an Affiliate in the capacity in effect at the time the Stock Award was granted or shall affect the right of the Company or an Affiliate to terminate the employment of an Employee with or without notice and with or without cause.</w:t>
      </w:r>
    </w:p>
    <w:p>
      <w:pPr>
        <w:spacing w:after="0" w:line="311" w:lineRule="exact"/>
        <w:rPr>
          <w:rFonts w:ascii="Times New Roman" w:cs="Times New Roman" w:eastAsia="Times New Roman" w:hAnsi="Times New Roman"/>
          <w:sz w:val="21"/>
          <w:szCs w:val="21"/>
          <w:b w:val="1"/>
          <w:bCs w:val="1"/>
          <w:color w:val="auto"/>
        </w:rPr>
      </w:pPr>
    </w:p>
    <w:p>
      <w:pPr>
        <w:jc w:val="both"/>
        <w:ind w:firstLine="6"/>
        <w:spacing w:after="0" w:line="225" w:lineRule="auto"/>
        <w:tabs>
          <w:tab w:leader="none" w:pos="636" w:val="left"/>
        </w:tabs>
        <w:numPr>
          <w:ilvl w:val="0"/>
          <w:numId w:val="15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Incentive Stock Option $100,000 Limitation. </w:t>
      </w:r>
      <w:r>
        <w:rPr>
          <w:rFonts w:ascii="Times New Roman" w:cs="Times New Roman" w:eastAsia="Times New Roman" w:hAnsi="Times New Roman"/>
          <w:sz w:val="21"/>
          <w:szCs w:val="21"/>
          <w:color w:val="auto"/>
        </w:rPr>
        <w:t>To the extent that the aggregate Fair Market Value (determined at the time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grant) of Ordinary Shares with respect to which Incentive Stock Options are exercisable for the first time by any Optionholder during any calendar year (under all plans of the Company and any Affiliates) exceeds one hundred thousand dollars ($100,000), the Options or portions thereof that exceed such limit (according to the order in which they were granted) shall be treated as Nonstatutory Stock Options, notwithstanding any contrary provision of the applicable Option Agreement(s).</w:t>
      </w:r>
    </w:p>
    <w:p>
      <w:pPr>
        <w:spacing w:after="0" w:line="145" w:lineRule="exact"/>
        <w:rPr>
          <w:rFonts w:ascii="Times New Roman" w:cs="Times New Roman" w:eastAsia="Times New Roman" w:hAnsi="Times New Roman"/>
          <w:sz w:val="21"/>
          <w:szCs w:val="21"/>
          <w:b w:val="1"/>
          <w:bCs w:val="1"/>
          <w:color w:val="auto"/>
        </w:rPr>
      </w:pPr>
    </w:p>
    <w:p>
      <w:pPr>
        <w:jc w:val="both"/>
        <w:ind w:firstLine="6"/>
        <w:spacing w:after="0" w:line="233" w:lineRule="auto"/>
        <w:tabs>
          <w:tab w:leader="none" w:pos="639" w:val="left"/>
        </w:tabs>
        <w:numPr>
          <w:ilvl w:val="0"/>
          <w:numId w:val="15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Investment Assurances. </w:t>
      </w:r>
      <w:r>
        <w:rPr>
          <w:rFonts w:ascii="Times New Roman" w:cs="Times New Roman" w:eastAsia="Times New Roman" w:hAnsi="Times New Roman"/>
          <w:sz w:val="21"/>
          <w:szCs w:val="21"/>
          <w:color w:val="auto"/>
        </w:rPr>
        <w:t>The Company may require a Participant, as a condition of exercising or acquiring Ordinary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Shares under any Stock 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Stock Award; and (ii) to give written assurances satisfactory to the Company stating that the Participant is acquiring Ordinary Shares subject to the Stock Award for the Participant’s own account and not with any present intention of selling or otherwise distributing the Ordinary Shares. The foregoing requirements, and any assurances given pursuant to such requirements, shall be inoperative if (A) the issuance of the Ordinary Shares upon the exercise or acquisition of Ordinary Shares under the Stock Award has been registered under a then currently effective registration statement under the Securities Act, or (B) as to any particular requirement, a determination is made by counsel for the Company that such requirement need not be met in the circumstances under the then applicable securities laws. The Company may, upon advice of counsel to the Company, place legends on share certificates issued under the Plan as such counsel deems necessary or appropriate in order to comply with applicable securities laws, including, but not limited to, legends restricting the transfer of the Ordinary Shares.</w:t>
      </w:r>
    </w:p>
    <w:p>
      <w:pPr>
        <w:spacing w:after="0" w:line="147" w:lineRule="exact"/>
        <w:rPr>
          <w:rFonts w:ascii="Times New Roman" w:cs="Times New Roman" w:eastAsia="Times New Roman" w:hAnsi="Times New Roman"/>
          <w:sz w:val="21"/>
          <w:szCs w:val="21"/>
          <w:b w:val="1"/>
          <w:bCs w:val="1"/>
          <w:color w:val="auto"/>
        </w:rPr>
      </w:pPr>
    </w:p>
    <w:p>
      <w:pPr>
        <w:jc w:val="both"/>
        <w:ind w:firstLine="6"/>
        <w:spacing w:after="0"/>
        <w:tabs>
          <w:tab w:leader="none" w:pos="634" w:val="left"/>
        </w:tabs>
        <w:numPr>
          <w:ilvl w:val="0"/>
          <w:numId w:val="15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Withholding Obligations. </w:t>
      </w:r>
      <w:r>
        <w:rPr>
          <w:rFonts w:ascii="Times New Roman" w:cs="Times New Roman" w:eastAsia="Times New Roman" w:hAnsi="Times New Roman"/>
          <w:sz w:val="21"/>
          <w:szCs w:val="21"/>
          <w:color w:val="auto"/>
        </w:rPr>
        <w:t>Unless prohibited by the terms of a Stock Award Agreement, the Company or an Affiliate may,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in its sole discretion, satisfy any federal, state, local or foreign tax withholding obligation relating to an Award by any of the following means or by a combination of such means: (i) causing the Participant to tender a cash payment; (ii) withholding Ordinary Shares from the Ordinary Shares issued or otherwise issuable to the Participant in connection with the Award;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no Ordinary Shares are withheld with a value exceeding the amount necessary to satisfy the applicable tax withholding obligation at the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2"/>
          <w:szCs w:val="12"/>
          <w:color w:val="auto"/>
        </w:rPr>
        <w:t>130316850 v7</w:t>
      </w:r>
    </w:p>
    <w:p>
      <w:pPr>
        <w:sectPr>
          <w:pgSz w:w="11900" w:h="16838" w:orient="portrait"/>
          <w:cols w:equalWidth="0" w:num="1">
            <w:col w:w="11240"/>
          </w:cols>
          <w:pgMar w:left="320" w:top="1373" w:right="339" w:bottom="1440" w:gutter="0" w:footer="0" w:header="0"/>
        </w:sectPr>
      </w:pPr>
    </w:p>
    <w:bookmarkStart w:id="212" w:name="page213"/>
    <w:bookmarkEnd w:id="212"/>
    <w:p>
      <w:pPr>
        <w:jc w:val="both"/>
        <w:spacing w:after="0" w:line="233" w:lineRule="auto"/>
        <w:rPr>
          <w:sz w:val="20"/>
          <w:szCs w:val="20"/>
          <w:color w:val="auto"/>
        </w:rPr>
      </w:pPr>
      <w:r>
        <w:rPr>
          <w:rFonts w:ascii="Times New Roman" w:cs="Times New Roman" w:eastAsia="Times New Roman" w:hAnsi="Times New Roman"/>
          <w:sz w:val="21"/>
          <w:szCs w:val="21"/>
          <w:color w:val="auto"/>
        </w:rPr>
        <w:t>maximum rate applicable in the Participant’s jurisdiction(s)); (iii) withholding cash from an Award settled in cash; (iv) withholding payment from any amounts otherwise payable to the Participant; or (v) by such other method as may be set forth in the Award Agreement.</w:t>
      </w:r>
    </w:p>
    <w:p>
      <w:pPr>
        <w:spacing w:after="0" w:line="145" w:lineRule="exact"/>
        <w:rPr>
          <w:sz w:val="20"/>
          <w:szCs w:val="20"/>
          <w:color w:val="auto"/>
        </w:rPr>
      </w:pPr>
    </w:p>
    <w:p>
      <w:pPr>
        <w:jc w:val="both"/>
        <w:ind w:firstLine="6"/>
        <w:spacing w:after="0" w:line="234" w:lineRule="auto"/>
        <w:tabs>
          <w:tab w:leader="none" w:pos="633" w:val="left"/>
        </w:tabs>
        <w:numPr>
          <w:ilvl w:val="0"/>
          <w:numId w:val="15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Electronic Delivery</w:t>
      </w:r>
      <w:r>
        <w:rPr>
          <w:rFonts w:ascii="Times New Roman" w:cs="Times New Roman" w:eastAsia="Times New Roman" w:hAnsi="Times New Roman"/>
          <w:sz w:val="21"/>
          <w:szCs w:val="21"/>
          <w:color w:val="auto"/>
        </w:rPr>
        <w:t>. Any reference herein to a “written” agreement or document shall include any agreement or document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delivered electronically or posted on the Company’s (or Affiliate’s, if applicable) intranet (or other shared electronic medium controlled by the Company (or Affiliate, if applicable) to which the Participant has access).</w:t>
      </w:r>
    </w:p>
    <w:p>
      <w:pPr>
        <w:spacing w:after="0" w:line="145" w:lineRule="exact"/>
        <w:rPr>
          <w:rFonts w:ascii="Times New Roman" w:cs="Times New Roman" w:eastAsia="Times New Roman" w:hAnsi="Times New Roman"/>
          <w:sz w:val="21"/>
          <w:szCs w:val="21"/>
          <w:b w:val="1"/>
          <w:bCs w:val="1"/>
          <w:color w:val="auto"/>
        </w:rPr>
      </w:pPr>
    </w:p>
    <w:p>
      <w:pPr>
        <w:jc w:val="both"/>
        <w:ind w:firstLine="6"/>
        <w:spacing w:after="0" w:line="220" w:lineRule="auto"/>
        <w:tabs>
          <w:tab w:leader="none" w:pos="627" w:val="left"/>
        </w:tabs>
        <w:numPr>
          <w:ilvl w:val="0"/>
          <w:numId w:val="15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Deferrals. </w:t>
      </w:r>
      <w:r>
        <w:rPr>
          <w:rFonts w:ascii="Times New Roman" w:cs="Times New Roman" w:eastAsia="Times New Roman" w:hAnsi="Times New Roman"/>
          <w:sz w:val="21"/>
          <w:szCs w:val="21"/>
          <w:color w:val="auto"/>
        </w:rPr>
        <w:t>To the extent permitted by applicable law, the Board, in its sole discretion, may determine that the delivery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Ordinary Shares or the payment of cash, upon the exercise, vesting or settlement of all or a portion of any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or an Affiliate. The Board is authorized to make deferrals of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spacing w:after="0" w:line="146" w:lineRule="exact"/>
        <w:rPr>
          <w:rFonts w:ascii="Times New Roman" w:cs="Times New Roman" w:eastAsia="Times New Roman" w:hAnsi="Times New Roman"/>
          <w:sz w:val="21"/>
          <w:szCs w:val="21"/>
          <w:b w:val="1"/>
          <w:bCs w:val="1"/>
          <w:color w:val="auto"/>
        </w:rPr>
      </w:pPr>
    </w:p>
    <w:p>
      <w:pPr>
        <w:jc w:val="both"/>
        <w:ind w:firstLine="6"/>
        <w:spacing w:after="0" w:line="219" w:lineRule="auto"/>
        <w:tabs>
          <w:tab w:leader="none" w:pos="639" w:val="left"/>
        </w:tabs>
        <w:numPr>
          <w:ilvl w:val="0"/>
          <w:numId w:val="15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Compliance with Section 409A. </w:t>
      </w:r>
      <w:r>
        <w:rPr>
          <w:rFonts w:ascii="Times New Roman" w:cs="Times New Roman" w:eastAsia="Times New Roman" w:hAnsi="Times New Roman"/>
          <w:sz w:val="21"/>
          <w:szCs w:val="21"/>
          <w:color w:val="auto"/>
        </w:rPr>
        <w:t>To the extent that the Board determines that any Award granted hereunder is subject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Section 409A of the Code, the Award Agreement evidencing such Award shall incorporate the terms and conditions necessary to avoid the consequences specified in Section 409A(a)(1) of the Code. To the extent applicable, the Plan and Award Agreements shall be interpreted in accordance with Section 409A of the Code. Notwithstanding anything to the contrary in this Plan (and unless the Award Agreement specifically provides otherwise), if the Ordinary Shares are publicly traded and a Participant holding an Award that constitutes “deferred compensation” under Section 409A of the Code is a “specified employee” for purposes of Section 409A of the Code, no distribution or payment of any amount shall be made upon a “separation from service” before a date that is six (6) months following the date of such Participant’s “separation from service” (as defined in Section 409A of the Code without regard to alternative definitions thereunder) or, if earlier, the date of the Participant’s death.</w:t>
      </w:r>
    </w:p>
    <w:p>
      <w:pPr>
        <w:spacing w:after="0" w:line="146" w:lineRule="exact"/>
        <w:rPr>
          <w:rFonts w:ascii="Times New Roman" w:cs="Times New Roman" w:eastAsia="Times New Roman" w:hAnsi="Times New Roman"/>
          <w:sz w:val="21"/>
          <w:szCs w:val="21"/>
          <w:b w:val="1"/>
          <w:bCs w:val="1"/>
          <w:color w:val="auto"/>
        </w:rPr>
      </w:pPr>
    </w:p>
    <w:p>
      <w:pPr>
        <w:jc w:val="both"/>
        <w:ind w:firstLine="6"/>
        <w:spacing w:after="0" w:line="228" w:lineRule="auto"/>
        <w:tabs>
          <w:tab w:leader="none" w:pos="633" w:val="left"/>
        </w:tabs>
        <w:numPr>
          <w:ilvl w:val="0"/>
          <w:numId w:val="15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Clawback Policy</w:t>
      </w:r>
      <w:r>
        <w:rPr>
          <w:rFonts w:ascii="Times New Roman" w:cs="Times New Roman" w:eastAsia="Times New Roman" w:hAnsi="Times New Roman"/>
          <w:sz w:val="21"/>
          <w:szCs w:val="21"/>
          <w:color w:val="auto"/>
        </w:rPr>
        <w:t>. Any amounts paid hereunder shall be subject to recoupment in accordance with any clawback policy that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Company is required to adopt pursuant to the listing standards of any national securities exchange or association on which the Company’s securities are listed or as is otherwise required by the Dodd-Frank Wall Street Reform and Consumer Protection Act or other applicable law.</w:t>
      </w:r>
    </w:p>
    <w:p>
      <w:pPr>
        <w:spacing w:after="0" w:line="147" w:lineRule="exact"/>
        <w:rPr>
          <w:sz w:val="20"/>
          <w:szCs w:val="20"/>
          <w:color w:val="auto"/>
        </w:rPr>
      </w:pPr>
    </w:p>
    <w:p>
      <w:pPr>
        <w:ind w:left="640" w:hanging="634"/>
        <w:spacing w:after="0"/>
        <w:tabs>
          <w:tab w:leader="none" w:pos="640" w:val="left"/>
        </w:tabs>
        <w:numPr>
          <w:ilvl w:val="0"/>
          <w:numId w:val="15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Adjustments upon Changes in Ordinary Shares; Other Corporate Events.</w:t>
      </w:r>
    </w:p>
    <w:p>
      <w:pPr>
        <w:spacing w:after="0" w:line="184" w:lineRule="exact"/>
        <w:rPr>
          <w:sz w:val="20"/>
          <w:szCs w:val="20"/>
          <w:color w:val="auto"/>
        </w:rPr>
      </w:pPr>
    </w:p>
    <w:p>
      <w:pPr>
        <w:jc w:val="both"/>
        <w:ind w:firstLine="6"/>
        <w:spacing w:after="0" w:line="221" w:lineRule="auto"/>
        <w:tabs>
          <w:tab w:leader="none" w:pos="634" w:val="left"/>
        </w:tabs>
        <w:numPr>
          <w:ilvl w:val="0"/>
          <w:numId w:val="15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Capitalization Adjustments</w:t>
      </w:r>
      <w:r>
        <w:rPr>
          <w:rFonts w:ascii="Times New Roman" w:cs="Times New Roman" w:eastAsia="Times New Roman" w:hAnsi="Times New Roman"/>
          <w:sz w:val="21"/>
          <w:szCs w:val="21"/>
          <w:color w:val="auto"/>
        </w:rPr>
        <w:t>. In the event of a Capitalization Adjustment, the Board shall appropriately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proportionately adjust: (i) the class(es) and maximum number of securities subject to the Plan pursuant to Section 3(a); (ii) the class(es) and maximum number of securities by which the Share Reserve is to increase automatically each year pursuant to Section 3(a); (iii) the class(es) and maximum number of securities that may be issued pursuant to the exercise of Incentive Stock Options pursuant to Section 3(c); (iv) the class(es) and maximum number of securities that may be awarded to any person pursuant to Sections 3(d) and 6(c)(i); and (v) the class(es) and number of securities and price per Ordinary Share subject to outstanding Stock Awards. The Board shall make such adjustments, and its determination shall be final, binding and conclusive.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2"/>
          <w:szCs w:val="12"/>
          <w:color w:val="auto"/>
        </w:rPr>
        <w:t>130316850 v7</w:t>
      </w:r>
    </w:p>
    <w:p>
      <w:pPr>
        <w:sectPr>
          <w:pgSz w:w="11900" w:h="16838" w:orient="portrait"/>
          <w:cols w:equalWidth="0" w:num="1">
            <w:col w:w="11240"/>
          </w:cols>
          <w:pgMar w:left="320" w:top="1377" w:right="339" w:bottom="1440" w:gutter="0" w:footer="0" w:header="0"/>
        </w:sectPr>
      </w:pPr>
    </w:p>
    <w:bookmarkStart w:id="213" w:name="page214"/>
    <w:bookmarkEnd w:id="213"/>
    <w:p>
      <w:pPr>
        <w:jc w:val="both"/>
        <w:ind w:firstLine="6"/>
        <w:spacing w:after="0" w:line="219" w:lineRule="auto"/>
        <w:tabs>
          <w:tab w:leader="none" w:pos="633" w:val="left"/>
        </w:tabs>
        <w:numPr>
          <w:ilvl w:val="0"/>
          <w:numId w:val="15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Dissolution or Liquidation</w:t>
      </w:r>
      <w:r>
        <w:rPr>
          <w:rFonts w:ascii="Times New Roman" w:cs="Times New Roman" w:eastAsia="Times New Roman" w:hAnsi="Times New Roman"/>
          <w:sz w:val="21"/>
          <w:szCs w:val="21"/>
          <w:color w:val="auto"/>
        </w:rPr>
        <w:t>. Except as otherwise provided in a Stock Award Agreement, in the event of a dissolution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liquidation of the Company, all outstanding Stock Awards (other than Stock Awards consisting of vested and outstanding Ordinary Shares not subject to a forfeiture condition or the Company’s or any Affiliate’s right of repurchase) shall terminate immediately prior to the completion of such dissolution or liquidation, and any Ordinary Shares subject to the Company’s or any Affiliate’s repurchase rights or subject to a forfeiture condition may be repurchased or reacquired by the Company or Affiliate notwithstanding the fact that the holder of such Stock Award is providing Continuous Service;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the Board may, in its sole discretion, cause some or all Stock Awards to become fully vested, exercisable and/or no longer subject to repurchase or forfeiture (to the extent such Stock Awards have not previously expired or terminated) before the dissolution or liquidation is completed but contingent on its completion.</w:t>
      </w:r>
    </w:p>
    <w:p>
      <w:pPr>
        <w:spacing w:after="0" w:line="146" w:lineRule="exact"/>
        <w:rPr>
          <w:rFonts w:ascii="Times New Roman" w:cs="Times New Roman" w:eastAsia="Times New Roman" w:hAnsi="Times New Roman"/>
          <w:sz w:val="21"/>
          <w:szCs w:val="21"/>
          <w:b w:val="1"/>
          <w:bCs w:val="1"/>
          <w:color w:val="auto"/>
        </w:rPr>
      </w:pPr>
    </w:p>
    <w:p>
      <w:pPr>
        <w:jc w:val="both"/>
        <w:ind w:firstLine="6"/>
        <w:spacing w:after="0" w:line="225" w:lineRule="auto"/>
        <w:tabs>
          <w:tab w:leader="none" w:pos="636" w:val="left"/>
        </w:tabs>
        <w:numPr>
          <w:ilvl w:val="0"/>
          <w:numId w:val="15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Corporate Transaction. </w:t>
      </w:r>
      <w:r>
        <w:rPr>
          <w:rFonts w:ascii="Times New Roman" w:cs="Times New Roman" w:eastAsia="Times New Roman" w:hAnsi="Times New Roman"/>
          <w:sz w:val="21"/>
          <w:szCs w:val="21"/>
          <w:color w:val="auto"/>
        </w:rPr>
        <w:t>Notwithstanding any other provision of the Plan, the Board may take one or more of the following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actions in the event of a Corporate Transaction with respect to Stock Awards, contingent upon the closing or completion of the Corporate Transaction, unless otherwise provided in the instrument evidencing the Stock Award or any other written agreement between the Company or any Affiliate and the Participant or unless otherwise expressly provided by the Board at the time of grant of a Stock Award:</w:t>
      </w:r>
    </w:p>
    <w:p>
      <w:pPr>
        <w:spacing w:after="0" w:line="150" w:lineRule="exact"/>
        <w:rPr>
          <w:sz w:val="20"/>
          <w:szCs w:val="20"/>
          <w:color w:val="auto"/>
        </w:rPr>
      </w:pPr>
    </w:p>
    <w:p>
      <w:pPr>
        <w:jc w:val="both"/>
        <w:ind w:firstLine="6"/>
        <w:spacing w:after="0" w:line="233" w:lineRule="auto"/>
        <w:tabs>
          <w:tab w:leader="none" w:pos="627" w:val="left"/>
        </w:tabs>
        <w:numPr>
          <w:ilvl w:val="0"/>
          <w:numId w:val="15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arrange for the surviving corporation or acquiring corporation (or the surviving or acquiring corporation’s parent company) to assume or continue the Stock Award or to substitute a similar stock award for the Stock Award (including, but not limited to, an award to acquire the same consideration paid to the shareholders of the Company pursuant to the Corporate Transaction);</w:t>
      </w:r>
    </w:p>
    <w:p>
      <w:pPr>
        <w:spacing w:after="0" w:line="148" w:lineRule="exact"/>
        <w:rPr>
          <w:rFonts w:ascii="Times New Roman" w:cs="Times New Roman" w:eastAsia="Times New Roman" w:hAnsi="Times New Roman"/>
          <w:sz w:val="21"/>
          <w:szCs w:val="21"/>
          <w:b w:val="1"/>
          <w:bCs w:val="1"/>
          <w:color w:val="auto"/>
        </w:rPr>
      </w:pPr>
    </w:p>
    <w:p>
      <w:pPr>
        <w:jc w:val="both"/>
        <w:ind w:firstLine="6"/>
        <w:spacing w:after="0" w:line="233" w:lineRule="auto"/>
        <w:tabs>
          <w:tab w:leader="none" w:pos="633" w:val="left"/>
        </w:tabs>
        <w:numPr>
          <w:ilvl w:val="0"/>
          <w:numId w:val="15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arrange for the assignment of any reacquisition or repurchase rights held by the Company or any Affiliate in respect of Ordinary Shares issued pursuant to the Stock Award to the surviving corporation or acquiring corporation (or the surviving or acquiring corporation’s parent company);</w:t>
      </w:r>
    </w:p>
    <w:p>
      <w:pPr>
        <w:spacing w:after="0" w:line="148" w:lineRule="exact"/>
        <w:rPr>
          <w:rFonts w:ascii="Times New Roman" w:cs="Times New Roman" w:eastAsia="Times New Roman" w:hAnsi="Times New Roman"/>
          <w:sz w:val="21"/>
          <w:szCs w:val="21"/>
          <w:b w:val="1"/>
          <w:bCs w:val="1"/>
          <w:color w:val="auto"/>
        </w:rPr>
      </w:pPr>
    </w:p>
    <w:p>
      <w:pPr>
        <w:jc w:val="both"/>
        <w:ind w:firstLine="6"/>
        <w:spacing w:after="0" w:line="227" w:lineRule="auto"/>
        <w:tabs>
          <w:tab w:leader="none" w:pos="639" w:val="left"/>
        </w:tabs>
        <w:numPr>
          <w:ilvl w:val="0"/>
          <w:numId w:val="15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accelerate the vesting, in whole or in part, of the Stock Award (and, if applicable, the time at which the Stock Award may be exercised) to a date prior to the effective time of such Corporate Transaction as the Board shall determine (or, if the Board shall not determine such a date, to the date that is five (5) days prior to the effective date of the Corporate Transaction), with such Stock Award terminating if not exercised (if applicable) at or prior to the effective time of the Corporate Transaction;</w:t>
      </w:r>
    </w:p>
    <w:p>
      <w:pPr>
        <w:spacing w:after="0" w:line="151" w:lineRule="exact"/>
        <w:rPr>
          <w:rFonts w:ascii="Times New Roman" w:cs="Times New Roman" w:eastAsia="Times New Roman" w:hAnsi="Times New Roman"/>
          <w:sz w:val="21"/>
          <w:szCs w:val="21"/>
          <w:b w:val="1"/>
          <w:bCs w:val="1"/>
          <w:color w:val="auto"/>
        </w:rPr>
      </w:pPr>
    </w:p>
    <w:p>
      <w:pPr>
        <w:ind w:firstLine="6"/>
        <w:spacing w:after="0" w:line="247" w:lineRule="auto"/>
        <w:tabs>
          <w:tab w:leader="none" w:pos="627" w:val="left"/>
        </w:tabs>
        <w:numPr>
          <w:ilvl w:val="0"/>
          <w:numId w:val="15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arrange for the lapse of any reacquisition or repurchase rights held by the Company or any Affiliate with respect to the Stock Award;</w:t>
      </w:r>
    </w:p>
    <w:p>
      <w:pPr>
        <w:spacing w:after="0" w:line="141" w:lineRule="exact"/>
        <w:rPr>
          <w:rFonts w:ascii="Times New Roman" w:cs="Times New Roman" w:eastAsia="Times New Roman" w:hAnsi="Times New Roman"/>
          <w:sz w:val="21"/>
          <w:szCs w:val="21"/>
          <w:b w:val="1"/>
          <w:bCs w:val="1"/>
          <w:color w:val="auto"/>
        </w:rPr>
      </w:pPr>
    </w:p>
    <w:p>
      <w:pPr>
        <w:jc w:val="both"/>
        <w:ind w:firstLine="6"/>
        <w:spacing w:after="0" w:line="233" w:lineRule="auto"/>
        <w:tabs>
          <w:tab w:leader="none" w:pos="634" w:val="left"/>
        </w:tabs>
        <w:numPr>
          <w:ilvl w:val="0"/>
          <w:numId w:val="15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cancel or arrange for the cancellation of the Stock Award, to the extent not vested or not exercised prior to the effective time of the Corporate Transaction, in exchange for such cash consideration, if any, as the Board, in its sole discretion, may consider appropriate; or</w:t>
      </w:r>
    </w:p>
    <w:p>
      <w:pPr>
        <w:spacing w:after="0" w:line="148" w:lineRule="exact"/>
        <w:rPr>
          <w:rFonts w:ascii="Times New Roman" w:cs="Times New Roman" w:eastAsia="Times New Roman" w:hAnsi="Times New Roman"/>
          <w:sz w:val="21"/>
          <w:szCs w:val="21"/>
          <w:b w:val="1"/>
          <w:bCs w:val="1"/>
          <w:color w:val="auto"/>
        </w:rPr>
      </w:pPr>
    </w:p>
    <w:p>
      <w:pPr>
        <w:jc w:val="both"/>
        <w:ind w:firstLine="6"/>
        <w:spacing w:after="0" w:line="233" w:lineRule="auto"/>
        <w:tabs>
          <w:tab w:leader="none" w:pos="627" w:val="left"/>
        </w:tabs>
        <w:numPr>
          <w:ilvl w:val="0"/>
          <w:numId w:val="15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make a payment, in such form as may be determined by the Board equal to the excess, if any, of (A) the value of the property the Participant would have received upon the exercise of the Stock Award, over (B) any exercise price payable by such holder in connection with such exercise.</w:t>
      </w:r>
    </w:p>
    <w:p>
      <w:pPr>
        <w:spacing w:after="0" w:line="14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1"/>
          <w:szCs w:val="21"/>
          <w:color w:val="auto"/>
        </w:rPr>
        <w:t>The Board need not take the same action or actions with respect to all Stock Awards or portions thereof or with respect to all Participants.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2"/>
          <w:szCs w:val="12"/>
          <w:color w:val="auto"/>
        </w:rPr>
        <w:t>130316850 v7</w:t>
      </w:r>
    </w:p>
    <w:p>
      <w:pPr>
        <w:sectPr>
          <w:pgSz w:w="11900" w:h="16838" w:orient="portrait"/>
          <w:cols w:equalWidth="0" w:num="1">
            <w:col w:w="11240"/>
          </w:cols>
          <w:pgMar w:left="320" w:top="1373" w:right="339" w:bottom="1440" w:gutter="0" w:footer="0" w:header="0"/>
        </w:sectPr>
      </w:pPr>
    </w:p>
    <w:bookmarkStart w:id="214" w:name="page215"/>
    <w:bookmarkEnd w:id="214"/>
    <w:p>
      <w:pPr>
        <w:jc w:val="both"/>
        <w:ind w:firstLine="6"/>
        <w:spacing w:after="0" w:line="228" w:lineRule="auto"/>
        <w:tabs>
          <w:tab w:leader="none" w:pos="633" w:val="left"/>
        </w:tabs>
        <w:numPr>
          <w:ilvl w:val="0"/>
          <w:numId w:val="15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Change in Control. </w:t>
      </w:r>
      <w:r>
        <w:rPr>
          <w:rFonts w:ascii="Times New Roman" w:cs="Times New Roman" w:eastAsia="Times New Roman" w:hAnsi="Times New Roman"/>
          <w:sz w:val="21"/>
          <w:szCs w:val="21"/>
          <w:color w:val="auto"/>
        </w:rPr>
        <w:t>A Stock Award may be subject to additional acceleration of vesting and exercisability upon or after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Change in Control as may be provided in the Stock Award Agreement for such Stock Award or as may be provided in any other written agreement between the Company or any Affiliate and the Participant, but in the absence of such provision, no such acceleration shall occur.</w:t>
      </w:r>
    </w:p>
    <w:p>
      <w:pPr>
        <w:spacing w:after="0" w:line="147" w:lineRule="exact"/>
        <w:rPr>
          <w:sz w:val="20"/>
          <w:szCs w:val="20"/>
          <w:color w:val="auto"/>
        </w:rPr>
      </w:pPr>
    </w:p>
    <w:p>
      <w:pPr>
        <w:ind w:left="640" w:hanging="634"/>
        <w:spacing w:after="0"/>
        <w:tabs>
          <w:tab w:leader="none" w:pos="640" w:val="left"/>
        </w:tabs>
        <w:numPr>
          <w:ilvl w:val="0"/>
          <w:numId w:val="15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Termination or Suspension of the Plan.</w:t>
      </w:r>
    </w:p>
    <w:p>
      <w:pPr>
        <w:spacing w:after="0" w:line="184" w:lineRule="exact"/>
        <w:rPr>
          <w:sz w:val="20"/>
          <w:szCs w:val="20"/>
          <w:color w:val="auto"/>
        </w:rPr>
      </w:pPr>
    </w:p>
    <w:p>
      <w:pPr>
        <w:ind w:firstLine="6"/>
        <w:spacing w:after="0" w:line="251" w:lineRule="auto"/>
        <w:tabs>
          <w:tab w:leader="none" w:pos="634" w:val="left"/>
        </w:tabs>
        <w:numPr>
          <w:ilvl w:val="0"/>
          <w:numId w:val="15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Plan Term. </w:t>
      </w:r>
      <w:r>
        <w:rPr>
          <w:rFonts w:ascii="Times New Roman" w:cs="Times New Roman" w:eastAsia="Times New Roman" w:hAnsi="Times New Roman"/>
          <w:sz w:val="21"/>
          <w:szCs w:val="21"/>
          <w:color w:val="auto"/>
        </w:rPr>
        <w:t>The Board may suspend or terminate the Plan at any time. No Incentive Stock Option will be granted after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October 24, 2021. No Awards may be granted under the Plan while the Plan is suspended or after it is terminated.</w:t>
      </w:r>
    </w:p>
    <w:p>
      <w:pPr>
        <w:spacing w:after="0" w:line="133" w:lineRule="exact"/>
        <w:rPr>
          <w:rFonts w:ascii="Times New Roman" w:cs="Times New Roman" w:eastAsia="Times New Roman" w:hAnsi="Times New Roman"/>
          <w:sz w:val="21"/>
          <w:szCs w:val="21"/>
          <w:b w:val="1"/>
          <w:bCs w:val="1"/>
          <w:color w:val="auto"/>
        </w:rPr>
      </w:pPr>
    </w:p>
    <w:p>
      <w:pPr>
        <w:ind w:firstLine="6"/>
        <w:spacing w:after="0" w:line="251" w:lineRule="auto"/>
        <w:tabs>
          <w:tab w:leader="none" w:pos="633" w:val="left"/>
        </w:tabs>
        <w:numPr>
          <w:ilvl w:val="0"/>
          <w:numId w:val="15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No Impairment of Rights. </w:t>
      </w:r>
      <w:r>
        <w:rPr>
          <w:rFonts w:ascii="Times New Roman" w:cs="Times New Roman" w:eastAsia="Times New Roman" w:hAnsi="Times New Roman"/>
          <w:sz w:val="21"/>
          <w:szCs w:val="21"/>
          <w:color w:val="auto"/>
        </w:rPr>
        <w:t>Suspension or termination of the Plan shall not impair rights and obligations under any Award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granted while the Plan is in effect except with the written consent of the affected Participant.</w:t>
      </w:r>
    </w:p>
    <w:p>
      <w:pPr>
        <w:spacing w:after="0" w:line="134" w:lineRule="exact"/>
        <w:rPr>
          <w:sz w:val="20"/>
          <w:szCs w:val="20"/>
          <w:color w:val="auto"/>
        </w:rPr>
      </w:pPr>
    </w:p>
    <w:p>
      <w:pPr>
        <w:ind w:left="640" w:hanging="634"/>
        <w:spacing w:after="0"/>
        <w:tabs>
          <w:tab w:leader="none" w:pos="640" w:val="left"/>
        </w:tabs>
        <w:numPr>
          <w:ilvl w:val="0"/>
          <w:numId w:val="16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Effective Date of Plan.</w:t>
      </w:r>
    </w:p>
    <w:p>
      <w:pPr>
        <w:spacing w:after="0" w:line="188" w:lineRule="exact"/>
        <w:rPr>
          <w:rFonts w:ascii="Times New Roman" w:cs="Times New Roman" w:eastAsia="Times New Roman" w:hAnsi="Times New Roman"/>
          <w:sz w:val="21"/>
          <w:szCs w:val="21"/>
          <w:b w:val="1"/>
          <w:bCs w:val="1"/>
          <w:color w:val="auto"/>
        </w:rPr>
      </w:pPr>
    </w:p>
    <w:p>
      <w:pPr>
        <w:ind w:left="64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This Plan shall become effective on the Effective Date.</w:t>
      </w:r>
    </w:p>
    <w:p>
      <w:pPr>
        <w:spacing w:after="0" w:line="180" w:lineRule="exact"/>
        <w:rPr>
          <w:rFonts w:ascii="Times New Roman" w:cs="Times New Roman" w:eastAsia="Times New Roman" w:hAnsi="Times New Roman"/>
          <w:sz w:val="21"/>
          <w:szCs w:val="21"/>
          <w:b w:val="1"/>
          <w:bCs w:val="1"/>
          <w:color w:val="auto"/>
        </w:rPr>
      </w:pPr>
    </w:p>
    <w:p>
      <w:pPr>
        <w:ind w:left="640" w:hanging="634"/>
        <w:spacing w:after="0"/>
        <w:tabs>
          <w:tab w:leader="none" w:pos="640" w:val="left"/>
        </w:tabs>
        <w:numPr>
          <w:ilvl w:val="0"/>
          <w:numId w:val="16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Choice of Law.</w:t>
      </w:r>
    </w:p>
    <w:p>
      <w:pPr>
        <w:spacing w:after="0" w:line="188" w:lineRule="exact"/>
        <w:rPr>
          <w:sz w:val="20"/>
          <w:szCs w:val="20"/>
          <w:color w:val="auto"/>
        </w:rPr>
      </w:pPr>
    </w:p>
    <w:p>
      <w:pPr>
        <w:ind w:firstLine="220"/>
        <w:spacing w:after="0" w:line="247" w:lineRule="auto"/>
        <w:rPr>
          <w:sz w:val="20"/>
          <w:szCs w:val="20"/>
          <w:color w:val="auto"/>
        </w:rPr>
      </w:pPr>
      <w:r>
        <w:rPr>
          <w:rFonts w:ascii="Times New Roman" w:cs="Times New Roman" w:eastAsia="Times New Roman" w:hAnsi="Times New Roman"/>
          <w:sz w:val="21"/>
          <w:szCs w:val="21"/>
          <w:color w:val="auto"/>
        </w:rPr>
        <w:t>The laws of the State of Delaware shall govern all questions concerning the construction, validity and interpretation of this Plan, without regard to that state’s conflict of laws rules.</w:t>
      </w:r>
    </w:p>
    <w:p>
      <w:pPr>
        <w:spacing w:after="0" w:line="138" w:lineRule="exact"/>
        <w:rPr>
          <w:sz w:val="20"/>
          <w:szCs w:val="20"/>
          <w:color w:val="auto"/>
        </w:rPr>
      </w:pPr>
    </w:p>
    <w:p>
      <w:pPr>
        <w:ind w:left="640" w:hanging="634"/>
        <w:spacing w:after="0"/>
        <w:tabs>
          <w:tab w:leader="none" w:pos="640" w:val="left"/>
        </w:tabs>
        <w:numPr>
          <w:ilvl w:val="0"/>
          <w:numId w:val="16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Definitions. </w:t>
      </w:r>
      <w:r>
        <w:rPr>
          <w:rFonts w:ascii="Times New Roman" w:cs="Times New Roman" w:eastAsia="Times New Roman" w:hAnsi="Times New Roman"/>
          <w:sz w:val="21"/>
          <w:szCs w:val="21"/>
          <w:color w:val="auto"/>
        </w:rPr>
        <w:t>As used in the Plan, the following definitions shall apply to the capitalized terms indicated below:</w:t>
      </w:r>
    </w:p>
    <w:p>
      <w:pPr>
        <w:spacing w:after="0" w:line="182" w:lineRule="exact"/>
        <w:rPr>
          <w:sz w:val="20"/>
          <w:szCs w:val="20"/>
          <w:color w:val="auto"/>
        </w:rPr>
      </w:pPr>
    </w:p>
    <w:p>
      <w:pPr>
        <w:jc w:val="both"/>
        <w:ind w:firstLine="6"/>
        <w:spacing w:after="0" w:line="229" w:lineRule="auto"/>
        <w:tabs>
          <w:tab w:leader="none" w:pos="634" w:val="left"/>
        </w:tabs>
        <w:numPr>
          <w:ilvl w:val="0"/>
          <w:numId w:val="16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Affiliate</w:t>
      </w:r>
      <w:r>
        <w:rPr>
          <w:rFonts w:ascii="Times New Roman" w:cs="Times New Roman" w:eastAsia="Times New Roman" w:hAnsi="Times New Roman"/>
          <w:sz w:val="21"/>
          <w:szCs w:val="21"/>
          <w:color w:val="auto"/>
        </w:rPr>
        <w:t>” means, at the time of determination, any “parent” or “subsidiary” of the Company as such terms are defined in Rule 405 promulgated under the Securities Act and any “holding company” or “subsidiary” of the Company as such terms are defined in Section 8 and 7 respectively of the Companies Act. The Board shall have the authority to determine the time or times at which “parent” or “subsidiary” status is determined within the foregoing definition.</w:t>
      </w:r>
    </w:p>
    <w:p>
      <w:pPr>
        <w:spacing w:after="0" w:line="143" w:lineRule="exact"/>
        <w:rPr>
          <w:rFonts w:ascii="Times New Roman" w:cs="Times New Roman" w:eastAsia="Times New Roman" w:hAnsi="Times New Roman"/>
          <w:sz w:val="21"/>
          <w:szCs w:val="21"/>
          <w:b w:val="1"/>
          <w:bCs w:val="1"/>
          <w:color w:val="auto"/>
        </w:rPr>
      </w:pPr>
    </w:p>
    <w:p>
      <w:pPr>
        <w:ind w:left="640" w:hanging="634"/>
        <w:spacing w:after="0"/>
        <w:tabs>
          <w:tab w:leader="none" w:pos="640" w:val="left"/>
        </w:tabs>
        <w:numPr>
          <w:ilvl w:val="0"/>
          <w:numId w:val="16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Award</w:t>
      </w:r>
      <w:r>
        <w:rPr>
          <w:rFonts w:ascii="Times New Roman" w:cs="Times New Roman" w:eastAsia="Times New Roman" w:hAnsi="Times New Roman"/>
          <w:sz w:val="21"/>
          <w:szCs w:val="21"/>
          <w:color w:val="auto"/>
        </w:rPr>
        <w:t>” means a Stock Award or a Performance Cash Award.</w:t>
      </w:r>
    </w:p>
    <w:p>
      <w:pPr>
        <w:spacing w:after="0" w:line="184" w:lineRule="exact"/>
        <w:rPr>
          <w:rFonts w:ascii="Times New Roman" w:cs="Times New Roman" w:eastAsia="Times New Roman" w:hAnsi="Times New Roman"/>
          <w:sz w:val="21"/>
          <w:szCs w:val="21"/>
          <w:b w:val="1"/>
          <w:bCs w:val="1"/>
          <w:color w:val="auto"/>
        </w:rPr>
      </w:pPr>
    </w:p>
    <w:p>
      <w:pPr>
        <w:ind w:firstLine="6"/>
        <w:spacing w:after="0" w:line="253" w:lineRule="auto"/>
        <w:tabs>
          <w:tab w:leader="none" w:pos="636" w:val="left"/>
        </w:tabs>
        <w:numPr>
          <w:ilvl w:val="0"/>
          <w:numId w:val="16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Award Agreement</w:t>
      </w:r>
      <w:r>
        <w:rPr>
          <w:rFonts w:ascii="Times New Roman" w:cs="Times New Roman" w:eastAsia="Times New Roman" w:hAnsi="Times New Roman"/>
          <w:sz w:val="21"/>
          <w:szCs w:val="21"/>
          <w:color w:val="auto"/>
        </w:rPr>
        <w:t>” means a written agreement between the Company and a Participant evidencing the terms and conditions of an Award.</w:t>
      </w:r>
    </w:p>
    <w:p>
      <w:pPr>
        <w:spacing w:after="0" w:line="129" w:lineRule="exact"/>
        <w:rPr>
          <w:rFonts w:ascii="Times New Roman" w:cs="Times New Roman" w:eastAsia="Times New Roman" w:hAnsi="Times New Roman"/>
          <w:sz w:val="21"/>
          <w:szCs w:val="21"/>
          <w:b w:val="1"/>
          <w:bCs w:val="1"/>
          <w:color w:val="auto"/>
        </w:rPr>
      </w:pPr>
    </w:p>
    <w:p>
      <w:pPr>
        <w:ind w:left="640" w:hanging="634"/>
        <w:spacing w:after="0"/>
        <w:tabs>
          <w:tab w:leader="none" w:pos="640" w:val="left"/>
        </w:tabs>
        <w:numPr>
          <w:ilvl w:val="0"/>
          <w:numId w:val="16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Board</w:t>
      </w:r>
      <w:r>
        <w:rPr>
          <w:rFonts w:ascii="Times New Roman" w:cs="Times New Roman" w:eastAsia="Times New Roman" w:hAnsi="Times New Roman"/>
          <w:sz w:val="21"/>
          <w:szCs w:val="21"/>
          <w:color w:val="auto"/>
        </w:rPr>
        <w:t>” means the Board of Directors of the Company.</w:t>
      </w:r>
    </w:p>
    <w:p>
      <w:pPr>
        <w:spacing w:after="0" w:line="184" w:lineRule="exact"/>
        <w:rPr>
          <w:rFonts w:ascii="Times New Roman" w:cs="Times New Roman" w:eastAsia="Times New Roman" w:hAnsi="Times New Roman"/>
          <w:sz w:val="21"/>
          <w:szCs w:val="21"/>
          <w:b w:val="1"/>
          <w:bCs w:val="1"/>
          <w:color w:val="auto"/>
        </w:rPr>
      </w:pPr>
    </w:p>
    <w:p>
      <w:pPr>
        <w:jc w:val="both"/>
        <w:ind w:firstLine="6"/>
        <w:spacing w:after="0" w:line="219" w:lineRule="auto"/>
        <w:tabs>
          <w:tab w:leader="none" w:pos="636" w:val="left"/>
        </w:tabs>
        <w:numPr>
          <w:ilvl w:val="0"/>
          <w:numId w:val="16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Capitalization Adjustment</w:t>
      </w:r>
      <w:r>
        <w:rPr>
          <w:rFonts w:ascii="Times New Roman" w:cs="Times New Roman" w:eastAsia="Times New Roman" w:hAnsi="Times New Roman"/>
          <w:sz w:val="21"/>
          <w:szCs w:val="21"/>
          <w:color w:val="auto"/>
        </w:rPr>
        <w:t>” means any change that is made in, or other events that occur with respect to, the Ordinary Shares subject to the Plan or subject to any Stock Award after the Effective Date without the receipt of consideration by the Company through merger, consolidation, reorganization, recapitalization, reincorporation, share dividend, dividend in property other than cash, large nonrecurring cash dividend, share split, liquidating dividend, combination of shares, exchange of shares, change in corporate structure or any similar equity restructuring transaction, as that term is used in Financial Accounting Standards Board Accounting Standards Codification Topic 718 (or any successor thereto), including, for the avoidance of doubt, capitalization of profits or reserves, capital distribution, rights issue, the conversion of one class of share to another or reduction of capital or otherwise. Notwithstanding the foregoing, the conversion of any convertible securities of the Company shall not be treated as a Capitalization Adjustment.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2"/>
          <w:szCs w:val="12"/>
          <w:color w:val="auto"/>
        </w:rPr>
        <w:t>130316850 v7</w:t>
      </w:r>
    </w:p>
    <w:p>
      <w:pPr>
        <w:sectPr>
          <w:pgSz w:w="11900" w:h="16838" w:orient="portrait"/>
          <w:cols w:equalWidth="0" w:num="1">
            <w:col w:w="11240"/>
          </w:cols>
          <w:pgMar w:left="320" w:top="1373" w:right="339" w:bottom="1440" w:gutter="0" w:footer="0" w:header="0"/>
        </w:sectPr>
      </w:pPr>
    </w:p>
    <w:bookmarkStart w:id="215" w:name="page216"/>
    <w:bookmarkEnd w:id="215"/>
    <w:p>
      <w:pPr>
        <w:jc w:val="both"/>
        <w:ind w:firstLine="6"/>
        <w:spacing w:after="0" w:line="217" w:lineRule="auto"/>
        <w:tabs>
          <w:tab w:leader="none" w:pos="639" w:val="left"/>
        </w:tabs>
        <w:numPr>
          <w:ilvl w:val="0"/>
          <w:numId w:val="16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Cause</w:t>
      </w:r>
      <w:r>
        <w:rPr>
          <w:rFonts w:ascii="Times New Roman" w:cs="Times New Roman" w:eastAsia="Times New Roman" w:hAnsi="Times New Roman"/>
          <w:sz w:val="21"/>
          <w:szCs w:val="21"/>
          <w:color w:val="auto"/>
        </w:rPr>
        <w:t>” shall have the meaning ascribed to such term in any written agreement between the Participant and the Company or an Affiliate defining such term and, in the absence of such agreement, such term shall mean, with respect to a Participant, the occurrence of any of the following events that has a material negative impact on the business or reputation of the Company or an Affiliate: (i) such Participant’s commission of any felony or any crime involving fraud, dishonesty or moral turpitude under the laws of the United States or any state thereof; (ii) such Participant’s attempted commission of, or participation in, a fraud or act of dishonesty against the Company or an Affiliate; (iii) such Participant’s intentional, material violation of any contract or agreement between the Participant and the Company or an Affiliate or of any statutory duty owed to the Company or an Affiliate; (iv) such Participant’s unauthorized use or disclosure of the Company’s or an Affiliate’s confidential information or trade secrets; or (v) such Participant’s gross misconduct. The determination that a termination of the Participant’s Continuous Service is either for Cause or without Cause shall be made by the Company (or an Affiliate, if applicable) in its sole discretion. Any determination by the Company (or an Affiliate, if applicable) that the Continuous Service of a Participant was terminated with or without Cause for the purposes of outstanding Awards held by such Participant shall have no effect upon any determination of the rights or obligations of the Company or Affiliate or such Participant for any other purpose.</w:t>
      </w:r>
    </w:p>
    <w:p>
      <w:pPr>
        <w:spacing w:after="0" w:line="143" w:lineRule="exact"/>
        <w:rPr>
          <w:rFonts w:ascii="Times New Roman" w:cs="Times New Roman" w:eastAsia="Times New Roman" w:hAnsi="Times New Roman"/>
          <w:sz w:val="21"/>
          <w:szCs w:val="21"/>
          <w:b w:val="1"/>
          <w:bCs w:val="1"/>
          <w:color w:val="auto"/>
        </w:rPr>
      </w:pPr>
    </w:p>
    <w:p>
      <w:pPr>
        <w:ind w:firstLine="6"/>
        <w:spacing w:after="0" w:line="253" w:lineRule="auto"/>
        <w:tabs>
          <w:tab w:leader="none" w:pos="634" w:val="left"/>
        </w:tabs>
        <w:numPr>
          <w:ilvl w:val="0"/>
          <w:numId w:val="16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Change in Control</w:t>
      </w:r>
      <w:r>
        <w:rPr>
          <w:rFonts w:ascii="Times New Roman" w:cs="Times New Roman" w:eastAsia="Times New Roman" w:hAnsi="Times New Roman"/>
          <w:sz w:val="21"/>
          <w:szCs w:val="21"/>
          <w:color w:val="auto"/>
        </w:rPr>
        <w:t>” means the occurrence, in a single transaction or in a series of related transactions, of any one or more of the following events:</w:t>
      </w:r>
    </w:p>
    <w:p>
      <w:pPr>
        <w:spacing w:after="0" w:line="136" w:lineRule="exact"/>
        <w:rPr>
          <w:sz w:val="20"/>
          <w:szCs w:val="20"/>
          <w:color w:val="auto"/>
        </w:rPr>
      </w:pPr>
    </w:p>
    <w:p>
      <w:pPr>
        <w:jc w:val="both"/>
        <w:ind w:firstLine="6"/>
        <w:spacing w:after="0" w:line="227" w:lineRule="auto"/>
        <w:tabs>
          <w:tab w:leader="none" w:pos="627" w:val="left"/>
        </w:tabs>
        <w:numPr>
          <w:ilvl w:val="0"/>
          <w:numId w:val="16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any Exchange Act Person becomes the Owner, directly or indirectly, of securities of the Company representing more than thirty percent (30%) of the combined voting power of the Company’s then outstanding securities. Notwithstanding the foregoing, a Change in Control shall not be deemed to occur on account of the acquisition of securities of the Company directly from the Company;</w:t>
      </w:r>
    </w:p>
    <w:p>
      <w:pPr>
        <w:spacing w:after="0" w:line="151" w:lineRule="exact"/>
        <w:rPr>
          <w:rFonts w:ascii="Times New Roman" w:cs="Times New Roman" w:eastAsia="Times New Roman" w:hAnsi="Times New Roman"/>
          <w:sz w:val="21"/>
          <w:szCs w:val="21"/>
          <w:b w:val="1"/>
          <w:bCs w:val="1"/>
          <w:color w:val="auto"/>
        </w:rPr>
      </w:pPr>
    </w:p>
    <w:p>
      <w:pPr>
        <w:jc w:val="both"/>
        <w:ind w:firstLine="6"/>
        <w:spacing w:after="0" w:line="215" w:lineRule="auto"/>
        <w:tabs>
          <w:tab w:leader="none" w:pos="633" w:val="left"/>
        </w:tabs>
        <w:numPr>
          <w:ilvl w:val="0"/>
          <w:numId w:val="16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there is consummated a compromise or arrangement sanctioned by the Irish courts under the Companies Act, a scheme, contract or offer which has become binding on all shareholders of the Company pursuant to Section 457 of the Companies Act or a bid pursuant to Regulation 23 or 24 of the European Communities (Takeover Bids (Directive 2004/25/EC)) Regulations 2006 (as may be amended, updated or replaced from time to time), an offer or reverse takeover transaction which has been completed pursuant to the Irish Takeover Panel Act, 1997, Takeover Rules, 2013, or a reorganization, merger, statutory share exchange, consolidation or similar transaction involving (directly or indirectly) the Company (each, a “</w:t>
      </w:r>
      <w:r>
        <w:rPr>
          <w:rFonts w:ascii="Times New Roman" w:cs="Times New Roman" w:eastAsia="Times New Roman" w:hAnsi="Times New Roman"/>
          <w:sz w:val="21"/>
          <w:szCs w:val="21"/>
          <w:b w:val="1"/>
          <w:bCs w:val="1"/>
          <w:i w:val="1"/>
          <w:iCs w:val="1"/>
          <w:color w:val="auto"/>
        </w:rPr>
        <w:t>Business Combination</w:t>
      </w:r>
      <w:r>
        <w:rPr>
          <w:rFonts w:ascii="Times New Roman" w:cs="Times New Roman" w:eastAsia="Times New Roman" w:hAnsi="Times New Roman"/>
          <w:sz w:val="21"/>
          <w:szCs w:val="21"/>
          <w:color w:val="auto"/>
        </w:rPr>
        <w:t>”) and (A) immediately after the consummation of such Business Combination, the shareholders of the Company immediately prior thereto do not Own, directly or indirectly, either outstanding voting securities representing more than fifty percent (50%) of the combined outstanding voting power of the surviving Entity or ultimate parent of the surviving Entity in such Business Combination in substantially the same proportions as their Ownership of the outstanding voting securities of the Company immediately prior to such Business Combination, (B) an Exchange Act Person becomes the Owner, directly or indirectly, of securities representing more than thirty percent (30%) of the combined voting power of the surviving Entity or ultimate parent of the surviving Entity through the Business Combination, or (C) at least a majority of the members of the board of directors of the ultimate parent (or if there is no parent, the surviving Entity) immediately following such Business Combination were not Incumbent Board Members (as defined below) at the time the Board approved the execution of the definitive agreement providing for such Business Combination;</w:t>
      </w:r>
    </w:p>
    <w:p>
      <w:pPr>
        <w:spacing w:after="0" w:line="162" w:lineRule="exact"/>
        <w:rPr>
          <w:rFonts w:ascii="Times New Roman" w:cs="Times New Roman" w:eastAsia="Times New Roman" w:hAnsi="Times New Roman"/>
          <w:sz w:val="21"/>
          <w:szCs w:val="21"/>
          <w:b w:val="1"/>
          <w:bCs w:val="1"/>
          <w:color w:val="auto"/>
        </w:rPr>
      </w:pPr>
    </w:p>
    <w:p>
      <w:pPr>
        <w:jc w:val="both"/>
        <w:ind w:firstLine="6"/>
        <w:spacing w:after="0" w:line="233" w:lineRule="auto"/>
        <w:tabs>
          <w:tab w:leader="none" w:pos="639" w:val="left"/>
        </w:tabs>
        <w:numPr>
          <w:ilvl w:val="0"/>
          <w:numId w:val="16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shareholders of the Company approve or the Board approves a plan of complete dissolution or liquidation of the Company, or a complete dissolution or liquidation of the Company shall otherwise occur, except for a liquidation into a parent corporation;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2"/>
          <w:szCs w:val="12"/>
          <w:color w:val="auto"/>
        </w:rPr>
        <w:t>130316850 v7</w:t>
      </w:r>
    </w:p>
    <w:p>
      <w:pPr>
        <w:sectPr>
          <w:pgSz w:w="11900" w:h="16838" w:orient="portrait"/>
          <w:cols w:equalWidth="0" w:num="1">
            <w:col w:w="11240"/>
          </w:cols>
          <w:pgMar w:left="320" w:top="1371" w:right="339" w:bottom="1440" w:gutter="0" w:footer="0" w:header="0"/>
        </w:sectPr>
      </w:pPr>
    </w:p>
    <w:bookmarkStart w:id="216" w:name="page217"/>
    <w:bookmarkEnd w:id="216"/>
    <w:p>
      <w:pPr>
        <w:jc w:val="both"/>
        <w:ind w:firstLine="6"/>
        <w:spacing w:after="0"/>
        <w:tabs>
          <w:tab w:leader="none" w:pos="627" w:val="left"/>
        </w:tabs>
        <w:numPr>
          <w:ilvl w:val="0"/>
          <w:numId w:val="16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there is consummated a sale, lease, exclusive license or other disposition of all or substantially all of the consolidated assets of the Company and its Subsidiaries, other than a sale, lease, exclusive license or other disposition of all or substantially all of the consolidated assets of the Company and its Subsidiaries to an Entity, more than fifty percent (50%) of the combined voting power of the voting securities of which are Owned by shareholders of the Company in substantially the same proportions as their Ownership of the outstanding voting securities of the Company immediately prior to such sale, lease, exclusive license or other disposition; or</w:t>
      </w:r>
    </w:p>
    <w:p>
      <w:pPr>
        <w:spacing w:after="0" w:line="277" w:lineRule="exact"/>
        <w:rPr>
          <w:rFonts w:ascii="Times New Roman" w:cs="Times New Roman" w:eastAsia="Times New Roman" w:hAnsi="Times New Roman"/>
          <w:sz w:val="21"/>
          <w:szCs w:val="21"/>
          <w:b w:val="1"/>
          <w:bCs w:val="1"/>
          <w:color w:val="auto"/>
        </w:rPr>
      </w:pPr>
    </w:p>
    <w:p>
      <w:pPr>
        <w:jc w:val="both"/>
        <w:ind w:firstLine="6"/>
        <w:spacing w:after="0" w:line="221" w:lineRule="auto"/>
        <w:tabs>
          <w:tab w:leader="none" w:pos="634" w:val="left"/>
        </w:tabs>
        <w:numPr>
          <w:ilvl w:val="0"/>
          <w:numId w:val="16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individuals who, on the date the Plan is adopted by the Board, are members of the Board (the “</w:t>
      </w:r>
      <w:r>
        <w:rPr>
          <w:rFonts w:ascii="Times New Roman" w:cs="Times New Roman" w:eastAsia="Times New Roman" w:hAnsi="Times New Roman"/>
          <w:sz w:val="21"/>
          <w:szCs w:val="21"/>
          <w:b w:val="1"/>
          <w:bCs w:val="1"/>
          <w:i w:val="1"/>
          <w:iCs w:val="1"/>
          <w:color w:val="auto"/>
        </w:rPr>
        <w:t>Incumbent Board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Members</w:t>
      </w:r>
      <w:r>
        <w:rPr>
          <w:rFonts w:ascii="Times New Roman" w:cs="Times New Roman" w:eastAsia="Times New Roman" w:hAnsi="Times New Roman"/>
          <w:sz w:val="21"/>
          <w:szCs w:val="21"/>
          <w:color w:val="auto"/>
        </w:rPr>
        <w:t>”) cease for any reason to constitute at least a majority of the members of the Board;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if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appointment or election (or nomination for election) of any new Board member was approved or recommended by a majority vote of the Incumbent Board Members then still in office, such new member shall, for purposes of the Plan, be considered as an Incumbent Board Member, but excluding for purposes of the Plan any such individual whose initial assumption of office occurs as a result of either an actual or threatened election contest or other actual or threatened solicitation of proxies or consents by or on behalf of any person or Entity other than the Board.</w:t>
      </w:r>
    </w:p>
    <w:p>
      <w:pPr>
        <w:spacing w:after="0" w:line="153" w:lineRule="exact"/>
        <w:rPr>
          <w:sz w:val="20"/>
          <w:szCs w:val="20"/>
          <w:color w:val="auto"/>
        </w:rPr>
      </w:pPr>
    </w:p>
    <w:p>
      <w:pPr>
        <w:jc w:val="both"/>
        <w:ind w:firstLine="639"/>
        <w:spacing w:after="0" w:line="227" w:lineRule="auto"/>
        <w:rPr>
          <w:sz w:val="20"/>
          <w:szCs w:val="20"/>
          <w:color w:val="auto"/>
        </w:rPr>
      </w:pPr>
      <w:r>
        <w:rPr>
          <w:rFonts w:ascii="Times New Roman" w:cs="Times New Roman" w:eastAsia="Times New Roman" w:hAnsi="Times New Roman"/>
          <w:sz w:val="21"/>
          <w:szCs w:val="21"/>
          <w:color w:val="auto"/>
        </w:rPr>
        <w:t xml:space="preserve">Notwithstanding the foregoing or any other provision of this Plan, the definition of Change in Control (or any analogous term) in an individual written agreement between the Company or any Affiliate and the Participant shall supersede the foregoing definition with respect to Awards subject to such agreement;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if no definition of Change in Control or any analogous term is set forth in such an individual written agreement, the foregoing definition shall apply.</w:t>
      </w:r>
    </w:p>
    <w:p>
      <w:pPr>
        <w:spacing w:after="0" w:line="151" w:lineRule="exact"/>
        <w:rPr>
          <w:sz w:val="20"/>
          <w:szCs w:val="20"/>
          <w:color w:val="auto"/>
        </w:rPr>
      </w:pPr>
    </w:p>
    <w:p>
      <w:pPr>
        <w:jc w:val="both"/>
        <w:ind w:firstLine="639"/>
        <w:spacing w:after="0" w:line="247" w:lineRule="auto"/>
        <w:rPr>
          <w:sz w:val="20"/>
          <w:szCs w:val="20"/>
          <w:color w:val="auto"/>
        </w:rPr>
      </w:pPr>
      <w:r>
        <w:rPr>
          <w:rFonts w:ascii="Times New Roman" w:cs="Times New Roman" w:eastAsia="Times New Roman" w:hAnsi="Times New Roman"/>
          <w:sz w:val="21"/>
          <w:szCs w:val="21"/>
          <w:color w:val="auto"/>
        </w:rPr>
        <w:t>The Board may, in its sole discretion and without a Participant’s consent, amend the definition of “Change in Control” to conform to the definition of “Change in Control” under Section 409A of the Code, and the regulations thereunder.</w:t>
      </w:r>
    </w:p>
    <w:p>
      <w:pPr>
        <w:spacing w:after="0" w:line="136" w:lineRule="exact"/>
        <w:rPr>
          <w:sz w:val="20"/>
          <w:szCs w:val="20"/>
          <w:color w:val="auto"/>
        </w:rPr>
      </w:pPr>
    </w:p>
    <w:p>
      <w:pPr>
        <w:ind w:right="20" w:firstLine="6"/>
        <w:spacing w:after="0" w:line="253" w:lineRule="auto"/>
        <w:tabs>
          <w:tab w:leader="none" w:pos="633" w:val="left"/>
        </w:tabs>
        <w:numPr>
          <w:ilvl w:val="0"/>
          <w:numId w:val="16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Code</w:t>
      </w:r>
      <w:r>
        <w:rPr>
          <w:rFonts w:ascii="Times New Roman" w:cs="Times New Roman" w:eastAsia="Times New Roman" w:hAnsi="Times New Roman"/>
          <w:sz w:val="21"/>
          <w:szCs w:val="21"/>
          <w:color w:val="auto"/>
        </w:rPr>
        <w:t>” means the Internal Revenue Code of 1986, as amended, including any applicable regulations and guidance thereunder.</w:t>
      </w:r>
    </w:p>
    <w:p>
      <w:pPr>
        <w:spacing w:after="0" w:line="129" w:lineRule="exact"/>
        <w:rPr>
          <w:rFonts w:ascii="Times New Roman" w:cs="Times New Roman" w:eastAsia="Times New Roman" w:hAnsi="Times New Roman"/>
          <w:sz w:val="21"/>
          <w:szCs w:val="21"/>
          <w:b w:val="1"/>
          <w:bCs w:val="1"/>
          <w:color w:val="auto"/>
        </w:rPr>
      </w:pPr>
    </w:p>
    <w:p>
      <w:pPr>
        <w:ind w:firstLine="6"/>
        <w:spacing w:after="0" w:line="253" w:lineRule="auto"/>
        <w:tabs>
          <w:tab w:leader="none" w:pos="627" w:val="left"/>
        </w:tabs>
        <w:numPr>
          <w:ilvl w:val="0"/>
          <w:numId w:val="16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Committee</w:t>
      </w:r>
      <w:r>
        <w:rPr>
          <w:rFonts w:ascii="Times New Roman" w:cs="Times New Roman" w:eastAsia="Times New Roman" w:hAnsi="Times New Roman"/>
          <w:sz w:val="21"/>
          <w:szCs w:val="21"/>
          <w:color w:val="auto"/>
        </w:rPr>
        <w:t>” means a committee of one (1) or more Directors to whom authority has been delegated by the Board in accordance with Section 2(c).</w:t>
      </w:r>
    </w:p>
    <w:p>
      <w:pPr>
        <w:spacing w:after="0" w:line="129" w:lineRule="exact"/>
        <w:rPr>
          <w:rFonts w:ascii="Times New Roman" w:cs="Times New Roman" w:eastAsia="Times New Roman" w:hAnsi="Times New Roman"/>
          <w:sz w:val="21"/>
          <w:szCs w:val="21"/>
          <w:b w:val="1"/>
          <w:bCs w:val="1"/>
          <w:color w:val="auto"/>
        </w:rPr>
      </w:pPr>
    </w:p>
    <w:p>
      <w:pPr>
        <w:jc w:val="both"/>
        <w:ind w:firstLine="6"/>
        <w:spacing w:after="0" w:line="235" w:lineRule="auto"/>
        <w:tabs>
          <w:tab w:leader="none" w:pos="639" w:val="left"/>
        </w:tabs>
        <w:numPr>
          <w:ilvl w:val="0"/>
          <w:numId w:val="16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Companies Act</w:t>
      </w:r>
      <w:r>
        <w:rPr>
          <w:rFonts w:ascii="Times New Roman" w:cs="Times New Roman" w:eastAsia="Times New Roman" w:hAnsi="Times New Roman"/>
          <w:sz w:val="21"/>
          <w:szCs w:val="21"/>
          <w:color w:val="auto"/>
        </w:rPr>
        <w:t>” means the Companies Act 2014 of Ireland, together with all statutory modifications and re-enactments thereof and all statutes and statutory instruments which are to be read as one with, or construed or read together as one with, the aforementioned enactments and every statutory modification and re-enactment thereof for the time being in force.</w:t>
      </w:r>
    </w:p>
    <w:p>
      <w:pPr>
        <w:spacing w:after="0" w:line="142" w:lineRule="exact"/>
        <w:rPr>
          <w:rFonts w:ascii="Times New Roman" w:cs="Times New Roman" w:eastAsia="Times New Roman" w:hAnsi="Times New Roman"/>
          <w:sz w:val="21"/>
          <w:szCs w:val="21"/>
          <w:b w:val="1"/>
          <w:bCs w:val="1"/>
          <w:color w:val="auto"/>
        </w:rPr>
      </w:pPr>
    </w:p>
    <w:p>
      <w:pPr>
        <w:ind w:left="640" w:hanging="634"/>
        <w:spacing w:after="0"/>
        <w:tabs>
          <w:tab w:leader="none" w:pos="640" w:val="left"/>
        </w:tabs>
        <w:numPr>
          <w:ilvl w:val="0"/>
          <w:numId w:val="16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means:</w:t>
      </w:r>
    </w:p>
    <w:p>
      <w:pPr>
        <w:spacing w:after="0" w:line="190" w:lineRule="exact"/>
        <w:rPr>
          <w:sz w:val="20"/>
          <w:szCs w:val="20"/>
          <w:color w:val="auto"/>
        </w:rPr>
      </w:pPr>
    </w:p>
    <w:p>
      <w:pPr>
        <w:ind w:left="640" w:hanging="634"/>
        <w:spacing w:after="0"/>
        <w:tabs>
          <w:tab w:leader="none" w:pos="640" w:val="left"/>
        </w:tabs>
        <w:numPr>
          <w:ilvl w:val="0"/>
          <w:numId w:val="16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prior to a Change in Control, Jazz Pharmaceuticals plc; and</w:t>
      </w:r>
    </w:p>
    <w:p>
      <w:pPr>
        <w:spacing w:after="0" w:line="184" w:lineRule="exact"/>
        <w:rPr>
          <w:rFonts w:ascii="Times New Roman" w:cs="Times New Roman" w:eastAsia="Times New Roman" w:hAnsi="Times New Roman"/>
          <w:sz w:val="21"/>
          <w:szCs w:val="21"/>
          <w:b w:val="1"/>
          <w:bCs w:val="1"/>
          <w:color w:val="auto"/>
        </w:rPr>
      </w:pPr>
    </w:p>
    <w:p>
      <w:pPr>
        <w:jc w:val="both"/>
        <w:ind w:firstLine="6"/>
        <w:spacing w:after="0" w:line="224" w:lineRule="auto"/>
        <w:tabs>
          <w:tab w:leader="none" w:pos="633" w:val="left"/>
        </w:tabs>
        <w:numPr>
          <w:ilvl w:val="0"/>
          <w:numId w:val="16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on or after a Change in Control, (A) Jazz Pharmaceuticals plc in the event that the surviving Entity resulting from a Change in Control is Jazz Pharmaceuticals plc, (B) the surviving Entity resulting from a Change in Control in the event that such surviving Entity is not Jazz Pharmaceuticals plc, (C) any Entity to which the assets of Jazz Pharmaceuticals plc and its Subsidiaries are sold, leased, exclusively licensed or otherwise disposed of in the event of a Change in Control under Section 13(g)(iv), or (D) any other successor to Jazz Pharmaceuticals plc in the event of a Change in Control, as applicable;</w:t>
      </w:r>
    </w:p>
    <w:p>
      <w:pPr>
        <w:spacing w:after="0" w:line="14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in the event Jazz Pharmaceuticals plc completes a reorganization that is not in connection with a Change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Control that results in Jazz Pharmaceuticals plc no longer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2"/>
          <w:szCs w:val="12"/>
          <w:color w:val="auto"/>
        </w:rPr>
        <w:t>130316850 v7</w:t>
      </w:r>
    </w:p>
    <w:p>
      <w:pPr>
        <w:sectPr>
          <w:pgSz w:w="11900" w:h="16838" w:orient="portrait"/>
          <w:cols w:equalWidth="0" w:num="1">
            <w:col w:w="11240"/>
          </w:cols>
          <w:pgMar w:left="320" w:top="1377" w:right="339" w:bottom="1440" w:gutter="0" w:footer="0" w:header="0"/>
        </w:sectPr>
      </w:pPr>
    </w:p>
    <w:bookmarkStart w:id="217" w:name="page218"/>
    <w:bookmarkEnd w:id="217"/>
    <w:p>
      <w:pPr>
        <w:spacing w:after="0" w:line="247" w:lineRule="auto"/>
        <w:rPr>
          <w:sz w:val="20"/>
          <w:szCs w:val="20"/>
          <w:color w:val="auto"/>
        </w:rPr>
      </w:pPr>
      <w:r>
        <w:rPr>
          <w:rFonts w:ascii="Times New Roman" w:cs="Times New Roman" w:eastAsia="Times New Roman" w:hAnsi="Times New Roman"/>
          <w:sz w:val="21"/>
          <w:szCs w:val="21"/>
          <w:color w:val="auto"/>
        </w:rPr>
        <w:t>being the ultimate parent company and reporting company under the Exchange Act, then “Company” means the ultimate parent that directly or indirectly holds Jazz Pharmaceuticals plc.</w:t>
      </w:r>
    </w:p>
    <w:p>
      <w:pPr>
        <w:spacing w:after="0" w:line="136" w:lineRule="exact"/>
        <w:rPr>
          <w:sz w:val="20"/>
          <w:szCs w:val="20"/>
          <w:color w:val="auto"/>
        </w:rPr>
      </w:pPr>
    </w:p>
    <w:p>
      <w:pPr>
        <w:jc w:val="both"/>
        <w:ind w:firstLine="6"/>
        <w:spacing w:after="0" w:line="223" w:lineRule="auto"/>
        <w:tabs>
          <w:tab w:leader="none" w:pos="627" w:val="left"/>
        </w:tabs>
        <w:numPr>
          <w:ilvl w:val="0"/>
          <w:numId w:val="16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Consultant</w:t>
      </w:r>
      <w:r>
        <w:rPr>
          <w:rFonts w:ascii="Times New Roman" w:cs="Times New Roman" w:eastAsia="Times New Roman" w:hAnsi="Times New Roman"/>
          <w:sz w:val="21"/>
          <w:szCs w:val="21"/>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shall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44" w:lineRule="exact"/>
        <w:rPr>
          <w:rFonts w:ascii="Times New Roman" w:cs="Times New Roman" w:eastAsia="Times New Roman" w:hAnsi="Times New Roman"/>
          <w:sz w:val="21"/>
          <w:szCs w:val="21"/>
          <w:b w:val="1"/>
          <w:bCs w:val="1"/>
          <w:color w:val="auto"/>
        </w:rPr>
      </w:pPr>
    </w:p>
    <w:p>
      <w:pPr>
        <w:jc w:val="both"/>
        <w:ind w:firstLine="6"/>
        <w:spacing w:after="0" w:line="215" w:lineRule="auto"/>
        <w:tabs>
          <w:tab w:leader="none" w:pos="639" w:val="left"/>
        </w:tabs>
        <w:numPr>
          <w:ilvl w:val="0"/>
          <w:numId w:val="16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Continuous Service</w:t>
      </w:r>
      <w:r>
        <w:rPr>
          <w:rFonts w:ascii="Times New Roman" w:cs="Times New Roman" w:eastAsia="Times New Roman" w:hAnsi="Times New Roman"/>
          <w:sz w:val="21"/>
          <w:szCs w:val="21"/>
          <w:color w:val="auto"/>
        </w:rPr>
        <w:t xml:space="preserve">” means that the Participant’s service with the Company or an Affiliate, whether as an Employee, Director or Consultant, is not interrupted or terminated. Except as provided in the following sentence, a change in the capacity in which the Participant renders service to the Company or an Affiliate as an Employee, Consultant or Director or a change in the entity for which the Participant renders such service, provided that there is no interruption or termination of the Participant’s service with the Company or an Affiliate, shall not terminate a Participant’s Continuous Service;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if the Entity for which a Participant is rendering services ceases to qualify as an Affiliate, as determined by the Board in its sole discretion, such Participant’s Continuous Service shall be considered to have terminated on the date such Entity ceases to qualify as an Affiliate. Notwithstanding the foregoing, unless the Board or the Compensation Committee of the Board agrees otherwise in writing, in the event a Participant’s service as an Employee or Consultant terminates and upon such termination, the only capacity in which the Participant continues to render service to the Company is as a Director, then such Participant’s Continuous Service shall be considered to have terminated on the date of such termination of employment or termination of service as a Consultant, as the case may be, and regardless of whether such Participant continues to render service to the Company as a Director following such termination. To the extent permitted by law, the Board or the chief executive officer of the Company (or an Affiliate, if applicable), in that party’s sole discretion, may determine whether Continuous Service shall be considered interrupted in the case of: (i) any leave of absence approved by the Board or the chief executive officer of the Company (or an Affiliate, if applicable), including sick leave, military leave or any other personal leave; or (ii) transfers between the Company, an Affiliate, or their successors. Notwithstanding the foregoing, a leave of absence shall be treated as Continuous Service for purposes of vesting in a Stock Award only to such extent as may be provided in the Company’s (or Affiliate’s, if applicable) leave of absence policy, in the written terms of any leave of absence agreement or policy applicable to the Participant, or as otherwise required by law.</w:t>
      </w:r>
    </w:p>
    <w:p>
      <w:pPr>
        <w:spacing w:after="0" w:line="149" w:lineRule="exact"/>
        <w:rPr>
          <w:rFonts w:ascii="Times New Roman" w:cs="Times New Roman" w:eastAsia="Times New Roman" w:hAnsi="Times New Roman"/>
          <w:sz w:val="21"/>
          <w:szCs w:val="21"/>
          <w:b w:val="1"/>
          <w:bCs w:val="1"/>
          <w:color w:val="auto"/>
        </w:rPr>
      </w:pPr>
    </w:p>
    <w:p>
      <w:pPr>
        <w:ind w:firstLine="6"/>
        <w:spacing w:after="0" w:line="253" w:lineRule="auto"/>
        <w:tabs>
          <w:tab w:leader="none" w:pos="633" w:val="left"/>
        </w:tabs>
        <w:numPr>
          <w:ilvl w:val="0"/>
          <w:numId w:val="16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Corporate Transaction</w:t>
      </w:r>
      <w:r>
        <w:rPr>
          <w:rFonts w:ascii="Times New Roman" w:cs="Times New Roman" w:eastAsia="Times New Roman" w:hAnsi="Times New Roman"/>
          <w:sz w:val="21"/>
          <w:szCs w:val="21"/>
          <w:color w:val="auto"/>
        </w:rPr>
        <w:t>” means the consummation, in a single transaction or in a series of related transactions, of any one or more of the following events:</w:t>
      </w:r>
    </w:p>
    <w:p>
      <w:pPr>
        <w:spacing w:after="0" w:line="136" w:lineRule="exact"/>
        <w:rPr>
          <w:sz w:val="20"/>
          <w:szCs w:val="20"/>
          <w:color w:val="auto"/>
        </w:rPr>
      </w:pPr>
    </w:p>
    <w:p>
      <w:pPr>
        <w:ind w:firstLine="6"/>
        <w:spacing w:after="0" w:line="247" w:lineRule="auto"/>
        <w:tabs>
          <w:tab w:leader="none" w:pos="627" w:val="left"/>
        </w:tabs>
        <w:numPr>
          <w:ilvl w:val="0"/>
          <w:numId w:val="16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 sale or other disposition of all or substantially all, as determined by the Board, in its sole discretion, of the consolidated assets of the Company and its Subsidiaries;</w:t>
      </w:r>
    </w:p>
    <w:p>
      <w:pPr>
        <w:spacing w:after="0" w:line="141" w:lineRule="exact"/>
        <w:rPr>
          <w:rFonts w:ascii="Times New Roman" w:cs="Times New Roman" w:eastAsia="Times New Roman" w:hAnsi="Times New Roman"/>
          <w:sz w:val="21"/>
          <w:szCs w:val="21"/>
          <w:b w:val="1"/>
          <w:bCs w:val="1"/>
          <w:color w:val="auto"/>
        </w:rPr>
      </w:pPr>
    </w:p>
    <w:p>
      <w:pPr>
        <w:ind w:left="640" w:hanging="634"/>
        <w:spacing w:after="0"/>
        <w:tabs>
          <w:tab w:leader="none" w:pos="640" w:val="left"/>
        </w:tabs>
        <w:numPr>
          <w:ilvl w:val="0"/>
          <w:numId w:val="16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 sale or other disposition of at least ninety percent (90%) of the outstanding securities of the Company;</w:t>
      </w:r>
    </w:p>
    <w:p>
      <w:pPr>
        <w:spacing w:after="0" w:line="184" w:lineRule="exact"/>
        <w:rPr>
          <w:rFonts w:ascii="Times New Roman" w:cs="Times New Roman" w:eastAsia="Times New Roman" w:hAnsi="Times New Roman"/>
          <w:sz w:val="21"/>
          <w:szCs w:val="21"/>
          <w:b w:val="1"/>
          <w:bCs w:val="1"/>
          <w:color w:val="auto"/>
        </w:rPr>
      </w:pPr>
    </w:p>
    <w:p>
      <w:pPr>
        <w:ind w:left="640" w:hanging="634"/>
        <w:spacing w:after="0"/>
        <w:tabs>
          <w:tab w:leader="none" w:pos="640" w:val="left"/>
        </w:tabs>
        <w:numPr>
          <w:ilvl w:val="0"/>
          <w:numId w:val="16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 merger, consolidation or similar transaction following which the Company is not the surviving corporation; or</w:t>
      </w:r>
    </w:p>
    <w:p>
      <w:pPr>
        <w:spacing w:after="0" w:line="184" w:lineRule="exact"/>
        <w:rPr>
          <w:rFonts w:ascii="Times New Roman" w:cs="Times New Roman" w:eastAsia="Times New Roman" w:hAnsi="Times New Roman"/>
          <w:sz w:val="21"/>
          <w:szCs w:val="21"/>
          <w:b w:val="1"/>
          <w:bCs w:val="1"/>
          <w:color w:val="auto"/>
        </w:rPr>
      </w:pPr>
    </w:p>
    <w:p>
      <w:pPr>
        <w:jc w:val="both"/>
        <w:ind w:firstLine="6"/>
        <w:spacing w:after="0" w:line="233" w:lineRule="auto"/>
        <w:tabs>
          <w:tab w:leader="none" w:pos="627" w:val="left"/>
        </w:tabs>
        <w:numPr>
          <w:ilvl w:val="0"/>
          <w:numId w:val="16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 merger, consolidation or similar transaction following which the Company is the surviving corporation but the Ordinary Shares outstanding immediately preceding the merger, consolidation or similar transaction are converted or exchanged by virtue of the merger,</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2"/>
          <w:szCs w:val="12"/>
          <w:color w:val="auto"/>
        </w:rPr>
        <w:t>130316850 v7</w:t>
      </w:r>
    </w:p>
    <w:p>
      <w:pPr>
        <w:sectPr>
          <w:pgSz w:w="11900" w:h="16838" w:orient="portrait"/>
          <w:cols w:equalWidth="0" w:num="1">
            <w:col w:w="11240"/>
          </w:cols>
          <w:pgMar w:left="320" w:top="1377" w:right="3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21"/>
          <w:szCs w:val="21"/>
          <w:color w:val="auto"/>
        </w:rPr>
        <w:t>consolidation or similar transaction into other property, whether in the form of securities, cash or otherwise.</w:t>
      </w:r>
    </w:p>
    <w:p>
      <w:pPr>
        <w:spacing w:after="0" w:line="184" w:lineRule="exact"/>
        <w:rPr>
          <w:sz w:val="20"/>
          <w:szCs w:val="20"/>
          <w:color w:val="auto"/>
        </w:rPr>
      </w:pPr>
    </w:p>
    <w:p>
      <w:pPr>
        <w:jc w:val="both"/>
        <w:ind w:firstLine="639"/>
        <w:spacing w:after="0"/>
        <w:rPr>
          <w:sz w:val="20"/>
          <w:szCs w:val="20"/>
          <w:color w:val="auto"/>
        </w:rPr>
      </w:pPr>
      <w:r>
        <w:rPr>
          <w:rFonts w:ascii="Times New Roman" w:cs="Times New Roman" w:eastAsia="Times New Roman" w:hAnsi="Times New Roman"/>
          <w:sz w:val="21"/>
          <w:szCs w:val="21"/>
          <w:color w:val="auto"/>
        </w:rPr>
        <w:t>For the avoidance of doubt, any one or more of the above events may be effected pursuant to a compromise or arrangement sanctioned by the Irish courts under the Companies Act, a scheme, contract or offer which has become binding on all shareholders of the Company pursuant to Section 457 of the Companies Act or a bid pursuant to Regulation 23 or 24 of the European Communities (Takeover Bids (Directive 2004/25/EC)) Regulations 2006 (as may be amended, updated or replaced from time to time), or an offer or reverse takeover transaction which has been completed pursuant to the Irish Takeover Panel Act, 1997, Takeover Rules, 2013.</w:t>
      </w:r>
    </w:p>
    <w:p>
      <w:pPr>
        <w:spacing w:after="0" w:line="277" w:lineRule="exact"/>
        <w:rPr>
          <w:sz w:val="20"/>
          <w:szCs w:val="20"/>
          <w:color w:val="auto"/>
        </w:rPr>
      </w:pPr>
    </w:p>
    <w:p>
      <w:pPr>
        <w:ind w:left="640" w:hanging="634"/>
        <w:spacing w:after="0"/>
        <w:tabs>
          <w:tab w:leader="none" w:pos="640" w:val="left"/>
        </w:tabs>
        <w:numPr>
          <w:ilvl w:val="0"/>
          <w:numId w:val="17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Covered Employee</w:t>
      </w:r>
      <w:r>
        <w:rPr>
          <w:rFonts w:ascii="Times New Roman" w:cs="Times New Roman" w:eastAsia="Times New Roman" w:hAnsi="Times New Roman"/>
          <w:sz w:val="21"/>
          <w:szCs w:val="21"/>
          <w:color w:val="auto"/>
        </w:rPr>
        <w:t>” shall have the meaning provided in Section 162(m)(3) of the Code.</w:t>
      </w:r>
    </w:p>
    <w:p>
      <w:pPr>
        <w:spacing w:after="0" w:line="184" w:lineRule="exact"/>
        <w:rPr>
          <w:rFonts w:ascii="Times New Roman" w:cs="Times New Roman" w:eastAsia="Times New Roman" w:hAnsi="Times New Roman"/>
          <w:sz w:val="21"/>
          <w:szCs w:val="21"/>
          <w:b w:val="1"/>
          <w:bCs w:val="1"/>
          <w:color w:val="auto"/>
        </w:rPr>
      </w:pPr>
    </w:p>
    <w:p>
      <w:pPr>
        <w:ind w:left="640" w:hanging="634"/>
        <w:spacing w:after="0"/>
        <w:tabs>
          <w:tab w:leader="none" w:pos="640" w:val="left"/>
        </w:tabs>
        <w:numPr>
          <w:ilvl w:val="0"/>
          <w:numId w:val="17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Director</w:t>
      </w:r>
      <w:r>
        <w:rPr>
          <w:rFonts w:ascii="Times New Roman" w:cs="Times New Roman" w:eastAsia="Times New Roman" w:hAnsi="Times New Roman"/>
          <w:sz w:val="21"/>
          <w:szCs w:val="21"/>
          <w:color w:val="auto"/>
        </w:rPr>
        <w:t>” means a member of the Board.</w:t>
      </w:r>
    </w:p>
    <w:p>
      <w:pPr>
        <w:spacing w:after="0" w:line="184" w:lineRule="exact"/>
        <w:rPr>
          <w:rFonts w:ascii="Times New Roman" w:cs="Times New Roman" w:eastAsia="Times New Roman" w:hAnsi="Times New Roman"/>
          <w:sz w:val="21"/>
          <w:szCs w:val="21"/>
          <w:b w:val="1"/>
          <w:bCs w:val="1"/>
          <w:color w:val="auto"/>
        </w:rPr>
      </w:pPr>
    </w:p>
    <w:p>
      <w:pPr>
        <w:jc w:val="both"/>
        <w:ind w:firstLine="6"/>
        <w:spacing w:after="0" w:line="225" w:lineRule="auto"/>
        <w:tabs>
          <w:tab w:leader="none" w:pos="633" w:val="left"/>
        </w:tabs>
        <w:numPr>
          <w:ilvl w:val="0"/>
          <w:numId w:val="17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Disability</w:t>
      </w:r>
      <w:r>
        <w:rPr>
          <w:rFonts w:ascii="Times New Roman" w:cs="Times New Roman" w:eastAsia="Times New Roman" w:hAnsi="Times New Roman"/>
          <w:sz w:val="21"/>
          <w:szCs w:val="21"/>
          <w:color w:val="auto"/>
        </w:rPr>
        <w:t>” means, with respect to a Participant, the inability of such Participant to engage in any substantial gainful activity by reason of any medically determinable physical or mental impairment which can be expected to result in death or which has lasted or can be expected to last for a continuous period of not less than twelve (12) months, as provided in Sections 22(e)(3) and 409A(a)(2)(c)(i) of the Code, and shall be determined by the Board on the basis of such medical evidence as the Board deems warranted under the circumstances.</w:t>
      </w:r>
    </w:p>
    <w:p>
      <w:pPr>
        <w:spacing w:after="0" w:line="145" w:lineRule="exact"/>
        <w:rPr>
          <w:rFonts w:ascii="Times New Roman" w:cs="Times New Roman" w:eastAsia="Times New Roman" w:hAnsi="Times New Roman"/>
          <w:sz w:val="21"/>
          <w:szCs w:val="21"/>
          <w:b w:val="1"/>
          <w:bCs w:val="1"/>
          <w:color w:val="auto"/>
        </w:rPr>
      </w:pPr>
    </w:p>
    <w:p>
      <w:pPr>
        <w:jc w:val="both"/>
        <w:ind w:firstLine="6"/>
        <w:spacing w:after="0" w:line="229" w:lineRule="auto"/>
        <w:tabs>
          <w:tab w:leader="none" w:pos="636" w:val="left"/>
        </w:tabs>
        <w:numPr>
          <w:ilvl w:val="0"/>
          <w:numId w:val="17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Effective Date</w:t>
      </w:r>
      <w:r>
        <w:rPr>
          <w:rFonts w:ascii="Times New Roman" w:cs="Times New Roman" w:eastAsia="Times New Roman" w:hAnsi="Times New Roman"/>
          <w:sz w:val="21"/>
          <w:szCs w:val="21"/>
          <w:color w:val="auto"/>
        </w:rPr>
        <w:t>” means the effective date of this Plan document, which is January 18, 2012, which is immediately prior to the effective time of the merger between Jazz Pharmaceuticals, Inc. and Azur Pharma Public Limited Company pursuant to the Agreement and Plan of Merger and Reorganization dated September 19, 2011, provided that the Plan is approved by the stockholders of the Company prior to such merger and such merger is consummated.</w:t>
      </w:r>
    </w:p>
    <w:p>
      <w:pPr>
        <w:spacing w:after="0" w:line="143" w:lineRule="exact"/>
        <w:rPr>
          <w:rFonts w:ascii="Times New Roman" w:cs="Times New Roman" w:eastAsia="Times New Roman" w:hAnsi="Times New Roman"/>
          <w:sz w:val="21"/>
          <w:szCs w:val="21"/>
          <w:b w:val="1"/>
          <w:bCs w:val="1"/>
          <w:color w:val="auto"/>
        </w:rPr>
      </w:pPr>
    </w:p>
    <w:p>
      <w:pPr>
        <w:ind w:firstLine="6"/>
        <w:spacing w:after="0" w:line="253" w:lineRule="auto"/>
        <w:tabs>
          <w:tab w:leader="none" w:pos="637" w:val="left"/>
        </w:tabs>
        <w:numPr>
          <w:ilvl w:val="0"/>
          <w:numId w:val="17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Employee</w:t>
      </w:r>
      <w:r>
        <w:rPr>
          <w:rFonts w:ascii="Times New Roman" w:cs="Times New Roman" w:eastAsia="Times New Roman" w:hAnsi="Times New Roman"/>
          <w:sz w:val="21"/>
          <w:szCs w:val="21"/>
          <w:color w:val="auto"/>
        </w:rPr>
        <w:t>” means any person employed by the Company or an Affiliate. However, service solely as a Director, or payment of a fee for such services, shall not cause a Director to be considered an “Employee” for purposes of the Plan.</w:t>
      </w:r>
    </w:p>
    <w:p>
      <w:pPr>
        <w:spacing w:after="0" w:line="129" w:lineRule="exact"/>
        <w:rPr>
          <w:rFonts w:ascii="Times New Roman" w:cs="Times New Roman" w:eastAsia="Times New Roman" w:hAnsi="Times New Roman"/>
          <w:sz w:val="21"/>
          <w:szCs w:val="21"/>
          <w:b w:val="1"/>
          <w:bCs w:val="1"/>
          <w:color w:val="auto"/>
        </w:rPr>
      </w:pPr>
    </w:p>
    <w:p>
      <w:pPr>
        <w:ind w:left="640" w:hanging="634"/>
        <w:spacing w:after="0"/>
        <w:tabs>
          <w:tab w:leader="none" w:pos="640" w:val="left"/>
        </w:tabs>
        <w:numPr>
          <w:ilvl w:val="0"/>
          <w:numId w:val="17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Entity</w:t>
      </w:r>
      <w:r>
        <w:rPr>
          <w:rFonts w:ascii="Times New Roman" w:cs="Times New Roman" w:eastAsia="Times New Roman" w:hAnsi="Times New Roman"/>
          <w:sz w:val="21"/>
          <w:szCs w:val="21"/>
          <w:color w:val="auto"/>
        </w:rPr>
        <w:t>” means a corporation, partnership, limited liability company or other entity.</w:t>
      </w:r>
    </w:p>
    <w:p>
      <w:pPr>
        <w:spacing w:after="0" w:line="184" w:lineRule="exact"/>
        <w:rPr>
          <w:rFonts w:ascii="Times New Roman" w:cs="Times New Roman" w:eastAsia="Times New Roman" w:hAnsi="Times New Roman"/>
          <w:sz w:val="21"/>
          <w:szCs w:val="21"/>
          <w:b w:val="1"/>
          <w:bCs w:val="1"/>
          <w:color w:val="auto"/>
        </w:rPr>
      </w:pPr>
    </w:p>
    <w:p>
      <w:pPr>
        <w:ind w:firstLine="6"/>
        <w:spacing w:after="0" w:line="253" w:lineRule="auto"/>
        <w:tabs>
          <w:tab w:leader="none" w:pos="633" w:val="left"/>
        </w:tabs>
        <w:numPr>
          <w:ilvl w:val="0"/>
          <w:numId w:val="17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Exchange Act</w:t>
      </w:r>
      <w:r>
        <w:rPr>
          <w:rFonts w:ascii="Times New Roman" w:cs="Times New Roman" w:eastAsia="Times New Roman" w:hAnsi="Times New Roman"/>
          <w:sz w:val="21"/>
          <w:szCs w:val="21"/>
          <w:color w:val="auto"/>
        </w:rPr>
        <w:t>” means the Securities Exchange Act of 1934, as amended, and the rules and regulations promulgated thereunder.</w:t>
      </w:r>
    </w:p>
    <w:p>
      <w:pPr>
        <w:spacing w:after="0" w:line="129" w:lineRule="exact"/>
        <w:rPr>
          <w:rFonts w:ascii="Times New Roman" w:cs="Times New Roman" w:eastAsia="Times New Roman" w:hAnsi="Times New Roman"/>
          <w:sz w:val="21"/>
          <w:szCs w:val="21"/>
          <w:b w:val="1"/>
          <w:bCs w:val="1"/>
          <w:color w:val="auto"/>
        </w:rPr>
      </w:pPr>
    </w:p>
    <w:p>
      <w:pPr>
        <w:jc w:val="both"/>
        <w:ind w:firstLine="6"/>
        <w:spacing w:after="0" w:line="223" w:lineRule="auto"/>
        <w:tabs>
          <w:tab w:leader="none" w:pos="634" w:val="left"/>
        </w:tabs>
        <w:numPr>
          <w:ilvl w:val="0"/>
          <w:numId w:val="17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Exchange Act Person</w:t>
      </w:r>
      <w:r>
        <w:rPr>
          <w:rFonts w:ascii="Times New Roman" w:cs="Times New Roman" w:eastAsia="Times New Roman" w:hAnsi="Times New Roman"/>
          <w:sz w:val="21"/>
          <w:szCs w:val="21"/>
          <w:color w:val="auto"/>
        </w:rPr>
        <w:t>” means any natural person, Entity or “group” (within the meaning of Section 13(d) or 14(d) of the Exchange Act), except that “Exchange Act Person” shall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or (iv) an Entity Owned, directly or indirectly, by the shareholders of the Company in substantially the same proportions as their Ownership of shares of the Company.</w:t>
      </w:r>
    </w:p>
    <w:p>
      <w:pPr>
        <w:spacing w:after="0" w:line="144" w:lineRule="exact"/>
        <w:rPr>
          <w:rFonts w:ascii="Times New Roman" w:cs="Times New Roman" w:eastAsia="Times New Roman" w:hAnsi="Times New Roman"/>
          <w:sz w:val="21"/>
          <w:szCs w:val="21"/>
          <w:b w:val="1"/>
          <w:bCs w:val="1"/>
          <w:color w:val="auto"/>
        </w:rPr>
      </w:pPr>
    </w:p>
    <w:p>
      <w:pPr>
        <w:ind w:left="640" w:hanging="634"/>
        <w:spacing w:after="0"/>
        <w:tabs>
          <w:tab w:leader="none" w:pos="640" w:val="left"/>
        </w:tabs>
        <w:numPr>
          <w:ilvl w:val="0"/>
          <w:numId w:val="17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Fair Market Value</w:t>
      </w:r>
      <w:r>
        <w:rPr>
          <w:rFonts w:ascii="Times New Roman" w:cs="Times New Roman" w:eastAsia="Times New Roman" w:hAnsi="Times New Roman"/>
          <w:sz w:val="21"/>
          <w:szCs w:val="21"/>
          <w:color w:val="auto"/>
        </w:rPr>
        <w:t>” means, as of any date, the value of the Ordinary Shares determined as follows:</w:t>
      </w:r>
    </w:p>
    <w:p>
      <w:pPr>
        <w:spacing w:after="0" w:line="190" w:lineRule="exact"/>
        <w:rPr>
          <w:sz w:val="20"/>
          <w:szCs w:val="20"/>
          <w:color w:val="auto"/>
        </w:rPr>
      </w:pPr>
    </w:p>
    <w:p>
      <w:pPr>
        <w:jc w:val="both"/>
        <w:ind w:firstLine="6"/>
        <w:spacing w:after="0" w:line="233" w:lineRule="auto"/>
        <w:tabs>
          <w:tab w:leader="none" w:pos="627" w:val="left"/>
        </w:tabs>
        <w:numPr>
          <w:ilvl w:val="0"/>
          <w:numId w:val="17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If the Ordinary Shares are listed on any established stock exchange or traded on any established market, the Fair Market Value of an Ordinary Share shall be the closing sales price for such Ordinary Share as quoted on such exchange or market (or the exchange or market with</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20.</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2"/>
          <w:szCs w:val="12"/>
          <w:color w:val="auto"/>
        </w:rPr>
        <w:t>130316850 v7</w:t>
      </w:r>
    </w:p>
    <w:p>
      <w:pPr>
        <w:sectPr>
          <w:pgSz w:w="11900" w:h="16838" w:orient="portrait"/>
          <w:cols w:equalWidth="0" w:num="1">
            <w:col w:w="11240"/>
          </w:cols>
          <w:pgMar w:left="320" w:top="1377" w:right="339" w:bottom="1440" w:gutter="0" w:footer="0" w:header="0"/>
        </w:sectPr>
      </w:pPr>
    </w:p>
    <w:bookmarkStart w:id="219" w:name="page220"/>
    <w:bookmarkEnd w:id="219"/>
    <w:p>
      <w:pPr>
        <w:spacing w:after="0" w:line="247" w:lineRule="auto"/>
        <w:rPr>
          <w:sz w:val="20"/>
          <w:szCs w:val="20"/>
          <w:color w:val="auto"/>
        </w:rPr>
      </w:pPr>
      <w:r>
        <w:rPr>
          <w:rFonts w:ascii="Times New Roman" w:cs="Times New Roman" w:eastAsia="Times New Roman" w:hAnsi="Times New Roman"/>
          <w:sz w:val="21"/>
          <w:szCs w:val="21"/>
          <w:color w:val="auto"/>
        </w:rPr>
        <w:t>the greatest volume of trading in the Ordinary Shares) on the date preceding the date of determination, as reported in a source the Board deems reliable.</w:t>
      </w:r>
    </w:p>
    <w:p>
      <w:pPr>
        <w:spacing w:after="0" w:line="142" w:lineRule="exact"/>
        <w:rPr>
          <w:sz w:val="20"/>
          <w:szCs w:val="20"/>
          <w:color w:val="auto"/>
        </w:rPr>
      </w:pPr>
    </w:p>
    <w:p>
      <w:pPr>
        <w:jc w:val="both"/>
        <w:ind w:firstLine="6"/>
        <w:spacing w:after="0"/>
        <w:tabs>
          <w:tab w:leader="none" w:pos="633" w:val="left"/>
        </w:tabs>
        <w:numPr>
          <w:ilvl w:val="0"/>
          <w:numId w:val="17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Unless otherwise provided by the Board, if there is no closing sales price for the Ordinary Shares on the date of determination, then the Fair Market Value shall be the closing selling price on the last preceding date for which such quotation exists.</w:t>
      </w:r>
    </w:p>
    <w:p>
      <w:pPr>
        <w:spacing w:after="0" w:line="368" w:lineRule="exact"/>
        <w:rPr>
          <w:rFonts w:ascii="Times New Roman" w:cs="Times New Roman" w:eastAsia="Times New Roman" w:hAnsi="Times New Roman"/>
          <w:sz w:val="21"/>
          <w:szCs w:val="21"/>
          <w:b w:val="1"/>
          <w:bCs w:val="1"/>
          <w:color w:val="auto"/>
        </w:rPr>
      </w:pPr>
    </w:p>
    <w:p>
      <w:pPr>
        <w:ind w:firstLine="6"/>
        <w:spacing w:after="0" w:line="247" w:lineRule="auto"/>
        <w:tabs>
          <w:tab w:leader="none" w:pos="639" w:val="left"/>
        </w:tabs>
        <w:numPr>
          <w:ilvl w:val="0"/>
          <w:numId w:val="17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In the absence of such markets for the Ordinary Shares, the Fair Market Value shall be determined by the Board in good faith and in a manner that complies with Sections 409A and 422 of the Code.</w:t>
      </w:r>
    </w:p>
    <w:p>
      <w:pPr>
        <w:spacing w:after="0" w:line="136" w:lineRule="exact"/>
        <w:rPr>
          <w:sz w:val="20"/>
          <w:szCs w:val="20"/>
          <w:color w:val="auto"/>
        </w:rPr>
      </w:pPr>
    </w:p>
    <w:p>
      <w:pPr>
        <w:ind w:firstLine="6"/>
        <w:spacing w:after="0" w:line="253" w:lineRule="auto"/>
        <w:tabs>
          <w:tab w:leader="none" w:pos="634" w:val="left"/>
        </w:tabs>
        <w:numPr>
          <w:ilvl w:val="0"/>
          <w:numId w:val="17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Incentive Stock Option</w:t>
      </w:r>
      <w:r>
        <w:rPr>
          <w:rFonts w:ascii="Times New Roman" w:cs="Times New Roman" w:eastAsia="Times New Roman" w:hAnsi="Times New Roman"/>
          <w:sz w:val="21"/>
          <w:szCs w:val="21"/>
          <w:color w:val="auto"/>
        </w:rPr>
        <w:t>” means an option granted pursuant to Section 5 of the Plan that is intended to be, and qualifies as, an “incentive stock option” within the meaning of Section 422 of the Code.</w:t>
      </w:r>
    </w:p>
    <w:p>
      <w:pPr>
        <w:spacing w:after="0" w:line="129" w:lineRule="exact"/>
        <w:rPr>
          <w:rFonts w:ascii="Times New Roman" w:cs="Times New Roman" w:eastAsia="Times New Roman" w:hAnsi="Times New Roman"/>
          <w:sz w:val="21"/>
          <w:szCs w:val="21"/>
          <w:b w:val="1"/>
          <w:bCs w:val="1"/>
          <w:color w:val="auto"/>
        </w:rPr>
      </w:pPr>
    </w:p>
    <w:p>
      <w:pPr>
        <w:jc w:val="both"/>
        <w:ind w:firstLine="6"/>
        <w:spacing w:after="0" w:line="221" w:lineRule="auto"/>
        <w:tabs>
          <w:tab w:leader="none" w:pos="634" w:val="left"/>
        </w:tabs>
        <w:numPr>
          <w:ilvl w:val="0"/>
          <w:numId w:val="17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Non-Employee Director</w:t>
      </w:r>
      <w:r>
        <w:rPr>
          <w:rFonts w:ascii="Times New Roman" w:cs="Times New Roman" w:eastAsia="Times New Roman" w:hAnsi="Times New Roman"/>
          <w:sz w:val="21"/>
          <w:szCs w:val="21"/>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cs="Times New Roman" w:eastAsia="Times New Roman" w:hAnsi="Times New Roman"/>
          <w:sz w:val="21"/>
          <w:szCs w:val="21"/>
          <w:b w:val="1"/>
          <w:bCs w:val="1"/>
          <w:i w:val="1"/>
          <w:iCs w:val="1"/>
          <w:color w:val="auto"/>
        </w:rPr>
        <w:t>Regulation S-K</w:t>
      </w:r>
      <w:r>
        <w:rPr>
          <w:rFonts w:ascii="Times New Roman" w:cs="Times New Roman" w:eastAsia="Times New Roman" w:hAnsi="Times New Roman"/>
          <w:sz w:val="21"/>
          <w:szCs w:val="21"/>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147" w:lineRule="exact"/>
        <w:rPr>
          <w:rFonts w:ascii="Times New Roman" w:cs="Times New Roman" w:eastAsia="Times New Roman" w:hAnsi="Times New Roman"/>
          <w:sz w:val="21"/>
          <w:szCs w:val="21"/>
          <w:b w:val="1"/>
          <w:bCs w:val="1"/>
          <w:color w:val="auto"/>
        </w:rPr>
      </w:pPr>
    </w:p>
    <w:p>
      <w:pPr>
        <w:ind w:firstLine="6"/>
        <w:spacing w:after="0" w:line="253" w:lineRule="auto"/>
        <w:tabs>
          <w:tab w:leader="none" w:pos="636" w:val="left"/>
        </w:tabs>
        <w:numPr>
          <w:ilvl w:val="0"/>
          <w:numId w:val="17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Nonstatutory Stock Option</w:t>
      </w:r>
      <w:r>
        <w:rPr>
          <w:rFonts w:ascii="Times New Roman" w:cs="Times New Roman" w:eastAsia="Times New Roman" w:hAnsi="Times New Roman"/>
          <w:sz w:val="21"/>
          <w:szCs w:val="21"/>
          <w:color w:val="auto"/>
        </w:rPr>
        <w:t>” means any option granted pursuant to Section 5 of the Plan that does not qualify as an Incentive Stock Option.</w:t>
      </w:r>
    </w:p>
    <w:p>
      <w:pPr>
        <w:spacing w:after="0" w:line="130" w:lineRule="exact"/>
        <w:rPr>
          <w:sz w:val="20"/>
          <w:szCs w:val="20"/>
          <w:color w:val="auto"/>
        </w:rPr>
      </w:pPr>
    </w:p>
    <w:p>
      <w:pPr>
        <w:ind w:left="640" w:hanging="634"/>
        <w:spacing w:after="0"/>
        <w:tabs>
          <w:tab w:leader="none" w:pos="640" w:val="left"/>
        </w:tabs>
        <w:numPr>
          <w:ilvl w:val="0"/>
          <w:numId w:val="17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Officer</w:t>
      </w:r>
      <w:r>
        <w:rPr>
          <w:rFonts w:ascii="Times New Roman" w:cs="Times New Roman" w:eastAsia="Times New Roman" w:hAnsi="Times New Roman"/>
          <w:sz w:val="21"/>
          <w:szCs w:val="21"/>
          <w:color w:val="auto"/>
        </w:rPr>
        <w:t>” means a person who is an officer of the Company within the meaning of Section 16 of the Exchange Act.</w:t>
      </w:r>
    </w:p>
    <w:p>
      <w:pPr>
        <w:spacing w:after="0" w:line="184" w:lineRule="exact"/>
        <w:rPr>
          <w:rFonts w:ascii="Times New Roman" w:cs="Times New Roman" w:eastAsia="Times New Roman" w:hAnsi="Times New Roman"/>
          <w:sz w:val="21"/>
          <w:szCs w:val="21"/>
          <w:b w:val="1"/>
          <w:bCs w:val="1"/>
          <w:color w:val="auto"/>
        </w:rPr>
      </w:pPr>
    </w:p>
    <w:p>
      <w:pPr>
        <w:ind w:firstLine="6"/>
        <w:spacing w:after="0" w:line="253" w:lineRule="auto"/>
        <w:tabs>
          <w:tab w:leader="none" w:pos="605" w:val="left"/>
        </w:tabs>
        <w:numPr>
          <w:ilvl w:val="0"/>
          <w:numId w:val="17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Option</w:t>
      </w:r>
      <w:r>
        <w:rPr>
          <w:rFonts w:ascii="Times New Roman" w:cs="Times New Roman" w:eastAsia="Times New Roman" w:hAnsi="Times New Roman"/>
          <w:sz w:val="21"/>
          <w:szCs w:val="21"/>
          <w:color w:val="auto"/>
        </w:rPr>
        <w:t>” means an Incentive Stock Option or a Nonstatutory Stock Option to purchase Ordinary Shares granted pursuant to the Plan.</w:t>
      </w:r>
    </w:p>
    <w:p>
      <w:pPr>
        <w:spacing w:after="0" w:line="129" w:lineRule="exact"/>
        <w:rPr>
          <w:rFonts w:ascii="Times New Roman" w:cs="Times New Roman" w:eastAsia="Times New Roman" w:hAnsi="Times New Roman"/>
          <w:sz w:val="21"/>
          <w:szCs w:val="21"/>
          <w:b w:val="1"/>
          <w:bCs w:val="1"/>
          <w:color w:val="auto"/>
        </w:rPr>
      </w:pPr>
    </w:p>
    <w:p>
      <w:pPr>
        <w:ind w:firstLine="6"/>
        <w:spacing w:after="0" w:line="253" w:lineRule="auto"/>
        <w:tabs>
          <w:tab w:leader="none" w:pos="664" w:val="left"/>
        </w:tabs>
        <w:numPr>
          <w:ilvl w:val="0"/>
          <w:numId w:val="17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Option Agreement</w:t>
      </w:r>
      <w:r>
        <w:rPr>
          <w:rFonts w:ascii="Times New Roman" w:cs="Times New Roman" w:eastAsia="Times New Roman" w:hAnsi="Times New Roman"/>
          <w:sz w:val="21"/>
          <w:szCs w:val="21"/>
          <w:color w:val="auto"/>
        </w:rPr>
        <w:t>” means a written agreement between the Company and an Optionholder evidencing the terms and conditions of an Option grant. Each Option Agreement shall be subject to the terms and conditions of the Plan.</w:t>
      </w:r>
    </w:p>
    <w:p>
      <w:pPr>
        <w:spacing w:after="0" w:line="129" w:lineRule="exact"/>
        <w:rPr>
          <w:rFonts w:ascii="Times New Roman" w:cs="Times New Roman" w:eastAsia="Times New Roman" w:hAnsi="Times New Roman"/>
          <w:sz w:val="21"/>
          <w:szCs w:val="21"/>
          <w:b w:val="1"/>
          <w:bCs w:val="1"/>
          <w:color w:val="auto"/>
        </w:rPr>
      </w:pPr>
    </w:p>
    <w:p>
      <w:pPr>
        <w:ind w:right="20" w:firstLine="6"/>
        <w:spacing w:after="0" w:line="253" w:lineRule="auto"/>
        <w:tabs>
          <w:tab w:leader="none" w:pos="605" w:val="left"/>
        </w:tabs>
        <w:numPr>
          <w:ilvl w:val="0"/>
          <w:numId w:val="17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Optionholder</w:t>
      </w:r>
      <w:r>
        <w:rPr>
          <w:rFonts w:ascii="Times New Roman" w:cs="Times New Roman" w:eastAsia="Times New Roman" w:hAnsi="Times New Roman"/>
          <w:sz w:val="21"/>
          <w:szCs w:val="21"/>
          <w:color w:val="auto"/>
        </w:rPr>
        <w:t>” means a person to whom an Option is granted pursuant to the Plan or, if applicable, such other person who holds an outstanding Option.</w:t>
      </w:r>
    </w:p>
    <w:p>
      <w:pPr>
        <w:spacing w:after="0" w:line="129" w:lineRule="exact"/>
        <w:rPr>
          <w:rFonts w:ascii="Times New Roman" w:cs="Times New Roman" w:eastAsia="Times New Roman" w:hAnsi="Times New Roman"/>
          <w:sz w:val="21"/>
          <w:szCs w:val="21"/>
          <w:b w:val="1"/>
          <w:bCs w:val="1"/>
          <w:color w:val="auto"/>
        </w:rPr>
      </w:pPr>
    </w:p>
    <w:p>
      <w:pPr>
        <w:ind w:left="560" w:hanging="554"/>
        <w:spacing w:after="0"/>
        <w:tabs>
          <w:tab w:leader="none" w:pos="560" w:val="left"/>
        </w:tabs>
        <w:numPr>
          <w:ilvl w:val="0"/>
          <w:numId w:val="17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Ordinary Share</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i w:val="1"/>
          <w:iCs w:val="1"/>
          <w:color w:val="auto"/>
        </w:rPr>
        <w:t>Ordinary Shares</w:t>
      </w:r>
      <w:r>
        <w:rPr>
          <w:rFonts w:ascii="Times New Roman" w:cs="Times New Roman" w:eastAsia="Times New Roman" w:hAnsi="Times New Roman"/>
          <w:sz w:val="21"/>
          <w:szCs w:val="21"/>
          <w:color w:val="auto"/>
        </w:rPr>
        <w:t>” means the ordinary shares of the Company of nominal value US$0.0001 per share.</w:t>
      </w:r>
    </w:p>
    <w:p>
      <w:pPr>
        <w:spacing w:after="0" w:line="184" w:lineRule="exact"/>
        <w:rPr>
          <w:rFonts w:ascii="Times New Roman" w:cs="Times New Roman" w:eastAsia="Times New Roman" w:hAnsi="Times New Roman"/>
          <w:sz w:val="21"/>
          <w:szCs w:val="21"/>
          <w:b w:val="1"/>
          <w:bCs w:val="1"/>
          <w:color w:val="auto"/>
        </w:rPr>
      </w:pPr>
    </w:p>
    <w:p>
      <w:pPr>
        <w:ind w:firstLine="6"/>
        <w:spacing w:after="0" w:line="253" w:lineRule="auto"/>
        <w:tabs>
          <w:tab w:leader="none" w:pos="617" w:val="left"/>
        </w:tabs>
        <w:numPr>
          <w:ilvl w:val="0"/>
          <w:numId w:val="17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Other Stock Award</w:t>
      </w:r>
      <w:r>
        <w:rPr>
          <w:rFonts w:ascii="Times New Roman" w:cs="Times New Roman" w:eastAsia="Times New Roman" w:hAnsi="Times New Roman"/>
          <w:sz w:val="21"/>
          <w:szCs w:val="21"/>
          <w:color w:val="auto"/>
        </w:rPr>
        <w:t>” means an award based in whole or in part by reference to the Ordinary Shares which is granted pursuant to the terms and conditions of Section 6(d).</w:t>
      </w:r>
    </w:p>
    <w:p>
      <w:pPr>
        <w:spacing w:after="0" w:line="129" w:lineRule="exact"/>
        <w:rPr>
          <w:rFonts w:ascii="Times New Roman" w:cs="Times New Roman" w:eastAsia="Times New Roman" w:hAnsi="Times New Roman"/>
          <w:sz w:val="21"/>
          <w:szCs w:val="21"/>
          <w:b w:val="1"/>
          <w:bCs w:val="1"/>
          <w:color w:val="auto"/>
        </w:rPr>
      </w:pPr>
    </w:p>
    <w:p>
      <w:pPr>
        <w:jc w:val="both"/>
        <w:ind w:firstLine="6"/>
        <w:spacing w:after="0" w:line="235" w:lineRule="auto"/>
        <w:tabs>
          <w:tab w:leader="none" w:pos="608" w:val="left"/>
        </w:tabs>
        <w:numPr>
          <w:ilvl w:val="0"/>
          <w:numId w:val="17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Other Stock Award Agreement</w:t>
      </w:r>
      <w:r>
        <w:rPr>
          <w:rFonts w:ascii="Times New Roman" w:cs="Times New Roman" w:eastAsia="Times New Roman" w:hAnsi="Times New Roman"/>
          <w:sz w:val="21"/>
          <w:szCs w:val="21"/>
          <w:color w:val="auto"/>
        </w:rPr>
        <w:t>” means a written agreement between the Company and a holder of an Other Stock Award evidencing the terms and conditions of an Other Stock Award grant. Each Other Stock Award Agreement shall be subject to the terms and conditions of the Plan.</w:t>
      </w:r>
    </w:p>
    <w:p>
      <w:pPr>
        <w:spacing w:after="0" w:line="142" w:lineRule="exact"/>
        <w:rPr>
          <w:rFonts w:ascii="Times New Roman" w:cs="Times New Roman" w:eastAsia="Times New Roman" w:hAnsi="Times New Roman"/>
          <w:sz w:val="21"/>
          <w:szCs w:val="21"/>
          <w:b w:val="1"/>
          <w:bCs w:val="1"/>
          <w:color w:val="auto"/>
        </w:rPr>
      </w:pPr>
    </w:p>
    <w:p>
      <w:pPr>
        <w:ind w:firstLine="6"/>
        <w:spacing w:after="0" w:line="253" w:lineRule="auto"/>
        <w:tabs>
          <w:tab w:leader="none" w:pos="605" w:val="left"/>
        </w:tabs>
        <w:numPr>
          <w:ilvl w:val="0"/>
          <w:numId w:val="17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Outside Director</w:t>
      </w:r>
      <w:r>
        <w:rPr>
          <w:rFonts w:ascii="Times New Roman" w:cs="Times New Roman" w:eastAsia="Times New Roman" w:hAnsi="Times New Roman"/>
          <w:sz w:val="21"/>
          <w:szCs w:val="21"/>
          <w:color w:val="auto"/>
        </w:rPr>
        <w:t>” means a Director who either (i) is not a current employee of the Company or an “affiliated corporation” (within the meaning of Treasury Regulations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21.</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2"/>
          <w:szCs w:val="12"/>
          <w:color w:val="auto"/>
        </w:rPr>
        <w:t>130316850 v7</w:t>
      </w:r>
    </w:p>
    <w:p>
      <w:pPr>
        <w:sectPr>
          <w:pgSz w:w="11900" w:h="16838" w:orient="portrait"/>
          <w:cols w:equalWidth="0" w:num="1">
            <w:col w:w="11240"/>
          </w:cols>
          <w:pgMar w:left="320" w:top="1377" w:right="339" w:bottom="1440" w:gutter="0" w:footer="0" w:header="0"/>
        </w:sectPr>
      </w:pPr>
    </w:p>
    <w:bookmarkStart w:id="220" w:name="page221"/>
    <w:bookmarkEnd w:id="220"/>
    <w:p>
      <w:pPr>
        <w:jc w:val="both"/>
        <w:spacing w:after="0" w:line="224" w:lineRule="auto"/>
        <w:rPr>
          <w:sz w:val="20"/>
          <w:szCs w:val="20"/>
          <w:color w:val="auto"/>
        </w:rPr>
      </w:pPr>
      <w:r>
        <w:rPr>
          <w:rFonts w:ascii="Times New Roman" w:cs="Times New Roman" w:eastAsia="Times New Roman" w:hAnsi="Times New Roman"/>
          <w:sz w:val="21"/>
          <w:szCs w:val="21"/>
          <w:color w:val="auto"/>
        </w:rPr>
        <w:t>promulgated under Section 162(m) of the Code), is not a former employee of the Company or an “affiliated corporation” who receives compensation for prior services (other than benefits under a tax-qualified retirement plan) during the taxable year, has not been an officer of the Company or an “affiliated corporation,” and does not receive remuneration from the Company or an “affiliated corporation,” either directly or indirectly, in any capacity other than as a Director, or (ii) is otherwise considered an “outside director” for purposes of Section 162(m) of the Code.</w:t>
      </w:r>
    </w:p>
    <w:p>
      <w:pPr>
        <w:spacing w:after="0" w:line="145" w:lineRule="exact"/>
        <w:rPr>
          <w:sz w:val="20"/>
          <w:szCs w:val="20"/>
          <w:color w:val="auto"/>
        </w:rPr>
      </w:pPr>
    </w:p>
    <w:p>
      <w:pPr>
        <w:jc w:val="both"/>
        <w:ind w:firstLine="6"/>
        <w:spacing w:after="0" w:line="229" w:lineRule="auto"/>
        <w:tabs>
          <w:tab w:leader="none" w:pos="606" w:val="left"/>
        </w:tabs>
        <w:numPr>
          <w:ilvl w:val="0"/>
          <w:numId w:val="17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Own,</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i w:val="1"/>
          <w:iCs w:val="1"/>
          <w:color w:val="auto"/>
        </w:rPr>
        <w:t>Owned,</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i w:val="1"/>
          <w:iCs w:val="1"/>
          <w:color w:val="auto"/>
        </w:rPr>
        <w:t>Owner,</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i w:val="1"/>
          <w:iCs w:val="1"/>
          <w:color w:val="auto"/>
        </w:rPr>
        <w:t>Ownership</w:t>
      </w:r>
      <w:r>
        <w:rPr>
          <w:rFonts w:ascii="Times New Roman" w:cs="Times New Roman" w:eastAsia="Times New Roman" w:hAnsi="Times New Roman"/>
          <w:sz w:val="21"/>
          <w:szCs w:val="21"/>
          <w:color w:val="auto"/>
        </w:rPr>
        <w:t>” A person or Entity shall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43" w:lineRule="exact"/>
        <w:rPr>
          <w:rFonts w:ascii="Times New Roman" w:cs="Times New Roman" w:eastAsia="Times New Roman" w:hAnsi="Times New Roman"/>
          <w:sz w:val="21"/>
          <w:szCs w:val="21"/>
          <w:b w:val="1"/>
          <w:bCs w:val="1"/>
          <w:color w:val="auto"/>
        </w:rPr>
      </w:pPr>
    </w:p>
    <w:p>
      <w:pPr>
        <w:ind w:firstLine="6"/>
        <w:spacing w:after="0" w:line="253" w:lineRule="auto"/>
        <w:tabs>
          <w:tab w:leader="none" w:pos="563" w:val="left"/>
        </w:tabs>
        <w:numPr>
          <w:ilvl w:val="0"/>
          <w:numId w:val="17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Participant</w:t>
      </w:r>
      <w:r>
        <w:rPr>
          <w:rFonts w:ascii="Times New Roman" w:cs="Times New Roman" w:eastAsia="Times New Roman" w:hAnsi="Times New Roman"/>
          <w:sz w:val="21"/>
          <w:szCs w:val="21"/>
          <w:color w:val="auto"/>
        </w:rPr>
        <w:t>” means a person to whom an Award is granted pursuant to the Plan or, if applicable, such other person who holds an outstanding Stock Award.</w:t>
      </w:r>
    </w:p>
    <w:p>
      <w:pPr>
        <w:spacing w:after="0" w:line="129" w:lineRule="exact"/>
        <w:rPr>
          <w:rFonts w:ascii="Times New Roman" w:cs="Times New Roman" w:eastAsia="Times New Roman" w:hAnsi="Times New Roman"/>
          <w:sz w:val="21"/>
          <w:szCs w:val="21"/>
          <w:b w:val="1"/>
          <w:bCs w:val="1"/>
          <w:color w:val="auto"/>
        </w:rPr>
      </w:pPr>
    </w:p>
    <w:p>
      <w:pPr>
        <w:ind w:left="600" w:hanging="594"/>
        <w:spacing w:after="0"/>
        <w:tabs>
          <w:tab w:leader="none" w:pos="600" w:val="left"/>
        </w:tabs>
        <w:numPr>
          <w:ilvl w:val="0"/>
          <w:numId w:val="17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Performance Cash Award</w:t>
      </w:r>
      <w:r>
        <w:rPr>
          <w:rFonts w:ascii="Times New Roman" w:cs="Times New Roman" w:eastAsia="Times New Roman" w:hAnsi="Times New Roman"/>
          <w:sz w:val="21"/>
          <w:szCs w:val="21"/>
          <w:color w:val="auto"/>
        </w:rPr>
        <w:t>” means an award of cash granted pursuant to the terms and conditions of Section 6(c)(ii).</w:t>
      </w:r>
    </w:p>
    <w:p>
      <w:pPr>
        <w:spacing w:after="0" w:line="184" w:lineRule="exact"/>
        <w:rPr>
          <w:rFonts w:ascii="Times New Roman" w:cs="Times New Roman" w:eastAsia="Times New Roman" w:hAnsi="Times New Roman"/>
          <w:sz w:val="21"/>
          <w:szCs w:val="21"/>
          <w:b w:val="1"/>
          <w:bCs w:val="1"/>
          <w:color w:val="auto"/>
        </w:rPr>
      </w:pPr>
    </w:p>
    <w:p>
      <w:pPr>
        <w:jc w:val="both"/>
        <w:ind w:firstLine="6"/>
        <w:spacing w:after="0" w:line="216" w:lineRule="auto"/>
        <w:tabs>
          <w:tab w:leader="none" w:pos="540" w:val="left"/>
        </w:tabs>
        <w:numPr>
          <w:ilvl w:val="0"/>
          <w:numId w:val="17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Performance Criteria</w:t>
      </w:r>
      <w:r>
        <w:rPr>
          <w:rFonts w:ascii="Times New Roman" w:cs="Times New Roman" w:eastAsia="Times New Roman" w:hAnsi="Times New Roman"/>
          <w:sz w:val="21"/>
          <w:szCs w:val="21"/>
          <w:color w:val="auto"/>
        </w:rPr>
        <w:t xml:space="preserve">” means, with respect to a Performance Stock Award or Performance Cash Award, the one or more criteria that the Committee shall select for purposes of establishing the Performance Goals for a Performance Period;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Board also may select any such criteria to the extent that the Performance Stock Award or Performance Cash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Award is not intended to comply with Section 162(m) of the Code. The Performance Criteria that shall be used to establish such Performance Goals may be based on any one of, or combination of, the following as determined by the Committee (or Board, if applicable): (i) earnings (including earnings per share and net earnings); (ii) earnings before interest, taxes and depreciation; (iii) earnings before interest, taxes, depreciation and amortization; (iv) total shareholder return; (v) return on equity or average shareholder’s equity; (vi) return on assets, investment, or capital employed; (vii) share price; (viii) margin (including gross margin); (ix) income (before or after taxes); (x) operating income; (xi) operating income after taxes; (xii) pre-tax profit; (xiii) operating cash flow; (xiv) sales or revenue targets (including volume-based measures); (xv) increases in revenue or product revenue; (xvi) expenses and cost reduction goals; (xvii) improvement in or attainment of working capital levels; (xiii) economic value added (or an equivalent metric); (xix) market share; (xx) cash flow; (xxi) cash flow per share; (xxii) share price performance; (xxiii) debt reduction; (xxiv) implementation or completion of projects or processes; (xxv) customer satisfaction; (xxvi) shareholders’ equity; (xxvii) capital expenditures; (xxiii) debt levels; (xxix) operating profit or net operating profit; (xxx) workforce diversity; (xxxi) growth of net income or operating income; (xxxii) billings; and (xxxiii) to the extent that an Award is not intended to comply with Section 162(m) of the Code, other measures of performance selected by the Committee or Board.</w:t>
      </w:r>
    </w:p>
    <w:p>
      <w:pPr>
        <w:spacing w:after="0" w:line="143" w:lineRule="exact"/>
        <w:rPr>
          <w:rFonts w:ascii="Times New Roman" w:cs="Times New Roman" w:eastAsia="Times New Roman" w:hAnsi="Times New Roman"/>
          <w:sz w:val="21"/>
          <w:szCs w:val="21"/>
          <w:b w:val="1"/>
          <w:bCs w:val="1"/>
          <w:color w:val="auto"/>
        </w:rPr>
      </w:pPr>
    </w:p>
    <w:p>
      <w:pPr>
        <w:jc w:val="both"/>
        <w:ind w:firstLine="6"/>
        <w:spacing w:after="0" w:line="219" w:lineRule="auto"/>
        <w:tabs>
          <w:tab w:leader="none" w:pos="723" w:val="left"/>
        </w:tabs>
        <w:numPr>
          <w:ilvl w:val="0"/>
          <w:numId w:val="17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Performance Goals</w:t>
      </w:r>
      <w:r>
        <w:rPr>
          <w:rFonts w:ascii="Times New Roman" w:cs="Times New Roman" w:eastAsia="Times New Roman" w:hAnsi="Times New Roman"/>
          <w:sz w:val="21"/>
          <w:szCs w:val="21"/>
          <w:color w:val="auto"/>
        </w:rPr>
        <w:t xml:space="preserve">” means, with respect to a Performance Stock Award or Performance Cash Award, for a Performance Period, the one or more goals established by the Committee for the Performance Period based upon the Performance Criteria;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the Board also may establish any such goals to the extent that the Performance Stock Award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Performance Cash Award is not intended to comply with Section 162(m) of the Code.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Committee (or the Board to the extent that an Award is not intended to comply with Section 162(m) of the Code), (i) in the Award Agreement at the time the Award is granted or (ii) in such other document setting forth the Performance Goals at the time the Performance Goals are established, the Committee (or Board, if applicable)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22.</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2"/>
          <w:szCs w:val="12"/>
          <w:color w:val="auto"/>
        </w:rPr>
        <w:t>130316850 v7</w:t>
      </w:r>
    </w:p>
    <w:p>
      <w:pPr>
        <w:sectPr>
          <w:pgSz w:w="11900" w:h="16838" w:orient="portrait"/>
          <w:cols w:equalWidth="0" w:num="1">
            <w:col w:w="11240"/>
          </w:cols>
          <w:pgMar w:left="320" w:top="1377" w:right="339" w:bottom="1440" w:gutter="0" w:footer="0" w:header="0"/>
        </w:sectPr>
      </w:pPr>
    </w:p>
    <w:bookmarkStart w:id="221" w:name="page222"/>
    <w:bookmarkEnd w:id="221"/>
    <w:p>
      <w:pPr>
        <w:jc w:val="both"/>
        <w:spacing w:after="0" w:line="219" w:lineRule="auto"/>
        <w:rPr>
          <w:sz w:val="20"/>
          <w:szCs w:val="20"/>
          <w:color w:val="auto"/>
        </w:rPr>
      </w:pPr>
      <w:r>
        <w:rPr>
          <w:rFonts w:ascii="Times New Roman" w:cs="Times New Roman" w:eastAsia="Times New Roman" w:hAnsi="Times New Roman"/>
          <w:sz w:val="21"/>
          <w:szCs w:val="21"/>
          <w:color w:val="auto"/>
        </w:rPr>
        <w:t>shall appropriately make adjustments in the method of calculating the attainment of Performance Goals for a Performance Period as follows: (1) to exclude restructuring and/or other nonrecurring charges; (2) to exclude exchange rate effects, as applicable, for non-U.S. dollar denominated Performance Goals; (3) to exclude the effects of changes to generally accepted accounting principles;</w:t>
      </w:r>
    </w:p>
    <w:p>
      <w:pPr>
        <w:spacing w:after="0" w:line="2" w:lineRule="exact"/>
        <w:rPr>
          <w:sz w:val="20"/>
          <w:szCs w:val="20"/>
          <w:color w:val="auto"/>
        </w:rPr>
      </w:pPr>
    </w:p>
    <w:p>
      <w:pPr>
        <w:ind w:firstLine="6"/>
        <w:spacing w:after="0" w:line="231" w:lineRule="auto"/>
        <w:tabs>
          <w:tab w:leader="none" w:pos="338"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exclude the effects of any statutory adjustments to corporate tax rates; and (5) to exclude the effects of items that are “unusual” in nature or occur “infrequently” as determined under generally accepted accounting principles.</w:t>
      </w:r>
    </w:p>
    <w:p>
      <w:pPr>
        <w:spacing w:after="0" w:line="144" w:lineRule="exact"/>
        <w:rPr>
          <w:sz w:val="20"/>
          <w:szCs w:val="20"/>
          <w:color w:val="auto"/>
        </w:rPr>
      </w:pPr>
    </w:p>
    <w:p>
      <w:pPr>
        <w:jc w:val="both"/>
        <w:ind w:firstLine="6"/>
        <w:spacing w:after="0" w:line="223" w:lineRule="auto"/>
        <w:tabs>
          <w:tab w:leader="none" w:pos="618" w:val="left"/>
        </w:tabs>
        <w:numPr>
          <w:ilvl w:val="0"/>
          <w:numId w:val="17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Performance Period</w:t>
      </w:r>
      <w:r>
        <w:rPr>
          <w:rFonts w:ascii="Times New Roman" w:cs="Times New Roman" w:eastAsia="Times New Roman" w:hAnsi="Times New Roman"/>
          <w:sz w:val="21"/>
          <w:szCs w:val="21"/>
          <w:color w:val="auto"/>
        </w:rPr>
        <w:t xml:space="preserve">” means, with respect to a Performance Stock Award or Performance Cash Award, the period of time selected by the Committee over which the attainment of one or more Performance Goals will be measured for the purpose of determining a Participant’s right to and the payment of the Performance Stock Award or Performance Cash Award;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Board also may select any such period to the extent that the Performance Stock Award or Performance Cash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Award is not intended to comply with Section 162(m) of the Code. Performance Periods may be of varying and overlapping duration, at the sole discretion of the Committee (or the Board, if applicable).</w:t>
      </w:r>
    </w:p>
    <w:p>
      <w:pPr>
        <w:spacing w:after="0" w:line="144" w:lineRule="exact"/>
        <w:rPr>
          <w:rFonts w:ascii="Times New Roman" w:cs="Times New Roman" w:eastAsia="Times New Roman" w:hAnsi="Times New Roman"/>
          <w:sz w:val="21"/>
          <w:szCs w:val="21"/>
          <w:b w:val="1"/>
          <w:bCs w:val="1"/>
          <w:color w:val="auto"/>
        </w:rPr>
      </w:pPr>
    </w:p>
    <w:p>
      <w:pPr>
        <w:ind w:left="580" w:hanging="574"/>
        <w:spacing w:after="0"/>
        <w:tabs>
          <w:tab w:leader="none" w:pos="580" w:val="left"/>
        </w:tabs>
        <w:numPr>
          <w:ilvl w:val="0"/>
          <w:numId w:val="17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Performance Stock Award</w:t>
      </w:r>
      <w:r>
        <w:rPr>
          <w:rFonts w:ascii="Times New Roman" w:cs="Times New Roman" w:eastAsia="Times New Roman" w:hAnsi="Times New Roman"/>
          <w:sz w:val="21"/>
          <w:szCs w:val="21"/>
          <w:color w:val="auto"/>
        </w:rPr>
        <w:t>” means a Stock Award granted under the terms and conditions of Section 6(c)(i).</w:t>
      </w:r>
    </w:p>
    <w:p>
      <w:pPr>
        <w:spacing w:after="0" w:line="184" w:lineRule="exact"/>
        <w:rPr>
          <w:rFonts w:ascii="Times New Roman" w:cs="Times New Roman" w:eastAsia="Times New Roman" w:hAnsi="Times New Roman"/>
          <w:sz w:val="21"/>
          <w:szCs w:val="21"/>
          <w:b w:val="1"/>
          <w:bCs w:val="1"/>
          <w:color w:val="auto"/>
        </w:rPr>
      </w:pPr>
    </w:p>
    <w:p>
      <w:pPr>
        <w:ind w:left="600" w:hanging="594"/>
        <w:spacing w:after="0"/>
        <w:tabs>
          <w:tab w:leader="none" w:pos="600" w:val="left"/>
        </w:tabs>
        <w:numPr>
          <w:ilvl w:val="0"/>
          <w:numId w:val="17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means this Jazz Pharmaceuticals plc 2011 Equity Incentive Plan.</w:t>
      </w:r>
    </w:p>
    <w:p>
      <w:pPr>
        <w:spacing w:after="0" w:line="184" w:lineRule="exact"/>
        <w:rPr>
          <w:rFonts w:ascii="Times New Roman" w:cs="Times New Roman" w:eastAsia="Times New Roman" w:hAnsi="Times New Roman"/>
          <w:sz w:val="21"/>
          <w:szCs w:val="21"/>
          <w:b w:val="1"/>
          <w:bCs w:val="1"/>
          <w:color w:val="auto"/>
        </w:rPr>
      </w:pPr>
    </w:p>
    <w:p>
      <w:pPr>
        <w:ind w:firstLine="6"/>
        <w:spacing w:after="0" w:line="253" w:lineRule="auto"/>
        <w:tabs>
          <w:tab w:leader="none" w:pos="672" w:val="left"/>
        </w:tabs>
        <w:numPr>
          <w:ilvl w:val="0"/>
          <w:numId w:val="17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Restricted Stock Award</w:t>
      </w:r>
      <w:r>
        <w:rPr>
          <w:rFonts w:ascii="Times New Roman" w:cs="Times New Roman" w:eastAsia="Times New Roman" w:hAnsi="Times New Roman"/>
          <w:sz w:val="21"/>
          <w:szCs w:val="21"/>
          <w:color w:val="auto"/>
        </w:rPr>
        <w:t>” means an award of Ordinary Shares which is granted pursuant to the terms and conditions of Section 6(a).</w:t>
      </w:r>
    </w:p>
    <w:p>
      <w:pPr>
        <w:spacing w:after="0" w:line="129" w:lineRule="exact"/>
        <w:rPr>
          <w:rFonts w:ascii="Times New Roman" w:cs="Times New Roman" w:eastAsia="Times New Roman" w:hAnsi="Times New Roman"/>
          <w:sz w:val="21"/>
          <w:szCs w:val="21"/>
          <w:b w:val="1"/>
          <w:bCs w:val="1"/>
          <w:color w:val="auto"/>
        </w:rPr>
      </w:pPr>
    </w:p>
    <w:p>
      <w:pPr>
        <w:jc w:val="both"/>
        <w:ind w:firstLine="6"/>
        <w:spacing w:after="0" w:line="235" w:lineRule="auto"/>
        <w:tabs>
          <w:tab w:leader="none" w:pos="584" w:val="left"/>
        </w:tabs>
        <w:numPr>
          <w:ilvl w:val="0"/>
          <w:numId w:val="17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Restricted Stock Award Agreement</w:t>
      </w:r>
      <w:r>
        <w:rPr>
          <w:rFonts w:ascii="Times New Roman" w:cs="Times New Roman" w:eastAsia="Times New Roman" w:hAnsi="Times New Roman"/>
          <w:sz w:val="21"/>
          <w:szCs w:val="21"/>
          <w:color w:val="auto"/>
        </w:rPr>
        <w:t>” means a written agreement between the Company and a holder of a Restricted Stock Award evidencing the terms and conditions of a Restricted Stock Award grant. Each Restricted Stock Award Agreement shall be subject to the terms and conditions of the Plan.</w:t>
      </w:r>
    </w:p>
    <w:p>
      <w:pPr>
        <w:spacing w:after="0" w:line="142" w:lineRule="exact"/>
        <w:rPr>
          <w:rFonts w:ascii="Times New Roman" w:cs="Times New Roman" w:eastAsia="Times New Roman" w:hAnsi="Times New Roman"/>
          <w:sz w:val="21"/>
          <w:szCs w:val="21"/>
          <w:b w:val="1"/>
          <w:bCs w:val="1"/>
          <w:color w:val="auto"/>
        </w:rPr>
      </w:pPr>
    </w:p>
    <w:p>
      <w:pPr>
        <w:ind w:firstLine="6"/>
        <w:spacing w:after="0" w:line="253" w:lineRule="auto"/>
        <w:tabs>
          <w:tab w:leader="none" w:pos="667" w:val="left"/>
        </w:tabs>
        <w:numPr>
          <w:ilvl w:val="0"/>
          <w:numId w:val="17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Restricted Stock Unit Award</w:t>
      </w:r>
      <w:r>
        <w:rPr>
          <w:rFonts w:ascii="Times New Roman" w:cs="Times New Roman" w:eastAsia="Times New Roman" w:hAnsi="Times New Roman"/>
          <w:sz w:val="21"/>
          <w:szCs w:val="21"/>
          <w:color w:val="auto"/>
        </w:rPr>
        <w:t>” means a right to receive Ordinary Shares which is granted pursuant to the terms and conditions of Section 6(b).</w:t>
      </w:r>
    </w:p>
    <w:p>
      <w:pPr>
        <w:spacing w:after="0" w:line="129" w:lineRule="exact"/>
        <w:rPr>
          <w:rFonts w:ascii="Times New Roman" w:cs="Times New Roman" w:eastAsia="Times New Roman" w:hAnsi="Times New Roman"/>
          <w:sz w:val="21"/>
          <w:szCs w:val="21"/>
          <w:b w:val="1"/>
          <w:bCs w:val="1"/>
          <w:color w:val="auto"/>
        </w:rPr>
      </w:pPr>
    </w:p>
    <w:p>
      <w:pPr>
        <w:jc w:val="both"/>
        <w:ind w:firstLine="6"/>
        <w:spacing w:after="0" w:line="235" w:lineRule="auto"/>
        <w:tabs>
          <w:tab w:leader="none" w:pos="563" w:val="left"/>
        </w:tabs>
        <w:numPr>
          <w:ilvl w:val="0"/>
          <w:numId w:val="17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Restricted Stock Unit Award Agreement</w:t>
      </w:r>
      <w:r>
        <w:rPr>
          <w:rFonts w:ascii="Times New Roman" w:cs="Times New Roman" w:eastAsia="Times New Roman" w:hAnsi="Times New Roman"/>
          <w:sz w:val="21"/>
          <w:szCs w:val="21"/>
          <w:color w:val="auto"/>
        </w:rPr>
        <w:t>” means a written agreement between the Company and a holder of a Restricted Stock Unit Award evidencing the terms and conditions of a Restricted Stock Unit Award grant. Each Restricted Stock Unit Award Agreement shall be subject to the terms and conditions of the Plan.</w:t>
      </w:r>
    </w:p>
    <w:p>
      <w:pPr>
        <w:spacing w:after="0" w:line="142" w:lineRule="exact"/>
        <w:rPr>
          <w:rFonts w:ascii="Times New Roman" w:cs="Times New Roman" w:eastAsia="Times New Roman" w:hAnsi="Times New Roman"/>
          <w:sz w:val="21"/>
          <w:szCs w:val="21"/>
          <w:b w:val="1"/>
          <w:bCs w:val="1"/>
          <w:color w:val="auto"/>
        </w:rPr>
      </w:pPr>
    </w:p>
    <w:p>
      <w:pPr>
        <w:ind w:firstLine="6"/>
        <w:spacing w:after="0" w:line="253" w:lineRule="auto"/>
        <w:tabs>
          <w:tab w:leader="none" w:pos="592" w:val="left"/>
        </w:tabs>
        <w:numPr>
          <w:ilvl w:val="0"/>
          <w:numId w:val="17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Rule 16b-3</w:t>
      </w:r>
      <w:r>
        <w:rPr>
          <w:rFonts w:ascii="Times New Roman" w:cs="Times New Roman" w:eastAsia="Times New Roman" w:hAnsi="Times New Roman"/>
          <w:sz w:val="21"/>
          <w:szCs w:val="21"/>
          <w:color w:val="auto"/>
        </w:rPr>
        <w:t>” means Rule 16b-3 promulgated under the Exchange Act or any successor to Rule 16b-3, as in effect from time to time.</w:t>
      </w:r>
    </w:p>
    <w:p>
      <w:pPr>
        <w:spacing w:after="0" w:line="129" w:lineRule="exact"/>
        <w:rPr>
          <w:rFonts w:ascii="Times New Roman" w:cs="Times New Roman" w:eastAsia="Times New Roman" w:hAnsi="Times New Roman"/>
          <w:sz w:val="21"/>
          <w:szCs w:val="21"/>
          <w:b w:val="1"/>
          <w:bCs w:val="1"/>
          <w:color w:val="auto"/>
        </w:rPr>
      </w:pPr>
    </w:p>
    <w:p>
      <w:pPr>
        <w:ind w:left="580" w:hanging="574"/>
        <w:spacing w:after="0"/>
        <w:tabs>
          <w:tab w:leader="none" w:pos="580" w:val="left"/>
        </w:tabs>
        <w:numPr>
          <w:ilvl w:val="0"/>
          <w:numId w:val="17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Securities Act</w:t>
      </w:r>
      <w:r>
        <w:rPr>
          <w:rFonts w:ascii="Times New Roman" w:cs="Times New Roman" w:eastAsia="Times New Roman" w:hAnsi="Times New Roman"/>
          <w:sz w:val="21"/>
          <w:szCs w:val="21"/>
          <w:color w:val="auto"/>
        </w:rPr>
        <w:t>” means the Securities Act of 1933, as amended.</w:t>
      </w:r>
    </w:p>
    <w:p>
      <w:pPr>
        <w:spacing w:after="0" w:line="184" w:lineRule="exact"/>
        <w:rPr>
          <w:rFonts w:ascii="Times New Roman" w:cs="Times New Roman" w:eastAsia="Times New Roman" w:hAnsi="Times New Roman"/>
          <w:sz w:val="21"/>
          <w:szCs w:val="21"/>
          <w:b w:val="1"/>
          <w:bCs w:val="1"/>
          <w:color w:val="auto"/>
        </w:rPr>
      </w:pPr>
    </w:p>
    <w:p>
      <w:pPr>
        <w:ind w:firstLine="6"/>
        <w:spacing w:after="0" w:line="253" w:lineRule="auto"/>
        <w:tabs>
          <w:tab w:leader="none" w:pos="663" w:val="left"/>
        </w:tabs>
        <w:numPr>
          <w:ilvl w:val="0"/>
          <w:numId w:val="17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Stock Appreciation Right</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i w:val="1"/>
          <w:iCs w:val="1"/>
          <w:color w:val="auto"/>
        </w:rPr>
        <w:t>SAR</w:t>
      </w:r>
      <w:r>
        <w:rPr>
          <w:rFonts w:ascii="Times New Roman" w:cs="Times New Roman" w:eastAsia="Times New Roman" w:hAnsi="Times New Roman"/>
          <w:sz w:val="21"/>
          <w:szCs w:val="21"/>
          <w:color w:val="auto"/>
        </w:rPr>
        <w:t>” means a right to receive the appreciation on Ordinary Shares that is granted pursuant to the terms and conditions of Section 5.</w:t>
      </w:r>
    </w:p>
    <w:p>
      <w:pPr>
        <w:spacing w:after="0" w:line="129" w:lineRule="exact"/>
        <w:rPr>
          <w:rFonts w:ascii="Times New Roman" w:cs="Times New Roman" w:eastAsia="Times New Roman" w:hAnsi="Times New Roman"/>
          <w:sz w:val="21"/>
          <w:szCs w:val="21"/>
          <w:b w:val="1"/>
          <w:bCs w:val="1"/>
          <w:color w:val="auto"/>
        </w:rPr>
      </w:pPr>
    </w:p>
    <w:p>
      <w:pPr>
        <w:jc w:val="both"/>
        <w:ind w:firstLine="6"/>
        <w:spacing w:after="0" w:line="235" w:lineRule="auto"/>
        <w:tabs>
          <w:tab w:leader="none" w:pos="741" w:val="left"/>
        </w:tabs>
        <w:numPr>
          <w:ilvl w:val="0"/>
          <w:numId w:val="17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Stock Appreciation Right Agreement</w:t>
      </w:r>
      <w:r>
        <w:rPr>
          <w:rFonts w:ascii="Times New Roman" w:cs="Times New Roman" w:eastAsia="Times New Roman" w:hAnsi="Times New Roman"/>
          <w:sz w:val="21"/>
          <w:szCs w:val="21"/>
          <w:color w:val="auto"/>
        </w:rPr>
        <w:t>” means a written agreement between the Company and a holder of a Stock Appreciation Right evidencing the terms and conditions of a Stock Appreciation Right grant. Each Stock Appreciation Right Agreement shall be subject to the terms and conditions of the Plan.</w:t>
      </w:r>
    </w:p>
    <w:p>
      <w:pPr>
        <w:spacing w:after="0" w:line="142" w:lineRule="exact"/>
        <w:rPr>
          <w:rFonts w:ascii="Times New Roman" w:cs="Times New Roman" w:eastAsia="Times New Roman" w:hAnsi="Times New Roman"/>
          <w:sz w:val="21"/>
          <w:szCs w:val="21"/>
          <w:b w:val="1"/>
          <w:bCs w:val="1"/>
          <w:color w:val="auto"/>
        </w:rPr>
      </w:pPr>
    </w:p>
    <w:p>
      <w:pPr>
        <w:ind w:firstLine="6"/>
        <w:spacing w:after="0" w:line="253" w:lineRule="auto"/>
        <w:tabs>
          <w:tab w:leader="none" w:pos="608" w:val="left"/>
        </w:tabs>
        <w:numPr>
          <w:ilvl w:val="0"/>
          <w:numId w:val="17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Stock Award</w:t>
      </w:r>
      <w:r>
        <w:rPr>
          <w:rFonts w:ascii="Times New Roman" w:cs="Times New Roman" w:eastAsia="Times New Roman" w:hAnsi="Times New Roman"/>
          <w:sz w:val="21"/>
          <w:szCs w:val="21"/>
          <w:color w:val="auto"/>
        </w:rPr>
        <w:t>” means any right to receive Ordinary Shares granted under the Plan, including an Incentive Stock Option, a Nonstatutory Stock Option, a Restricted Stock Award, a</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23.</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2"/>
          <w:szCs w:val="12"/>
          <w:color w:val="auto"/>
        </w:rPr>
        <w:t>130316850 v7</w:t>
      </w:r>
    </w:p>
    <w:p>
      <w:pPr>
        <w:sectPr>
          <w:pgSz w:w="11900" w:h="16838" w:orient="portrait"/>
          <w:cols w:equalWidth="0" w:num="1">
            <w:col w:w="11240"/>
          </w:cols>
          <w:pgMar w:left="320" w:top="1377" w:right="3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21"/>
          <w:szCs w:val="21"/>
          <w:color w:val="auto"/>
        </w:rPr>
        <w:t>Restricted Stock Unit Award, a Stock Appreciation Right, a Performance Stock Award or any Other Stock Award.</w:t>
      </w:r>
    </w:p>
    <w:p>
      <w:pPr>
        <w:spacing w:after="0" w:line="178" w:lineRule="exact"/>
        <w:rPr>
          <w:sz w:val="20"/>
          <w:szCs w:val="20"/>
          <w:color w:val="auto"/>
        </w:rPr>
      </w:pPr>
    </w:p>
    <w:p>
      <w:pPr>
        <w:ind w:firstLine="6"/>
        <w:spacing w:after="0" w:line="253" w:lineRule="auto"/>
        <w:tabs>
          <w:tab w:leader="none" w:pos="624" w:val="left"/>
        </w:tabs>
        <w:numPr>
          <w:ilvl w:val="0"/>
          <w:numId w:val="17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Stock Award Agreement</w:t>
      </w:r>
      <w:r>
        <w:rPr>
          <w:rFonts w:ascii="Times New Roman" w:cs="Times New Roman" w:eastAsia="Times New Roman" w:hAnsi="Times New Roman"/>
          <w:sz w:val="21"/>
          <w:szCs w:val="21"/>
          <w:color w:val="auto"/>
        </w:rPr>
        <w:t>” means a written agreement between the Company and a Participant evidencing the terms and conditions of a Stock Award grant. Each Stock Award Agreement shall be subject to the terms and conditions of the Plan.</w:t>
      </w:r>
    </w:p>
    <w:p>
      <w:pPr>
        <w:spacing w:after="0" w:line="130" w:lineRule="exact"/>
        <w:rPr>
          <w:sz w:val="20"/>
          <w:szCs w:val="20"/>
          <w:color w:val="auto"/>
        </w:rPr>
      </w:pPr>
    </w:p>
    <w:p>
      <w:pPr>
        <w:jc w:val="both"/>
        <w:ind w:firstLine="6"/>
        <w:spacing w:after="0" w:line="223" w:lineRule="auto"/>
        <w:tabs>
          <w:tab w:leader="none" w:pos="781" w:val="left"/>
        </w:tabs>
        <w:numPr>
          <w:ilvl w:val="0"/>
          <w:numId w:val="17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Subsidiary</w:t>
      </w:r>
      <w:r>
        <w:rPr>
          <w:rFonts w:ascii="Times New Roman" w:cs="Times New Roman" w:eastAsia="Times New Roman" w:hAnsi="Times New Roman"/>
          <w:sz w:val="21"/>
          <w:szCs w:val="21"/>
          <w:color w:val="auto"/>
        </w:rPr>
        <w:t>” means, with respect to the Company, (i) any corporation of which more than fifty percent (50%) of the outstanding capital stock having ordinary voting power to elect a majority of the board of directors of such corporation (irrespective of whether, at the time, stock of any other class or classes of such corporation shall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fifty percent (50%).</w:t>
      </w:r>
    </w:p>
    <w:p>
      <w:pPr>
        <w:spacing w:after="0" w:line="144" w:lineRule="exact"/>
        <w:rPr>
          <w:rFonts w:ascii="Times New Roman" w:cs="Times New Roman" w:eastAsia="Times New Roman" w:hAnsi="Times New Roman"/>
          <w:sz w:val="21"/>
          <w:szCs w:val="21"/>
          <w:b w:val="1"/>
          <w:bCs w:val="1"/>
          <w:color w:val="auto"/>
        </w:rPr>
      </w:pPr>
    </w:p>
    <w:p>
      <w:pPr>
        <w:jc w:val="both"/>
        <w:ind w:firstLine="6"/>
        <w:spacing w:after="0" w:line="235" w:lineRule="auto"/>
        <w:tabs>
          <w:tab w:leader="none" w:pos="790" w:val="left"/>
        </w:tabs>
        <w:numPr>
          <w:ilvl w:val="0"/>
          <w:numId w:val="17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Ten Percent Shareholder</w:t>
      </w:r>
      <w:r>
        <w:rPr>
          <w:rFonts w:ascii="Times New Roman" w:cs="Times New Roman" w:eastAsia="Times New Roman" w:hAnsi="Times New Roman"/>
          <w:sz w:val="21"/>
          <w:szCs w:val="21"/>
          <w:color w:val="auto"/>
        </w:rPr>
        <w:t>” means a person who Owns (or is deemed to Own pursuant to Section 424(d) of the Code) shares possessing more than ten percent (10%) of the total combined voting power of all classes of shares of the Company or any Affiliate.</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Adopted by the Board of Directors of Jazz Pharmaceuticals, Inc. on October 24, 2011.</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Approved by the stockholders of Jazz Pharmaceuticals, Inc. on December 12, 2011.</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Adopted by the Board of Directors of Azur Pharma plc on December 21, 2011.</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Approved by the shareholders of Azur Pharma plc on January 3, 2012.</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Amended and restated by the Board of Directors of Jazz Pharmaceuticals plc on May 5, 2016.</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Approved by the shareholders of Jazz Pharmaceuticals plc on August 4, 2016.</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Amended and restated by the Board of Directors of Jazz Pharmaceuticals plc on November 3, 2016.</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Amended by the Compensation Committee of the Board of Directors of Jazz Pharmaceuticals plc on November 2, 2022.</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Amended by the Compensation Committee of the Board of Directors of Jazz Pharmaceuticals plc on November 1, 2023.</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24.</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2"/>
          <w:szCs w:val="12"/>
          <w:color w:val="auto"/>
        </w:rPr>
        <w:t>130316850 v7</w:t>
      </w:r>
    </w:p>
    <w:p>
      <w:pPr>
        <w:sectPr>
          <w:pgSz w:w="11900" w:h="16838" w:orient="portrait"/>
          <w:cols w:equalWidth="0" w:num="1">
            <w:col w:w="11240"/>
          </w:cols>
          <w:pgMar w:left="320" w:top="1377" w:right="339" w:bottom="1440" w:gutter="0" w:footer="0" w:header="0"/>
        </w:sectPr>
      </w:pPr>
    </w:p>
    <w:bookmarkStart w:id="223" w:name="page224"/>
    <w:bookmarkEnd w:id="223"/>
    <w:p>
      <w:pPr>
        <w:jc w:val="right"/>
        <w:spacing w:after="0"/>
        <w:rPr>
          <w:sz w:val="20"/>
          <w:szCs w:val="20"/>
          <w:color w:val="auto"/>
        </w:rPr>
      </w:pPr>
      <w:r>
        <w:rPr>
          <w:rFonts w:ascii="Times New Roman" w:cs="Times New Roman" w:eastAsia="Times New Roman" w:hAnsi="Times New Roman"/>
          <w:sz w:val="16"/>
          <w:szCs w:val="16"/>
          <w:b w:val="1"/>
          <w:bCs w:val="1"/>
          <w:color w:val="auto"/>
        </w:rPr>
        <w:t>Exhibit 10.20A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GW Pharmaceuticals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-1270</wp:posOffset>
            </wp:positionV>
            <wp:extent cx="11404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68">
                      <a:extLst>
                        <a:ext uri="{28A0092B-C50C-407E-A947-70E740481C1C}"/>
                      </a:extLst>
                    </a:blip>
                    <a:srcRect/>
                    <a:stretch>
                      <a:fillRect/>
                    </a:stretch>
                  </pic:blipFill>
                  <pic:spPr bwMode="auto">
                    <a:xfrm>
                      <a:off x="0" y="0"/>
                      <a:ext cx="114046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2020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-1270</wp:posOffset>
            </wp:positionV>
            <wp:extent cx="17487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69">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314"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color w:val="auto"/>
        </w:rPr>
        <w:t>Approved by shareholders on 26 May 2020 Adopted by the board of directors on 26</w:t>
      </w:r>
    </w:p>
    <w:p>
      <w:pPr>
        <w:spacing w:after="0" w:line="198"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color w:val="auto"/>
        </w:rPr>
        <w:t>March 2020</w:t>
      </w:r>
    </w:p>
    <w:p>
      <w:pPr>
        <w:spacing w:after="0" w:line="18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color w:val="auto"/>
        </w:rPr>
        <w:t>Amended on 19 May 2020</w:t>
      </w:r>
    </w:p>
    <w:p>
      <w:pPr>
        <w:spacing w:after="0" w:line="18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color w:val="auto"/>
        </w:rPr>
        <w:t>Amended on 1 November 2023</w:t>
      </w:r>
    </w:p>
    <w:p>
      <w:pPr>
        <w:sectPr>
          <w:pgSz w:w="11900" w:h="16838" w:orient="portrait"/>
          <w:cols w:equalWidth="0" w:num="1">
            <w:col w:w="10980"/>
          </w:cols>
          <w:pgMar w:left="580" w:top="110" w:right="339" w:bottom="1440" w:gutter="0" w:footer="0" w:header="0"/>
        </w:sectPr>
      </w:pPr>
    </w:p>
    <w:bookmarkStart w:id="224" w:name="page225"/>
    <w:bookmarkEnd w:id="224"/>
    <w:tbl>
      <w:tblPr>
        <w:tblLayout w:type="fixed"/>
        <w:tblInd w:w="0" w:type="dxa"/>
        <w:tblCellMar>
          <w:top w:w="0" w:type="dxa"/>
          <w:left w:w="0" w:type="dxa"/>
          <w:bottom w:w="0" w:type="dxa"/>
          <w:right w:w="0" w:type="dxa"/>
        </w:tblCellMar>
      </w:tblPr>
      <w:tr>
        <w:trPr>
          <w:trHeight w:val="211"/>
        </w:trPr>
        <w:tc>
          <w:tcPr>
            <w:tcW w:w="3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3020" w:type="dxa"/>
            <w:vAlign w:val="bottom"/>
            <w:gridSpan w:val="2"/>
          </w:tcPr>
          <w:p>
            <w:pPr>
              <w:ind w:left="2000"/>
              <w:spacing w:after="0"/>
              <w:rPr>
                <w:sz w:val="20"/>
                <w:szCs w:val="20"/>
                <w:color w:val="auto"/>
              </w:rPr>
            </w:pPr>
            <w:r>
              <w:rPr>
                <w:rFonts w:ascii="Times New Roman" w:cs="Times New Roman" w:eastAsia="Times New Roman" w:hAnsi="Times New Roman"/>
                <w:sz w:val="16"/>
                <w:szCs w:val="16"/>
                <w:b w:val="1"/>
                <w:bCs w:val="1"/>
                <w:color w:val="auto"/>
                <w:w w:val="97"/>
              </w:rPr>
              <w:t>Exhibit 10.20A</w:t>
            </w:r>
          </w:p>
        </w:tc>
        <w:tc>
          <w:tcPr>
            <w:tcW w:w="0" w:type="dxa"/>
            <w:vAlign w:val="bottom"/>
          </w:tcPr>
          <w:p>
            <w:pPr>
              <w:spacing w:after="0"/>
              <w:rPr>
                <w:sz w:val="1"/>
                <w:szCs w:val="1"/>
                <w:color w:val="auto"/>
              </w:rPr>
            </w:pPr>
          </w:p>
        </w:tc>
      </w:tr>
      <w:tr>
        <w:trPr>
          <w:trHeight w:val="684"/>
        </w:trPr>
        <w:tc>
          <w:tcPr>
            <w:tcW w:w="340" w:type="dxa"/>
            <w:vAlign w:val="bottom"/>
            <w:tcBorders>
              <w:bottom w:val="single" w:sz="8" w:color="ECECEC"/>
            </w:tcBorders>
          </w:tcPr>
          <w:p>
            <w:pPr>
              <w:spacing w:after="0"/>
              <w:rPr>
                <w:sz w:val="24"/>
                <w:szCs w:val="24"/>
                <w:color w:val="auto"/>
              </w:rPr>
            </w:pPr>
          </w:p>
        </w:tc>
        <w:tc>
          <w:tcPr>
            <w:tcW w:w="3580" w:type="dxa"/>
            <w:vAlign w:val="bottom"/>
            <w:tcBorders>
              <w:bottom w:val="single" w:sz="8" w:color="ECECEC"/>
            </w:tcBorders>
          </w:tcPr>
          <w:p>
            <w:pPr>
              <w:spacing w:after="0"/>
              <w:rPr>
                <w:sz w:val="24"/>
                <w:szCs w:val="24"/>
                <w:color w:val="auto"/>
              </w:rPr>
            </w:pPr>
          </w:p>
        </w:tc>
        <w:tc>
          <w:tcPr>
            <w:tcW w:w="6980" w:type="dxa"/>
            <w:vAlign w:val="bottom"/>
            <w:tcBorders>
              <w:bottom w:val="single" w:sz="8" w:color="ECECEC"/>
            </w:tcBorders>
            <w:gridSpan w:val="2"/>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3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180" w:type="dxa"/>
            <w:vAlign w:val="bottom"/>
          </w:tcPr>
          <w:p>
            <w:pPr>
              <w:jc w:val="right"/>
              <w:ind w:right="3129"/>
              <w:spacing w:after="0"/>
              <w:rPr>
                <w:sz w:val="20"/>
                <w:szCs w:val="20"/>
                <w:color w:val="auto"/>
              </w:rPr>
            </w:pPr>
            <w:r>
              <w:rPr>
                <w:rFonts w:ascii="Times New Roman" w:cs="Times New Roman" w:eastAsia="Times New Roman" w:hAnsi="Times New Roman"/>
                <w:sz w:val="14"/>
                <w:szCs w:val="14"/>
                <w:b w:val="1"/>
                <w:bCs w:val="1"/>
                <w:color w:val="auto"/>
              </w:rPr>
              <w:t>CONTENTS</w:t>
            </w:r>
          </w:p>
        </w:tc>
        <w:tc>
          <w:tcPr>
            <w:tcW w:w="30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Rule</w:t>
            </w:r>
          </w:p>
        </w:tc>
        <w:tc>
          <w:tcPr>
            <w:tcW w:w="358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3020" w:type="dxa"/>
            <w:vAlign w:val="bottom"/>
            <w:gridSpan w:val="2"/>
          </w:tcPr>
          <w:p>
            <w:pPr>
              <w:ind w:left="2520"/>
              <w:spacing w:after="0"/>
              <w:rPr>
                <w:sz w:val="20"/>
                <w:szCs w:val="20"/>
                <w:color w:val="auto"/>
              </w:rPr>
            </w:pPr>
            <w:r>
              <w:rPr>
                <w:rFonts w:ascii="Times New Roman" w:cs="Times New Roman" w:eastAsia="Times New Roman" w:hAnsi="Times New Roman"/>
                <w:sz w:val="12"/>
                <w:szCs w:val="12"/>
                <w:b w:val="1"/>
                <w:bCs w:val="1"/>
                <w:color w:val="auto"/>
              </w:rPr>
              <w:t>Page</w:t>
            </w:r>
          </w:p>
        </w:tc>
        <w:tc>
          <w:tcPr>
            <w:tcW w:w="0" w:type="dxa"/>
            <w:vAlign w:val="bottom"/>
          </w:tcPr>
          <w:p>
            <w:pPr>
              <w:spacing w:after="0"/>
              <w:rPr>
                <w:sz w:val="1"/>
                <w:szCs w:val="1"/>
                <w:color w:val="auto"/>
              </w:rPr>
            </w:pPr>
          </w:p>
        </w:tc>
      </w:tr>
      <w:tr>
        <w:trPr>
          <w:trHeight w:val="234"/>
        </w:trPr>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w:t>
            </w:r>
          </w:p>
        </w:tc>
        <w:tc>
          <w:tcPr>
            <w:tcW w:w="35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INTRODUCTION</w:t>
            </w:r>
          </w:p>
        </w:tc>
        <w:tc>
          <w:tcPr>
            <w:tcW w:w="6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w:t>
            </w:r>
          </w:p>
        </w:tc>
        <w:tc>
          <w:tcPr>
            <w:tcW w:w="35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DEFINITIONS AND INTERPRETATION</w:t>
            </w:r>
          </w:p>
        </w:tc>
        <w:tc>
          <w:tcPr>
            <w:tcW w:w="6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340" w:type="dxa"/>
            <w:vAlign w:val="bottom"/>
          </w:tcPr>
          <w:p>
            <w:pPr>
              <w:spacing w:after="0"/>
              <w:rPr>
                <w:sz w:val="4"/>
                <w:szCs w:val="4"/>
                <w:color w:val="auto"/>
              </w:rPr>
            </w:pPr>
          </w:p>
        </w:tc>
        <w:tc>
          <w:tcPr>
            <w:tcW w:w="3580" w:type="dxa"/>
            <w:vAlign w:val="bottom"/>
            <w:vMerge w:val="continue"/>
          </w:tcPr>
          <w:p>
            <w:pPr>
              <w:spacing w:after="0"/>
              <w:rPr>
                <w:sz w:val="4"/>
                <w:szCs w:val="4"/>
                <w:color w:val="auto"/>
              </w:rPr>
            </w:pPr>
          </w:p>
        </w:tc>
        <w:tc>
          <w:tcPr>
            <w:tcW w:w="698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w:t>
            </w:r>
          </w:p>
        </w:tc>
        <w:tc>
          <w:tcPr>
            <w:tcW w:w="35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INVESTMENT SHARES</w:t>
            </w:r>
          </w:p>
        </w:tc>
        <w:tc>
          <w:tcPr>
            <w:tcW w:w="6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40" w:type="dxa"/>
            <w:vAlign w:val="bottom"/>
          </w:tcPr>
          <w:p>
            <w:pPr>
              <w:spacing w:after="0"/>
              <w:rPr>
                <w:sz w:val="4"/>
                <w:szCs w:val="4"/>
                <w:color w:val="auto"/>
              </w:rPr>
            </w:pPr>
          </w:p>
        </w:tc>
        <w:tc>
          <w:tcPr>
            <w:tcW w:w="3580" w:type="dxa"/>
            <w:vAlign w:val="bottom"/>
            <w:vMerge w:val="continue"/>
          </w:tcPr>
          <w:p>
            <w:pPr>
              <w:spacing w:after="0"/>
              <w:rPr>
                <w:sz w:val="4"/>
                <w:szCs w:val="4"/>
                <w:color w:val="auto"/>
              </w:rPr>
            </w:pPr>
          </w:p>
        </w:tc>
        <w:tc>
          <w:tcPr>
            <w:tcW w:w="698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w:t>
            </w:r>
          </w:p>
        </w:tc>
        <w:tc>
          <w:tcPr>
            <w:tcW w:w="35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GRANT OF AWARDS</w:t>
            </w:r>
          </w:p>
        </w:tc>
        <w:tc>
          <w:tcPr>
            <w:tcW w:w="6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40" w:type="dxa"/>
            <w:vAlign w:val="bottom"/>
          </w:tcPr>
          <w:p>
            <w:pPr>
              <w:spacing w:after="0"/>
              <w:rPr>
                <w:sz w:val="4"/>
                <w:szCs w:val="4"/>
                <w:color w:val="auto"/>
              </w:rPr>
            </w:pPr>
          </w:p>
        </w:tc>
        <w:tc>
          <w:tcPr>
            <w:tcW w:w="35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LIMITS</w:t>
            </w:r>
          </w:p>
        </w:tc>
        <w:tc>
          <w:tcPr>
            <w:tcW w:w="698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w:t>
            </w:r>
          </w:p>
        </w:tc>
        <w:tc>
          <w:tcPr>
            <w:tcW w:w="3580" w:type="dxa"/>
            <w:vAlign w:val="bottom"/>
            <w:vMerge w:val="continue"/>
          </w:tcPr>
          <w:p>
            <w:pPr>
              <w:spacing w:after="0"/>
              <w:rPr>
                <w:sz w:val="16"/>
                <w:szCs w:val="16"/>
                <w:color w:val="auto"/>
              </w:rPr>
            </w:pPr>
          </w:p>
        </w:tc>
        <w:tc>
          <w:tcPr>
            <w:tcW w:w="6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40" w:type="dxa"/>
            <w:vAlign w:val="bottom"/>
          </w:tcPr>
          <w:p>
            <w:pPr>
              <w:spacing w:after="0"/>
              <w:rPr>
                <w:sz w:val="4"/>
                <w:szCs w:val="4"/>
                <w:color w:val="auto"/>
              </w:rPr>
            </w:pPr>
          </w:p>
        </w:tc>
        <w:tc>
          <w:tcPr>
            <w:tcW w:w="3580" w:type="dxa"/>
            <w:vAlign w:val="bottom"/>
          </w:tcPr>
          <w:p>
            <w:pPr>
              <w:spacing w:after="0"/>
              <w:rPr>
                <w:sz w:val="4"/>
                <w:szCs w:val="4"/>
                <w:color w:val="auto"/>
              </w:rPr>
            </w:pPr>
          </w:p>
        </w:tc>
        <w:tc>
          <w:tcPr>
            <w:tcW w:w="698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w:t>
            </w:r>
          </w:p>
        </w:tc>
        <w:tc>
          <w:tcPr>
            <w:tcW w:w="35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VESTING OF AWARDS</w:t>
            </w:r>
          </w:p>
        </w:tc>
        <w:tc>
          <w:tcPr>
            <w:tcW w:w="6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40" w:type="dxa"/>
            <w:vAlign w:val="bottom"/>
          </w:tcPr>
          <w:p>
            <w:pPr>
              <w:spacing w:after="0"/>
              <w:rPr>
                <w:sz w:val="4"/>
                <w:szCs w:val="4"/>
                <w:color w:val="auto"/>
              </w:rPr>
            </w:pPr>
          </w:p>
        </w:tc>
        <w:tc>
          <w:tcPr>
            <w:tcW w:w="3580" w:type="dxa"/>
            <w:vAlign w:val="bottom"/>
            <w:vMerge w:val="continue"/>
          </w:tcPr>
          <w:p>
            <w:pPr>
              <w:spacing w:after="0"/>
              <w:rPr>
                <w:sz w:val="4"/>
                <w:szCs w:val="4"/>
                <w:color w:val="auto"/>
              </w:rPr>
            </w:pPr>
          </w:p>
        </w:tc>
        <w:tc>
          <w:tcPr>
            <w:tcW w:w="698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7.</w:t>
            </w:r>
          </w:p>
        </w:tc>
        <w:tc>
          <w:tcPr>
            <w:tcW w:w="35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CONSEQUENCES OF VESTING</w:t>
            </w:r>
          </w:p>
        </w:tc>
        <w:tc>
          <w:tcPr>
            <w:tcW w:w="6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13</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40" w:type="dxa"/>
            <w:vAlign w:val="bottom"/>
          </w:tcPr>
          <w:p>
            <w:pPr>
              <w:spacing w:after="0"/>
              <w:rPr>
                <w:sz w:val="4"/>
                <w:szCs w:val="4"/>
                <w:color w:val="auto"/>
              </w:rPr>
            </w:pPr>
          </w:p>
        </w:tc>
        <w:tc>
          <w:tcPr>
            <w:tcW w:w="3580" w:type="dxa"/>
            <w:vAlign w:val="bottom"/>
            <w:vMerge w:val="continue"/>
          </w:tcPr>
          <w:p>
            <w:pPr>
              <w:spacing w:after="0"/>
              <w:rPr>
                <w:sz w:val="4"/>
                <w:szCs w:val="4"/>
                <w:color w:val="auto"/>
              </w:rPr>
            </w:pPr>
          </w:p>
        </w:tc>
        <w:tc>
          <w:tcPr>
            <w:tcW w:w="698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w:t>
            </w:r>
          </w:p>
        </w:tc>
        <w:tc>
          <w:tcPr>
            <w:tcW w:w="35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EXERCISE OF OPTIONS</w:t>
            </w:r>
          </w:p>
        </w:tc>
        <w:tc>
          <w:tcPr>
            <w:tcW w:w="6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14</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40" w:type="dxa"/>
            <w:vAlign w:val="bottom"/>
          </w:tcPr>
          <w:p>
            <w:pPr>
              <w:spacing w:after="0"/>
              <w:rPr>
                <w:sz w:val="4"/>
                <w:szCs w:val="4"/>
                <w:color w:val="auto"/>
              </w:rPr>
            </w:pPr>
          </w:p>
        </w:tc>
        <w:tc>
          <w:tcPr>
            <w:tcW w:w="3580" w:type="dxa"/>
            <w:vAlign w:val="bottom"/>
            <w:vMerge w:val="continue"/>
          </w:tcPr>
          <w:p>
            <w:pPr>
              <w:spacing w:after="0"/>
              <w:rPr>
                <w:sz w:val="4"/>
                <w:szCs w:val="4"/>
                <w:color w:val="auto"/>
              </w:rPr>
            </w:pPr>
          </w:p>
        </w:tc>
        <w:tc>
          <w:tcPr>
            <w:tcW w:w="698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9.</w:t>
            </w:r>
          </w:p>
        </w:tc>
        <w:tc>
          <w:tcPr>
            <w:tcW w:w="35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CASH ALTERNATIVE</w:t>
            </w:r>
          </w:p>
        </w:tc>
        <w:tc>
          <w:tcPr>
            <w:tcW w:w="6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16</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40" w:type="dxa"/>
            <w:vAlign w:val="bottom"/>
          </w:tcPr>
          <w:p>
            <w:pPr>
              <w:spacing w:after="0"/>
              <w:rPr>
                <w:sz w:val="4"/>
                <w:szCs w:val="4"/>
                <w:color w:val="auto"/>
              </w:rPr>
            </w:pPr>
          </w:p>
        </w:tc>
        <w:tc>
          <w:tcPr>
            <w:tcW w:w="3580" w:type="dxa"/>
            <w:vAlign w:val="bottom"/>
            <w:vMerge w:val="continue"/>
          </w:tcPr>
          <w:p>
            <w:pPr>
              <w:spacing w:after="0"/>
              <w:rPr>
                <w:sz w:val="4"/>
                <w:szCs w:val="4"/>
                <w:color w:val="auto"/>
              </w:rPr>
            </w:pPr>
          </w:p>
        </w:tc>
        <w:tc>
          <w:tcPr>
            <w:tcW w:w="698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w:t>
            </w:r>
          </w:p>
        </w:tc>
        <w:tc>
          <w:tcPr>
            <w:tcW w:w="35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LAPSE OF AWARDS</w:t>
            </w:r>
          </w:p>
        </w:tc>
        <w:tc>
          <w:tcPr>
            <w:tcW w:w="6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17</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40" w:type="dxa"/>
            <w:vAlign w:val="bottom"/>
          </w:tcPr>
          <w:p>
            <w:pPr>
              <w:spacing w:after="0"/>
              <w:rPr>
                <w:sz w:val="4"/>
                <w:szCs w:val="4"/>
                <w:color w:val="auto"/>
              </w:rPr>
            </w:pPr>
          </w:p>
        </w:tc>
        <w:tc>
          <w:tcPr>
            <w:tcW w:w="3580" w:type="dxa"/>
            <w:vAlign w:val="bottom"/>
            <w:vMerge w:val="continue"/>
          </w:tcPr>
          <w:p>
            <w:pPr>
              <w:spacing w:after="0"/>
              <w:rPr>
                <w:sz w:val="4"/>
                <w:szCs w:val="4"/>
                <w:color w:val="auto"/>
              </w:rPr>
            </w:pPr>
          </w:p>
        </w:tc>
        <w:tc>
          <w:tcPr>
            <w:tcW w:w="698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11.</w:t>
            </w:r>
          </w:p>
        </w:tc>
        <w:tc>
          <w:tcPr>
            <w:tcW w:w="35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LEAVERS</w:t>
            </w:r>
          </w:p>
        </w:tc>
        <w:tc>
          <w:tcPr>
            <w:tcW w:w="6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18</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40" w:type="dxa"/>
            <w:vAlign w:val="bottom"/>
          </w:tcPr>
          <w:p>
            <w:pPr>
              <w:spacing w:after="0"/>
              <w:rPr>
                <w:sz w:val="4"/>
                <w:szCs w:val="4"/>
                <w:color w:val="auto"/>
              </w:rPr>
            </w:pPr>
          </w:p>
        </w:tc>
        <w:tc>
          <w:tcPr>
            <w:tcW w:w="3580" w:type="dxa"/>
            <w:vAlign w:val="bottom"/>
          </w:tcPr>
          <w:p>
            <w:pPr>
              <w:spacing w:after="0"/>
              <w:rPr>
                <w:sz w:val="4"/>
                <w:szCs w:val="4"/>
                <w:color w:val="auto"/>
              </w:rPr>
            </w:pPr>
          </w:p>
        </w:tc>
        <w:tc>
          <w:tcPr>
            <w:tcW w:w="698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12.</w:t>
            </w:r>
          </w:p>
        </w:tc>
        <w:tc>
          <w:tcPr>
            <w:tcW w:w="35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TAKEOVERS AND OTHER CORPORATE EVENTS</w:t>
            </w:r>
          </w:p>
        </w:tc>
        <w:tc>
          <w:tcPr>
            <w:tcW w:w="6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40" w:type="dxa"/>
            <w:vAlign w:val="bottom"/>
          </w:tcPr>
          <w:p>
            <w:pPr>
              <w:spacing w:after="0"/>
              <w:rPr>
                <w:sz w:val="4"/>
                <w:szCs w:val="4"/>
                <w:color w:val="auto"/>
              </w:rPr>
            </w:pPr>
          </w:p>
        </w:tc>
        <w:tc>
          <w:tcPr>
            <w:tcW w:w="3580" w:type="dxa"/>
            <w:vAlign w:val="bottom"/>
            <w:vMerge w:val="continue"/>
          </w:tcPr>
          <w:p>
            <w:pPr>
              <w:spacing w:after="0"/>
              <w:rPr>
                <w:sz w:val="4"/>
                <w:szCs w:val="4"/>
                <w:color w:val="auto"/>
              </w:rPr>
            </w:pPr>
          </w:p>
        </w:tc>
        <w:tc>
          <w:tcPr>
            <w:tcW w:w="698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13.</w:t>
            </w:r>
          </w:p>
        </w:tc>
        <w:tc>
          <w:tcPr>
            <w:tcW w:w="35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ADJUSTMENT OF AWARDS</w:t>
            </w:r>
          </w:p>
        </w:tc>
        <w:tc>
          <w:tcPr>
            <w:tcW w:w="6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22</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40" w:type="dxa"/>
            <w:vAlign w:val="bottom"/>
          </w:tcPr>
          <w:p>
            <w:pPr>
              <w:spacing w:after="0"/>
              <w:rPr>
                <w:sz w:val="4"/>
                <w:szCs w:val="4"/>
                <w:color w:val="auto"/>
              </w:rPr>
            </w:pPr>
          </w:p>
        </w:tc>
        <w:tc>
          <w:tcPr>
            <w:tcW w:w="3580" w:type="dxa"/>
            <w:vAlign w:val="bottom"/>
            <w:vMerge w:val="continue"/>
          </w:tcPr>
          <w:p>
            <w:pPr>
              <w:spacing w:after="0"/>
              <w:rPr>
                <w:sz w:val="4"/>
                <w:szCs w:val="4"/>
                <w:color w:val="auto"/>
              </w:rPr>
            </w:pPr>
          </w:p>
        </w:tc>
        <w:tc>
          <w:tcPr>
            <w:tcW w:w="698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14.</w:t>
            </w:r>
          </w:p>
        </w:tc>
        <w:tc>
          <w:tcPr>
            <w:tcW w:w="35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ALTERATIONS</w:t>
            </w:r>
          </w:p>
        </w:tc>
        <w:tc>
          <w:tcPr>
            <w:tcW w:w="6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23</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40" w:type="dxa"/>
            <w:vAlign w:val="bottom"/>
          </w:tcPr>
          <w:p>
            <w:pPr>
              <w:spacing w:after="0"/>
              <w:rPr>
                <w:sz w:val="4"/>
                <w:szCs w:val="4"/>
                <w:color w:val="auto"/>
              </w:rPr>
            </w:pPr>
          </w:p>
        </w:tc>
        <w:tc>
          <w:tcPr>
            <w:tcW w:w="35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MISCELLANEOUS</w:t>
            </w:r>
          </w:p>
        </w:tc>
        <w:tc>
          <w:tcPr>
            <w:tcW w:w="698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15.</w:t>
            </w:r>
          </w:p>
        </w:tc>
        <w:tc>
          <w:tcPr>
            <w:tcW w:w="3580" w:type="dxa"/>
            <w:vAlign w:val="bottom"/>
            <w:vMerge w:val="continue"/>
          </w:tcPr>
          <w:p>
            <w:pPr>
              <w:spacing w:after="0"/>
              <w:rPr>
                <w:sz w:val="19"/>
                <w:szCs w:val="19"/>
                <w:color w:val="auto"/>
              </w:rPr>
            </w:pPr>
          </w:p>
        </w:tc>
        <w:tc>
          <w:tcPr>
            <w:tcW w:w="6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SCHEDULE 1</w:t>
            </w:r>
          </w:p>
        </w:tc>
        <w:tc>
          <w:tcPr>
            <w:tcW w:w="6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28</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CASH CONDITIONAL AWARDS</w:t>
            </w:r>
          </w:p>
        </w:tc>
        <w:tc>
          <w:tcPr>
            <w:tcW w:w="6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28</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SCHEDULE 2</w:t>
            </w:r>
          </w:p>
        </w:tc>
        <w:tc>
          <w:tcPr>
            <w:tcW w:w="6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29</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ITALIAN AWARDS</w:t>
            </w:r>
          </w:p>
        </w:tc>
        <w:tc>
          <w:tcPr>
            <w:tcW w:w="6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29</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SCHEDULE 3</w:t>
            </w:r>
          </w:p>
        </w:tc>
        <w:tc>
          <w:tcPr>
            <w:tcW w:w="6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34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4180" w:type="dxa"/>
            <w:vAlign w:val="bottom"/>
          </w:tcPr>
          <w:p>
            <w:pPr>
              <w:jc w:val="right"/>
              <w:ind w:right="2449"/>
              <w:spacing w:after="0"/>
              <w:rPr>
                <w:sz w:val="20"/>
                <w:szCs w:val="20"/>
                <w:color w:val="auto"/>
              </w:rPr>
            </w:pPr>
            <w:r>
              <w:rPr>
                <w:rFonts w:ascii="Times New Roman" w:cs="Times New Roman" w:eastAsia="Times New Roman" w:hAnsi="Times New Roman"/>
                <w:sz w:val="14"/>
                <w:szCs w:val="14"/>
                <w:color w:val="auto"/>
              </w:rPr>
              <w:t>-1-</w:t>
            </w:r>
          </w:p>
        </w:tc>
        <w:tc>
          <w:tcPr>
            <w:tcW w:w="2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440" w:top="110" w:right="339" w:bottom="1440" w:gutter="0" w:footer="0" w:header="0"/>
        </w:sectPr>
      </w:pPr>
    </w:p>
    <w:bookmarkStart w:id="225" w:name="page226"/>
    <w:bookmarkEnd w:id="225"/>
    <w:p>
      <w:pPr>
        <w:jc w:val="right"/>
        <w:spacing w:after="0"/>
        <w:rPr>
          <w:sz w:val="20"/>
          <w:szCs w:val="20"/>
          <w:color w:val="auto"/>
        </w:rPr>
      </w:pPr>
      <w:r>
        <w:rPr>
          <w:rFonts w:ascii="Times New Roman" w:cs="Times New Roman" w:eastAsia="Times New Roman" w:hAnsi="Times New Roman"/>
          <w:sz w:val="16"/>
          <w:szCs w:val="16"/>
          <w:b w:val="1"/>
          <w:bCs w:val="1"/>
          <w:color w:val="auto"/>
        </w:rPr>
        <w:t>Exhibit 10.20A</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RULES OF THE</w:t>
      </w: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GW PHARMACEUTICALS PLC 2020 LONG-TERM INCENTIVE PLAN</w:t>
      </w:r>
    </w:p>
    <w:p>
      <w:pPr>
        <w:spacing w:after="0" w:line="101" w:lineRule="exact"/>
        <w:rPr>
          <w:sz w:val="20"/>
          <w:szCs w:val="20"/>
          <w:color w:val="auto"/>
        </w:rPr>
      </w:pPr>
    </w:p>
    <w:p>
      <w:pPr>
        <w:ind w:left="440" w:hanging="432"/>
        <w:spacing w:after="0"/>
        <w:tabs>
          <w:tab w:leader="none" w:pos="440"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INTRODUCTION</w:t>
      </w:r>
    </w:p>
    <w:p>
      <w:pPr>
        <w:spacing w:after="0" w:line="200" w:lineRule="exact"/>
        <w:rPr>
          <w:sz w:val="20"/>
          <w:szCs w:val="20"/>
          <w:color w:val="auto"/>
        </w:rPr>
      </w:pPr>
    </w:p>
    <w:p>
      <w:pPr>
        <w:spacing w:after="0" w:line="373" w:lineRule="exact"/>
        <w:rPr>
          <w:sz w:val="20"/>
          <w:szCs w:val="20"/>
          <w:color w:val="auto"/>
        </w:rPr>
      </w:pPr>
    </w:p>
    <w:p>
      <w:pPr>
        <w:jc w:val="both"/>
        <w:ind w:left="460" w:right="400"/>
        <w:spacing w:after="0" w:line="285" w:lineRule="auto"/>
        <w:rPr>
          <w:sz w:val="20"/>
          <w:szCs w:val="20"/>
          <w:color w:val="auto"/>
        </w:rPr>
      </w:pPr>
      <w:r>
        <w:rPr>
          <w:rFonts w:ascii="Times New Roman" w:cs="Times New Roman" w:eastAsia="Times New Roman" w:hAnsi="Times New Roman"/>
          <w:sz w:val="14"/>
          <w:szCs w:val="14"/>
          <w:color w:val="auto"/>
        </w:rPr>
        <w:t>The Plan is a discretionary benefit offered by GW Pharmaceuticals plc for the benefit of employees, directors and consultants of its group. Its main purpose is to increase the interest of such people in GW Pharmaceuticals plc’s long-term business goals and performance through share ownership. The Plan is an incentive for their future performance and commitment to the goals of the GW Pharmaceuticals group.</w:t>
      </w:r>
    </w:p>
    <w:p>
      <w:pPr>
        <w:spacing w:after="0" w:line="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Plan allows for the grant of Awards in the form of:</w:t>
      </w:r>
    </w:p>
    <w:p>
      <w:pPr>
        <w:spacing w:after="0" w:line="15" w:lineRule="exact"/>
        <w:rPr>
          <w:sz w:val="20"/>
          <w:szCs w:val="20"/>
          <w:color w:val="auto"/>
        </w:rPr>
      </w:pPr>
    </w:p>
    <w:p>
      <w:pPr>
        <w:ind w:left="960" w:hanging="515"/>
        <w:spacing w:after="0"/>
        <w:tabs>
          <w:tab w:leader="none" w:pos="960" w:val="left"/>
        </w:tabs>
        <w:numPr>
          <w:ilvl w:val="0"/>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Conditional Awards, which are rights to receive Shares for free automatically to the extent the Award Vests; and</w:t>
      </w:r>
    </w:p>
    <w:p>
      <w:pPr>
        <w:spacing w:after="0" w:line="7" w:lineRule="exact"/>
        <w:rPr>
          <w:rFonts w:ascii="Times New Roman" w:cs="Times New Roman" w:eastAsia="Times New Roman" w:hAnsi="Times New Roman"/>
          <w:sz w:val="14"/>
          <w:szCs w:val="14"/>
          <w:color w:val="auto"/>
        </w:rPr>
      </w:pPr>
    </w:p>
    <w:p>
      <w:pPr>
        <w:ind w:left="960" w:right="180" w:hanging="514"/>
        <w:spacing w:after="0" w:line="275" w:lineRule="auto"/>
        <w:tabs>
          <w:tab w:leader="none" w:pos="950" w:val="left"/>
        </w:tabs>
        <w:numPr>
          <w:ilvl w:val="0"/>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Options, which are Awards under which the Participant can buy Shares, to the extent the Award has Vested, during the Exercise Period at a price (which may be zero) set when the Option is granted.</w:t>
      </w:r>
    </w:p>
    <w:p>
      <w:pPr>
        <w:spacing w:after="0" w:line="57" w:lineRule="exact"/>
        <w:rPr>
          <w:sz w:val="20"/>
          <w:szCs w:val="20"/>
          <w:color w:val="auto"/>
        </w:rPr>
      </w:pPr>
    </w:p>
    <w:p>
      <w:pPr>
        <w:ind w:left="460" w:right="200"/>
        <w:spacing w:after="0" w:line="295" w:lineRule="auto"/>
        <w:rPr>
          <w:sz w:val="20"/>
          <w:szCs w:val="20"/>
          <w:color w:val="auto"/>
        </w:rPr>
      </w:pPr>
      <w:r>
        <w:rPr>
          <w:rFonts w:ascii="Times New Roman" w:cs="Times New Roman" w:eastAsia="Times New Roman" w:hAnsi="Times New Roman"/>
          <w:sz w:val="14"/>
          <w:szCs w:val="14"/>
          <w:color w:val="auto"/>
        </w:rPr>
        <w:t>The Plan also provides (in Rule 3 (</w:t>
      </w:r>
      <w:r>
        <w:rPr>
          <w:rFonts w:ascii="Times New Roman" w:cs="Times New Roman" w:eastAsia="Times New Roman" w:hAnsi="Times New Roman"/>
          <w:sz w:val="14"/>
          <w:szCs w:val="14"/>
          <w:i w:val="1"/>
          <w:iCs w:val="1"/>
          <w:color w:val="auto"/>
        </w:rPr>
        <w:t>Investment Shares</w:t>
      </w:r>
      <w:r>
        <w:rPr>
          <w:rFonts w:ascii="Times New Roman" w:cs="Times New Roman" w:eastAsia="Times New Roman" w:hAnsi="Times New Roman"/>
          <w:sz w:val="14"/>
          <w:szCs w:val="14"/>
          <w:color w:val="auto"/>
        </w:rPr>
        <w:t>) for invitations to be made to Participants to acquire Investment Shares. Where a Participant acquires Investment Shares, he will also be granted a Matching Award (which may be either a Conditional Award or an Option).</w:t>
      </w:r>
    </w:p>
    <w:p>
      <w:pPr>
        <w:spacing w:after="0" w:line="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Awards which are not Matching Awards are termed Incentive Awards.</w:t>
      </w:r>
    </w:p>
    <w:p>
      <w:pPr>
        <w:spacing w:after="0" w:line="103" w:lineRule="exact"/>
        <w:rPr>
          <w:sz w:val="20"/>
          <w:szCs w:val="20"/>
          <w:color w:val="auto"/>
        </w:rPr>
      </w:pPr>
    </w:p>
    <w:p>
      <w:pPr>
        <w:ind w:left="460" w:right="660"/>
        <w:spacing w:after="0" w:line="295" w:lineRule="auto"/>
        <w:rPr>
          <w:sz w:val="20"/>
          <w:szCs w:val="20"/>
          <w:color w:val="auto"/>
        </w:rPr>
      </w:pPr>
      <w:r>
        <w:rPr>
          <w:rFonts w:ascii="Times New Roman" w:cs="Times New Roman" w:eastAsia="Times New Roman" w:hAnsi="Times New Roman"/>
          <w:sz w:val="14"/>
          <w:szCs w:val="14"/>
          <w:color w:val="auto"/>
        </w:rPr>
        <w:t>Share-based Awards may be settled in cash under Rule 9 (</w:t>
      </w:r>
      <w:r>
        <w:rPr>
          <w:rFonts w:ascii="Times New Roman" w:cs="Times New Roman" w:eastAsia="Times New Roman" w:hAnsi="Times New Roman"/>
          <w:sz w:val="14"/>
          <w:szCs w:val="14"/>
          <w:i w:val="1"/>
          <w:iCs w:val="1"/>
          <w:color w:val="auto"/>
        </w:rPr>
        <w:t>Cash Alternative</w:t>
      </w:r>
      <w:r>
        <w:rPr>
          <w:rFonts w:ascii="Times New Roman" w:cs="Times New Roman" w:eastAsia="Times New Roman" w:hAnsi="Times New Roman"/>
          <w:sz w:val="14"/>
          <w:szCs w:val="14"/>
          <w:color w:val="auto"/>
        </w:rPr>
        <w:t>), and Awards which may only be settled in cash may be granted under Schedule 1 (</w:t>
      </w:r>
      <w:r>
        <w:rPr>
          <w:rFonts w:ascii="Times New Roman" w:cs="Times New Roman" w:eastAsia="Times New Roman" w:hAnsi="Times New Roman"/>
          <w:sz w:val="14"/>
          <w:szCs w:val="14"/>
          <w:i w:val="1"/>
          <w:iCs w:val="1"/>
          <w:color w:val="auto"/>
        </w:rPr>
        <w:t>Cash Conditional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Awards</w:t>
      </w:r>
      <w:r>
        <w:rPr>
          <w:rFonts w:ascii="Times New Roman" w:cs="Times New Roman" w:eastAsia="Times New Roman" w:hAnsi="Times New Roman"/>
          <w:sz w:val="14"/>
          <w:szCs w:val="14"/>
          <w:color w:val="auto"/>
        </w:rPr>
        <w:t>).</w:t>
      </w:r>
    </w:p>
    <w:p>
      <w:pPr>
        <w:spacing w:after="0" w:line="32" w:lineRule="exact"/>
        <w:rPr>
          <w:sz w:val="20"/>
          <w:szCs w:val="20"/>
          <w:color w:val="auto"/>
        </w:rPr>
      </w:pPr>
    </w:p>
    <w:p>
      <w:pPr>
        <w:ind w:left="460" w:right="280"/>
        <w:spacing w:after="0" w:line="285" w:lineRule="auto"/>
        <w:rPr>
          <w:sz w:val="20"/>
          <w:szCs w:val="20"/>
          <w:color w:val="auto"/>
        </w:rPr>
      </w:pPr>
      <w:r>
        <w:rPr>
          <w:rFonts w:ascii="Times New Roman" w:cs="Times New Roman" w:eastAsia="Times New Roman" w:hAnsi="Times New Roman"/>
          <w:sz w:val="14"/>
          <w:szCs w:val="14"/>
          <w:color w:val="auto"/>
        </w:rPr>
        <w:t>Options may be granted to eligible US Taxpayers that qualify ISO Options, to the extent permitted or desirable. Only employees of the Company and any “subsidiary” of the Company (as such term is defined in Section 424(f) of the IRS Code, respectively), shall be eligible to receive ISO Options on such terms established by the Committee in compliance with the requirements of Section 422 of the IRS Code.</w:t>
      </w:r>
    </w:p>
    <w:p>
      <w:pPr>
        <w:spacing w:after="0" w:line="263" w:lineRule="exact"/>
        <w:rPr>
          <w:sz w:val="20"/>
          <w:szCs w:val="20"/>
          <w:color w:val="auto"/>
        </w:rPr>
      </w:pPr>
    </w:p>
    <w:p>
      <w:pPr>
        <w:ind w:left="440" w:hanging="432"/>
        <w:spacing w:after="0"/>
        <w:tabs>
          <w:tab w:leader="none" w:pos="44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DEFINITIONS AND INTERPRETATION</w:t>
      </w:r>
    </w:p>
    <w:p>
      <w:pPr>
        <w:spacing w:after="0" w:line="1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2.1</w:t>
      </w:r>
      <w:r>
        <w:rPr>
          <w:sz w:val="20"/>
          <w:szCs w:val="20"/>
          <w:color w:val="auto"/>
        </w:rPr>
        <w:tab/>
      </w:r>
      <w:r>
        <w:rPr>
          <w:rFonts w:ascii="Times New Roman" w:cs="Times New Roman" w:eastAsia="Times New Roman" w:hAnsi="Times New Roman"/>
          <w:sz w:val="14"/>
          <w:szCs w:val="14"/>
          <w:color w:val="auto"/>
        </w:rPr>
        <w:t>In the Plan, unless the context otherwise requires:</w:t>
      </w:r>
    </w:p>
    <w:p>
      <w:pPr>
        <w:spacing w:after="0"/>
        <w:rPr>
          <w:sz w:val="20"/>
          <w:szCs w:val="20"/>
          <w:color w:val="auto"/>
        </w:rPr>
      </w:pPr>
      <w:r>
        <w:rPr>
          <w:rFonts w:ascii="Times New Roman" w:cs="Times New Roman" w:eastAsia="Times New Roman" w:hAnsi="Times New Roman"/>
          <w:sz w:val="14"/>
          <w:szCs w:val="14"/>
          <w:color w:val="auto"/>
        </w:rPr>
        <w:t>2.2</w:t>
      </w:r>
    </w:p>
    <w:p>
      <w:pPr>
        <w:spacing w:after="0" w:line="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 xml:space="preserve">“2017 LTIP” </w:t>
      </w:r>
      <w:r>
        <w:rPr>
          <w:rFonts w:ascii="Times New Roman" w:cs="Times New Roman" w:eastAsia="Times New Roman" w:hAnsi="Times New Roman"/>
          <w:sz w:val="14"/>
          <w:szCs w:val="14"/>
          <w:color w:val="auto"/>
        </w:rPr>
        <w:t>means the GW Pharmaceuticals plc Long-Term Incentive Plan adopted by the Board and approved by the Company’s shareholders on 14 March 2017;</w:t>
      </w:r>
    </w:p>
    <w:p>
      <w:pPr>
        <w:spacing w:after="0" w:line="105" w:lineRule="exact"/>
        <w:rPr>
          <w:sz w:val="20"/>
          <w:szCs w:val="20"/>
          <w:color w:val="auto"/>
        </w:rPr>
      </w:pPr>
    </w:p>
    <w:p>
      <w:pPr>
        <w:ind w:left="460" w:right="640"/>
        <w:spacing w:after="0" w:line="295" w:lineRule="auto"/>
        <w:rPr>
          <w:sz w:val="20"/>
          <w:szCs w:val="20"/>
          <w:color w:val="auto"/>
        </w:rPr>
      </w:pPr>
      <w:r>
        <w:rPr>
          <w:rFonts w:ascii="Times New Roman" w:cs="Times New Roman" w:eastAsia="Times New Roman" w:hAnsi="Times New Roman"/>
          <w:sz w:val="14"/>
          <w:szCs w:val="14"/>
          <w:b w:val="1"/>
          <w:bCs w:val="1"/>
          <w:color w:val="auto"/>
        </w:rPr>
        <w:t xml:space="preserve">“2017 LTIP’s Available Reserve” </w:t>
      </w:r>
      <w:r>
        <w:rPr>
          <w:rFonts w:ascii="Times New Roman" w:cs="Times New Roman" w:eastAsia="Times New Roman" w:hAnsi="Times New Roman"/>
          <w:sz w:val="14"/>
          <w:szCs w:val="14"/>
          <w:color w:val="auto"/>
        </w:rPr>
        <w:t>means the number of Ordinary Shares available for the grant of new awards under rule 5.4(a) of the 2017 LTIP as of immediately prior to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Effective Date;</w:t>
      </w:r>
    </w:p>
    <w:p>
      <w:pPr>
        <w:spacing w:after="0" w:line="30" w:lineRule="exact"/>
        <w:rPr>
          <w:sz w:val="20"/>
          <w:szCs w:val="20"/>
          <w:color w:val="auto"/>
        </w:rPr>
      </w:pPr>
    </w:p>
    <w:p>
      <w:pPr>
        <w:ind w:left="460" w:right="580"/>
        <w:spacing w:after="0" w:line="307" w:lineRule="auto"/>
        <w:rPr>
          <w:sz w:val="20"/>
          <w:szCs w:val="20"/>
          <w:color w:val="auto"/>
        </w:rPr>
      </w:pPr>
      <w:r>
        <w:rPr>
          <w:rFonts w:ascii="Times New Roman" w:cs="Times New Roman" w:eastAsia="Times New Roman" w:hAnsi="Times New Roman"/>
          <w:sz w:val="14"/>
          <w:szCs w:val="14"/>
          <w:b w:val="1"/>
          <w:bCs w:val="1"/>
          <w:color w:val="auto"/>
        </w:rPr>
        <w:t xml:space="preserve">“ADS” </w:t>
      </w:r>
      <w:r>
        <w:rPr>
          <w:rFonts w:ascii="Times New Roman" w:cs="Times New Roman" w:eastAsia="Times New Roman" w:hAnsi="Times New Roman"/>
          <w:sz w:val="14"/>
          <w:szCs w:val="14"/>
          <w:color w:val="auto"/>
        </w:rPr>
        <w:t>means an American Depositary Share (also known as an American Depositary Receipt or ADS), each of which represents 12 ordinary shares of nominal value 0.1p in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capital of the Company (the underlying Ordinary Shares);</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 xml:space="preserve">“Award” </w:t>
      </w:r>
      <w:r>
        <w:rPr>
          <w:rFonts w:ascii="Times New Roman" w:cs="Times New Roman" w:eastAsia="Times New Roman" w:hAnsi="Times New Roman"/>
          <w:sz w:val="14"/>
          <w:szCs w:val="14"/>
          <w:color w:val="auto"/>
        </w:rPr>
        <w:t>means an Incentive Award or a Matching Award in the form of a Conditional Award or an Option;</w:t>
      </w:r>
    </w:p>
    <w:p>
      <w:pPr>
        <w:spacing w:after="0" w:line="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 xml:space="preserve">“Bidco” </w:t>
      </w:r>
      <w:r>
        <w:rPr>
          <w:rFonts w:ascii="Times New Roman" w:cs="Times New Roman" w:eastAsia="Times New Roman" w:hAnsi="Times New Roman"/>
          <w:sz w:val="14"/>
          <w:szCs w:val="14"/>
          <w:color w:val="auto"/>
        </w:rPr>
        <w:t>means Jazz Pharmaceuticals UK Holdings Limited (registered in England and Wales with registered number 13150429), an indirect wholly owned subsidiary of Jazz;</w:t>
      </w:r>
    </w:p>
    <w:p>
      <w:pPr>
        <w:spacing w:after="0" w:line="1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140"/>
          </w:cols>
          <w:pgMar w:left="420" w:top="110" w:right="339" w:bottom="1440" w:gutter="0" w:footer="0" w:header="0"/>
        </w:sectPr>
      </w:pPr>
    </w:p>
    <w:bookmarkStart w:id="226" w:name="page227"/>
    <w:bookmarkEnd w:id="226"/>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“Board” </w:t>
      </w:r>
      <w:r>
        <w:rPr>
          <w:rFonts w:ascii="Times New Roman" w:cs="Times New Roman" w:eastAsia="Times New Roman" w:hAnsi="Times New Roman"/>
          <w:sz w:val="14"/>
          <w:szCs w:val="14"/>
          <w:color w:val="auto"/>
        </w:rPr>
        <w:t>means the board of directors of the Company or a duly authorised committee of the Board or a duly authorised person;</w:t>
      </w:r>
    </w:p>
    <w:p>
      <w:pPr>
        <w:spacing w:after="0" w:line="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“Cash Consideration” </w:t>
      </w:r>
      <w:r>
        <w:rPr>
          <w:rFonts w:ascii="Times New Roman" w:cs="Times New Roman" w:eastAsia="Times New Roman" w:hAnsi="Times New Roman"/>
          <w:sz w:val="14"/>
          <w:szCs w:val="14"/>
          <w:color w:val="auto"/>
        </w:rPr>
        <w:t>has the meaning given in the Jazz Transaction Agreement</w:t>
      </w:r>
      <w:r>
        <w:rPr>
          <w:rFonts w:ascii="Times New Roman" w:cs="Times New Roman" w:eastAsia="Times New Roman" w:hAnsi="Times New Roman"/>
          <w:sz w:val="14"/>
          <w:szCs w:val="14"/>
          <w:b w:val="1"/>
          <w:bCs w:val="1"/>
          <w:color w:val="auto"/>
        </w:rPr>
        <w:t>;</w:t>
      </w:r>
    </w:p>
    <w:p>
      <w:pPr>
        <w:spacing w:after="0" w:line="119" w:lineRule="exact"/>
        <w:rPr>
          <w:sz w:val="20"/>
          <w:szCs w:val="20"/>
          <w:color w:val="auto"/>
        </w:rPr>
      </w:pPr>
    </w:p>
    <w:p>
      <w:pPr>
        <w:ind w:left="20" w:right="200"/>
        <w:spacing w:after="0" w:line="295" w:lineRule="auto"/>
        <w:rPr>
          <w:sz w:val="20"/>
          <w:szCs w:val="20"/>
          <w:color w:val="auto"/>
        </w:rPr>
      </w:pPr>
      <w:r>
        <w:rPr>
          <w:rFonts w:ascii="Times New Roman" w:cs="Times New Roman" w:eastAsia="Times New Roman" w:hAnsi="Times New Roman"/>
          <w:sz w:val="14"/>
          <w:szCs w:val="14"/>
          <w:b w:val="1"/>
          <w:bCs w:val="1"/>
          <w:color w:val="auto"/>
        </w:rPr>
        <w:t xml:space="preserve">“Committee” </w:t>
      </w:r>
      <w:r>
        <w:rPr>
          <w:rFonts w:ascii="Times New Roman" w:cs="Times New Roman" w:eastAsia="Times New Roman" w:hAnsi="Times New Roman"/>
          <w:sz w:val="14"/>
          <w:szCs w:val="14"/>
          <w:color w:val="auto"/>
        </w:rPr>
        <w:t>means the remuneration committee of the Board or, on and after the occurrence of a corporate event described in Rule 12 (</w:t>
      </w:r>
      <w:r>
        <w:rPr>
          <w:rFonts w:ascii="Times New Roman" w:cs="Times New Roman" w:eastAsia="Times New Roman" w:hAnsi="Times New Roman"/>
          <w:sz w:val="14"/>
          <w:szCs w:val="14"/>
          <w:i w:val="1"/>
          <w:iCs w:val="1"/>
          <w:color w:val="auto"/>
        </w:rPr>
        <w:t>Takeovers and other corporate events</w:t>
      </w:r>
      <w:r>
        <w:rPr>
          <w:rFonts w:ascii="Times New Roman" w:cs="Times New Roman" w:eastAsia="Times New Roman" w:hAnsi="Times New Roman"/>
          <w:sz w:val="14"/>
          <w:szCs w:val="14"/>
          <w:color w:val="auto"/>
        </w:rPr>
        <w:t>),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remuneration committee of the Board as constituted immediately before such event occurs;</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“Company” </w:t>
      </w:r>
      <w:r>
        <w:rPr>
          <w:rFonts w:ascii="Times New Roman" w:cs="Times New Roman" w:eastAsia="Times New Roman" w:hAnsi="Times New Roman"/>
          <w:sz w:val="14"/>
          <w:szCs w:val="14"/>
          <w:color w:val="auto"/>
        </w:rPr>
        <w:t>means GW Pharmaceuticals plc (registered in England and Wales with registered number 4160917);</w:t>
      </w:r>
    </w:p>
    <w:p>
      <w:pPr>
        <w:spacing w:after="0" w:line="79" w:lineRule="exact"/>
        <w:rPr>
          <w:sz w:val="20"/>
          <w:szCs w:val="20"/>
          <w:color w:val="auto"/>
        </w:rPr>
      </w:pPr>
    </w:p>
    <w:p>
      <w:pPr>
        <w:ind w:left="20" w:right="2220"/>
        <w:spacing w:after="0" w:line="276" w:lineRule="auto"/>
        <w:rPr>
          <w:sz w:val="20"/>
          <w:szCs w:val="20"/>
          <w:color w:val="auto"/>
        </w:rPr>
      </w:pPr>
      <w:r>
        <w:rPr>
          <w:rFonts w:ascii="Times New Roman" w:cs="Times New Roman" w:eastAsia="Times New Roman" w:hAnsi="Times New Roman"/>
          <w:sz w:val="14"/>
          <w:szCs w:val="14"/>
          <w:b w:val="1"/>
          <w:bCs w:val="1"/>
          <w:color w:val="auto"/>
        </w:rPr>
        <w:t xml:space="preserve">“Conditional Award” </w:t>
      </w:r>
      <w:r>
        <w:rPr>
          <w:rFonts w:ascii="Times New Roman" w:cs="Times New Roman" w:eastAsia="Times New Roman" w:hAnsi="Times New Roman"/>
          <w:sz w:val="14"/>
          <w:szCs w:val="14"/>
          <w:color w:val="auto"/>
        </w:rPr>
        <w:t>means a conditional right to acquire Shares granted under the Plan which is designated as a conditional award under Rule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4.2 (</w:t>
      </w:r>
      <w:r>
        <w:rPr>
          <w:rFonts w:ascii="Times New Roman" w:cs="Times New Roman" w:eastAsia="Times New Roman" w:hAnsi="Times New Roman"/>
          <w:sz w:val="14"/>
          <w:szCs w:val="14"/>
          <w:i w:val="1"/>
          <w:iCs w:val="1"/>
          <w:color w:val="auto"/>
        </w:rPr>
        <w:t>Type of Award</w:t>
      </w:r>
      <w:r>
        <w:rPr>
          <w:rFonts w:ascii="Times New Roman" w:cs="Times New Roman" w:eastAsia="Times New Roman" w:hAnsi="Times New Roman"/>
          <w:sz w:val="14"/>
          <w:szCs w:val="14"/>
          <w:color w:val="auto"/>
        </w:rPr>
        <w:t>);</w:t>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“Connected Person” </w:t>
      </w:r>
      <w:r>
        <w:rPr>
          <w:rFonts w:ascii="Times New Roman" w:cs="Times New Roman" w:eastAsia="Times New Roman" w:hAnsi="Times New Roman"/>
          <w:sz w:val="14"/>
          <w:szCs w:val="14"/>
          <w:color w:val="auto"/>
        </w:rPr>
        <w:t>means an individual who is a an employee or director (including a non-executive director) of, or a Consultant to, a Group Member;</w:t>
      </w:r>
    </w:p>
    <w:p>
      <w:pPr>
        <w:spacing w:after="0" w:line="105" w:lineRule="exact"/>
        <w:rPr>
          <w:sz w:val="20"/>
          <w:szCs w:val="20"/>
          <w:color w:val="auto"/>
        </w:rPr>
      </w:pPr>
    </w:p>
    <w:p>
      <w:pPr>
        <w:ind w:left="20" w:right="40"/>
        <w:spacing w:after="0" w:line="295" w:lineRule="auto"/>
        <w:rPr>
          <w:sz w:val="20"/>
          <w:szCs w:val="20"/>
          <w:color w:val="auto"/>
        </w:rPr>
      </w:pPr>
      <w:r>
        <w:rPr>
          <w:rFonts w:ascii="Times New Roman" w:cs="Times New Roman" w:eastAsia="Times New Roman" w:hAnsi="Times New Roman"/>
          <w:sz w:val="14"/>
          <w:szCs w:val="14"/>
          <w:b w:val="1"/>
          <w:bCs w:val="1"/>
          <w:color w:val="auto"/>
        </w:rPr>
        <w:t xml:space="preserve">“Consultant” </w:t>
      </w:r>
      <w:r>
        <w:rPr>
          <w:rFonts w:ascii="Times New Roman" w:cs="Times New Roman" w:eastAsia="Times New Roman" w:hAnsi="Times New Roman"/>
          <w:sz w:val="14"/>
          <w:szCs w:val="14"/>
          <w:color w:val="auto"/>
        </w:rPr>
        <w:t>means an individual who is contracted to provide services to a Participating Company or a Group Member (as applicable) and who is not an employee or director of that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company;</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“Control” </w:t>
      </w:r>
      <w:r>
        <w:rPr>
          <w:rFonts w:ascii="Times New Roman" w:cs="Times New Roman" w:eastAsia="Times New Roman" w:hAnsi="Times New Roman"/>
          <w:sz w:val="14"/>
          <w:szCs w:val="14"/>
          <w:color w:val="auto"/>
        </w:rPr>
        <w:t>means control within the meaning of section 719 of ITEPA;</w:t>
      </w:r>
    </w:p>
    <w:p>
      <w:pPr>
        <w:spacing w:after="0" w:line="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“Dividend Equivalent” </w:t>
      </w:r>
      <w:r>
        <w:rPr>
          <w:rFonts w:ascii="Times New Roman" w:cs="Times New Roman" w:eastAsia="Times New Roman" w:hAnsi="Times New Roman"/>
          <w:sz w:val="14"/>
          <w:szCs w:val="14"/>
          <w:color w:val="auto"/>
        </w:rPr>
        <w:t>means a benefit calculated by reference to dividends paid on Shares as described in Rule 4.4;</w:t>
      </w:r>
    </w:p>
    <w:p>
      <w:pPr>
        <w:spacing w:after="0" w:line="79" w:lineRule="exact"/>
        <w:rPr>
          <w:sz w:val="20"/>
          <w:szCs w:val="20"/>
          <w:color w:val="auto"/>
        </w:rPr>
      </w:pPr>
    </w:p>
    <w:p>
      <w:pPr>
        <w:ind w:left="20"/>
        <w:spacing w:after="0" w:line="256" w:lineRule="auto"/>
        <w:rPr>
          <w:sz w:val="20"/>
          <w:szCs w:val="20"/>
          <w:color w:val="auto"/>
        </w:rPr>
      </w:pPr>
      <w:r>
        <w:rPr>
          <w:rFonts w:ascii="Times New Roman" w:cs="Times New Roman" w:eastAsia="Times New Roman" w:hAnsi="Times New Roman"/>
          <w:sz w:val="14"/>
          <w:szCs w:val="14"/>
          <w:b w:val="1"/>
          <w:bCs w:val="1"/>
          <w:color w:val="auto"/>
        </w:rPr>
        <w:t xml:space="preserve">“DR Nominee” </w:t>
      </w:r>
      <w:r>
        <w:rPr>
          <w:rFonts w:ascii="Times New Roman" w:cs="Times New Roman" w:eastAsia="Times New Roman" w:hAnsi="Times New Roman"/>
          <w:sz w:val="14"/>
          <w:szCs w:val="14"/>
          <w:color w:val="auto"/>
        </w:rPr>
        <w:t>has the meaning given in the Jazz Scheme of Arrangement (being a company falling within Section 67(6) and Section 93(3) of the UK Finance Act 1986 as Bidco may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its sole discretion appoint in order to act as transferee of the Company’s Ordinary Shares underlying the Company’s ADSs pursuant to the Scheme of Arrangement);</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“Early Vesting Date” </w:t>
      </w:r>
      <w:r>
        <w:rPr>
          <w:rFonts w:ascii="Times New Roman" w:cs="Times New Roman" w:eastAsia="Times New Roman" w:hAnsi="Times New Roman"/>
          <w:sz w:val="14"/>
          <w:szCs w:val="14"/>
          <w:color w:val="auto"/>
        </w:rPr>
        <w:t>means either:</w:t>
      </w:r>
    </w:p>
    <w:p>
      <w:pPr>
        <w:spacing w:after="0" w:line="25" w:lineRule="exact"/>
        <w:rPr>
          <w:sz w:val="20"/>
          <w:szCs w:val="20"/>
          <w:color w:val="auto"/>
        </w:rPr>
      </w:pPr>
    </w:p>
    <w:p>
      <w:pPr>
        <w:ind w:left="520" w:right="720" w:hanging="514"/>
        <w:spacing w:after="0" w:line="257" w:lineRule="auto"/>
        <w:tabs>
          <w:tab w:leader="none" w:pos="515"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of Vesting referred to in Rule 12.1 (</w:t>
      </w:r>
      <w:r>
        <w:rPr>
          <w:rFonts w:ascii="Times New Roman" w:cs="Times New Roman" w:eastAsia="Times New Roman" w:hAnsi="Times New Roman"/>
          <w:sz w:val="14"/>
          <w:szCs w:val="14"/>
          <w:i w:val="1"/>
          <w:iCs w:val="1"/>
          <w:color w:val="auto"/>
        </w:rPr>
        <w:t>General offers</w:t>
      </w:r>
      <w:r>
        <w:rPr>
          <w:rFonts w:ascii="Times New Roman" w:cs="Times New Roman" w:eastAsia="Times New Roman" w:hAnsi="Times New Roman"/>
          <w:sz w:val="14"/>
          <w:szCs w:val="14"/>
          <w:color w:val="auto"/>
        </w:rPr>
        <w:t>), Rule 12.2 (</w:t>
      </w:r>
      <w:r>
        <w:rPr>
          <w:rFonts w:ascii="Times New Roman" w:cs="Times New Roman" w:eastAsia="Times New Roman" w:hAnsi="Times New Roman"/>
          <w:sz w:val="14"/>
          <w:szCs w:val="14"/>
          <w:i w:val="1"/>
          <w:iCs w:val="1"/>
          <w:color w:val="auto"/>
        </w:rPr>
        <w:t>Schemes of arrangement and winding up</w:t>
      </w:r>
      <w:r>
        <w:rPr>
          <w:rFonts w:ascii="Times New Roman" w:cs="Times New Roman" w:eastAsia="Times New Roman" w:hAnsi="Times New Roman"/>
          <w:sz w:val="14"/>
          <w:szCs w:val="14"/>
          <w:color w:val="auto"/>
        </w:rPr>
        <w:t>) or Rule 12.3 (</w:t>
      </w:r>
      <w:r>
        <w:rPr>
          <w:rFonts w:ascii="Times New Roman" w:cs="Times New Roman" w:eastAsia="Times New Roman" w:hAnsi="Times New Roman"/>
          <w:sz w:val="14"/>
          <w:szCs w:val="14"/>
          <w:i w:val="1"/>
          <w:iCs w:val="1"/>
          <w:color w:val="auto"/>
        </w:rPr>
        <w:t>Demergers and similar events</w:t>
      </w:r>
      <w:r>
        <w:rPr>
          <w:rFonts w:ascii="Times New Roman" w:cs="Times New Roman" w:eastAsia="Times New Roman" w:hAnsi="Times New Roman"/>
          <w:sz w:val="14"/>
          <w:szCs w:val="14"/>
          <w:color w:val="auto"/>
        </w:rPr>
        <w:t>) (as applicable); or</w:t>
      </w:r>
    </w:p>
    <w:p>
      <w:pPr>
        <w:spacing w:after="0" w:line="1" w:lineRule="exact"/>
        <w:rPr>
          <w:rFonts w:ascii="Times New Roman" w:cs="Times New Roman" w:eastAsia="Times New Roman" w:hAnsi="Times New Roman"/>
          <w:sz w:val="14"/>
          <w:szCs w:val="14"/>
          <w:color w:val="auto"/>
        </w:rPr>
      </w:pPr>
    </w:p>
    <w:p>
      <w:pPr>
        <w:ind w:left="520" w:hanging="514"/>
        <w:spacing w:after="0"/>
        <w:tabs>
          <w:tab w:leader="none" w:pos="52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other date on which the Committee allows Discretionary Vesting before the Normal Vesting Date in accordance with Rule 6.1 (</w:t>
      </w:r>
      <w:r>
        <w:rPr>
          <w:rFonts w:ascii="Times New Roman" w:cs="Times New Roman" w:eastAsia="Times New Roman" w:hAnsi="Times New Roman"/>
          <w:sz w:val="14"/>
          <w:szCs w:val="14"/>
          <w:i w:val="1"/>
          <w:iCs w:val="1"/>
          <w:color w:val="auto"/>
        </w:rPr>
        <w:t>Timing of Vesting: Normal Vesting Date</w:t>
      </w:r>
      <w:r>
        <w:rPr>
          <w:rFonts w:ascii="Times New Roman" w:cs="Times New Roman" w:eastAsia="Times New Roman" w:hAnsi="Times New Roman"/>
          <w:sz w:val="14"/>
          <w:szCs w:val="14"/>
          <w:color w:val="auto"/>
        </w:rPr>
        <w:t>);</w:t>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“Effective Date” </w:t>
      </w:r>
      <w:r>
        <w:rPr>
          <w:rFonts w:ascii="Times New Roman" w:cs="Times New Roman" w:eastAsia="Times New Roman" w:hAnsi="Times New Roman"/>
          <w:sz w:val="14"/>
          <w:szCs w:val="14"/>
          <w:color w:val="auto"/>
        </w:rPr>
        <w:t>means 26 May 2020;</w:t>
      </w:r>
    </w:p>
    <w:p>
      <w:pPr>
        <w:spacing w:after="0" w:line="1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“Eligible Person” </w:t>
      </w:r>
      <w:r>
        <w:rPr>
          <w:rFonts w:ascii="Times New Roman" w:cs="Times New Roman" w:eastAsia="Times New Roman" w:hAnsi="Times New Roman"/>
          <w:sz w:val="14"/>
          <w:szCs w:val="14"/>
          <w:color w:val="auto"/>
        </w:rPr>
        <w:t>means an individual who is an employee or director (including a non-executive director) of, or a Consultant to, a Participating Company;</w:t>
      </w:r>
    </w:p>
    <w:p>
      <w:pPr>
        <w:spacing w:after="0" w:line="105" w:lineRule="exact"/>
        <w:rPr>
          <w:sz w:val="20"/>
          <w:szCs w:val="20"/>
          <w:color w:val="auto"/>
        </w:rPr>
      </w:pPr>
    </w:p>
    <w:p>
      <w:pPr>
        <w:ind w:left="20" w:right="160"/>
        <w:spacing w:after="0" w:line="295" w:lineRule="auto"/>
        <w:rPr>
          <w:sz w:val="20"/>
          <w:szCs w:val="20"/>
          <w:color w:val="auto"/>
        </w:rPr>
      </w:pPr>
      <w:r>
        <w:rPr>
          <w:rFonts w:ascii="Times New Roman" w:cs="Times New Roman" w:eastAsia="Times New Roman" w:hAnsi="Times New Roman"/>
          <w:sz w:val="14"/>
          <w:szCs w:val="14"/>
          <w:b w:val="1"/>
          <w:bCs w:val="1"/>
          <w:color w:val="auto"/>
        </w:rPr>
        <w:t xml:space="preserve">“Employer Social Security Liability” </w:t>
      </w:r>
      <w:r>
        <w:rPr>
          <w:rFonts w:ascii="Times New Roman" w:cs="Times New Roman" w:eastAsia="Times New Roman" w:hAnsi="Times New Roman"/>
          <w:sz w:val="14"/>
          <w:szCs w:val="14"/>
          <w:color w:val="auto"/>
        </w:rPr>
        <w:t>means employer’s national insurance contributions (secondary class 1) or equivalent in jurisdictions other than the UK, to the extent lawfully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recoverable from the relevant employee, for which any Group Member or former Group Member is liable to account to the relevant authority;</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“Exercise Period” </w:t>
      </w:r>
      <w:r>
        <w:rPr>
          <w:rFonts w:ascii="Times New Roman" w:cs="Times New Roman" w:eastAsia="Times New Roman" w:hAnsi="Times New Roman"/>
          <w:sz w:val="14"/>
          <w:szCs w:val="14"/>
          <w:color w:val="auto"/>
        </w:rPr>
        <w:t>means the period referred to in Rule 7.2 during which an Option may be exercised;</w:t>
      </w:r>
    </w:p>
    <w:p>
      <w:pPr>
        <w:spacing w:after="0" w:line="105" w:lineRule="exact"/>
        <w:rPr>
          <w:sz w:val="20"/>
          <w:szCs w:val="20"/>
          <w:color w:val="auto"/>
        </w:rPr>
      </w:pPr>
    </w:p>
    <w:p>
      <w:pPr>
        <w:ind w:left="20" w:right="180"/>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“Fair Market Value” </w:t>
      </w:r>
      <w:r>
        <w:rPr>
          <w:rFonts w:ascii="Times New Roman" w:cs="Times New Roman" w:eastAsia="Times New Roman" w:hAnsi="Times New Roman"/>
          <w:sz w:val="14"/>
          <w:szCs w:val="14"/>
          <w:color w:val="auto"/>
        </w:rPr>
        <w:t>means, with respect to a Share, as of any date (i) if the Shares are admitted to trading on a securities exchange: (a) for the purpose of the operation of Rule 9.3</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Cash Equivalent</w:t>
      </w:r>
      <w:r>
        <w:rPr>
          <w:rFonts w:ascii="Times New Roman" w:cs="Times New Roman" w:eastAsia="Times New Roman" w:hAnsi="Times New Roman"/>
          <w:sz w:val="14"/>
          <w:szCs w:val="14"/>
          <w:color w:val="auto"/>
        </w:rPr>
        <w:t>) on the effective date of the Jazz Scheme of Arrangement, an amount equal to the sum of (x) the Per ADS Cash Consideration (or, if the Share is an Ordinary Share, the Cash Consideration), and (y) the Per ADS Share Deliverable (or, if the Share is an Ordinary Share, the Share Deliverable) multiplied by the opening price of a Jazz Ordinary Share on the same day on the Nasdaq securities exchange; or (b) for all other purposes, the closing price of a Share on the preceding day on such securities exchange or, if no such sale is reported on that date, on the last preceding date on which a sale was so reported; (ii) if the Shares are not at the time listed or admitted to</w:t>
      </w:r>
    </w:p>
    <w:p>
      <w:pPr>
        <w:spacing w:after="0" w:line="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460"/>
          </w:cols>
          <w:pgMar w:left="860" w:top="993" w:right="579" w:bottom="1440" w:gutter="0" w:footer="0" w:header="0"/>
        </w:sectPr>
      </w:pPr>
    </w:p>
    <w:bookmarkStart w:id="227" w:name="page228"/>
    <w:bookmarkEnd w:id="227"/>
    <w:p>
      <w:pPr>
        <w:spacing w:after="0" w:line="271" w:lineRule="auto"/>
        <w:rPr>
          <w:sz w:val="20"/>
          <w:szCs w:val="20"/>
          <w:color w:val="auto"/>
        </w:rPr>
      </w:pPr>
      <w:r>
        <w:rPr>
          <w:rFonts w:ascii="Times New Roman" w:cs="Times New Roman" w:eastAsia="Times New Roman" w:hAnsi="Times New Roman"/>
          <w:sz w:val="14"/>
          <w:szCs w:val="14"/>
          <w:color w:val="auto"/>
        </w:rPr>
        <w:t>trading on a stock exchange, the closing average of the closing bid and asked price of a Share on the preceding day in the over-the-counter market, as such price is reported in a publication of general circulation selected by the Committee and regularly reporting the market price of the Shares in such market; or (iii) if the Shares are not listed or admitted to trading on any stock exchange or traded in the over-the-counter market, as determined by the Committee in good faith using a reasonable application of a reasonable valuation method. For purposes of Options granted to US Taxpayers, Fair Market Value shall also be determined in a manner compliant with Section 409A or, in the case of an ISO Option, in compliance with Section 422 of the IRS Code.</w:t>
      </w:r>
    </w:p>
    <w:p>
      <w:pPr>
        <w:spacing w:after="0" w:line="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“Grant Date” </w:t>
      </w:r>
      <w:r>
        <w:rPr>
          <w:rFonts w:ascii="Times New Roman" w:cs="Times New Roman" w:eastAsia="Times New Roman" w:hAnsi="Times New Roman"/>
          <w:sz w:val="14"/>
          <w:szCs w:val="14"/>
          <w:color w:val="auto"/>
        </w:rPr>
        <w:t>means the date on which an Award is granted;</w:t>
      </w:r>
    </w:p>
    <w:p>
      <w:pPr>
        <w:spacing w:after="0" w:line="7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“Group Member” </w:t>
      </w:r>
      <w:r>
        <w:rPr>
          <w:rFonts w:ascii="Times New Roman" w:cs="Times New Roman" w:eastAsia="Times New Roman" w:hAnsi="Times New Roman"/>
          <w:sz w:val="14"/>
          <w:szCs w:val="14"/>
          <w:color w:val="auto"/>
        </w:rPr>
        <w:t>means:</w:t>
      </w:r>
    </w:p>
    <w:p>
      <w:pPr>
        <w:spacing w:after="0" w:line="25" w:lineRule="exact"/>
        <w:rPr>
          <w:sz w:val="20"/>
          <w:szCs w:val="20"/>
          <w:color w:val="auto"/>
        </w:rPr>
      </w:pPr>
    </w:p>
    <w:p>
      <w:pPr>
        <w:ind w:left="600" w:right="880" w:hanging="514"/>
        <w:spacing w:after="0" w:line="267" w:lineRule="auto"/>
        <w:tabs>
          <w:tab w:leader="none" w:pos="595"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Participating Company or a body corporate which is the Company’s holding company (within the meaning of section 1159 of the Companies Act 2006) or a Subsidiary of the Company’s holding company;</w:t>
      </w:r>
    </w:p>
    <w:p>
      <w:pPr>
        <w:spacing w:after="0" w:line="1" w:lineRule="exact"/>
        <w:rPr>
          <w:rFonts w:ascii="Times New Roman" w:cs="Times New Roman" w:eastAsia="Times New Roman" w:hAnsi="Times New Roman"/>
          <w:sz w:val="14"/>
          <w:szCs w:val="14"/>
          <w:color w:val="auto"/>
        </w:rPr>
      </w:pPr>
    </w:p>
    <w:p>
      <w:pPr>
        <w:ind w:left="600" w:right="700" w:hanging="514"/>
        <w:spacing w:after="0" w:line="257" w:lineRule="auto"/>
        <w:tabs>
          <w:tab w:leader="none" w:pos="590"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body corporate which is a subsidiary undertaking (within the meaning of section 1162 of that Act) of a body corporate within paragraph (a) above and has been designated by the Board for this purpose; and</w:t>
      </w:r>
    </w:p>
    <w:p>
      <w:pPr>
        <w:spacing w:after="0" w:line="1" w:lineRule="exact"/>
        <w:rPr>
          <w:rFonts w:ascii="Times New Roman" w:cs="Times New Roman" w:eastAsia="Times New Roman" w:hAnsi="Times New Roman"/>
          <w:sz w:val="14"/>
          <w:szCs w:val="14"/>
          <w:color w:val="auto"/>
        </w:rPr>
      </w:pPr>
    </w:p>
    <w:p>
      <w:pPr>
        <w:ind w:left="600" w:right="40" w:hanging="514"/>
        <w:spacing w:after="0" w:line="275" w:lineRule="auto"/>
        <w:tabs>
          <w:tab w:leader="none" w:pos="595"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body corporate in relation to which a body corporate within paragraph (a) or (b) above is able (whether directly or indirectly) to exercise 20% or more of its equity voting rights and has been designated by the Board for this purpose;</w:t>
      </w:r>
    </w:p>
    <w:p>
      <w:pPr>
        <w:spacing w:after="0" w:line="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“Incentive Award” </w:t>
      </w:r>
      <w:r>
        <w:rPr>
          <w:rFonts w:ascii="Times New Roman" w:cs="Times New Roman" w:eastAsia="Times New Roman" w:hAnsi="Times New Roman"/>
          <w:sz w:val="14"/>
          <w:szCs w:val="14"/>
          <w:color w:val="auto"/>
        </w:rPr>
        <w:t>means an Award designated as an Incentive Award under Rule 4.2 (</w:t>
      </w:r>
      <w:r>
        <w:rPr>
          <w:rFonts w:ascii="Times New Roman" w:cs="Times New Roman" w:eastAsia="Times New Roman" w:hAnsi="Times New Roman"/>
          <w:sz w:val="14"/>
          <w:szCs w:val="14"/>
          <w:i w:val="1"/>
          <w:iCs w:val="1"/>
          <w:color w:val="auto"/>
        </w:rPr>
        <w:t>Type of Award</w:t>
      </w:r>
      <w:r>
        <w:rPr>
          <w:rFonts w:ascii="Times New Roman" w:cs="Times New Roman" w:eastAsia="Times New Roman" w:hAnsi="Times New Roman"/>
          <w:sz w:val="14"/>
          <w:szCs w:val="14"/>
          <w:color w:val="auto"/>
        </w:rPr>
        <w:t>);</w:t>
      </w:r>
    </w:p>
    <w:p>
      <w:pPr>
        <w:spacing w:after="0" w:line="7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“IRS Code” </w:t>
      </w:r>
      <w:r>
        <w:rPr>
          <w:rFonts w:ascii="Times New Roman" w:cs="Times New Roman" w:eastAsia="Times New Roman" w:hAnsi="Times New Roman"/>
          <w:sz w:val="14"/>
          <w:szCs w:val="14"/>
          <w:color w:val="auto"/>
        </w:rPr>
        <w:t>means the United States Internal Revenue Code, as the same may be amended from time to time and any successor thereto;</w:t>
      </w:r>
    </w:p>
    <w:p>
      <w:pPr>
        <w:spacing w:after="0" w:line="105" w:lineRule="exact"/>
        <w:rPr>
          <w:sz w:val="20"/>
          <w:szCs w:val="20"/>
          <w:color w:val="auto"/>
        </w:rPr>
      </w:pPr>
    </w:p>
    <w:p>
      <w:pPr>
        <w:ind w:left="100" w:right="380"/>
        <w:spacing w:after="0" w:line="367" w:lineRule="auto"/>
        <w:rPr>
          <w:sz w:val="20"/>
          <w:szCs w:val="20"/>
          <w:color w:val="auto"/>
        </w:rPr>
      </w:pPr>
      <w:r>
        <w:rPr>
          <w:rFonts w:ascii="Times New Roman" w:cs="Times New Roman" w:eastAsia="Times New Roman" w:hAnsi="Times New Roman"/>
          <w:sz w:val="14"/>
          <w:szCs w:val="14"/>
          <w:b w:val="1"/>
          <w:bCs w:val="1"/>
          <w:color w:val="auto"/>
        </w:rPr>
        <w:t xml:space="preserve">“ISO Option” </w:t>
      </w:r>
      <w:r>
        <w:rPr>
          <w:rFonts w:ascii="Times New Roman" w:cs="Times New Roman" w:eastAsia="Times New Roman" w:hAnsi="Times New Roman"/>
          <w:sz w:val="14"/>
          <w:szCs w:val="14"/>
          <w:color w:val="auto"/>
        </w:rPr>
        <w:t>means an Option granted to a US Taxpayer that is intended to be, and qualifies as, an incentive stock option within the meaning of Section 422 of the IRS Code.</w:t>
      </w:r>
      <w:r>
        <w:rPr>
          <w:rFonts w:ascii="Times New Roman" w:cs="Times New Roman" w:eastAsia="Times New Roman" w:hAnsi="Times New Roman"/>
          <w:sz w:val="14"/>
          <w:szCs w:val="14"/>
          <w:b w:val="1"/>
          <w:bCs w:val="1"/>
          <w:color w:val="auto"/>
        </w:rPr>
        <w:t xml:space="preserve"> “ITEPA” </w:t>
      </w:r>
      <w:r>
        <w:rPr>
          <w:rFonts w:ascii="Times New Roman" w:cs="Times New Roman" w:eastAsia="Times New Roman" w:hAnsi="Times New Roman"/>
          <w:sz w:val="14"/>
          <w:szCs w:val="14"/>
          <w:color w:val="auto"/>
        </w:rPr>
        <w:t>means the Income Tax (Earnings and Pensions) Act 2003;</w:t>
      </w:r>
    </w:p>
    <w:p>
      <w:pPr>
        <w:ind w:left="100" w:right="240"/>
        <w:spacing w:after="0" w:line="307" w:lineRule="auto"/>
        <w:rPr>
          <w:sz w:val="20"/>
          <w:szCs w:val="20"/>
          <w:color w:val="auto"/>
        </w:rPr>
      </w:pPr>
      <w:r>
        <w:rPr>
          <w:rFonts w:ascii="Times New Roman" w:cs="Times New Roman" w:eastAsia="Times New Roman" w:hAnsi="Times New Roman"/>
          <w:sz w:val="14"/>
          <w:szCs w:val="14"/>
          <w:b w:val="1"/>
          <w:bCs w:val="1"/>
          <w:color w:val="auto"/>
        </w:rPr>
        <w:t xml:space="preserve">“Investment Shares” </w:t>
      </w:r>
      <w:r>
        <w:rPr>
          <w:rFonts w:ascii="Times New Roman" w:cs="Times New Roman" w:eastAsia="Times New Roman" w:hAnsi="Times New Roman"/>
          <w:sz w:val="14"/>
          <w:szCs w:val="14"/>
          <w:color w:val="auto"/>
        </w:rPr>
        <w:t>means Shares acquired pursuant to Rule 3 (</w:t>
      </w:r>
      <w:r>
        <w:rPr>
          <w:rFonts w:ascii="Times New Roman" w:cs="Times New Roman" w:eastAsia="Times New Roman" w:hAnsi="Times New Roman"/>
          <w:sz w:val="14"/>
          <w:szCs w:val="14"/>
          <w:i w:val="1"/>
          <w:iCs w:val="1"/>
          <w:color w:val="auto"/>
        </w:rPr>
        <w:t>Investment Shares</w:t>
      </w:r>
      <w:r>
        <w:rPr>
          <w:rFonts w:ascii="Times New Roman" w:cs="Times New Roman" w:eastAsia="Times New Roman" w:hAnsi="Times New Roman"/>
          <w:sz w:val="14"/>
          <w:szCs w:val="14"/>
          <w:color w:val="auto"/>
        </w:rPr>
        <w:t>) and any further Shares added to a holding of Investment Shares under Rule 3.4 (</w:t>
      </w:r>
      <w:r>
        <w:rPr>
          <w:rFonts w:ascii="Times New Roman" w:cs="Times New Roman" w:eastAsia="Times New Roman" w:hAnsi="Times New Roman"/>
          <w:sz w:val="14"/>
          <w:szCs w:val="14"/>
          <w:i w:val="1"/>
          <w:iCs w:val="1"/>
          <w:color w:val="auto"/>
        </w:rPr>
        <w:t>Variation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share capital – Investment Shares</w:t>
      </w:r>
      <w:r>
        <w:rPr>
          <w:rFonts w:ascii="Times New Roman" w:cs="Times New Roman" w:eastAsia="Times New Roman" w:hAnsi="Times New Roman"/>
          <w:sz w:val="14"/>
          <w:szCs w:val="14"/>
          <w:color w:val="auto"/>
        </w:rPr>
        <w:t>);</w:t>
      </w:r>
    </w:p>
    <w:p>
      <w:pPr>
        <w:spacing w:after="0" w:line="1" w:lineRule="exact"/>
        <w:rPr>
          <w:sz w:val="20"/>
          <w:szCs w:val="20"/>
          <w:color w:val="auto"/>
        </w:rPr>
      </w:pPr>
    </w:p>
    <w:p>
      <w:pPr>
        <w:ind w:left="100" w:right="3020"/>
        <w:spacing w:after="0" w:line="337" w:lineRule="auto"/>
        <w:rPr>
          <w:sz w:val="20"/>
          <w:szCs w:val="20"/>
          <w:color w:val="auto"/>
        </w:rPr>
      </w:pPr>
      <w:r>
        <w:rPr>
          <w:rFonts w:ascii="Times New Roman" w:cs="Times New Roman" w:eastAsia="Times New Roman" w:hAnsi="Times New Roman"/>
          <w:sz w:val="14"/>
          <w:szCs w:val="14"/>
          <w:b w:val="1"/>
          <w:bCs w:val="1"/>
          <w:color w:val="auto"/>
        </w:rPr>
        <w:t xml:space="preserve">“Jazz” </w:t>
      </w:r>
      <w:r>
        <w:rPr>
          <w:rFonts w:ascii="Times New Roman" w:cs="Times New Roman" w:eastAsia="Times New Roman" w:hAnsi="Times New Roman"/>
          <w:sz w:val="14"/>
          <w:szCs w:val="14"/>
          <w:color w:val="auto"/>
        </w:rPr>
        <w:t>means Jazz Pharmaceuticals Public Limited Company, a public limited company incorporated in the Republic of Ireland;</w:t>
      </w:r>
      <w:r>
        <w:rPr>
          <w:rFonts w:ascii="Times New Roman" w:cs="Times New Roman" w:eastAsia="Times New Roman" w:hAnsi="Times New Roman"/>
          <w:sz w:val="14"/>
          <w:szCs w:val="14"/>
          <w:b w:val="1"/>
          <w:bCs w:val="1"/>
          <w:color w:val="auto"/>
        </w:rPr>
        <w:t xml:space="preserve"> “Jazz Ordinary Share” </w:t>
      </w:r>
      <w:r>
        <w:rPr>
          <w:rFonts w:ascii="Times New Roman" w:cs="Times New Roman" w:eastAsia="Times New Roman" w:hAnsi="Times New Roman"/>
          <w:sz w:val="14"/>
          <w:szCs w:val="14"/>
          <w:color w:val="auto"/>
        </w:rPr>
        <w:t>means the ordinary shares in the share capital of Jazz, each with a nominal value of $0.0001 per share;</w:t>
      </w:r>
    </w:p>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“Jazz Scheme of Arrangement” </w:t>
      </w:r>
      <w:r>
        <w:rPr>
          <w:rFonts w:ascii="Times New Roman" w:cs="Times New Roman" w:eastAsia="Times New Roman" w:hAnsi="Times New Roman"/>
          <w:sz w:val="14"/>
          <w:szCs w:val="14"/>
          <w:color w:val="auto"/>
        </w:rPr>
        <w:t>means the court-sanctioned scheme of arrangement to effect the Jazz Transaction under Part 26 of the Companies Act 2006;</w:t>
      </w:r>
    </w:p>
    <w:p>
      <w:pPr>
        <w:spacing w:after="0" w:line="79" w:lineRule="exact"/>
        <w:rPr>
          <w:sz w:val="20"/>
          <w:szCs w:val="20"/>
          <w:color w:val="auto"/>
        </w:rPr>
      </w:pPr>
    </w:p>
    <w:p>
      <w:pPr>
        <w:ind w:left="100" w:right="320"/>
        <w:spacing w:after="0" w:line="238" w:lineRule="auto"/>
        <w:rPr>
          <w:sz w:val="20"/>
          <w:szCs w:val="20"/>
          <w:color w:val="auto"/>
        </w:rPr>
      </w:pPr>
      <w:r>
        <w:rPr>
          <w:rFonts w:ascii="Times New Roman" w:cs="Times New Roman" w:eastAsia="Times New Roman" w:hAnsi="Times New Roman"/>
          <w:sz w:val="14"/>
          <w:szCs w:val="14"/>
          <w:b w:val="1"/>
          <w:bCs w:val="1"/>
          <w:color w:val="auto"/>
        </w:rPr>
        <w:t xml:space="preserve">“Jazz Transaction” </w:t>
      </w:r>
      <w:r>
        <w:rPr>
          <w:rFonts w:ascii="Times New Roman" w:cs="Times New Roman" w:eastAsia="Times New Roman" w:hAnsi="Times New Roman"/>
          <w:sz w:val="14"/>
          <w:szCs w:val="14"/>
          <w:color w:val="auto"/>
        </w:rPr>
        <w:t>means the acquisition by Bidco (and/or at Bidco’s election, Jazz and/or the DR Nominee) of the entire issued and to be issued share capital of the Company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pursuant to the Jazz Transaction Agreement and the Jazz Scheme of Arrangement;</w:t>
      </w:r>
    </w:p>
    <w:p>
      <w:pPr>
        <w:spacing w:after="0" w:line="40" w:lineRule="exact"/>
        <w:rPr>
          <w:sz w:val="20"/>
          <w:szCs w:val="20"/>
          <w:color w:val="auto"/>
        </w:rPr>
      </w:pPr>
    </w:p>
    <w:p>
      <w:pPr>
        <w:ind w:left="100" w:right="960"/>
        <w:spacing w:after="0" w:line="347" w:lineRule="auto"/>
        <w:rPr>
          <w:sz w:val="20"/>
          <w:szCs w:val="20"/>
          <w:color w:val="auto"/>
        </w:rPr>
      </w:pPr>
      <w:r>
        <w:rPr>
          <w:rFonts w:ascii="Times New Roman" w:cs="Times New Roman" w:eastAsia="Times New Roman" w:hAnsi="Times New Roman"/>
          <w:sz w:val="14"/>
          <w:szCs w:val="14"/>
          <w:b w:val="1"/>
          <w:bCs w:val="1"/>
          <w:color w:val="auto"/>
        </w:rPr>
        <w:t xml:space="preserve">“Jazz Transaction Agreement” </w:t>
      </w:r>
      <w:r>
        <w:rPr>
          <w:rFonts w:ascii="Times New Roman" w:cs="Times New Roman" w:eastAsia="Times New Roman" w:hAnsi="Times New Roman"/>
          <w:sz w:val="14"/>
          <w:szCs w:val="14"/>
          <w:color w:val="auto"/>
        </w:rPr>
        <w:t>means the transaction agreement, dated as of February 3, 2021, by and among the Company, Jazz and Bidco, as it may be amended;</w:t>
      </w:r>
      <w:r>
        <w:rPr>
          <w:rFonts w:ascii="Times New Roman" w:cs="Times New Roman" w:eastAsia="Times New Roman" w:hAnsi="Times New Roman"/>
          <w:sz w:val="14"/>
          <w:szCs w:val="14"/>
          <w:b w:val="1"/>
          <w:bCs w:val="1"/>
          <w:color w:val="auto"/>
        </w:rPr>
        <w:t xml:space="preserve"> “Matching Award” </w:t>
      </w:r>
      <w:r>
        <w:rPr>
          <w:rFonts w:ascii="Times New Roman" w:cs="Times New Roman" w:eastAsia="Times New Roman" w:hAnsi="Times New Roman"/>
          <w:sz w:val="14"/>
          <w:szCs w:val="14"/>
          <w:color w:val="auto"/>
        </w:rPr>
        <w:t>means an Award designated as a Matching Award under Rule 4.2 (</w:t>
      </w:r>
      <w:r>
        <w:rPr>
          <w:rFonts w:ascii="Times New Roman" w:cs="Times New Roman" w:eastAsia="Times New Roman" w:hAnsi="Times New Roman"/>
          <w:sz w:val="14"/>
          <w:szCs w:val="14"/>
          <w:i w:val="1"/>
          <w:iCs w:val="1"/>
          <w:color w:val="auto"/>
        </w:rPr>
        <w:t>Type of Award</w:t>
      </w:r>
      <w:r>
        <w:rPr>
          <w:rFonts w:ascii="Times New Roman" w:cs="Times New Roman" w:eastAsia="Times New Roman" w:hAnsi="Times New Roman"/>
          <w:sz w:val="14"/>
          <w:szCs w:val="14"/>
          <w:color w:val="auto"/>
        </w:rPr>
        <w:t>);</w:t>
      </w:r>
    </w:p>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“Nasdaq” </w:t>
      </w:r>
      <w:r>
        <w:rPr>
          <w:rFonts w:ascii="Times New Roman" w:cs="Times New Roman" w:eastAsia="Times New Roman" w:hAnsi="Times New Roman"/>
          <w:sz w:val="14"/>
          <w:szCs w:val="14"/>
          <w:color w:val="auto"/>
        </w:rPr>
        <w:t>means the NASDAQ Global Market or the NASDAQ Stock Market LLC, as applicable;</w:t>
      </w:r>
    </w:p>
    <w:p>
      <w:pPr>
        <w:spacing w:after="0" w:line="1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“Normal Vesting Date” </w:t>
      </w:r>
      <w:r>
        <w:rPr>
          <w:rFonts w:ascii="Times New Roman" w:cs="Times New Roman" w:eastAsia="Times New Roman" w:hAnsi="Times New Roman"/>
          <w:sz w:val="14"/>
          <w:szCs w:val="14"/>
          <w:color w:val="auto"/>
        </w:rPr>
        <w:t>means the date on which an Award Vests under Rule 6.1 (</w:t>
      </w:r>
      <w:r>
        <w:rPr>
          <w:rFonts w:ascii="Times New Roman" w:cs="Times New Roman" w:eastAsia="Times New Roman" w:hAnsi="Times New Roman"/>
          <w:sz w:val="14"/>
          <w:szCs w:val="14"/>
          <w:i w:val="1"/>
          <w:iCs w:val="1"/>
          <w:color w:val="auto"/>
        </w:rPr>
        <w:t>Timing of Vesting: Normal Vesting Date</w:t>
      </w:r>
      <w:r>
        <w:rPr>
          <w:rFonts w:ascii="Times New Roman" w:cs="Times New Roman" w:eastAsia="Times New Roman" w:hAnsi="Times New Roman"/>
          <w:sz w:val="14"/>
          <w:szCs w:val="14"/>
          <w:color w:val="auto"/>
        </w:rPr>
        <w:t>), in the absence of an Early Vesting Date;</w:t>
      </w:r>
    </w:p>
    <w:p>
      <w:pPr>
        <w:spacing w:after="0" w:line="7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“Option” </w:t>
      </w:r>
      <w:r>
        <w:rPr>
          <w:rFonts w:ascii="Times New Roman" w:cs="Times New Roman" w:eastAsia="Times New Roman" w:hAnsi="Times New Roman"/>
          <w:sz w:val="14"/>
          <w:szCs w:val="14"/>
          <w:color w:val="auto"/>
        </w:rPr>
        <w:t>means a right to acquire Shares granted under the Plan which is designated as an option under Rule 4.2 (</w:t>
      </w:r>
      <w:r>
        <w:rPr>
          <w:rFonts w:ascii="Times New Roman" w:cs="Times New Roman" w:eastAsia="Times New Roman" w:hAnsi="Times New Roman"/>
          <w:sz w:val="14"/>
          <w:szCs w:val="14"/>
          <w:i w:val="1"/>
          <w:iCs w:val="1"/>
          <w:color w:val="auto"/>
        </w:rPr>
        <w:t>Type of Award</w:t>
      </w:r>
      <w:r>
        <w:rPr>
          <w:rFonts w:ascii="Times New Roman" w:cs="Times New Roman" w:eastAsia="Times New Roman" w:hAnsi="Times New Roman"/>
          <w:sz w:val="14"/>
          <w:szCs w:val="14"/>
          <w:color w:val="auto"/>
        </w:rPr>
        <w:t>);</w:t>
      </w:r>
    </w:p>
    <w:p>
      <w:pPr>
        <w:spacing w:after="0" w:line="7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“Option Price” </w:t>
      </w:r>
      <w:r>
        <w:rPr>
          <w:rFonts w:ascii="Times New Roman" w:cs="Times New Roman" w:eastAsia="Times New Roman" w:hAnsi="Times New Roman"/>
          <w:sz w:val="14"/>
          <w:szCs w:val="14"/>
          <w:color w:val="auto"/>
        </w:rPr>
        <w:t>means the amount, if any, payable per Share on the exercise of an Option;</w:t>
      </w:r>
    </w:p>
    <w:p>
      <w:pPr>
        <w:spacing w:after="0" w:line="7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“Ordinary Shares” </w:t>
      </w:r>
      <w:r>
        <w:rPr>
          <w:rFonts w:ascii="Times New Roman" w:cs="Times New Roman" w:eastAsia="Times New Roman" w:hAnsi="Times New Roman"/>
          <w:sz w:val="14"/>
          <w:szCs w:val="14"/>
          <w:color w:val="auto"/>
        </w:rPr>
        <w:t>means fully paid ordinary shares of nominal value 0.1p in the capital of the Company;</w:t>
      </w:r>
    </w:p>
    <w:p>
      <w:pPr>
        <w:spacing w:after="0" w:line="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440"/>
          </w:cols>
          <w:pgMar w:left="780" w:top="1262" w:right="679" w:bottom="1440" w:gutter="0" w:footer="0" w:header="0"/>
        </w:sectPr>
      </w:pPr>
    </w:p>
    <w:bookmarkStart w:id="228" w:name="page229"/>
    <w:bookmarkEnd w:id="228"/>
    <w:p>
      <w:pPr>
        <w:ind w:right="580"/>
        <w:spacing w:after="0" w:line="295" w:lineRule="auto"/>
        <w:rPr>
          <w:sz w:val="20"/>
          <w:szCs w:val="20"/>
          <w:color w:val="auto"/>
        </w:rPr>
      </w:pPr>
      <w:r>
        <w:rPr>
          <w:rFonts w:ascii="Times New Roman" w:cs="Times New Roman" w:eastAsia="Times New Roman" w:hAnsi="Times New Roman"/>
          <w:sz w:val="14"/>
          <w:szCs w:val="14"/>
          <w:b w:val="1"/>
          <w:bCs w:val="1"/>
          <w:color w:val="auto"/>
        </w:rPr>
        <w:t xml:space="preserve">“Participant” </w:t>
      </w:r>
      <w:r>
        <w:rPr>
          <w:rFonts w:ascii="Times New Roman" w:cs="Times New Roman" w:eastAsia="Times New Roman" w:hAnsi="Times New Roman"/>
          <w:sz w:val="14"/>
          <w:szCs w:val="14"/>
          <w:color w:val="auto"/>
        </w:rPr>
        <w:t>means in the case of an Incentive Award, such Eligible Person to whom an Incentive Award is granted, and, in the case of a Matching Award, a person who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acquires Investment Shares pursuant to Rule 3 (</w:t>
      </w:r>
      <w:r>
        <w:rPr>
          <w:rFonts w:ascii="Times New Roman" w:cs="Times New Roman" w:eastAsia="Times New Roman" w:hAnsi="Times New Roman"/>
          <w:sz w:val="14"/>
          <w:szCs w:val="14"/>
          <w:i w:val="1"/>
          <w:iCs w:val="1"/>
          <w:color w:val="auto"/>
        </w:rPr>
        <w:t>Investment Shares</w:t>
      </w:r>
      <w:r>
        <w:rPr>
          <w:rFonts w:ascii="Times New Roman" w:cs="Times New Roman" w:eastAsia="Times New Roman" w:hAnsi="Times New Roman"/>
          <w:sz w:val="14"/>
          <w:szCs w:val="14"/>
          <w:color w:val="auto"/>
        </w:rPr>
        <w:t>) including, in either case, his personal representatives;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“Participating Company” </w:t>
      </w:r>
      <w:r>
        <w:rPr>
          <w:rFonts w:ascii="Times New Roman" w:cs="Times New Roman" w:eastAsia="Times New Roman" w:hAnsi="Times New Roman"/>
          <w:sz w:val="14"/>
          <w:szCs w:val="14"/>
          <w:color w:val="auto"/>
        </w:rPr>
        <w:t>means the Company or any Subsidiary of the Company;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“Per ADS Cash Consideration” </w:t>
      </w:r>
      <w:r>
        <w:rPr>
          <w:rFonts w:ascii="Times New Roman" w:cs="Times New Roman" w:eastAsia="Times New Roman" w:hAnsi="Times New Roman"/>
          <w:sz w:val="14"/>
          <w:szCs w:val="14"/>
          <w:color w:val="auto"/>
        </w:rPr>
        <w:t>has the meaning given in the Jazz Transaction Agreement;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“Per ADS Share Deliverable” </w:t>
      </w:r>
      <w:r>
        <w:rPr>
          <w:rFonts w:ascii="Times New Roman" w:cs="Times New Roman" w:eastAsia="Times New Roman" w:hAnsi="Times New Roman"/>
          <w:sz w:val="14"/>
          <w:szCs w:val="14"/>
          <w:color w:val="auto"/>
        </w:rPr>
        <w:t>has the meaning given in the Jazz Transaction Agreement;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“Performance Condition” </w:t>
      </w:r>
      <w:r>
        <w:rPr>
          <w:rFonts w:ascii="Times New Roman" w:cs="Times New Roman" w:eastAsia="Times New Roman" w:hAnsi="Times New Roman"/>
          <w:sz w:val="14"/>
          <w:szCs w:val="14"/>
          <w:color w:val="auto"/>
        </w:rPr>
        <w:t>means a condition related to performance which is specified by the Committee under Rule 4.1 (</w:t>
      </w:r>
      <w:r>
        <w:rPr>
          <w:rFonts w:ascii="Times New Roman" w:cs="Times New Roman" w:eastAsia="Times New Roman" w:hAnsi="Times New Roman"/>
          <w:sz w:val="14"/>
          <w:szCs w:val="14"/>
          <w:i w:val="1"/>
          <w:iCs w:val="1"/>
          <w:color w:val="auto"/>
        </w:rPr>
        <w:t>Terms of grant</w:t>
      </w:r>
      <w:r>
        <w:rPr>
          <w:rFonts w:ascii="Times New Roman" w:cs="Times New Roman" w:eastAsia="Times New Roman" w:hAnsi="Times New Roman"/>
          <w:sz w:val="14"/>
          <w:szCs w:val="14"/>
          <w:color w:val="auto"/>
        </w:rPr>
        <w: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“Plan” </w:t>
      </w:r>
      <w:r>
        <w:rPr>
          <w:rFonts w:ascii="Times New Roman" w:cs="Times New Roman" w:eastAsia="Times New Roman" w:hAnsi="Times New Roman"/>
          <w:sz w:val="14"/>
          <w:szCs w:val="14"/>
          <w:color w:val="auto"/>
        </w:rPr>
        <w:t>means the GW Pharmaceuticals plc 2020 Long-Term Incentive Plan as amended from time to time;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“Regular Option” </w:t>
      </w:r>
      <w:r>
        <w:rPr>
          <w:rFonts w:ascii="Times New Roman" w:cs="Times New Roman" w:eastAsia="Times New Roman" w:hAnsi="Times New Roman"/>
          <w:sz w:val="14"/>
          <w:szCs w:val="14"/>
          <w:color w:val="auto"/>
        </w:rPr>
        <w:t>means an Option other than a Short-Term Option or an RSU-style Option;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“Return Date” </w:t>
      </w:r>
      <w:r>
        <w:rPr>
          <w:rFonts w:ascii="Times New Roman" w:cs="Times New Roman" w:eastAsia="Times New Roman" w:hAnsi="Times New Roman"/>
          <w:sz w:val="14"/>
          <w:szCs w:val="14"/>
          <w:color w:val="auto"/>
        </w:rPr>
        <w:t>means the date by which an invitation issued under Rule 3.2 (</w:t>
      </w:r>
      <w:r>
        <w:rPr>
          <w:rFonts w:ascii="Times New Roman" w:cs="Times New Roman" w:eastAsia="Times New Roman" w:hAnsi="Times New Roman"/>
          <w:sz w:val="14"/>
          <w:szCs w:val="14"/>
          <w:i w:val="1"/>
          <w:iCs w:val="1"/>
          <w:color w:val="auto"/>
        </w:rPr>
        <w:t>Invitations in respect of Investment Shares</w:t>
      </w:r>
      <w:r>
        <w:rPr>
          <w:rFonts w:ascii="Times New Roman" w:cs="Times New Roman" w:eastAsia="Times New Roman" w:hAnsi="Times New Roman"/>
          <w:sz w:val="14"/>
          <w:szCs w:val="14"/>
          <w:color w:val="auto"/>
        </w:rPr>
        <w:t>) must be returned to the Company;</w:t>
      </w:r>
    </w:p>
    <w:p>
      <w:pPr>
        <w:spacing w:after="0" w:line="92"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“RSU-style Option” </w:t>
      </w:r>
      <w:r>
        <w:rPr>
          <w:rFonts w:ascii="Times New Roman" w:cs="Times New Roman" w:eastAsia="Times New Roman" w:hAnsi="Times New Roman"/>
          <w:sz w:val="14"/>
          <w:szCs w:val="14"/>
          <w:color w:val="auto"/>
        </w:rPr>
        <w:t>is an Option with an Option Price equal to the nominal value of an Ordinary Share, if it is an option to acquire Ordinary Shares, or twelve times the nominal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value of an Ordinary Share (being 1.2p per ADS), if it is an option to acquire ADSs, which is automatically exercised in accordance with the provisions of Rule 8.4 (</w:t>
      </w:r>
      <w:r>
        <w:rPr>
          <w:rFonts w:ascii="Times New Roman" w:cs="Times New Roman" w:eastAsia="Times New Roman" w:hAnsi="Times New Roman"/>
          <w:sz w:val="14"/>
          <w:szCs w:val="14"/>
          <w:i w:val="1"/>
          <w:iCs w:val="1"/>
          <w:color w:val="auto"/>
        </w:rPr>
        <w:t>Method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exercise: RSU-style Option</w:t>
      </w:r>
      <w:r>
        <w:rPr>
          <w:rFonts w:ascii="Times New Roman" w:cs="Times New Roman" w:eastAsia="Times New Roman" w:hAnsi="Times New Roman"/>
          <w:sz w:val="14"/>
          <w:szCs w:val="14"/>
          <w:color w:val="auto"/>
        </w:rPr>
        <w:t>) as soon as it becomes exercisable;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“Rule” </w:t>
      </w:r>
      <w:r>
        <w:rPr>
          <w:rFonts w:ascii="Times New Roman" w:cs="Times New Roman" w:eastAsia="Times New Roman" w:hAnsi="Times New Roman"/>
          <w:sz w:val="14"/>
          <w:szCs w:val="14"/>
          <w:color w:val="auto"/>
        </w:rPr>
        <w:t>means a rule of the Plan;</w:t>
      </w:r>
    </w:p>
    <w:p>
      <w:pPr>
        <w:spacing w:after="0" w:line="105"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4"/>
          <w:szCs w:val="14"/>
          <w:b w:val="1"/>
          <w:bCs w:val="1"/>
          <w:color w:val="auto"/>
        </w:rPr>
        <w:t xml:space="preserve">“Section 409A” </w:t>
      </w:r>
      <w:r>
        <w:rPr>
          <w:rFonts w:ascii="Times New Roman" w:cs="Times New Roman" w:eastAsia="Times New Roman" w:hAnsi="Times New Roman"/>
          <w:sz w:val="14"/>
          <w:szCs w:val="14"/>
          <w:color w:val="auto"/>
        </w:rPr>
        <w:t>means Section 409A of the IRS Code and the Treasury Regulations and other guidance published by the United States Treasury Department and the United States Internal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Revenue Service with respect thereto, and any United States state law of similar effect;</w:t>
      </w:r>
    </w:p>
    <w:p>
      <w:pPr>
        <w:spacing w:after="0" w:line="70" w:lineRule="exact"/>
        <w:rPr>
          <w:sz w:val="20"/>
          <w:szCs w:val="20"/>
          <w:color w:val="auto"/>
        </w:rPr>
      </w:pPr>
    </w:p>
    <w:p>
      <w:pPr>
        <w:ind w:right="3960"/>
        <w:spacing w:after="0" w:line="357" w:lineRule="auto"/>
        <w:rPr>
          <w:sz w:val="20"/>
          <w:szCs w:val="20"/>
          <w:color w:val="auto"/>
        </w:rPr>
      </w:pPr>
      <w:r>
        <w:rPr>
          <w:rFonts w:ascii="Times New Roman" w:cs="Times New Roman" w:eastAsia="Times New Roman" w:hAnsi="Times New Roman"/>
          <w:sz w:val="14"/>
          <w:szCs w:val="14"/>
          <w:b w:val="1"/>
          <w:bCs w:val="1"/>
          <w:color w:val="auto"/>
        </w:rPr>
        <w:t xml:space="preserve">“Share Deliverable” </w:t>
      </w:r>
      <w:r>
        <w:rPr>
          <w:rFonts w:ascii="Times New Roman" w:cs="Times New Roman" w:eastAsia="Times New Roman" w:hAnsi="Times New Roman"/>
          <w:sz w:val="14"/>
          <w:szCs w:val="14"/>
          <w:color w:val="auto"/>
        </w:rPr>
        <w:t>has the meaning given in the Jazz Transaction Agreement</w:t>
      </w:r>
      <w:r>
        <w:rPr>
          <w:rFonts w:ascii="Times New Roman" w:cs="Times New Roman" w:eastAsia="Times New Roman" w:hAnsi="Times New Roman"/>
          <w:sz w:val="14"/>
          <w:szCs w:val="14"/>
          <w:b w:val="1"/>
          <w:bCs w:val="1"/>
          <w:color w:val="auto"/>
        </w:rPr>
        <w:t xml:space="preserve">; “Shares” </w:t>
      </w:r>
      <w:r>
        <w:rPr>
          <w:rFonts w:ascii="Times New Roman" w:cs="Times New Roman" w:eastAsia="Times New Roman" w:hAnsi="Times New Roman"/>
          <w:sz w:val="14"/>
          <w:szCs w:val="14"/>
          <w:color w:val="auto"/>
        </w:rPr>
        <w:t>means Ordinary Shares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ADSs, as the context so admits;</w:t>
      </w:r>
    </w:p>
    <w:p>
      <w:pPr>
        <w:spacing w:after="0"/>
        <w:rPr>
          <w:sz w:val="20"/>
          <w:szCs w:val="20"/>
          <w:color w:val="auto"/>
        </w:rPr>
      </w:pPr>
      <w:r>
        <w:rPr>
          <w:rFonts w:ascii="Times New Roman" w:cs="Times New Roman" w:eastAsia="Times New Roman" w:hAnsi="Times New Roman"/>
          <w:sz w:val="14"/>
          <w:szCs w:val="14"/>
          <w:b w:val="1"/>
          <w:bCs w:val="1"/>
          <w:color w:val="auto"/>
        </w:rPr>
        <w:t xml:space="preserve">“Short-Term Deferral Period” </w:t>
      </w:r>
      <w:r>
        <w:rPr>
          <w:rFonts w:ascii="Times New Roman" w:cs="Times New Roman" w:eastAsia="Times New Roman" w:hAnsi="Times New Roman"/>
          <w:sz w:val="14"/>
          <w:szCs w:val="14"/>
          <w:color w:val="auto"/>
        </w:rPr>
        <w:t>means the short-term deferral period (within the meaning of IRS Code Section 409A and Treas. Regs. §1.409A-1(b) (4));</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“Short-Term Option” </w:t>
      </w:r>
      <w:r>
        <w:rPr>
          <w:rFonts w:ascii="Times New Roman" w:cs="Times New Roman" w:eastAsia="Times New Roman" w:hAnsi="Times New Roman"/>
          <w:sz w:val="14"/>
          <w:szCs w:val="14"/>
          <w:color w:val="auto"/>
        </w:rPr>
        <w:t>is an Option which may not be exercised later than the end of the Short-Term Deferral Period in relation to that Option;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“Subsidiary” </w:t>
      </w:r>
      <w:r>
        <w:rPr>
          <w:rFonts w:ascii="Times New Roman" w:cs="Times New Roman" w:eastAsia="Times New Roman" w:hAnsi="Times New Roman"/>
          <w:sz w:val="14"/>
          <w:szCs w:val="14"/>
          <w:color w:val="auto"/>
        </w:rPr>
        <w:t>means a body corporate which is a subsidiary (within the meaning of section 1159 of the Companies Act 2006);</w:t>
      </w:r>
    </w:p>
    <w:p>
      <w:pPr>
        <w:spacing w:after="0" w:line="105" w:lineRule="exact"/>
        <w:rPr>
          <w:sz w:val="20"/>
          <w:szCs w:val="20"/>
          <w:color w:val="auto"/>
        </w:rPr>
      </w:pPr>
    </w:p>
    <w:p>
      <w:pPr>
        <w:ind w:right="340"/>
        <w:spacing w:after="0" w:line="276" w:lineRule="auto"/>
        <w:rPr>
          <w:sz w:val="20"/>
          <w:szCs w:val="20"/>
          <w:color w:val="auto"/>
        </w:rPr>
      </w:pPr>
      <w:r>
        <w:rPr>
          <w:rFonts w:ascii="Times New Roman" w:cs="Times New Roman" w:eastAsia="Times New Roman" w:hAnsi="Times New Roman"/>
          <w:sz w:val="14"/>
          <w:szCs w:val="14"/>
          <w:b w:val="1"/>
          <w:bCs w:val="1"/>
          <w:color w:val="auto"/>
        </w:rPr>
        <w:t xml:space="preserve">“Tax Liability” </w:t>
      </w:r>
      <w:r>
        <w:rPr>
          <w:rFonts w:ascii="Times New Roman" w:cs="Times New Roman" w:eastAsia="Times New Roman" w:hAnsi="Times New Roman"/>
          <w:sz w:val="14"/>
          <w:szCs w:val="14"/>
          <w:color w:val="auto"/>
        </w:rPr>
        <w:t>means any amount of tax or social security contributions for which a Participant would or may be liable and for which any Group Member or former Group Member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would or may be obliged to (or would or may suffer a disadvantage if it were not to) account for to any relevant authority, together with any Employer Social Security Liability in relation to a specific Award to the extent that the Committee determined at the Grant Date that such liability was to be recovered from the Award Holder;</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“Treasury Regulations” </w:t>
      </w:r>
      <w:r>
        <w:rPr>
          <w:rFonts w:ascii="Times New Roman" w:cs="Times New Roman" w:eastAsia="Times New Roman" w:hAnsi="Times New Roman"/>
          <w:sz w:val="14"/>
          <w:szCs w:val="14"/>
          <w:color w:val="auto"/>
        </w:rPr>
        <w:t>or</w:t>
      </w:r>
      <w:r>
        <w:rPr>
          <w:rFonts w:ascii="Times New Roman" w:cs="Times New Roman" w:eastAsia="Times New Roman" w:hAnsi="Times New Roman"/>
          <w:sz w:val="14"/>
          <w:szCs w:val="14"/>
          <w:b w:val="1"/>
          <w:bCs w:val="1"/>
          <w:color w:val="auto"/>
        </w:rPr>
        <w:t xml:space="preserve"> “Treas. Regs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means the United States Treasury Regulations, as the same may be amended from time to time and any successor thereto;</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“US Taxpayer” </w:t>
      </w:r>
      <w:r>
        <w:rPr>
          <w:rFonts w:ascii="Times New Roman" w:cs="Times New Roman" w:eastAsia="Times New Roman" w:hAnsi="Times New Roman"/>
          <w:sz w:val="14"/>
          <w:szCs w:val="14"/>
          <w:color w:val="auto"/>
        </w:rPr>
        <w:t>means a person who is subject to the federal income tax laws of the United States;</w:t>
      </w:r>
    </w:p>
    <w:p>
      <w:pPr>
        <w:spacing w:after="0" w:line="1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640"/>
          </w:cols>
          <w:pgMar w:left="880" w:top="1260" w:right="379" w:bottom="1440" w:gutter="0" w:footer="0" w:header="0"/>
        </w:sectPr>
      </w:pPr>
    </w:p>
    <w:bookmarkStart w:id="229" w:name="page230"/>
    <w:bookmarkEnd w:id="229"/>
    <w:p>
      <w:pPr>
        <w:ind w:left="460"/>
        <w:spacing w:after="0"/>
        <w:rPr>
          <w:sz w:val="20"/>
          <w:szCs w:val="20"/>
          <w:color w:val="auto"/>
        </w:rPr>
      </w:pPr>
      <w:r>
        <w:rPr>
          <w:rFonts w:ascii="Times New Roman" w:cs="Times New Roman" w:eastAsia="Times New Roman" w:hAnsi="Times New Roman"/>
          <w:sz w:val="14"/>
          <w:szCs w:val="14"/>
          <w:b w:val="1"/>
          <w:bCs w:val="1"/>
          <w:color w:val="auto"/>
        </w:rPr>
        <w:t xml:space="preserve">“Vest” </w:t>
      </w:r>
      <w:r>
        <w:rPr>
          <w:rFonts w:ascii="Times New Roman" w:cs="Times New Roman" w:eastAsia="Times New Roman" w:hAnsi="Times New Roman"/>
          <w:sz w:val="14"/>
          <w:szCs w:val="14"/>
          <w:color w:val="auto"/>
        </w:rPr>
        <w:t>means:</w:t>
      </w:r>
    </w:p>
    <w:p>
      <w:pPr>
        <w:spacing w:after="0" w:line="25" w:lineRule="exact"/>
        <w:rPr>
          <w:sz w:val="20"/>
          <w:szCs w:val="20"/>
          <w:color w:val="auto"/>
        </w:rPr>
      </w:pPr>
    </w:p>
    <w:p>
      <w:pPr>
        <w:ind w:left="960" w:hanging="514"/>
        <w:spacing w:after="0"/>
        <w:tabs>
          <w:tab w:leader="none" w:pos="960"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relation to a Conditional Award, a Participant becoming entitled to have Shares transferred to him (or his nominee) subject to the Rules;</w:t>
      </w:r>
    </w:p>
    <w:p>
      <w:pPr>
        <w:spacing w:after="0" w:line="12" w:lineRule="exact"/>
        <w:rPr>
          <w:rFonts w:ascii="Times New Roman" w:cs="Times New Roman" w:eastAsia="Times New Roman" w:hAnsi="Times New Roman"/>
          <w:sz w:val="14"/>
          <w:szCs w:val="14"/>
          <w:color w:val="auto"/>
        </w:rPr>
      </w:pPr>
    </w:p>
    <w:p>
      <w:pPr>
        <w:ind w:left="960" w:hanging="514"/>
        <w:spacing w:after="0"/>
        <w:tabs>
          <w:tab w:leader="none" w:pos="960"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relation to an Option, it becoming exercisable (subject to the conditions contained in Rule 8.1 (</w:t>
      </w:r>
      <w:r>
        <w:rPr>
          <w:rFonts w:ascii="Times New Roman" w:cs="Times New Roman" w:eastAsia="Times New Roman" w:hAnsi="Times New Roman"/>
          <w:sz w:val="14"/>
          <w:szCs w:val="14"/>
          <w:i w:val="1"/>
          <w:iCs w:val="1"/>
          <w:color w:val="auto"/>
        </w:rPr>
        <w:t>Restrictions on the exercise of an Option: regulatory and tax issues</w:t>
      </w:r>
      <w:r>
        <w:rPr>
          <w:rFonts w:ascii="Times New Roman" w:cs="Times New Roman" w:eastAsia="Times New Roman" w:hAnsi="Times New Roman"/>
          <w:sz w:val="14"/>
          <w:szCs w:val="14"/>
          <w:color w:val="auto"/>
        </w:rPr>
        <w:t>)),</w:t>
      </w:r>
    </w:p>
    <w:p>
      <w:pPr>
        <w:spacing w:after="0" w:line="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and </w:t>
      </w:r>
      <w:r>
        <w:rPr>
          <w:rFonts w:ascii="Times New Roman" w:cs="Times New Roman" w:eastAsia="Times New Roman" w:hAnsi="Times New Roman"/>
          <w:sz w:val="14"/>
          <w:szCs w:val="14"/>
          <w:b w:val="1"/>
          <w:bCs w:val="1"/>
          <w:color w:val="auto"/>
        </w:rPr>
        <w:t>Vesting</w:t>
      </w:r>
      <w:r>
        <w:rPr>
          <w:rFonts w:ascii="Times New Roman" w:cs="Times New Roman" w:eastAsia="Times New Roman" w:hAnsi="Times New Roman"/>
          <w:sz w:val="14"/>
          <w:szCs w:val="14"/>
          <w:color w:val="auto"/>
        </w:rPr>
        <w:t xml:space="preserve"> shall be construed accordingly;</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 xml:space="preserve">“Vested Shares” </w:t>
      </w:r>
      <w:r>
        <w:rPr>
          <w:rFonts w:ascii="Times New Roman" w:cs="Times New Roman" w:eastAsia="Times New Roman" w:hAnsi="Times New Roman"/>
          <w:sz w:val="14"/>
          <w:szCs w:val="14"/>
          <w:color w:val="auto"/>
        </w:rPr>
        <w:t>means those Shares in respect of which an Award Vests.</w:t>
      </w:r>
    </w:p>
    <w:p>
      <w:pPr>
        <w:spacing w:after="0" w:line="3"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2.1</w:t>
      </w:r>
      <w:r>
        <w:rPr>
          <w:sz w:val="20"/>
          <w:szCs w:val="20"/>
          <w:color w:val="auto"/>
        </w:rPr>
        <w:tab/>
      </w:r>
      <w:r>
        <w:rPr>
          <w:rFonts w:ascii="Times New Roman" w:cs="Times New Roman" w:eastAsia="Times New Roman" w:hAnsi="Times New Roman"/>
          <w:sz w:val="14"/>
          <w:szCs w:val="14"/>
          <w:color w:val="auto"/>
        </w:rPr>
        <w:t>Any reference in the Plan to any enactment includes a reference to that enactment as from time to time modified, extended or re-enacted.</w:t>
      </w:r>
    </w:p>
    <w:p>
      <w:pPr>
        <w:spacing w:after="0" w:line="23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2.2</w:t>
      </w:r>
      <w:r>
        <w:rPr>
          <w:sz w:val="20"/>
          <w:szCs w:val="20"/>
          <w:color w:val="auto"/>
        </w:rPr>
        <w:tab/>
      </w:r>
      <w:r>
        <w:rPr>
          <w:rFonts w:ascii="Times New Roman" w:cs="Times New Roman" w:eastAsia="Times New Roman" w:hAnsi="Times New Roman"/>
          <w:sz w:val="14"/>
          <w:szCs w:val="14"/>
          <w:color w:val="auto"/>
        </w:rPr>
        <w:t>Expressions in italics and headings are for guidance only and do not form part of the Plan.</w:t>
      </w:r>
    </w:p>
    <w:p>
      <w:pPr>
        <w:spacing w:after="0" w:line="236" w:lineRule="exact"/>
        <w:rPr>
          <w:sz w:val="20"/>
          <w:szCs w:val="20"/>
          <w:color w:val="auto"/>
        </w:rPr>
      </w:pPr>
    </w:p>
    <w:p>
      <w:pPr>
        <w:ind w:left="440" w:hanging="432"/>
        <w:spacing w:after="0"/>
        <w:tabs>
          <w:tab w:leader="none" w:pos="440"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INVESTMENT SHARES</w:t>
      </w:r>
    </w:p>
    <w:p>
      <w:pPr>
        <w:spacing w:after="0" w:line="238"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3.1</w:t>
      </w:r>
      <w:r>
        <w:rPr>
          <w:sz w:val="20"/>
          <w:szCs w:val="20"/>
          <w:color w:val="auto"/>
        </w:rPr>
        <w:tab/>
      </w:r>
      <w:r>
        <w:rPr>
          <w:rFonts w:ascii="Times New Roman" w:cs="Times New Roman" w:eastAsia="Times New Roman" w:hAnsi="Times New Roman"/>
          <w:sz w:val="14"/>
          <w:szCs w:val="14"/>
          <w:b w:val="1"/>
          <w:bCs w:val="1"/>
          <w:color w:val="auto"/>
        </w:rPr>
        <w:t>Invitations in respect of Investment Shares</w:t>
      </w:r>
    </w:p>
    <w:p>
      <w:pPr>
        <w:spacing w:after="0" w:line="1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Where the Committee is proposing the grant of Matching Awards, it may invite any Eligible Person to provide funds to acquire Shares in accordance with Rule 3.2 (</w:t>
      </w:r>
      <w:r>
        <w:rPr>
          <w:rFonts w:ascii="Times New Roman" w:cs="Times New Roman" w:eastAsia="Times New Roman" w:hAnsi="Times New Roman"/>
          <w:sz w:val="14"/>
          <w:szCs w:val="14"/>
          <w:i w:val="1"/>
          <w:iCs w:val="1"/>
          <w:color w:val="auto"/>
        </w:rPr>
        <w:t>Source of</w:t>
      </w: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i w:val="1"/>
          <w:iCs w:val="1"/>
          <w:color w:val="auto"/>
        </w:rPr>
        <w:t>Investment Shares</w:t>
      </w:r>
      <w:r>
        <w:rPr>
          <w:rFonts w:ascii="Times New Roman" w:cs="Times New Roman" w:eastAsia="Times New Roman" w:hAnsi="Times New Roman"/>
          <w:sz w:val="14"/>
          <w:szCs w:val="14"/>
          <w:color w:val="auto"/>
        </w:rPr>
        <w:t>). Any such invitation shall specify:</w:t>
      </w:r>
    </w:p>
    <w:p>
      <w:pPr>
        <w:spacing w:after="0" w:line="15" w:lineRule="exact"/>
        <w:rPr>
          <w:sz w:val="20"/>
          <w:szCs w:val="20"/>
          <w:color w:val="auto"/>
        </w:rPr>
      </w:pPr>
    </w:p>
    <w:p>
      <w:pPr>
        <w:ind w:left="960" w:hanging="515"/>
        <w:spacing w:after="0"/>
        <w:tabs>
          <w:tab w:leader="none" w:pos="96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invitation relates to Ordinary Shares or ADSs;</w:t>
      </w:r>
    </w:p>
    <w:p>
      <w:pPr>
        <w:ind w:left="960" w:hanging="515"/>
        <w:spacing w:after="0" w:line="218" w:lineRule="auto"/>
        <w:tabs>
          <w:tab w:leader="none" w:pos="96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maximum amount which may be used to acquire Investment Shares (or the basis for calculating such amount);</w:t>
      </w:r>
    </w:p>
    <w:p>
      <w:pPr>
        <w:ind w:left="960" w:hanging="515"/>
        <w:spacing w:after="0" w:line="238" w:lineRule="auto"/>
        <w:tabs>
          <w:tab w:leader="none" w:pos="96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procedure for providing the funds to invest in Investment Shares;</w:t>
      </w:r>
    </w:p>
    <w:p>
      <w:pPr>
        <w:ind w:left="960" w:hanging="515"/>
        <w:spacing w:after="0" w:line="218" w:lineRule="auto"/>
        <w:tabs>
          <w:tab w:leader="none" w:pos="96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Return Date;</w:t>
      </w:r>
    </w:p>
    <w:p>
      <w:pPr>
        <w:ind w:left="960" w:hanging="515"/>
        <w:spacing w:after="0" w:line="238" w:lineRule="auto"/>
        <w:tabs>
          <w:tab w:leader="none" w:pos="96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maximum number of Shares over which a related Matching Award will be made (or how that number will be determined); and</w:t>
      </w:r>
    </w:p>
    <w:p>
      <w:pPr>
        <w:ind w:left="960" w:hanging="515"/>
        <w:spacing w:after="0"/>
        <w:tabs>
          <w:tab w:leader="none" w:pos="96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other terms relating to the Investment Shares as the Committee may decide from time to time.</w:t>
      </w:r>
    </w:p>
    <w:p>
      <w:pPr>
        <w:spacing w:after="0" w:line="220"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3.2</w:t>
      </w:r>
      <w:r>
        <w:rPr>
          <w:sz w:val="20"/>
          <w:szCs w:val="20"/>
          <w:color w:val="auto"/>
        </w:rPr>
        <w:tab/>
      </w:r>
      <w:r>
        <w:rPr>
          <w:rFonts w:ascii="Times New Roman" w:cs="Times New Roman" w:eastAsia="Times New Roman" w:hAnsi="Times New Roman"/>
          <w:sz w:val="14"/>
          <w:szCs w:val="14"/>
          <w:b w:val="1"/>
          <w:bCs w:val="1"/>
          <w:color w:val="auto"/>
        </w:rPr>
        <w:t>Source of Investment Shares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In relation to the proposed grant of any Matching Award, an individual’s Investment Shares shall, at the discretion of the Committee, comprise:</w:t>
      </w:r>
    </w:p>
    <w:p>
      <w:pPr>
        <w:spacing w:after="0" w:line="23" w:lineRule="exact"/>
        <w:rPr>
          <w:sz w:val="20"/>
          <w:szCs w:val="20"/>
          <w:color w:val="auto"/>
        </w:rPr>
      </w:pPr>
    </w:p>
    <w:p>
      <w:pPr>
        <w:ind w:left="960" w:hanging="514"/>
        <w:spacing w:after="0"/>
        <w:tabs>
          <w:tab w:leader="none" w:pos="960"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acquired pursuant to Rule 3.3 (</w:t>
      </w:r>
      <w:r>
        <w:rPr>
          <w:rFonts w:ascii="Times New Roman" w:cs="Times New Roman" w:eastAsia="Times New Roman" w:hAnsi="Times New Roman"/>
          <w:sz w:val="14"/>
          <w:szCs w:val="14"/>
          <w:i w:val="1"/>
          <w:iCs w:val="1"/>
          <w:color w:val="auto"/>
        </w:rPr>
        <w:t>Acquisition of Investment Shares</w:t>
      </w:r>
      <w:r>
        <w:rPr>
          <w:rFonts w:ascii="Times New Roman" w:cs="Times New Roman" w:eastAsia="Times New Roman" w:hAnsi="Times New Roman"/>
          <w:sz w:val="14"/>
          <w:szCs w:val="14"/>
          <w:color w:val="auto"/>
        </w:rPr>
        <w:t>) using an amount of the individual’s post-tax annual bonus; and/or</w:t>
      </w:r>
    </w:p>
    <w:p>
      <w:pPr>
        <w:spacing w:after="0" w:line="12" w:lineRule="exact"/>
        <w:rPr>
          <w:rFonts w:ascii="Times New Roman" w:cs="Times New Roman" w:eastAsia="Times New Roman" w:hAnsi="Times New Roman"/>
          <w:sz w:val="14"/>
          <w:szCs w:val="14"/>
          <w:color w:val="auto"/>
        </w:rPr>
      </w:pPr>
    </w:p>
    <w:p>
      <w:pPr>
        <w:ind w:left="960" w:hanging="514"/>
        <w:spacing w:after="0"/>
        <w:tabs>
          <w:tab w:leader="none" w:pos="960"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acquired pursuant to Rule 3.3 (</w:t>
      </w:r>
      <w:r>
        <w:rPr>
          <w:rFonts w:ascii="Times New Roman" w:cs="Times New Roman" w:eastAsia="Times New Roman" w:hAnsi="Times New Roman"/>
          <w:sz w:val="14"/>
          <w:szCs w:val="14"/>
          <w:i w:val="1"/>
          <w:iCs w:val="1"/>
          <w:color w:val="auto"/>
        </w:rPr>
        <w:t>Acquisition of Investment Shares</w:t>
      </w:r>
      <w:r>
        <w:rPr>
          <w:rFonts w:ascii="Times New Roman" w:cs="Times New Roman" w:eastAsia="Times New Roman" w:hAnsi="Times New Roman"/>
          <w:sz w:val="14"/>
          <w:szCs w:val="14"/>
          <w:color w:val="auto"/>
        </w:rPr>
        <w:t>) using an individual’s monies other than an amount of his post- tax annual bonus.</w:t>
      </w:r>
    </w:p>
    <w:p>
      <w:pPr>
        <w:spacing w:after="0" w:line="238"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3.3</w:t>
      </w:r>
      <w:r>
        <w:rPr>
          <w:sz w:val="20"/>
          <w:szCs w:val="20"/>
          <w:color w:val="auto"/>
        </w:rPr>
        <w:tab/>
      </w:r>
      <w:r>
        <w:rPr>
          <w:rFonts w:ascii="Times New Roman" w:cs="Times New Roman" w:eastAsia="Times New Roman" w:hAnsi="Times New Roman"/>
          <w:sz w:val="14"/>
          <w:szCs w:val="14"/>
          <w:b w:val="1"/>
          <w:bCs w:val="1"/>
          <w:color w:val="auto"/>
        </w:rPr>
        <w:t>Acquisition and holding of Investment Shares</w:t>
      </w:r>
    </w:p>
    <w:p>
      <w:pPr>
        <w:spacing w:after="0" w:line="1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As soon as practicable after the Return Date, and subject to any restrictions referred to in Rule 4.7 (</w:t>
      </w:r>
      <w:r>
        <w:rPr>
          <w:rFonts w:ascii="Times New Roman" w:cs="Times New Roman" w:eastAsia="Times New Roman" w:hAnsi="Times New Roman"/>
          <w:sz w:val="14"/>
          <w:szCs w:val="14"/>
          <w:i w:val="1"/>
          <w:iCs w:val="1"/>
          <w:color w:val="auto"/>
        </w:rPr>
        <w:t>Approvals and consents</w:t>
      </w:r>
      <w:r>
        <w:rPr>
          <w:rFonts w:ascii="Times New Roman" w:cs="Times New Roman" w:eastAsia="Times New Roman" w:hAnsi="Times New Roman"/>
          <w:sz w:val="14"/>
          <w:szCs w:val="14"/>
          <w:color w:val="auto"/>
        </w:rPr>
        <w:t>), the Company will procure the acquisition of the</w:t>
      </w: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Investment Shares. Investment Shares will then be held in one or more of the following ways:</w:t>
      </w:r>
    </w:p>
    <w:p>
      <w:pPr>
        <w:spacing w:after="0" w:line="12" w:lineRule="exact"/>
        <w:rPr>
          <w:sz w:val="20"/>
          <w:szCs w:val="20"/>
          <w:color w:val="auto"/>
        </w:rPr>
      </w:pPr>
    </w:p>
    <w:p>
      <w:pPr>
        <w:ind w:left="5440" w:right="4480" w:hanging="4995"/>
        <w:spacing w:after="0" w:line="238" w:lineRule="auto"/>
        <w:tabs>
          <w:tab w:leader="none" w:pos="960"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the Participant’s behalf by a nominee chosen from time to time by the Committee; or -6-</w:t>
      </w:r>
    </w:p>
    <w:p>
      <w:pPr>
        <w:sectPr>
          <w:pgSz w:w="11900" w:h="16838" w:orient="portrait"/>
          <w:cols w:equalWidth="0" w:num="1">
            <w:col w:w="10440"/>
          </w:cols>
          <w:pgMar w:left="420" w:top="1233" w:right="1039" w:bottom="1440" w:gutter="0" w:footer="0" w:header="0"/>
        </w:sectPr>
      </w:pPr>
    </w:p>
    <w:bookmarkStart w:id="230" w:name="page231"/>
    <w:bookmarkEnd w:id="230"/>
    <w:p>
      <w:pPr>
        <w:ind w:left="960" w:hanging="514"/>
        <w:spacing w:after="0"/>
        <w:tabs>
          <w:tab w:leader="none" w:pos="960"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by the Participant but he will deposit the documents of title relating to the Investment Shares with any person specified by the Committee; or</w:t>
      </w:r>
    </w:p>
    <w:p>
      <w:pPr>
        <w:spacing w:after="0" w:line="14" w:lineRule="exact"/>
        <w:rPr>
          <w:rFonts w:ascii="Times New Roman" w:cs="Times New Roman" w:eastAsia="Times New Roman" w:hAnsi="Times New Roman"/>
          <w:sz w:val="14"/>
          <w:szCs w:val="14"/>
          <w:color w:val="auto"/>
        </w:rPr>
      </w:pPr>
    </w:p>
    <w:p>
      <w:pPr>
        <w:ind w:left="960" w:hanging="515"/>
        <w:spacing w:after="0"/>
        <w:tabs>
          <w:tab w:leader="none" w:pos="960"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such other method as the Committee decides that will enable it to monitor ownership of the Investment Shares.</w:t>
      </w:r>
    </w:p>
    <w:p>
      <w:pPr>
        <w:spacing w:after="0" w:line="23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3.4</w:t>
      </w:r>
      <w:r>
        <w:rPr>
          <w:sz w:val="20"/>
          <w:szCs w:val="20"/>
          <w:color w:val="auto"/>
        </w:rPr>
        <w:tab/>
      </w:r>
      <w:r>
        <w:rPr>
          <w:rFonts w:ascii="Times New Roman" w:cs="Times New Roman" w:eastAsia="Times New Roman" w:hAnsi="Times New Roman"/>
          <w:sz w:val="14"/>
          <w:szCs w:val="14"/>
          <w:b w:val="1"/>
          <w:bCs w:val="1"/>
          <w:color w:val="auto"/>
        </w:rPr>
        <w:t>Variation of share capital – Investment Shares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Unless the Committee decides otherwise, if:</w:t>
      </w:r>
    </w:p>
    <w:p>
      <w:pPr>
        <w:spacing w:after="0" w:line="23" w:lineRule="exact"/>
        <w:rPr>
          <w:sz w:val="20"/>
          <w:szCs w:val="20"/>
          <w:color w:val="auto"/>
        </w:rPr>
      </w:pPr>
    </w:p>
    <w:p>
      <w:pPr>
        <w:ind w:left="960" w:hanging="514"/>
        <w:spacing w:after="0" w:line="259" w:lineRule="auto"/>
        <w:tabs>
          <w:tab w:leader="none" w:pos="955"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Participant acquires any further Shares by virtue of his holding of Investment Shares under a variation of share capital of the Company then he may add those Shares to his holding of Investment Shares;</w:t>
      </w:r>
    </w:p>
    <w:p>
      <w:pPr>
        <w:ind w:left="960" w:right="20" w:hanging="514"/>
        <w:spacing w:after="0" w:line="266" w:lineRule="auto"/>
        <w:tabs>
          <w:tab w:leader="none" w:pos="950"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Participant receives a special dividend by virtue of his holding of Investment Shares, he may purchase further Shares with the dividend and add those Shares to his holding of Investment Shares;</w:t>
      </w:r>
    </w:p>
    <w:p>
      <w:pPr>
        <w:ind w:left="960" w:right="360" w:hanging="514"/>
        <w:spacing w:after="0" w:line="275" w:lineRule="auto"/>
        <w:tabs>
          <w:tab w:leader="none" w:pos="955"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Participant receives securities other than Shares by virtue of his holding of Investment Shares, he may sell (or where appropriate redeem) those securities and use the proceeds to purchase further Shares which may be added to his holding of Investment Shares</w:t>
      </w:r>
    </w:p>
    <w:p>
      <w:pPr>
        <w:spacing w:after="0" w:line="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and, in any such case, his Award shall be adjusted accordingly under Rule 13 (</w:t>
      </w:r>
      <w:r>
        <w:rPr>
          <w:rFonts w:ascii="Times New Roman" w:cs="Times New Roman" w:eastAsia="Times New Roman" w:hAnsi="Times New Roman"/>
          <w:sz w:val="14"/>
          <w:szCs w:val="14"/>
          <w:i w:val="1"/>
          <w:iCs w:val="1"/>
          <w:color w:val="auto"/>
        </w:rPr>
        <w:t>Adjustment of Awards</w:t>
      </w:r>
      <w:r>
        <w:rPr>
          <w:rFonts w:ascii="Times New Roman" w:cs="Times New Roman" w:eastAsia="Times New Roman" w:hAnsi="Times New Roman"/>
          <w:sz w:val="14"/>
          <w:szCs w:val="14"/>
          <w:color w:val="auto"/>
        </w:rPr>
        <w:t>).</w:t>
      </w:r>
    </w:p>
    <w:p>
      <w:pPr>
        <w:spacing w:after="0" w:line="25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3.5</w:t>
      </w:r>
      <w:r>
        <w:rPr>
          <w:sz w:val="20"/>
          <w:szCs w:val="20"/>
          <w:color w:val="auto"/>
        </w:rPr>
        <w:tab/>
      </w:r>
      <w:r>
        <w:rPr>
          <w:rFonts w:ascii="Times New Roman" w:cs="Times New Roman" w:eastAsia="Times New Roman" w:hAnsi="Times New Roman"/>
          <w:sz w:val="14"/>
          <w:szCs w:val="14"/>
          <w:b w:val="1"/>
          <w:bCs w:val="1"/>
          <w:color w:val="auto"/>
        </w:rPr>
        <w:t>Voting and dividend rights</w:t>
      </w:r>
    </w:p>
    <w:p>
      <w:pPr>
        <w:spacing w:after="0" w:line="107" w:lineRule="exact"/>
        <w:rPr>
          <w:sz w:val="20"/>
          <w:szCs w:val="20"/>
          <w:color w:val="auto"/>
        </w:rPr>
      </w:pPr>
    </w:p>
    <w:p>
      <w:pPr>
        <w:ind w:left="460" w:right="120"/>
        <w:spacing w:after="0" w:line="292" w:lineRule="auto"/>
        <w:rPr>
          <w:sz w:val="20"/>
          <w:szCs w:val="20"/>
          <w:color w:val="auto"/>
        </w:rPr>
      </w:pPr>
      <w:r>
        <w:rPr>
          <w:rFonts w:ascii="Times New Roman" w:cs="Times New Roman" w:eastAsia="Times New Roman" w:hAnsi="Times New Roman"/>
          <w:sz w:val="14"/>
          <w:szCs w:val="14"/>
          <w:color w:val="auto"/>
        </w:rPr>
        <w:t>While a Participant’s Investment Shares are held for the purposes of the Plan, he shall be entitled to exercise full voting rights in respect of those Investment Shares and receive any dividends declared by reference to the dividend record dates falling after the date of acquisition of the Investment Shares.</w:t>
      </w:r>
    </w:p>
    <w:p>
      <w:pPr>
        <w:spacing w:after="0" w:line="17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3.6</w:t>
      </w:r>
      <w:r>
        <w:rPr>
          <w:sz w:val="20"/>
          <w:szCs w:val="20"/>
          <w:color w:val="auto"/>
        </w:rPr>
        <w:tab/>
      </w:r>
      <w:r>
        <w:rPr>
          <w:rFonts w:ascii="Times New Roman" w:cs="Times New Roman" w:eastAsia="Times New Roman" w:hAnsi="Times New Roman"/>
          <w:sz w:val="14"/>
          <w:szCs w:val="14"/>
          <w:b w:val="1"/>
          <w:bCs w:val="1"/>
          <w:color w:val="auto"/>
        </w:rPr>
        <w:t>Release of Investment Shares on or after Vesting</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On or as soon as practicable after the Vesting or lapse of a Matching Award, the Committee shall transfer or procure the transfer of:</w:t>
      </w:r>
    </w:p>
    <w:p>
      <w:pPr>
        <w:ind w:left="960" w:hanging="515"/>
        <w:spacing w:after="0"/>
        <w:tabs>
          <w:tab w:leader="none" w:pos="960"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legal title for the Investment Shares related to the Award; and/or</w:t>
      </w:r>
    </w:p>
    <w:p>
      <w:pPr>
        <w:ind w:left="960" w:hanging="515"/>
        <w:spacing w:after="0"/>
        <w:tabs>
          <w:tab w:leader="none" w:pos="960"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documents of title relating to those Investment Shares</w:t>
      </w:r>
    </w:p>
    <w:p>
      <w:pPr>
        <w:spacing w:after="0" w:line="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to the Participant (or his nominee).</w:t>
      </w:r>
    </w:p>
    <w:p>
      <w:pPr>
        <w:spacing w:after="0" w:line="236" w:lineRule="exact"/>
        <w:rPr>
          <w:sz w:val="20"/>
          <w:szCs w:val="20"/>
          <w:color w:val="auto"/>
        </w:rPr>
      </w:pPr>
    </w:p>
    <w:p>
      <w:pPr>
        <w:ind w:left="440" w:hanging="432"/>
        <w:spacing w:after="0"/>
        <w:tabs>
          <w:tab w:leader="none" w:pos="440"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GRANT OF AWARDS</w:t>
      </w:r>
    </w:p>
    <w:p>
      <w:pPr>
        <w:spacing w:after="0" w:line="238"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4.1</w:t>
      </w:r>
      <w:r>
        <w:rPr>
          <w:sz w:val="20"/>
          <w:szCs w:val="20"/>
          <w:color w:val="auto"/>
        </w:rPr>
        <w:tab/>
      </w:r>
      <w:r>
        <w:rPr>
          <w:rFonts w:ascii="Times New Roman" w:cs="Times New Roman" w:eastAsia="Times New Roman" w:hAnsi="Times New Roman"/>
          <w:sz w:val="13"/>
          <w:szCs w:val="13"/>
          <w:b w:val="1"/>
          <w:bCs w:val="1"/>
          <w:color w:val="auto"/>
        </w:rPr>
        <w:t>Terms of grant</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Subject to Rule 4.6 </w:t>
      </w:r>
      <w:r>
        <w:rPr>
          <w:rFonts w:ascii="Times New Roman" w:cs="Times New Roman" w:eastAsia="Times New Roman" w:hAnsi="Times New Roman"/>
          <w:sz w:val="14"/>
          <w:szCs w:val="14"/>
          <w:i w:val="1"/>
          <w:iCs w:val="1"/>
          <w:color w:val="auto"/>
        </w:rPr>
        <w:t>(Timing of grant),</w:t>
      </w:r>
      <w:r>
        <w:rPr>
          <w:rFonts w:ascii="Times New Roman" w:cs="Times New Roman" w:eastAsia="Times New Roman" w:hAnsi="Times New Roman"/>
          <w:sz w:val="14"/>
          <w:szCs w:val="14"/>
          <w:color w:val="auto"/>
        </w:rPr>
        <w:t xml:space="preserve"> Rule 4.7 (</w:t>
      </w:r>
      <w:r>
        <w:rPr>
          <w:rFonts w:ascii="Times New Roman" w:cs="Times New Roman" w:eastAsia="Times New Roman" w:hAnsi="Times New Roman"/>
          <w:sz w:val="14"/>
          <w:szCs w:val="14"/>
          <w:i w:val="1"/>
          <w:iCs w:val="1"/>
          <w:color w:val="auto"/>
        </w:rPr>
        <w:t>Approvals and consents</w:t>
      </w:r>
      <w:r>
        <w:rPr>
          <w:rFonts w:ascii="Times New Roman" w:cs="Times New Roman" w:eastAsia="Times New Roman" w:hAnsi="Times New Roman"/>
          <w:sz w:val="14"/>
          <w:szCs w:val="14"/>
          <w:color w:val="auto"/>
        </w:rPr>
        <w:t>) and Rule 5 (</w:t>
      </w:r>
      <w:r>
        <w:rPr>
          <w:rFonts w:ascii="Times New Roman" w:cs="Times New Roman" w:eastAsia="Times New Roman" w:hAnsi="Times New Roman"/>
          <w:sz w:val="14"/>
          <w:szCs w:val="14"/>
          <w:i w:val="1"/>
          <w:iCs w:val="1"/>
          <w:color w:val="auto"/>
        </w:rPr>
        <w:t>Limits</w:t>
      </w:r>
      <w:r>
        <w:rPr>
          <w:rFonts w:ascii="Times New Roman" w:cs="Times New Roman" w:eastAsia="Times New Roman" w:hAnsi="Times New Roman"/>
          <w:sz w:val="14"/>
          <w:szCs w:val="14"/>
          <w:color w:val="auto"/>
        </w:rPr>
        <w:t>), the Committee may resolve to grant an Award on:</w:t>
      </w:r>
    </w:p>
    <w:p>
      <w:pPr>
        <w:spacing w:after="0" w:line="2" w:lineRule="exact"/>
        <w:rPr>
          <w:sz w:val="20"/>
          <w:szCs w:val="20"/>
          <w:color w:val="auto"/>
        </w:rPr>
      </w:pPr>
    </w:p>
    <w:p>
      <w:pPr>
        <w:ind w:left="960" w:hanging="515"/>
        <w:spacing w:after="0"/>
        <w:tabs>
          <w:tab w:leader="none" w:pos="960"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set out in the Plan; and</w:t>
      </w:r>
    </w:p>
    <w:p>
      <w:pPr>
        <w:ind w:left="960" w:hanging="515"/>
        <w:spacing w:after="0"/>
        <w:tabs>
          <w:tab w:leader="none" w:pos="960"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additional terms (whether a Performance Condition and/or any other terms) as the Committee may specify</w:t>
      </w:r>
    </w:p>
    <w:p>
      <w:pPr>
        <w:spacing w:after="0" w:line="89" w:lineRule="exact"/>
        <w:rPr>
          <w:sz w:val="20"/>
          <w:szCs w:val="20"/>
          <w:color w:val="auto"/>
        </w:rPr>
      </w:pPr>
    </w:p>
    <w:p>
      <w:pPr>
        <w:jc w:val="center"/>
        <w:ind w:left="500" w:right="380"/>
        <w:spacing w:after="0" w:line="273" w:lineRule="auto"/>
        <w:rPr>
          <w:sz w:val="20"/>
          <w:szCs w:val="20"/>
          <w:color w:val="auto"/>
        </w:rPr>
      </w:pPr>
      <w:r>
        <w:rPr>
          <w:rFonts w:ascii="Times New Roman" w:cs="Times New Roman" w:eastAsia="Times New Roman" w:hAnsi="Times New Roman"/>
          <w:sz w:val="14"/>
          <w:szCs w:val="14"/>
          <w:color w:val="auto"/>
        </w:rPr>
        <w:t>to, in the case of an Incentive Award, such Eligible Persons as it decides and, in the case of a Matching Award, to those Eligible Persons who have acquired Investment Shares. -7-</w:t>
      </w:r>
    </w:p>
    <w:p>
      <w:pPr>
        <w:sectPr>
          <w:pgSz w:w="11900" w:h="16838" w:orient="portrait"/>
          <w:cols w:equalWidth="0" w:num="1">
            <w:col w:w="10780"/>
          </w:cols>
          <w:pgMar w:left="420" w:top="1262" w:right="699" w:bottom="1440" w:gutter="0" w:footer="0" w:header="0"/>
        </w:sectPr>
      </w:pPr>
    </w:p>
    <w:bookmarkStart w:id="231" w:name="page232"/>
    <w:bookmarkEnd w:id="231"/>
    <w:p>
      <w:pPr>
        <w:spacing w:after="0"/>
        <w:tabs>
          <w:tab w:leader="none" w:pos="420" w:val="left"/>
        </w:tabs>
        <w:rPr>
          <w:sz w:val="20"/>
          <w:szCs w:val="20"/>
          <w:color w:val="auto"/>
        </w:rPr>
      </w:pPr>
      <w:r>
        <w:rPr>
          <w:rFonts w:ascii="Times New Roman" w:cs="Times New Roman" w:eastAsia="Times New Roman" w:hAnsi="Times New Roman"/>
          <w:sz w:val="14"/>
          <w:szCs w:val="14"/>
          <w:color w:val="auto"/>
        </w:rPr>
        <w:t>4.2</w:t>
      </w:r>
      <w:r>
        <w:rPr>
          <w:sz w:val="20"/>
          <w:szCs w:val="20"/>
          <w:color w:val="auto"/>
        </w:rPr>
        <w:tab/>
      </w:r>
      <w:r>
        <w:rPr>
          <w:rFonts w:ascii="Times New Roman" w:cs="Times New Roman" w:eastAsia="Times New Roman" w:hAnsi="Times New Roman"/>
          <w:sz w:val="13"/>
          <w:szCs w:val="13"/>
          <w:b w:val="1"/>
          <w:bCs w:val="1"/>
          <w:color w:val="auto"/>
        </w:rPr>
        <w:t>Type of Award</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On or before the Grant Date, the Committee shall determine whether an Award shall be:</w:t>
      </w:r>
    </w:p>
    <w:p>
      <w:pPr>
        <w:ind w:left="960" w:hanging="515"/>
        <w:spacing w:after="0"/>
        <w:tabs>
          <w:tab w:leader="none" w:pos="960" w:val="left"/>
        </w:tabs>
        <w:numPr>
          <w:ilvl w:val="0"/>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granted in relation to Ordinary Shares or ADSs;</w:t>
      </w:r>
    </w:p>
    <w:p>
      <w:pPr>
        <w:ind w:left="960" w:hanging="515"/>
        <w:spacing w:after="0" w:line="218" w:lineRule="auto"/>
        <w:tabs>
          <w:tab w:leader="none" w:pos="960" w:val="left"/>
        </w:tabs>
        <w:numPr>
          <w:ilvl w:val="0"/>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Incentive Award or a Matching Award;</w:t>
      </w:r>
    </w:p>
    <w:p>
      <w:pPr>
        <w:ind w:left="960" w:hanging="515"/>
        <w:spacing w:after="0"/>
        <w:tabs>
          <w:tab w:leader="none" w:pos="960" w:val="left"/>
        </w:tabs>
        <w:numPr>
          <w:ilvl w:val="0"/>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form of a Conditional Award or an Option;</w:t>
      </w:r>
    </w:p>
    <w:p>
      <w:pPr>
        <w:spacing w:after="0" w:line="9" w:lineRule="exact"/>
        <w:rPr>
          <w:rFonts w:ascii="Times New Roman" w:cs="Times New Roman" w:eastAsia="Times New Roman" w:hAnsi="Times New Roman"/>
          <w:sz w:val="14"/>
          <w:szCs w:val="14"/>
          <w:color w:val="auto"/>
        </w:rPr>
      </w:pPr>
    </w:p>
    <w:p>
      <w:pPr>
        <w:ind w:left="960" w:right="440" w:hanging="514"/>
        <w:spacing w:after="0" w:line="292" w:lineRule="auto"/>
        <w:tabs>
          <w:tab w:leader="none" w:pos="950" w:val="left"/>
        </w:tabs>
        <w:numPr>
          <w:ilvl w:val="0"/>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granted as an Option, whether it is a Regular Option (and if granted to a US Taxpayer, whether it is intended to be an ISO Option), a Short-Term Option or an RSU-style Option;</w:t>
      </w:r>
    </w:p>
    <w:p>
      <w:pPr>
        <w:spacing w:after="0" w:line="34" w:lineRule="exact"/>
        <w:rPr>
          <w:sz w:val="20"/>
          <w:szCs w:val="20"/>
          <w:color w:val="auto"/>
        </w:rPr>
      </w:pPr>
    </w:p>
    <w:p>
      <w:pPr>
        <w:ind w:left="460" w:right="320"/>
        <w:spacing w:after="0" w:line="285" w:lineRule="auto"/>
        <w:rPr>
          <w:sz w:val="20"/>
          <w:szCs w:val="20"/>
          <w:color w:val="auto"/>
        </w:rPr>
      </w:pPr>
      <w:r>
        <w:rPr>
          <w:rFonts w:ascii="Times New Roman" w:cs="Times New Roman" w:eastAsia="Times New Roman" w:hAnsi="Times New Roman"/>
          <w:sz w:val="14"/>
          <w:szCs w:val="14"/>
          <w:color w:val="auto"/>
        </w:rPr>
        <w:t>If the Committee does not specify the type of an Award on or before the Grant Date then an Award shall be an Option to acquire ADSs with an Option Price equal to twelve times the nominal value of an Ordinary Share (1.2p per ADS). Any Option granted to a US Taxpayer with an Option Price that is less than Fair Market Value on the Grant Date that is not granted as an RSU-style Option shall be deemed a Short-Term Option.</w:t>
      </w:r>
    </w:p>
    <w:p>
      <w:pPr>
        <w:spacing w:after="0" w:line="183"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4.3</w:t>
      </w:r>
      <w:r>
        <w:rPr>
          <w:sz w:val="20"/>
          <w:szCs w:val="20"/>
          <w:color w:val="auto"/>
        </w:rPr>
        <w:tab/>
      </w:r>
      <w:r>
        <w:rPr>
          <w:rFonts w:ascii="Times New Roman" w:cs="Times New Roman" w:eastAsia="Times New Roman" w:hAnsi="Times New Roman"/>
          <w:sz w:val="14"/>
          <w:szCs w:val="14"/>
          <w:b w:val="1"/>
          <w:bCs w:val="1"/>
          <w:color w:val="auto"/>
        </w:rPr>
        <w:t>Method of grant</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An Award shall be granted as follows:</w:t>
      </w:r>
    </w:p>
    <w:p>
      <w:pPr>
        <w:spacing w:after="0" w:line="332" w:lineRule="exact"/>
        <w:rPr>
          <w:sz w:val="20"/>
          <w:szCs w:val="20"/>
          <w:color w:val="auto"/>
        </w:rPr>
      </w:pPr>
    </w:p>
    <w:p>
      <w:pPr>
        <w:ind w:left="960" w:hanging="515"/>
        <w:spacing w:after="0"/>
        <w:tabs>
          <w:tab w:leader="none" w:pos="960" w:val="left"/>
        </w:tabs>
        <w:numPr>
          <w:ilvl w:val="0"/>
          <w:numId w:val="1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deed executed by the Company; and</w:t>
      </w:r>
    </w:p>
    <w:p>
      <w:pPr>
        <w:spacing w:after="0" w:line="25" w:lineRule="exact"/>
        <w:rPr>
          <w:rFonts w:ascii="Times New Roman" w:cs="Times New Roman" w:eastAsia="Times New Roman" w:hAnsi="Times New Roman"/>
          <w:sz w:val="14"/>
          <w:szCs w:val="14"/>
          <w:color w:val="auto"/>
        </w:rPr>
      </w:pPr>
    </w:p>
    <w:p>
      <w:pPr>
        <w:ind w:left="960" w:right="320" w:hanging="514"/>
        <w:spacing w:after="0" w:line="269" w:lineRule="auto"/>
        <w:tabs>
          <w:tab w:leader="none" w:pos="950" w:val="left"/>
        </w:tabs>
        <w:numPr>
          <w:ilvl w:val="0"/>
          <w:numId w:val="1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 Award is an Option, the Committee shall determine the Option Price (if any) on or before the Grant Date provided that, except in the case of an Option granted to a US Taxpayer, the Committee may reduce or waive such Option Price on or prior to the exercise of the Option. In the case of a Regular Option granted to a US Taxpayer, the Option Price per Share shall, subject to any adjustments permitted by Section 409A of the IRS Code and its regulations for corporate transactions, never be less than the Fair Market Value of such Share on the Grant Date.</w:t>
      </w:r>
    </w:p>
    <w:p>
      <w:pPr>
        <w:spacing w:after="0" w:line="64" w:lineRule="exact"/>
        <w:rPr>
          <w:sz w:val="20"/>
          <w:szCs w:val="20"/>
          <w:color w:val="auto"/>
        </w:rPr>
      </w:pPr>
    </w:p>
    <w:p>
      <w:pPr>
        <w:ind w:left="460" w:right="220"/>
        <w:spacing w:after="0" w:line="263" w:lineRule="auto"/>
        <w:rPr>
          <w:sz w:val="20"/>
          <w:szCs w:val="20"/>
          <w:color w:val="auto"/>
        </w:rPr>
      </w:pPr>
      <w:r>
        <w:rPr>
          <w:rFonts w:ascii="Times New Roman" w:cs="Times New Roman" w:eastAsia="Times New Roman" w:hAnsi="Times New Roman"/>
          <w:sz w:val="14"/>
          <w:szCs w:val="14"/>
          <w:color w:val="auto"/>
        </w:rPr>
        <w:t>In the case of an Option granted to a US Taxpayer, for the avoidance of doubt, the following actions shall have occurred as of the Grant Date: (i) the recipient of the grant of the Option shall have been identified, (ii) the maximum number of Shares that can be purchased under the Option shall have been established, (iii) the Option Price shall have been established; (iv) whether the Option is granted in relation to Ordinary Shares or</w:t>
      </w:r>
    </w:p>
    <w:p>
      <w:pPr>
        <w:spacing w:after="0" w:line="1" w:lineRule="exact"/>
        <w:rPr>
          <w:sz w:val="20"/>
          <w:szCs w:val="20"/>
          <w:color w:val="auto"/>
        </w:rPr>
      </w:pPr>
    </w:p>
    <w:p>
      <w:pPr>
        <w:ind w:left="460" w:right="560"/>
        <w:spacing w:after="0" w:line="295" w:lineRule="auto"/>
        <w:rPr>
          <w:sz w:val="20"/>
          <w:szCs w:val="20"/>
          <w:color w:val="auto"/>
        </w:rPr>
      </w:pPr>
      <w:r>
        <w:rPr>
          <w:rFonts w:ascii="Times New Roman" w:cs="Times New Roman" w:eastAsia="Times New Roman" w:hAnsi="Times New Roman"/>
          <w:sz w:val="14"/>
          <w:szCs w:val="14"/>
          <w:color w:val="auto"/>
        </w:rPr>
        <w:t>ADSs shall have been established (all Options not designated otherwise shall be Options to acquire ADSs); and (v) the recipient of the grant shall have acquired a legally binding right to the Option (which may, however, be subject to lapse or forfeiture).</w:t>
      </w:r>
    </w:p>
    <w:p>
      <w:pPr>
        <w:spacing w:after="0" w:line="177"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4.4</w:t>
      </w:r>
      <w:r>
        <w:rPr>
          <w:sz w:val="20"/>
          <w:szCs w:val="20"/>
          <w:color w:val="auto"/>
        </w:rPr>
        <w:tab/>
      </w:r>
      <w:r>
        <w:rPr>
          <w:rFonts w:ascii="Times New Roman" w:cs="Times New Roman" w:eastAsia="Times New Roman" w:hAnsi="Times New Roman"/>
          <w:sz w:val="14"/>
          <w:szCs w:val="14"/>
          <w:b w:val="1"/>
          <w:bCs w:val="1"/>
          <w:color w:val="auto"/>
        </w:rPr>
        <w:t>Acceptance of RSU-style Options</w:t>
      </w:r>
    </w:p>
    <w:p>
      <w:pPr>
        <w:spacing w:after="0" w:line="107" w:lineRule="exact"/>
        <w:rPr>
          <w:sz w:val="20"/>
          <w:szCs w:val="20"/>
          <w:color w:val="auto"/>
        </w:rPr>
      </w:pPr>
    </w:p>
    <w:p>
      <w:pPr>
        <w:ind w:left="460"/>
        <w:spacing w:after="0" w:line="263" w:lineRule="auto"/>
        <w:rPr>
          <w:sz w:val="20"/>
          <w:szCs w:val="20"/>
          <w:color w:val="auto"/>
        </w:rPr>
      </w:pPr>
      <w:r>
        <w:rPr>
          <w:rFonts w:ascii="Times New Roman" w:cs="Times New Roman" w:eastAsia="Times New Roman" w:hAnsi="Times New Roman"/>
          <w:sz w:val="14"/>
          <w:szCs w:val="14"/>
          <w:color w:val="auto"/>
        </w:rPr>
        <w:t>An RSU-style Option is subject to the requirement that the Participant accepts the Award in such manner as the Board may specify agreeing to be bound by the terms of the Award, and undertaking to pay the Option Price for the Award upon its exercise in accordance with Rule 8.4 (</w:t>
      </w:r>
      <w:r>
        <w:rPr>
          <w:rFonts w:ascii="Times New Roman" w:cs="Times New Roman" w:eastAsia="Times New Roman" w:hAnsi="Times New Roman"/>
          <w:sz w:val="14"/>
          <w:szCs w:val="14"/>
          <w:i w:val="1"/>
          <w:iCs w:val="1"/>
          <w:color w:val="auto"/>
        </w:rPr>
        <w:t>Method of exercise: RSU-style Option</w:t>
      </w:r>
      <w:r>
        <w:rPr>
          <w:rFonts w:ascii="Times New Roman" w:cs="Times New Roman" w:eastAsia="Times New Roman" w:hAnsi="Times New Roman"/>
          <w:sz w:val="14"/>
          <w:szCs w:val="14"/>
          <w:color w:val="auto"/>
        </w:rPr>
        <w:t>). If the Participant has not duly accepted the Award by midnight on the date 30 days after the Grant Date the</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Company may, at any time before the Award has been duly accepted determine that the Award has lapsed. The undertaking to pay the Option Price shall be deemed an undertaking to</w:t>
      </w:r>
    </w:p>
    <w:p>
      <w:pPr>
        <w:spacing w:after="0" w:line="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pay the subscription price for the Ordinary Shares, or underlying Ordinary Shares, as appropriate, subject to the Award.</w:t>
      </w:r>
    </w:p>
    <w:p>
      <w:pPr>
        <w:spacing w:after="0" w:line="15"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100"/>
          </w:cols>
          <w:pgMar w:left="420" w:top="1233" w:right="379" w:bottom="1440" w:gutter="0" w:footer="0" w:header="0"/>
        </w:sectPr>
      </w:pPr>
    </w:p>
    <w:bookmarkStart w:id="232" w:name="page233"/>
    <w:bookmarkEnd w:id="232"/>
    <w:p>
      <w:pPr>
        <w:spacing w:after="0"/>
        <w:tabs>
          <w:tab w:leader="none" w:pos="420" w:val="left"/>
        </w:tabs>
        <w:rPr>
          <w:sz w:val="20"/>
          <w:szCs w:val="20"/>
          <w:color w:val="auto"/>
        </w:rPr>
      </w:pPr>
      <w:r>
        <w:rPr>
          <w:rFonts w:ascii="Times New Roman" w:cs="Times New Roman" w:eastAsia="Times New Roman" w:hAnsi="Times New Roman"/>
          <w:sz w:val="14"/>
          <w:szCs w:val="14"/>
          <w:color w:val="auto"/>
        </w:rPr>
        <w:t>4.5</w:t>
      </w:r>
      <w:r>
        <w:rPr>
          <w:sz w:val="20"/>
          <w:szCs w:val="20"/>
          <w:color w:val="auto"/>
        </w:rPr>
        <w:tab/>
      </w:r>
      <w:r>
        <w:rPr>
          <w:rFonts w:ascii="Times New Roman" w:cs="Times New Roman" w:eastAsia="Times New Roman" w:hAnsi="Times New Roman"/>
          <w:sz w:val="13"/>
          <w:szCs w:val="13"/>
          <w:b w:val="1"/>
          <w:bCs w:val="1"/>
          <w:color w:val="auto"/>
        </w:rPr>
        <w:t>Treatment of dividends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Committee may, but is not obliged to, decide on or before the grant of an Award that either:-</w:t>
      </w:r>
    </w:p>
    <w:p>
      <w:pPr>
        <w:spacing w:after="0" w:line="23" w:lineRule="exact"/>
        <w:rPr>
          <w:sz w:val="20"/>
          <w:szCs w:val="20"/>
          <w:color w:val="auto"/>
        </w:rPr>
      </w:pPr>
    </w:p>
    <w:p>
      <w:pPr>
        <w:ind w:left="960" w:right="200" w:hanging="514"/>
        <w:spacing w:after="0" w:line="262" w:lineRule="auto"/>
        <w:tabs>
          <w:tab w:leader="none" w:pos="955"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Participant (or his nominee) shall be entitled to receive a benefit determined by reference to the value of the dividends that would have been paid on the Vested Shares in respect of dividend record dates occurring during the period between the Grant Date and the date of Vesting. The Committee shall decide the basis on which the value of such dividends shall be calculated which may assume the reinvestment of dividends. The Committee may also decide at this time whether the Dividend Equivalent shall be provided to the Participant in the form of cash and/or Shares. The Dividend Equivalent shall be provided in accordance with Rule 7.3; or</w:t>
      </w:r>
    </w:p>
    <w:p>
      <w:pPr>
        <w:spacing w:after="0" w:line="2" w:lineRule="exact"/>
        <w:rPr>
          <w:rFonts w:ascii="Times New Roman" w:cs="Times New Roman" w:eastAsia="Times New Roman" w:hAnsi="Times New Roman"/>
          <w:sz w:val="14"/>
          <w:szCs w:val="14"/>
          <w:color w:val="auto"/>
        </w:rPr>
      </w:pPr>
    </w:p>
    <w:p>
      <w:pPr>
        <w:ind w:left="960" w:right="120" w:hanging="514"/>
        <w:spacing w:after="0" w:line="276" w:lineRule="auto"/>
        <w:tabs>
          <w:tab w:leader="none" w:pos="950"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shall grant an Award on terms where the number of Shares comprised in an Award shall increase by deeming dividends that would have been paid on such Shares in respect of dividend record dates occurring within the period between the Grant Date and the date of Vesting to have been reinvested in additional Shares on such terms (as to the price at which any such additional Shares shall be deemed to have been purchased or otherwise) as the Committee shall decide on or before the Grant Date of an Award.</w:t>
      </w:r>
    </w:p>
    <w:p>
      <w:pPr>
        <w:spacing w:after="0" w:line="190"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4.6</w:t>
      </w:r>
      <w:r>
        <w:rPr>
          <w:sz w:val="20"/>
          <w:szCs w:val="20"/>
          <w:color w:val="auto"/>
        </w:rPr>
        <w:tab/>
      </w:r>
      <w:r>
        <w:rPr>
          <w:rFonts w:ascii="Times New Roman" w:cs="Times New Roman" w:eastAsia="Times New Roman" w:hAnsi="Times New Roman"/>
          <w:sz w:val="14"/>
          <w:szCs w:val="14"/>
          <w:b w:val="1"/>
          <w:bCs w:val="1"/>
          <w:color w:val="auto"/>
        </w:rPr>
        <w:t>Method of satisfying Awards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Unless specified to the contrary by the Committee on the Grant Date, an Award may be satisfied:</w:t>
      </w:r>
    </w:p>
    <w:p>
      <w:pPr>
        <w:ind w:left="960" w:hanging="515"/>
        <w:spacing w:after="0" w:line="220" w:lineRule="auto"/>
        <w:tabs>
          <w:tab w:leader="none" w:pos="96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the issue of new Shares; and/or</w:t>
      </w:r>
    </w:p>
    <w:p>
      <w:pPr>
        <w:ind w:left="960" w:hanging="515"/>
        <w:spacing w:after="0"/>
        <w:tabs>
          <w:tab w:leader="none" w:pos="96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the transfer of existing Shares.</w:t>
      </w:r>
    </w:p>
    <w:p>
      <w:pPr>
        <w:spacing w:after="0" w:line="1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 xml:space="preserve">The Committee may decide to change the way in which it is intended that an Award may be satisfied after it has been granted, having regard to the provisions of Rule 5 </w:t>
      </w:r>
      <w:r>
        <w:rPr>
          <w:rFonts w:ascii="Times New Roman" w:cs="Times New Roman" w:eastAsia="Times New Roman" w:hAnsi="Times New Roman"/>
          <w:sz w:val="14"/>
          <w:szCs w:val="14"/>
          <w:i w:val="1"/>
          <w:iCs w:val="1"/>
          <w:color w:val="auto"/>
        </w:rPr>
        <w:t>(Limits)</w:t>
      </w:r>
      <w:r>
        <w:rPr>
          <w:rFonts w:ascii="Times New Roman" w:cs="Times New Roman" w:eastAsia="Times New Roman" w:hAnsi="Times New Roman"/>
          <w:sz w:val="14"/>
          <w:szCs w:val="14"/>
          <w:color w:val="auto"/>
        </w:rPr>
        <w:t>.</w:t>
      </w:r>
    </w:p>
    <w:p>
      <w:pPr>
        <w:spacing w:after="0" w:line="238"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4.7</w:t>
      </w:r>
      <w:r>
        <w:rPr>
          <w:sz w:val="20"/>
          <w:szCs w:val="20"/>
          <w:color w:val="auto"/>
        </w:rPr>
        <w:tab/>
      </w:r>
      <w:r>
        <w:rPr>
          <w:rFonts w:ascii="Times New Roman" w:cs="Times New Roman" w:eastAsia="Times New Roman" w:hAnsi="Times New Roman"/>
          <w:sz w:val="14"/>
          <w:szCs w:val="14"/>
          <w:b w:val="1"/>
          <w:bCs w:val="1"/>
          <w:color w:val="auto"/>
        </w:rPr>
        <w:t>No grants after expiry of seven-year grant period</w:t>
      </w:r>
    </w:p>
    <w:p>
      <w:pPr>
        <w:spacing w:after="0" w:line="107" w:lineRule="exact"/>
        <w:rPr>
          <w:sz w:val="20"/>
          <w:szCs w:val="20"/>
          <w:color w:val="auto"/>
        </w:rPr>
      </w:pPr>
    </w:p>
    <w:p>
      <w:pPr>
        <w:ind w:left="460"/>
        <w:spacing w:after="0" w:line="292" w:lineRule="auto"/>
        <w:rPr>
          <w:sz w:val="20"/>
          <w:szCs w:val="20"/>
          <w:color w:val="auto"/>
        </w:rPr>
      </w:pPr>
      <w:r>
        <w:rPr>
          <w:rFonts w:ascii="Times New Roman" w:cs="Times New Roman" w:eastAsia="Times New Roman" w:hAnsi="Times New Roman"/>
          <w:sz w:val="14"/>
          <w:szCs w:val="14"/>
          <w:color w:val="auto"/>
        </w:rPr>
        <w:t>No Awards may be granted after 26 May 2027 (that is, the expiry of the period of 7 years beginning with the Effective Date). The Plan shall remain in effect after that date in relation to any Awards granted before that date which are still outstanding.</w:t>
      </w:r>
    </w:p>
    <w:p>
      <w:pPr>
        <w:spacing w:after="0" w:line="19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4.8</w:t>
      </w:r>
      <w:r>
        <w:rPr>
          <w:sz w:val="20"/>
          <w:szCs w:val="20"/>
          <w:color w:val="auto"/>
        </w:rPr>
        <w:tab/>
      </w:r>
      <w:r>
        <w:rPr>
          <w:rFonts w:ascii="Times New Roman" w:cs="Times New Roman" w:eastAsia="Times New Roman" w:hAnsi="Times New Roman"/>
          <w:sz w:val="14"/>
          <w:szCs w:val="14"/>
          <w:b w:val="1"/>
          <w:bCs w:val="1"/>
          <w:color w:val="auto"/>
        </w:rPr>
        <w:t>Approvals and consents</w:t>
      </w:r>
    </w:p>
    <w:p>
      <w:pPr>
        <w:spacing w:after="0" w:line="107" w:lineRule="exact"/>
        <w:rPr>
          <w:sz w:val="20"/>
          <w:szCs w:val="20"/>
          <w:color w:val="auto"/>
        </w:rPr>
      </w:pPr>
    </w:p>
    <w:p>
      <w:pPr>
        <w:ind w:left="460" w:right="420"/>
        <w:spacing w:after="0" w:line="292" w:lineRule="auto"/>
        <w:rPr>
          <w:sz w:val="20"/>
          <w:szCs w:val="20"/>
          <w:color w:val="auto"/>
        </w:rPr>
      </w:pPr>
      <w:r>
        <w:rPr>
          <w:rFonts w:ascii="Times New Roman" w:cs="Times New Roman" w:eastAsia="Times New Roman" w:hAnsi="Times New Roman"/>
          <w:sz w:val="14"/>
          <w:szCs w:val="14"/>
          <w:color w:val="auto"/>
        </w:rPr>
        <w:t>The grant of any Award shall be subject to obtaining any approval or consent required under any applicable rules of any exchange on which Shares or securities of the Company are listed or traded, any relevant share dealing code of the Company, the City Code on Takeovers and Mergers, or any other relevant UK or overseas regulation or enactment.</w:t>
      </w:r>
    </w:p>
    <w:p>
      <w:pPr>
        <w:spacing w:after="0" w:line="17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4.9</w:t>
      </w:r>
      <w:r>
        <w:rPr>
          <w:sz w:val="20"/>
          <w:szCs w:val="20"/>
          <w:color w:val="auto"/>
        </w:rPr>
        <w:tab/>
      </w:r>
      <w:r>
        <w:rPr>
          <w:rFonts w:ascii="Times New Roman" w:cs="Times New Roman" w:eastAsia="Times New Roman" w:hAnsi="Times New Roman"/>
          <w:sz w:val="14"/>
          <w:szCs w:val="14"/>
          <w:b w:val="1"/>
          <w:bCs w:val="1"/>
          <w:color w:val="auto"/>
        </w:rPr>
        <w:t>Non-transferability and bankruptcy</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An Award granted to any person:</w:t>
      </w:r>
    </w:p>
    <w:p>
      <w:pPr>
        <w:spacing w:after="0" w:line="23" w:lineRule="exact"/>
        <w:rPr>
          <w:sz w:val="20"/>
          <w:szCs w:val="20"/>
          <w:color w:val="auto"/>
        </w:rPr>
      </w:pPr>
    </w:p>
    <w:p>
      <w:pPr>
        <w:ind w:left="960" w:right="420" w:hanging="514"/>
        <w:spacing w:after="0" w:line="261" w:lineRule="auto"/>
        <w:tabs>
          <w:tab w:leader="none" w:pos="955"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shall not be transferred, assigned, encumbered, pledged, charged or otherwise disposed of (save as expressly permitted below in this Rule 4.9 and except on his death to his personal representatives) and shall lapse immediately on any attempt to do so; and</w:t>
      </w:r>
    </w:p>
    <w:p>
      <w:pPr>
        <w:ind w:left="960" w:hanging="515"/>
        <w:spacing w:after="0" w:line="238" w:lineRule="auto"/>
        <w:tabs>
          <w:tab w:leader="none" w:pos="960"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shall lapse immediately if he is declared bankrupt.</w:t>
      </w:r>
    </w:p>
    <w:p>
      <w:pPr>
        <w:jc w:val="center"/>
        <w:ind w:right="-13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900"/>
          </w:cols>
          <w:pgMar w:left="420" w:top="1233" w:right="579" w:bottom="1440" w:gutter="0" w:footer="0" w:header="0"/>
        </w:sectPr>
      </w:pPr>
    </w:p>
    <w:bookmarkStart w:id="233" w:name="page234"/>
    <w:bookmarkEnd w:id="233"/>
    <w:p>
      <w:pPr>
        <w:ind w:left="460" w:right="120"/>
        <w:spacing w:after="0" w:line="275" w:lineRule="auto"/>
        <w:rPr>
          <w:sz w:val="20"/>
          <w:szCs w:val="20"/>
          <w:color w:val="auto"/>
        </w:rPr>
      </w:pPr>
      <w:r>
        <w:rPr>
          <w:rFonts w:ascii="Times New Roman" w:cs="Times New Roman" w:eastAsia="Times New Roman" w:hAnsi="Times New Roman"/>
          <w:sz w:val="14"/>
          <w:szCs w:val="14"/>
          <w:color w:val="auto"/>
        </w:rPr>
        <w:t>Notwithstanding the foregoing, Participants resident in the United States of America may with the permission of the Committee transfer an Award to family members by gift or pursuant to a domestic relations order, within the parameters permitted for registration of the Shares on a Form S-8 Registration Statement under the US Securities Act of 1933, as amended and other applicable securities rules. In no event may any Award be transferred for consideration.</w:t>
      </w:r>
    </w:p>
    <w:p>
      <w:pPr>
        <w:spacing w:after="0" w:line="190" w:lineRule="exact"/>
        <w:rPr>
          <w:sz w:val="20"/>
          <w:szCs w:val="20"/>
          <w:color w:val="auto"/>
        </w:rPr>
      </w:pPr>
    </w:p>
    <w:p>
      <w:pPr>
        <w:ind w:left="440" w:hanging="432"/>
        <w:spacing w:after="0"/>
        <w:tabs>
          <w:tab w:leader="none" w:pos="440"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LIMITS</w:t>
      </w:r>
    </w:p>
    <w:p>
      <w:pPr>
        <w:spacing w:after="0" w:line="25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5.1</w:t>
      </w:r>
      <w:r>
        <w:rPr>
          <w:sz w:val="20"/>
          <w:szCs w:val="20"/>
          <w:color w:val="auto"/>
        </w:rPr>
        <w:tab/>
      </w:r>
      <w:r>
        <w:rPr>
          <w:rFonts w:ascii="Times New Roman" w:cs="Times New Roman" w:eastAsia="Times New Roman" w:hAnsi="Times New Roman"/>
          <w:sz w:val="14"/>
          <w:szCs w:val="14"/>
          <w:b w:val="1"/>
          <w:bCs w:val="1"/>
          <w:color w:val="auto"/>
        </w:rPr>
        <w:t>Overall Plan Limit</w:t>
      </w:r>
    </w:p>
    <w:p>
      <w:pPr>
        <w:spacing w:after="0" w:line="1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No Award may be granted if it would cause the aggregate number of Ordinary Shares (including as part of the process for the issue of new ADSs) allocated (as defined in Rule 5.2)</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pursuant to Awards granted under the Plan since its adoption to exceed 22,200,000 plus:</w:t>
      </w:r>
    </w:p>
    <w:p>
      <w:pPr>
        <w:spacing w:after="0" w:line="14" w:lineRule="exact"/>
        <w:rPr>
          <w:sz w:val="20"/>
          <w:szCs w:val="20"/>
          <w:color w:val="auto"/>
        </w:rPr>
      </w:pPr>
    </w:p>
    <w:p>
      <w:pPr>
        <w:ind w:left="960" w:hanging="514"/>
        <w:spacing w:after="0"/>
        <w:tabs>
          <w:tab w:leader="none" w:pos="960"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number of Ordinary Shares (including as part of the process for the issue of new ADSs) equal to the 2017 LTIP’s Available Reserve; and</w:t>
      </w:r>
    </w:p>
    <w:p>
      <w:pPr>
        <w:spacing w:after="0" w:line="14" w:lineRule="exact"/>
        <w:rPr>
          <w:rFonts w:ascii="Times New Roman" w:cs="Times New Roman" w:eastAsia="Times New Roman" w:hAnsi="Times New Roman"/>
          <w:sz w:val="14"/>
          <w:szCs w:val="14"/>
          <w:color w:val="auto"/>
        </w:rPr>
      </w:pPr>
    </w:p>
    <w:p>
      <w:pPr>
        <w:ind w:left="960" w:hanging="515"/>
        <w:spacing w:after="0"/>
        <w:tabs>
          <w:tab w:leader="none" w:pos="960"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number of Ordinary Shares (including as part of the process for the issue of new ADSs) equal to the number of Returning Shares, if</w:t>
      </w:r>
    </w:p>
    <w:p>
      <w:pPr>
        <w:spacing w:after="0" w:line="9" w:lineRule="exact"/>
        <w:rPr>
          <w:rFonts w:ascii="Times New Roman" w:cs="Times New Roman" w:eastAsia="Times New Roman" w:hAnsi="Times New Roman"/>
          <w:sz w:val="14"/>
          <w:szCs w:val="14"/>
          <w:color w:val="auto"/>
        </w:rPr>
      </w:pPr>
    </w:p>
    <w:p>
      <w:pPr>
        <w:ind w:left="9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that become available from time to time as and when such shares become Returning Shares under Rule 5.4 below, up to a maximum of 12,749,175 Ordinary Shares.</w:t>
      </w:r>
    </w:p>
    <w:p>
      <w:pPr>
        <w:spacing w:after="0" w:line="92" w:lineRule="exact"/>
        <w:rPr>
          <w:sz w:val="20"/>
          <w:szCs w:val="20"/>
          <w:color w:val="auto"/>
        </w:rPr>
      </w:pPr>
    </w:p>
    <w:p>
      <w:pPr>
        <w:ind w:left="460" w:right="120"/>
        <w:spacing w:after="0" w:line="276" w:lineRule="auto"/>
        <w:rPr>
          <w:sz w:val="20"/>
          <w:szCs w:val="20"/>
          <w:color w:val="auto"/>
        </w:rPr>
      </w:pPr>
      <w:r>
        <w:rPr>
          <w:rFonts w:ascii="Times New Roman" w:cs="Times New Roman" w:eastAsia="Times New Roman" w:hAnsi="Times New Roman"/>
          <w:sz w:val="14"/>
          <w:szCs w:val="14"/>
          <w:color w:val="auto"/>
        </w:rPr>
        <w:t>The overall limit in this Rule 5.1 will be subject to such other adjustment as the Board may determine to be appropriate upon any change that is made in, or other events that occur with respect to, the Shares without the receipt of consideration by the Company through merger, consolidation, reorganization, recapitalization, reincorporation, share dividend, dividend in property other than cash, large nonrecurring cash dividend, share split, reverse share split, liquidating dividend, combination of shares, exchange of shares, change in corporate structure or any similar equity restructuring transaction.</w:t>
      </w:r>
    </w:p>
    <w:p>
      <w:pPr>
        <w:spacing w:after="0" w:line="45" w:lineRule="exact"/>
        <w:rPr>
          <w:sz w:val="20"/>
          <w:szCs w:val="20"/>
          <w:color w:val="auto"/>
        </w:rPr>
      </w:pPr>
    </w:p>
    <w:p>
      <w:pPr>
        <w:ind w:left="460" w:right="180"/>
        <w:spacing w:after="0" w:line="292" w:lineRule="auto"/>
        <w:rPr>
          <w:sz w:val="20"/>
          <w:szCs w:val="20"/>
          <w:color w:val="auto"/>
        </w:rPr>
      </w:pPr>
      <w:r>
        <w:rPr>
          <w:rFonts w:ascii="Times New Roman" w:cs="Times New Roman" w:eastAsia="Times New Roman" w:hAnsi="Times New Roman"/>
          <w:sz w:val="14"/>
          <w:szCs w:val="14"/>
          <w:color w:val="auto"/>
        </w:rPr>
        <w:t>Upon the Effective Date, (1) no further new awards may be granted over Shares under the 2017 LTIP and (2) the number of Ordinary Shares subject to the 2017 LTIP’s Available Reserve shall cease to be available for grant under the 2017 LTIP and shall become available for grant hereunder pursuant to Rule 5.1(a) above.</w:t>
      </w:r>
    </w:p>
    <w:p>
      <w:pPr>
        <w:spacing w:after="0" w:line="17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5.2</w:t>
      </w:r>
      <w:r>
        <w:rPr>
          <w:sz w:val="20"/>
          <w:szCs w:val="20"/>
          <w:color w:val="auto"/>
        </w:rPr>
        <w:tab/>
      </w:r>
      <w:r>
        <w:rPr>
          <w:rFonts w:ascii="Times New Roman" w:cs="Times New Roman" w:eastAsia="Times New Roman" w:hAnsi="Times New Roman"/>
          <w:sz w:val="14"/>
          <w:szCs w:val="14"/>
          <w:b w:val="1"/>
          <w:bCs w:val="1"/>
          <w:color w:val="auto"/>
        </w:rPr>
        <w:t>Meaning of “allocated”</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For the purposes of Rule 5.1:</w:t>
      </w:r>
    </w:p>
    <w:p>
      <w:pPr>
        <w:spacing w:after="0" w:line="1" w:lineRule="exact"/>
        <w:rPr>
          <w:sz w:val="20"/>
          <w:szCs w:val="20"/>
          <w:color w:val="auto"/>
        </w:rPr>
      </w:pPr>
    </w:p>
    <w:p>
      <w:pPr>
        <w:ind w:left="960" w:hanging="515"/>
        <w:spacing w:after="0"/>
        <w:tabs>
          <w:tab w:leader="none" w:pos="960"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Shares are allocated:</w:t>
      </w:r>
    </w:p>
    <w:p>
      <w:pPr>
        <w:spacing w:after="0" w:line="9" w:lineRule="exact"/>
        <w:rPr>
          <w:rFonts w:ascii="Times New Roman" w:cs="Times New Roman" w:eastAsia="Times New Roman" w:hAnsi="Times New Roman"/>
          <w:sz w:val="14"/>
          <w:szCs w:val="14"/>
          <w:color w:val="auto"/>
        </w:rPr>
      </w:pPr>
    </w:p>
    <w:p>
      <w:pPr>
        <w:ind w:left="1420" w:right="440" w:hanging="442"/>
        <w:spacing w:after="0" w:line="266" w:lineRule="auto"/>
        <w:tabs>
          <w:tab w:leader="none" w:pos="1410" w:val="left"/>
        </w:tabs>
        <w:numPr>
          <w:ilvl w:val="1"/>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an option, award or other contractual right to acquire Shares which may result in the issue of new Ordinary Shares (including as part of the process for the issue of new ADSs) is granted;</w:t>
      </w:r>
    </w:p>
    <w:p>
      <w:pPr>
        <w:ind w:left="1420" w:right="320" w:hanging="442"/>
        <w:spacing w:after="0" w:line="259" w:lineRule="auto"/>
        <w:tabs>
          <w:tab w:leader="none" w:pos="1410" w:val="left"/>
        </w:tabs>
        <w:numPr>
          <w:ilvl w:val="1"/>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Ordinary Shares are issued (including as part of the process for the issue of new ADSs) otherwise than pursuant to an option, award or other contractual right to acquire Shares, when those Ordinary Shares are issued;</w:t>
      </w:r>
    </w:p>
    <w:p>
      <w:pPr>
        <w:ind w:left="960" w:hanging="514"/>
        <w:spacing w:after="0" w:line="266" w:lineRule="auto"/>
        <w:tabs>
          <w:tab w:leader="none" w:pos="950"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Ordinary Shares which have been issued or which may be issued to any trustees to satisfy the exercise of any option, award or other contractual right granted under any arrangement falling within Rule 5.1 shall count as allocated unless they are already treated as allocated under this Rule; and</w:t>
      </w:r>
    </w:p>
    <w:p>
      <w:pPr>
        <w:ind w:left="960" w:hanging="514"/>
        <w:spacing w:after="0"/>
        <w:tabs>
          <w:tab w:leader="none" w:pos="960"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avoidance of doubt, existing Ordinary Shares that are transferred or over which options, awards or other contractual rights are granted shall not count as allocated.</w:t>
      </w:r>
    </w:p>
    <w:p>
      <w:pPr>
        <w:spacing w:after="0" w:line="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720"/>
          </w:cols>
          <w:pgMar w:left="420" w:top="1262" w:right="759" w:bottom="1440" w:gutter="0" w:footer="0" w:header="0"/>
        </w:sectPr>
      </w:pPr>
    </w:p>
    <w:bookmarkStart w:id="234" w:name="page235"/>
    <w:bookmarkEnd w:id="234"/>
    <w:p>
      <w:pPr>
        <w:spacing w:after="0"/>
        <w:tabs>
          <w:tab w:leader="none" w:pos="420" w:val="left"/>
        </w:tabs>
        <w:rPr>
          <w:sz w:val="20"/>
          <w:szCs w:val="20"/>
          <w:color w:val="auto"/>
        </w:rPr>
      </w:pPr>
      <w:r>
        <w:rPr>
          <w:rFonts w:ascii="Times New Roman" w:cs="Times New Roman" w:eastAsia="Times New Roman" w:hAnsi="Times New Roman"/>
          <w:sz w:val="14"/>
          <w:szCs w:val="14"/>
          <w:color w:val="auto"/>
        </w:rPr>
        <w:t>5.3</w:t>
      </w:r>
      <w:r>
        <w:rPr>
          <w:sz w:val="20"/>
          <w:szCs w:val="20"/>
          <w:color w:val="auto"/>
        </w:rPr>
        <w:tab/>
      </w:r>
      <w:r>
        <w:rPr>
          <w:rFonts w:ascii="Times New Roman" w:cs="Times New Roman" w:eastAsia="Times New Roman" w:hAnsi="Times New Roman"/>
          <w:sz w:val="14"/>
          <w:szCs w:val="14"/>
          <w:b w:val="1"/>
          <w:bCs w:val="1"/>
          <w:color w:val="auto"/>
        </w:rPr>
        <w:t>Post-grant events affecting numbers of “allocated” Ordinary Shares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For the purposes of Rule 5.2:</w:t>
      </w:r>
    </w:p>
    <w:p>
      <w:pPr>
        <w:ind w:left="960" w:hanging="515"/>
        <w:spacing w:after="0"/>
        <w:tabs>
          <w:tab w:leader="none" w:pos="960"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w:t>
      </w:r>
    </w:p>
    <w:p>
      <w:pPr>
        <w:ind w:left="1400" w:hanging="422"/>
        <w:spacing w:after="0" w:line="218" w:lineRule="auto"/>
        <w:tabs>
          <w:tab w:leader="none" w:pos="1400" w:val="left"/>
        </w:tabs>
        <w:numPr>
          <w:ilvl w:val="1"/>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option, award or other contractual right to acquire unissued Shares is released or lapses (whether in whole or in part); or</w:t>
      </w:r>
    </w:p>
    <w:p>
      <w:pPr>
        <w:ind w:left="1400" w:hanging="422"/>
        <w:spacing w:after="0"/>
        <w:tabs>
          <w:tab w:leader="none" w:pos="1400" w:val="left"/>
        </w:tabs>
        <w:numPr>
          <w:ilvl w:val="1"/>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the grant of an option, award or other contractual right the Committee determines that:</w:t>
      </w:r>
    </w:p>
    <w:p>
      <w:pPr>
        <w:spacing w:after="0" w:line="9" w:lineRule="exact"/>
        <w:rPr>
          <w:sz w:val="20"/>
          <w:szCs w:val="20"/>
          <w:color w:val="auto"/>
        </w:rPr>
      </w:pPr>
    </w:p>
    <w:p>
      <w:pPr>
        <w:ind w:left="1420" w:right="2040"/>
        <w:spacing w:after="0" w:line="292" w:lineRule="auto"/>
        <w:rPr>
          <w:sz w:val="20"/>
          <w:szCs w:val="20"/>
          <w:color w:val="auto"/>
        </w:rPr>
      </w:pPr>
      <w:r>
        <w:rPr>
          <w:rFonts w:ascii="Times New Roman" w:cs="Times New Roman" w:eastAsia="Times New Roman" w:hAnsi="Times New Roman"/>
          <w:sz w:val="14"/>
          <w:szCs w:val="14"/>
          <w:color w:val="auto"/>
        </w:rPr>
        <w:t>(aa) it shall be satisfied by the payment of cash equal to the gain made on its vesting or exercise; or (bb) it shall be satisfied by the transfer of existing Shares</w:t>
      </w:r>
    </w:p>
    <w:p>
      <w:pPr>
        <w:spacing w:after="0" w:line="34" w:lineRule="exact"/>
        <w:rPr>
          <w:sz w:val="20"/>
          <w:szCs w:val="20"/>
          <w:color w:val="auto"/>
        </w:rPr>
      </w:pPr>
    </w:p>
    <w:p>
      <w:pPr>
        <w:ind w:left="1080" w:right="960"/>
        <w:spacing w:after="0" w:line="276" w:lineRule="auto"/>
        <w:rPr>
          <w:sz w:val="20"/>
          <w:szCs w:val="20"/>
          <w:color w:val="auto"/>
        </w:rPr>
      </w:pPr>
      <w:r>
        <w:rPr>
          <w:rFonts w:ascii="Times New Roman" w:cs="Times New Roman" w:eastAsia="Times New Roman" w:hAnsi="Times New Roman"/>
          <w:sz w:val="14"/>
          <w:szCs w:val="14"/>
          <w:color w:val="auto"/>
        </w:rPr>
        <w:t>the unissued Ordinary Shares which consequently cease to be subject to the option, award or other contractual right (whether directly or as the Ordinary Shares represented by ADSs) shall not count as allocated; and</w:t>
      </w:r>
    </w:p>
    <w:p>
      <w:pPr>
        <w:spacing w:after="0" w:line="1" w:lineRule="exact"/>
        <w:rPr>
          <w:sz w:val="20"/>
          <w:szCs w:val="20"/>
          <w:color w:val="auto"/>
        </w:rPr>
      </w:pPr>
    </w:p>
    <w:p>
      <w:pPr>
        <w:ind w:left="960" w:right="340" w:hanging="514"/>
        <w:spacing w:after="0" w:line="275" w:lineRule="auto"/>
        <w:tabs>
          <w:tab w:leader="none" w:pos="950"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Ordinary Shares allocated in respect of an option, award or other contractual right shall be such number as the Board shall reasonably determine from time to time.</w:t>
      </w:r>
    </w:p>
    <w:p>
      <w:pPr>
        <w:spacing w:after="0" w:line="190"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5.4</w:t>
      </w:r>
      <w:r>
        <w:rPr>
          <w:sz w:val="20"/>
          <w:szCs w:val="20"/>
          <w:color w:val="auto"/>
        </w:rPr>
        <w:tab/>
      </w:r>
      <w:r>
        <w:rPr>
          <w:rFonts w:ascii="Times New Roman" w:cs="Times New Roman" w:eastAsia="Times New Roman" w:hAnsi="Times New Roman"/>
          <w:sz w:val="13"/>
          <w:szCs w:val="13"/>
          <w:b w:val="1"/>
          <w:bCs w:val="1"/>
          <w:color w:val="auto"/>
        </w:rPr>
        <w:t>2017 LTIP</w:t>
      </w:r>
    </w:p>
    <w:p>
      <w:pPr>
        <w:spacing w:after="0" w:line="121" w:lineRule="exact"/>
        <w:rPr>
          <w:sz w:val="20"/>
          <w:szCs w:val="20"/>
          <w:color w:val="auto"/>
        </w:rPr>
      </w:pPr>
    </w:p>
    <w:p>
      <w:pPr>
        <w:ind w:left="460" w:right="180"/>
        <w:spacing w:after="0" w:line="269" w:lineRule="auto"/>
        <w:rPr>
          <w:sz w:val="20"/>
          <w:szCs w:val="20"/>
          <w:color w:val="auto"/>
        </w:rPr>
      </w:pPr>
      <w:r>
        <w:rPr>
          <w:rFonts w:ascii="Times New Roman" w:cs="Times New Roman" w:eastAsia="Times New Roman" w:hAnsi="Times New Roman"/>
          <w:sz w:val="14"/>
          <w:szCs w:val="14"/>
          <w:color w:val="auto"/>
        </w:rPr>
        <w:t xml:space="preserve">Where any option, award or other contractual right to acquire unissued Shares that was granted under the 2017 LTIP and that is outstanding as of the Effective Date is, on or after the Effective Date released or lapses (whether in whole or in part), the overall Plan limit specified in Rule 5.1 shall be increased by the number of unissued Ordinary Shares which consequently cease to be subject to the option, award or other contractual right under the 2017 LTIP (whether directly or as the Ordinary Shares represented by ADSs) (such shares that may increase the number of unissued Ordinary Shares, the </w:t>
      </w:r>
      <w:r>
        <w:rPr>
          <w:rFonts w:ascii="Times New Roman" w:cs="Times New Roman" w:eastAsia="Times New Roman" w:hAnsi="Times New Roman"/>
          <w:sz w:val="14"/>
          <w:szCs w:val="14"/>
          <w:b w:val="1"/>
          <w:bCs w:val="1"/>
          <w:color w:val="auto"/>
        </w:rPr>
        <w:t>“Returning Shares”</w:t>
      </w:r>
      <w:r>
        <w:rPr>
          <w:rFonts w:ascii="Times New Roman" w:cs="Times New Roman" w:eastAsia="Times New Roman" w:hAnsi="Times New Roman"/>
          <w:sz w:val="14"/>
          <w:szCs w:val="14"/>
          <w:color w:val="auto"/>
        </w:rPr>
        <w:t>).</w:t>
      </w:r>
    </w:p>
    <w:p>
      <w:pPr>
        <w:spacing w:after="0" w:line="19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5.5</w:t>
      </w:r>
      <w:r>
        <w:rPr>
          <w:sz w:val="20"/>
          <w:szCs w:val="20"/>
          <w:color w:val="auto"/>
        </w:rPr>
        <w:tab/>
      </w:r>
      <w:r>
        <w:rPr>
          <w:rFonts w:ascii="Times New Roman" w:cs="Times New Roman" w:eastAsia="Times New Roman" w:hAnsi="Times New Roman"/>
          <w:sz w:val="14"/>
          <w:szCs w:val="14"/>
          <w:b w:val="1"/>
          <w:bCs w:val="1"/>
          <w:color w:val="auto"/>
        </w:rPr>
        <w:t>ISO Option limit</w:t>
      </w:r>
    </w:p>
    <w:p>
      <w:pPr>
        <w:spacing w:after="0" w:line="121" w:lineRule="exact"/>
        <w:rPr>
          <w:sz w:val="20"/>
          <w:szCs w:val="20"/>
          <w:color w:val="auto"/>
        </w:rPr>
      </w:pPr>
    </w:p>
    <w:p>
      <w:pPr>
        <w:ind w:left="460" w:right="320"/>
        <w:spacing w:after="0" w:line="261" w:lineRule="auto"/>
        <w:rPr>
          <w:sz w:val="20"/>
          <w:szCs w:val="20"/>
          <w:color w:val="auto"/>
        </w:rPr>
      </w:pPr>
      <w:r>
        <w:rPr>
          <w:rFonts w:ascii="Times New Roman" w:cs="Times New Roman" w:eastAsia="Times New Roman" w:hAnsi="Times New Roman"/>
          <w:sz w:val="14"/>
          <w:szCs w:val="14"/>
          <w:color w:val="auto"/>
        </w:rPr>
        <w:t xml:space="preserve">The aggregate maximum number of Ordinary Shares which have been and may be acquired by Participants (including the underlying Ordinary Shares in relation to ADSs) pursuant to the exercise of ISO Options granted under the Plan since its adoption shall be 5,000,000 (the </w:t>
      </w:r>
      <w:r>
        <w:rPr>
          <w:rFonts w:ascii="Times New Roman" w:cs="Times New Roman" w:eastAsia="Times New Roman" w:hAnsi="Times New Roman"/>
          <w:sz w:val="14"/>
          <w:szCs w:val="14"/>
          <w:b w:val="1"/>
          <w:bCs w:val="1"/>
          <w:color w:val="auto"/>
        </w:rPr>
        <w:t>“ISO Limit”</w:t>
      </w:r>
      <w:r>
        <w:rPr>
          <w:rFonts w:ascii="Times New Roman" w:cs="Times New Roman" w:eastAsia="Times New Roman" w:hAnsi="Times New Roman"/>
          <w:sz w:val="14"/>
          <w:szCs w:val="14"/>
          <w:color w:val="auto"/>
        </w:rPr>
        <w:t>), subject to such adjustment as the Board may determine to be appropriate upon any change that is made in, or other events that occur with respect to, the Shares without the receipt of consideration by the Company through merger, consolidation, reorganization, recapitalization, reincorporation, share dividend, dividend in property other than cash, large nonrecurring cash dividend, share split, reverse share split, liquidating dividend, combination of shares, exchange of shares, change in corporate structure or any similar equity restructuring transaction. For</w:t>
      </w:r>
    </w:p>
    <w:p>
      <w:pPr>
        <w:spacing w:after="0" w:line="3" w:lineRule="exact"/>
        <w:rPr>
          <w:sz w:val="20"/>
          <w:szCs w:val="20"/>
          <w:color w:val="auto"/>
        </w:rPr>
      </w:pPr>
    </w:p>
    <w:p>
      <w:pPr>
        <w:ind w:left="460"/>
        <w:spacing w:after="0" w:line="292" w:lineRule="auto"/>
        <w:rPr>
          <w:sz w:val="20"/>
          <w:szCs w:val="20"/>
          <w:color w:val="auto"/>
        </w:rPr>
      </w:pPr>
      <w:r>
        <w:rPr>
          <w:rFonts w:ascii="Times New Roman" w:cs="Times New Roman" w:eastAsia="Times New Roman" w:hAnsi="Times New Roman"/>
          <w:sz w:val="14"/>
          <w:szCs w:val="14"/>
          <w:color w:val="auto"/>
        </w:rPr>
        <w:t>clarity, the ISO Limit shall not permit any Award to be granted if it would cause the aggregate number of Ordinary Shares which may be acquired pursuant to all Awards granted under the Plan to exceed the overall plan limit described in Rule 5.1 above.</w:t>
      </w:r>
    </w:p>
    <w:p>
      <w:pPr>
        <w:spacing w:after="0" w:line="17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5.6</w:t>
      </w:r>
      <w:r>
        <w:rPr>
          <w:sz w:val="20"/>
          <w:szCs w:val="20"/>
          <w:color w:val="auto"/>
        </w:rPr>
        <w:tab/>
      </w:r>
      <w:r>
        <w:rPr>
          <w:rFonts w:ascii="Times New Roman" w:cs="Times New Roman" w:eastAsia="Times New Roman" w:hAnsi="Times New Roman"/>
          <w:sz w:val="14"/>
          <w:szCs w:val="14"/>
          <w:b w:val="1"/>
          <w:bCs w:val="1"/>
          <w:color w:val="auto"/>
        </w:rPr>
        <w:t>Effect of limits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Any Award shall be limited and take effect so that the limits in this Rule 5 are complied with.</w:t>
      </w:r>
    </w:p>
    <w:p>
      <w:pPr>
        <w:spacing w:after="0" w:line="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060"/>
          </w:cols>
          <w:pgMar w:left="420" w:top="1233" w:right="419" w:bottom="1440" w:gutter="0" w:footer="0" w:header="0"/>
        </w:sectPr>
      </w:pPr>
    </w:p>
    <w:bookmarkStart w:id="235" w:name="page236"/>
    <w:bookmarkEnd w:id="235"/>
    <w:p>
      <w:pPr>
        <w:ind w:left="440" w:hanging="432"/>
        <w:spacing w:after="0"/>
        <w:tabs>
          <w:tab w:leader="none" w:pos="440" w:val="left"/>
        </w:tabs>
        <w:numPr>
          <w:ilvl w:val="0"/>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VESTING OFAWARDS</w:t>
      </w:r>
    </w:p>
    <w:p>
      <w:pPr>
        <w:spacing w:after="0" w:line="238"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6.1</w:t>
      </w:r>
      <w:r>
        <w:rPr>
          <w:sz w:val="20"/>
          <w:szCs w:val="20"/>
          <w:color w:val="auto"/>
        </w:rPr>
        <w:tab/>
      </w:r>
      <w:r>
        <w:rPr>
          <w:rFonts w:ascii="Times New Roman" w:cs="Times New Roman" w:eastAsia="Times New Roman" w:hAnsi="Times New Roman"/>
          <w:sz w:val="14"/>
          <w:szCs w:val="14"/>
          <w:b w:val="1"/>
          <w:bCs w:val="1"/>
          <w:color w:val="auto"/>
        </w:rPr>
        <w:t>Timing of Vesting: Normal Vesting Date</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Subject to Rule 6.3 (</w:t>
      </w:r>
      <w:r>
        <w:rPr>
          <w:rFonts w:ascii="Times New Roman" w:cs="Times New Roman" w:eastAsia="Times New Roman" w:hAnsi="Times New Roman"/>
          <w:sz w:val="14"/>
          <w:szCs w:val="14"/>
          <w:i w:val="1"/>
          <w:iCs w:val="1"/>
          <w:color w:val="auto"/>
        </w:rPr>
        <w:t>Restrictions on Vesting: tax issues</w:t>
      </w:r>
      <w:r>
        <w:rPr>
          <w:rFonts w:ascii="Times New Roman" w:cs="Times New Roman" w:eastAsia="Times New Roman" w:hAnsi="Times New Roman"/>
          <w:sz w:val="14"/>
          <w:szCs w:val="14"/>
          <w:color w:val="auto"/>
        </w:rPr>
        <w:t>), an Award shall Vest on the later of:</w:t>
      </w:r>
    </w:p>
    <w:p>
      <w:pPr>
        <w:spacing w:after="0" w:line="27" w:lineRule="exact"/>
        <w:rPr>
          <w:sz w:val="20"/>
          <w:szCs w:val="20"/>
          <w:color w:val="auto"/>
        </w:rPr>
      </w:pPr>
    </w:p>
    <w:p>
      <w:pPr>
        <w:ind w:left="960" w:right="100" w:hanging="514"/>
        <w:spacing w:after="0" w:line="266" w:lineRule="auto"/>
        <w:tabs>
          <w:tab w:leader="none" w:pos="955"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Committee determines whether or not any Performance Condition and any other condition imposed on the Vesting of the Award has been satisfied (in whole or part); and</w:t>
      </w:r>
    </w:p>
    <w:p>
      <w:pPr>
        <w:ind w:left="960" w:right="760" w:hanging="514"/>
        <w:spacing w:after="0" w:line="275" w:lineRule="auto"/>
        <w:tabs>
          <w:tab w:leader="none" w:pos="950"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third anniversary of the Grant Date, or such other date (which may be before the third anniversary of the Grant Date) as the Committee may determine on or before the grant of the relevant Award,</w:t>
      </w:r>
    </w:p>
    <w:p>
      <w:pPr>
        <w:spacing w:after="0" w:line="57" w:lineRule="exact"/>
        <w:rPr>
          <w:sz w:val="20"/>
          <w:szCs w:val="20"/>
          <w:color w:val="auto"/>
        </w:rPr>
      </w:pPr>
    </w:p>
    <w:p>
      <w:pPr>
        <w:ind w:left="460" w:right="100"/>
        <w:spacing w:after="0" w:line="295" w:lineRule="auto"/>
        <w:rPr>
          <w:sz w:val="20"/>
          <w:szCs w:val="20"/>
          <w:color w:val="auto"/>
        </w:rPr>
      </w:pPr>
      <w:r>
        <w:rPr>
          <w:rFonts w:ascii="Times New Roman" w:cs="Times New Roman" w:eastAsia="Times New Roman" w:hAnsi="Times New Roman"/>
          <w:sz w:val="14"/>
          <w:szCs w:val="14"/>
          <w:color w:val="auto"/>
        </w:rPr>
        <w:t>except where earlier Vesting occurs on an Early Vesting Date under Rule 12 (</w:t>
      </w:r>
      <w:r>
        <w:rPr>
          <w:rFonts w:ascii="Times New Roman" w:cs="Times New Roman" w:eastAsia="Times New Roman" w:hAnsi="Times New Roman"/>
          <w:sz w:val="14"/>
          <w:szCs w:val="14"/>
          <w:i w:val="1"/>
          <w:iCs w:val="1"/>
          <w:color w:val="auto"/>
        </w:rPr>
        <w:t>Takeovers and other corporate events</w:t>
      </w:r>
      <w:r>
        <w:rPr>
          <w:rFonts w:ascii="Times New Roman" w:cs="Times New Roman" w:eastAsia="Times New Roman" w:hAnsi="Times New Roman"/>
          <w:sz w:val="14"/>
          <w:szCs w:val="14"/>
          <w:color w:val="auto"/>
        </w:rPr>
        <w:t>) or where the Committee in its discretion permits earlier Vesting, whether pursuant to a separate written plan or agreement approved by the Committee or otherwise (</w:t>
      </w:r>
      <w:r>
        <w:rPr>
          <w:rFonts w:ascii="Times New Roman" w:cs="Times New Roman" w:eastAsia="Times New Roman" w:hAnsi="Times New Roman"/>
          <w:sz w:val="14"/>
          <w:szCs w:val="14"/>
          <w:b w:val="1"/>
          <w:bCs w:val="1"/>
          <w:color w:val="auto"/>
        </w:rPr>
        <w:t>“Discretionary Vesting”</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6.2</w:t>
      </w:r>
      <w:r>
        <w:rPr>
          <w:sz w:val="20"/>
          <w:szCs w:val="20"/>
          <w:color w:val="auto"/>
        </w:rPr>
        <w:tab/>
      </w:r>
      <w:r>
        <w:rPr>
          <w:rFonts w:ascii="Times New Roman" w:cs="Times New Roman" w:eastAsia="Times New Roman" w:hAnsi="Times New Roman"/>
          <w:sz w:val="14"/>
          <w:szCs w:val="14"/>
          <w:b w:val="1"/>
          <w:bCs w:val="1"/>
          <w:color w:val="auto"/>
        </w:rPr>
        <w:t>Extent of Vesting</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An Award shall only Vest to the extent:</w:t>
      </w:r>
    </w:p>
    <w:p>
      <w:pPr>
        <w:spacing w:after="0" w:line="15" w:lineRule="exact"/>
        <w:rPr>
          <w:sz w:val="20"/>
          <w:szCs w:val="20"/>
          <w:color w:val="auto"/>
        </w:rPr>
      </w:pPr>
    </w:p>
    <w:p>
      <w:pPr>
        <w:ind w:left="960" w:hanging="515"/>
        <w:spacing w:after="0"/>
        <w:tabs>
          <w:tab w:leader="none" w:pos="960" w:val="left"/>
        </w:tabs>
        <w:numPr>
          <w:ilvl w:val="0"/>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any Performance Condition is satisfied on the Normal Vesting Date or, if appropriate, the Early Vesting Date;</w:t>
      </w:r>
    </w:p>
    <w:p>
      <w:pPr>
        <w:spacing w:after="0" w:line="9" w:lineRule="exact"/>
        <w:rPr>
          <w:rFonts w:ascii="Times New Roman" w:cs="Times New Roman" w:eastAsia="Times New Roman" w:hAnsi="Times New Roman"/>
          <w:sz w:val="14"/>
          <w:szCs w:val="14"/>
          <w:color w:val="auto"/>
        </w:rPr>
      </w:pPr>
    </w:p>
    <w:p>
      <w:pPr>
        <w:ind w:left="960" w:hanging="514"/>
        <w:spacing w:after="0"/>
        <w:tabs>
          <w:tab w:leader="none" w:pos="960" w:val="left"/>
        </w:tabs>
        <w:numPr>
          <w:ilvl w:val="0"/>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permitted by any other term imposed on the Vesting of the Award, or pursuant to a separate written plan or agreement approved by the Committee; and</w:t>
      </w:r>
    </w:p>
    <w:p>
      <w:pPr>
        <w:spacing w:after="0" w:line="23" w:lineRule="exact"/>
        <w:rPr>
          <w:rFonts w:ascii="Times New Roman" w:cs="Times New Roman" w:eastAsia="Times New Roman" w:hAnsi="Times New Roman"/>
          <w:sz w:val="14"/>
          <w:szCs w:val="14"/>
          <w:color w:val="auto"/>
        </w:rPr>
      </w:pPr>
    </w:p>
    <w:p>
      <w:pPr>
        <w:ind w:left="960" w:hanging="514"/>
        <w:spacing w:after="0" w:line="275" w:lineRule="auto"/>
        <w:tabs>
          <w:tab w:leader="none" w:pos="955" w:val="left"/>
        </w:tabs>
        <w:numPr>
          <w:ilvl w:val="0"/>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relation to Vesting before the Normal Vesting Date, as permitted by Rules 11.2 and 12.5 (</w:t>
      </w:r>
      <w:r>
        <w:rPr>
          <w:rFonts w:ascii="Times New Roman" w:cs="Times New Roman" w:eastAsia="Times New Roman" w:hAnsi="Times New Roman"/>
          <w:sz w:val="14"/>
          <w:szCs w:val="14"/>
          <w:i w:val="1"/>
          <w:iCs w:val="1"/>
          <w:color w:val="auto"/>
        </w:rPr>
        <w:t>Reduction in number of Vested Shares</w:t>
      </w:r>
      <w:r>
        <w:rPr>
          <w:rFonts w:ascii="Times New Roman" w:cs="Times New Roman" w:eastAsia="Times New Roman" w:hAnsi="Times New Roman"/>
          <w:sz w:val="14"/>
          <w:szCs w:val="14"/>
          <w:color w:val="auto"/>
        </w:rPr>
        <w:t>), or, in the case of Discretionary Vesting to the extent determined by the Committee in its discretion.</w:t>
      </w:r>
    </w:p>
    <w:p>
      <w:pPr>
        <w:spacing w:after="0" w:line="44" w:lineRule="exact"/>
        <w:rPr>
          <w:sz w:val="20"/>
          <w:szCs w:val="20"/>
          <w:color w:val="auto"/>
        </w:rPr>
      </w:pPr>
    </w:p>
    <w:p>
      <w:pPr>
        <w:ind w:left="460"/>
        <w:spacing w:after="0" w:line="286" w:lineRule="auto"/>
        <w:rPr>
          <w:sz w:val="20"/>
          <w:szCs w:val="20"/>
          <w:color w:val="auto"/>
        </w:rPr>
      </w:pPr>
      <w:r>
        <w:rPr>
          <w:rFonts w:ascii="Times New Roman" w:cs="Times New Roman" w:eastAsia="Times New Roman" w:hAnsi="Times New Roman"/>
          <w:sz w:val="14"/>
          <w:szCs w:val="14"/>
          <w:color w:val="auto"/>
        </w:rPr>
        <w:t>Where, under Rule 12 (</w:t>
      </w:r>
      <w:r>
        <w:rPr>
          <w:rFonts w:ascii="Times New Roman" w:cs="Times New Roman" w:eastAsia="Times New Roman" w:hAnsi="Times New Roman"/>
          <w:sz w:val="14"/>
          <w:szCs w:val="14"/>
          <w:i w:val="1"/>
          <w:iCs w:val="1"/>
          <w:color w:val="auto"/>
        </w:rPr>
        <w:t>Takeovers and other corporate events</w:t>
      </w:r>
      <w:r>
        <w:rPr>
          <w:rFonts w:ascii="Times New Roman" w:cs="Times New Roman" w:eastAsia="Times New Roman" w:hAnsi="Times New Roman"/>
          <w:sz w:val="14"/>
          <w:szCs w:val="14"/>
          <w:color w:val="auto"/>
        </w:rPr>
        <w:t>) or in the case of Discretionary Vesting, an Award would (subject to the satisfaction of any Performance Condition) Vest before the end of the full period over which performance would be measured under Performance Condition then, unless provided to the contrary by the Performance Condition, the extent to which the Performance Condition has been satisfied in such circumstances shall be determined by the Committee on such reasonable basis as it decides.</w:t>
      </w:r>
    </w:p>
    <w:p>
      <w:pPr>
        <w:spacing w:after="0" w:line="183"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6.3</w:t>
      </w:r>
      <w:r>
        <w:rPr>
          <w:sz w:val="20"/>
          <w:szCs w:val="20"/>
          <w:color w:val="auto"/>
        </w:rPr>
        <w:tab/>
      </w:r>
      <w:r>
        <w:rPr>
          <w:rFonts w:ascii="Times New Roman" w:cs="Times New Roman" w:eastAsia="Times New Roman" w:hAnsi="Times New Roman"/>
          <w:sz w:val="14"/>
          <w:szCs w:val="14"/>
          <w:b w:val="1"/>
          <w:bCs w:val="1"/>
          <w:color w:val="auto"/>
        </w:rPr>
        <w:t>Restrictions on Vesting: tax issues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An Award shall not Vest unless and until the following conditions are satisfied:</w:t>
      </w:r>
    </w:p>
    <w:p>
      <w:pPr>
        <w:spacing w:after="0" w:line="25" w:lineRule="exact"/>
        <w:rPr>
          <w:sz w:val="20"/>
          <w:szCs w:val="20"/>
          <w:color w:val="auto"/>
        </w:rPr>
      </w:pPr>
    </w:p>
    <w:p>
      <w:pPr>
        <w:ind w:left="960" w:right="240" w:hanging="514"/>
        <w:spacing w:after="0" w:line="263" w:lineRule="auto"/>
        <w:tabs>
          <w:tab w:leader="none" w:pos="955"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on the Vesting of the Award, a Tax Liability would arise by virtue of such Vesting and the Board decides that such Tax Liability shall not be satisfied by the sale of Shares pursuant to Rule 6.5 (</w:t>
      </w:r>
      <w:r>
        <w:rPr>
          <w:rFonts w:ascii="Times New Roman" w:cs="Times New Roman" w:eastAsia="Times New Roman" w:hAnsi="Times New Roman"/>
          <w:sz w:val="14"/>
          <w:szCs w:val="14"/>
          <w:i w:val="1"/>
          <w:iCs w:val="1"/>
          <w:color w:val="auto"/>
        </w:rPr>
        <w:t>Payment of Tax Liability</w:t>
      </w:r>
      <w:r>
        <w:rPr>
          <w:rFonts w:ascii="Times New Roman" w:cs="Times New Roman" w:eastAsia="Times New Roman" w:hAnsi="Times New Roman"/>
          <w:sz w:val="14"/>
          <w:szCs w:val="14"/>
          <w:color w:val="auto"/>
        </w:rPr>
        <w:t>) then the Participant must have entered into arrangements acceptable to the Board that the relevant Group Member will receive the amount of such Tax Liability; and</w:t>
      </w:r>
    </w:p>
    <w:p>
      <w:pPr>
        <w:spacing w:after="0" w:line="1" w:lineRule="exact"/>
        <w:rPr>
          <w:rFonts w:ascii="Times New Roman" w:cs="Times New Roman" w:eastAsia="Times New Roman" w:hAnsi="Times New Roman"/>
          <w:sz w:val="14"/>
          <w:szCs w:val="14"/>
          <w:color w:val="auto"/>
        </w:rPr>
      </w:pPr>
    </w:p>
    <w:p>
      <w:pPr>
        <w:ind w:left="960" w:right="40" w:hanging="514"/>
        <w:spacing w:after="0" w:line="295" w:lineRule="auto"/>
        <w:tabs>
          <w:tab w:leader="none" w:pos="950"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the Committee requires, the Participant has entered into, or agreed to enter into, a valid election under Part 7 of ITEPA (</w:t>
      </w:r>
      <w:r>
        <w:rPr>
          <w:rFonts w:ascii="Times New Roman" w:cs="Times New Roman" w:eastAsia="Times New Roman" w:hAnsi="Times New Roman"/>
          <w:sz w:val="14"/>
          <w:szCs w:val="14"/>
          <w:i w:val="1"/>
          <w:iCs w:val="1"/>
          <w:color w:val="auto"/>
        </w:rPr>
        <w:t>Employment income: elections to disapply tax</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charge on restricted securities</w:t>
      </w:r>
      <w:r>
        <w:rPr>
          <w:rFonts w:ascii="Times New Roman" w:cs="Times New Roman" w:eastAsia="Times New Roman" w:hAnsi="Times New Roman"/>
          <w:sz w:val="14"/>
          <w:szCs w:val="14"/>
          <w:color w:val="auto"/>
        </w:rPr>
        <w:t>) or any similar arrangement in any overseas jurisdiction.</w:t>
      </w:r>
    </w:p>
    <w:p>
      <w:pPr>
        <w:spacing w:after="0" w:line="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For the purposes of this Rule 6.3, references to Group Member include any former Group Member.</w:t>
      </w:r>
    </w:p>
    <w:p>
      <w:pPr>
        <w:spacing w:after="0" w:line="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800"/>
          </w:cols>
          <w:pgMar w:left="420" w:top="1233" w:right="679" w:bottom="1440" w:gutter="0" w:footer="0" w:header="0"/>
        </w:sectPr>
      </w:pPr>
    </w:p>
    <w:bookmarkStart w:id="236" w:name="page237"/>
    <w:bookmarkEnd w:id="236"/>
    <w:p>
      <w:pPr>
        <w:ind w:left="460"/>
        <w:spacing w:after="0" w:line="275" w:lineRule="auto"/>
        <w:rPr>
          <w:sz w:val="20"/>
          <w:szCs w:val="20"/>
          <w:color w:val="auto"/>
        </w:rPr>
      </w:pPr>
      <w:r>
        <w:rPr>
          <w:rFonts w:ascii="Times New Roman" w:cs="Times New Roman" w:eastAsia="Times New Roman" w:hAnsi="Times New Roman"/>
          <w:sz w:val="14"/>
          <w:szCs w:val="14"/>
          <w:color w:val="auto"/>
        </w:rPr>
        <w:t>In the case of a Participant who is a US Taxpayer, any delay in the Vesting of an Award for the satisfaction of the conditions in Rule 6.3(a) or (b) shall not delay the distribution of Shares or cash in lieu of Shares beyond the Short-Term Deferral Period in relation to the Award, and if any of those conditions is not satisfied by the end of that Short-Term Deferral Period the Award shall lapse without any further obligation of the Company, the Participant’s employer, or any other Group Member to the Participant with respect thereto.</w:t>
      </w:r>
    </w:p>
    <w:p>
      <w:pPr>
        <w:spacing w:after="0" w:line="190"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6.4</w:t>
      </w:r>
      <w:r>
        <w:rPr>
          <w:sz w:val="20"/>
          <w:szCs w:val="20"/>
          <w:color w:val="auto"/>
        </w:rPr>
        <w:tab/>
      </w:r>
      <w:r>
        <w:rPr>
          <w:rFonts w:ascii="Times New Roman" w:cs="Times New Roman" w:eastAsia="Times New Roman" w:hAnsi="Times New Roman"/>
          <w:sz w:val="13"/>
          <w:szCs w:val="13"/>
          <w:b w:val="1"/>
          <w:bCs w:val="1"/>
          <w:color w:val="auto"/>
        </w:rPr>
        <w:t>Tax Liability before Vesting</w:t>
      </w:r>
    </w:p>
    <w:p>
      <w:pPr>
        <w:spacing w:after="0" w:line="121" w:lineRule="exact"/>
        <w:rPr>
          <w:sz w:val="20"/>
          <w:szCs w:val="20"/>
          <w:color w:val="auto"/>
        </w:rPr>
      </w:pPr>
    </w:p>
    <w:p>
      <w:pPr>
        <w:ind w:left="460" w:right="100"/>
        <w:spacing w:after="0" w:line="269" w:lineRule="auto"/>
        <w:rPr>
          <w:sz w:val="20"/>
          <w:szCs w:val="20"/>
          <w:color w:val="auto"/>
        </w:rPr>
      </w:pPr>
      <w:r>
        <w:rPr>
          <w:rFonts w:ascii="Times New Roman" w:cs="Times New Roman" w:eastAsia="Times New Roman" w:hAnsi="Times New Roman"/>
          <w:sz w:val="14"/>
          <w:szCs w:val="14"/>
          <w:color w:val="auto"/>
        </w:rPr>
        <w:t>If any Tax Liability will or is likely to arise before the Vesting of an Award then the Participant must enter into arrangements acceptable to any relevant Group Member to ensure that it receives the amount of such Tax Liability. If no such arrangement is made then the Participant shall be deemed to have authorised the Company to sell or procure the sale of sufficient of the Shares subject to his Award on his behalf to ensure that the relevant Group Member receives the amount required to discharge the Tax Liability and the number of Shares subject to his Award shall be reduced accordingly.</w:t>
      </w:r>
    </w:p>
    <w:p>
      <w:pPr>
        <w:spacing w:after="0" w:line="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For the purposes of this Rule 6.4, references to Group Member include any former Group Member.</w:t>
      </w:r>
    </w:p>
    <w:p>
      <w:pPr>
        <w:spacing w:after="0" w:line="23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6.5</w:t>
      </w:r>
      <w:r>
        <w:rPr>
          <w:sz w:val="20"/>
          <w:szCs w:val="20"/>
          <w:color w:val="auto"/>
        </w:rPr>
        <w:tab/>
      </w:r>
      <w:r>
        <w:rPr>
          <w:rFonts w:ascii="Times New Roman" w:cs="Times New Roman" w:eastAsia="Times New Roman" w:hAnsi="Times New Roman"/>
          <w:sz w:val="14"/>
          <w:szCs w:val="14"/>
          <w:b w:val="1"/>
          <w:bCs w:val="1"/>
          <w:color w:val="auto"/>
        </w:rPr>
        <w:t>Payment of Tax Liability</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Participant authorises the Company to:</w:t>
      </w:r>
    </w:p>
    <w:p>
      <w:pPr>
        <w:spacing w:after="0" w:line="25" w:lineRule="exact"/>
        <w:rPr>
          <w:sz w:val="20"/>
          <w:szCs w:val="20"/>
          <w:color w:val="auto"/>
        </w:rPr>
      </w:pPr>
    </w:p>
    <w:p>
      <w:pPr>
        <w:ind w:left="960" w:right="360" w:hanging="514"/>
        <w:spacing w:after="0" w:line="266" w:lineRule="auto"/>
        <w:tabs>
          <w:tab w:leader="none" w:pos="955"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or procure the sale of sufficient Vested Shares on or following the Vesting of his Award on his behalf to ensure that any relevant Group Member or former Group Member receives the amount required to discharge the Tax Liability which arises on Vesting; or</w:t>
      </w:r>
    </w:p>
    <w:p>
      <w:pPr>
        <w:ind w:left="960" w:right="100" w:hanging="514"/>
        <w:spacing w:after="0" w:line="266" w:lineRule="auto"/>
        <w:tabs>
          <w:tab w:leader="none" w:pos="950"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withhold from the number of Shares deliverable on the Vesting of the Award such number of Shares as has a fair market value on the date the Tax Liability is to be determined equal to the Tax Liability in satisfaction of the Participant’s obligations in relation to that Tax Liability, provided that such Shares shall not exceed the amount necessary to satisfy the Tax Liability at the maximum rate applicable in the Participant’s jurisdiction(s),</w:t>
      </w:r>
    </w:p>
    <w:p>
      <w:pPr>
        <w:spacing w:after="0" w:line="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except to the extent that the Board decides that all or part of the Tax Liability shall be funded in a different manner.</w:t>
      </w:r>
    </w:p>
    <w:p>
      <w:pPr>
        <w:spacing w:after="0" w:line="303" w:lineRule="exact"/>
        <w:rPr>
          <w:sz w:val="20"/>
          <w:szCs w:val="20"/>
          <w:color w:val="auto"/>
        </w:rPr>
      </w:pPr>
    </w:p>
    <w:p>
      <w:pPr>
        <w:ind w:left="440" w:hanging="432"/>
        <w:spacing w:after="0"/>
        <w:tabs>
          <w:tab w:leader="none" w:pos="440" w:val="left"/>
        </w:tabs>
        <w:numPr>
          <w:ilvl w:val="0"/>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CONSEQUENCES OF VESTING</w:t>
      </w:r>
    </w:p>
    <w:p>
      <w:pPr>
        <w:spacing w:after="0" w:line="25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7.1</w:t>
      </w:r>
      <w:r>
        <w:rPr>
          <w:sz w:val="20"/>
          <w:szCs w:val="20"/>
          <w:color w:val="auto"/>
        </w:rPr>
        <w:tab/>
      </w:r>
      <w:r>
        <w:rPr>
          <w:rFonts w:ascii="Times New Roman" w:cs="Times New Roman" w:eastAsia="Times New Roman" w:hAnsi="Times New Roman"/>
          <w:sz w:val="14"/>
          <w:szCs w:val="14"/>
          <w:b w:val="1"/>
          <w:bCs w:val="1"/>
          <w:color w:val="auto"/>
        </w:rPr>
        <w:t>Conditional Awards</w:t>
      </w:r>
    </w:p>
    <w:p>
      <w:pPr>
        <w:spacing w:after="0" w:line="105" w:lineRule="exact"/>
        <w:rPr>
          <w:sz w:val="20"/>
          <w:szCs w:val="20"/>
          <w:color w:val="auto"/>
        </w:rPr>
      </w:pPr>
    </w:p>
    <w:p>
      <w:pPr>
        <w:ind w:left="460" w:right="300"/>
        <w:spacing w:after="0" w:line="295" w:lineRule="auto"/>
        <w:rPr>
          <w:sz w:val="20"/>
          <w:szCs w:val="20"/>
          <w:color w:val="auto"/>
        </w:rPr>
      </w:pPr>
      <w:r>
        <w:rPr>
          <w:rFonts w:ascii="Times New Roman" w:cs="Times New Roman" w:eastAsia="Times New Roman" w:hAnsi="Times New Roman"/>
          <w:sz w:val="14"/>
          <w:szCs w:val="14"/>
          <w:color w:val="auto"/>
        </w:rPr>
        <w:t>On or as soon as reasonably practicable after the Vesting of a Conditional Award, the Company shall, subject to Rule 6.5 (</w:t>
      </w:r>
      <w:r>
        <w:rPr>
          <w:rFonts w:ascii="Times New Roman" w:cs="Times New Roman" w:eastAsia="Times New Roman" w:hAnsi="Times New Roman"/>
          <w:sz w:val="14"/>
          <w:szCs w:val="14"/>
          <w:i w:val="1"/>
          <w:iCs w:val="1"/>
          <w:color w:val="auto"/>
        </w:rPr>
        <w:t>Payment of Tax Liability</w:t>
      </w:r>
      <w:r>
        <w:rPr>
          <w:rFonts w:ascii="Times New Roman" w:cs="Times New Roman" w:eastAsia="Times New Roman" w:hAnsi="Times New Roman"/>
          <w:sz w:val="14"/>
          <w:szCs w:val="14"/>
          <w:color w:val="auto"/>
        </w:rPr>
        <w:t>) and any arrangement made under Rules 6.3(a) and 6.3(b) (</w:t>
      </w:r>
      <w:r>
        <w:rPr>
          <w:rFonts w:ascii="Times New Roman" w:cs="Times New Roman" w:eastAsia="Times New Roman" w:hAnsi="Times New Roman"/>
          <w:sz w:val="14"/>
          <w:szCs w:val="14"/>
          <w:i w:val="1"/>
          <w:iCs w:val="1"/>
          <w:color w:val="auto"/>
        </w:rPr>
        <w:t>Restrictions on Vesting: tax issues</w:t>
      </w:r>
      <w:r>
        <w:rPr>
          <w:rFonts w:ascii="Times New Roman" w:cs="Times New Roman" w:eastAsia="Times New Roman" w:hAnsi="Times New Roman"/>
          <w:sz w:val="14"/>
          <w:szCs w:val="14"/>
          <w:color w:val="auto"/>
        </w:rPr>
        <w:t>), transfer or procure the transfer of the Vested Shares to the Participant (or a nominee for him).</w:t>
      </w:r>
    </w:p>
    <w:p>
      <w:pPr>
        <w:spacing w:after="0" w:line="177"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7.2</w:t>
      </w:r>
      <w:r>
        <w:rPr>
          <w:sz w:val="20"/>
          <w:szCs w:val="20"/>
          <w:color w:val="auto"/>
        </w:rPr>
        <w:tab/>
      </w:r>
      <w:r>
        <w:rPr>
          <w:rFonts w:ascii="Times New Roman" w:cs="Times New Roman" w:eastAsia="Times New Roman" w:hAnsi="Times New Roman"/>
          <w:sz w:val="14"/>
          <w:szCs w:val="14"/>
          <w:b w:val="1"/>
          <w:bCs w:val="1"/>
          <w:color w:val="auto"/>
        </w:rPr>
        <w:t>Options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An Option shall, subject to Rule 8.1 (</w:t>
      </w:r>
      <w:r>
        <w:rPr>
          <w:rFonts w:ascii="Times New Roman" w:cs="Times New Roman" w:eastAsia="Times New Roman" w:hAnsi="Times New Roman"/>
          <w:sz w:val="14"/>
          <w:szCs w:val="14"/>
          <w:i w:val="1"/>
          <w:iCs w:val="1"/>
          <w:color w:val="auto"/>
        </w:rPr>
        <w:t>Restrictions on the exercise of an Option: regulatory and tax issues</w:t>
      </w:r>
      <w:r>
        <w:rPr>
          <w:rFonts w:ascii="Times New Roman" w:cs="Times New Roman" w:eastAsia="Times New Roman" w:hAnsi="Times New Roman"/>
          <w:sz w:val="14"/>
          <w:szCs w:val="14"/>
          <w:color w:val="auto"/>
        </w:rPr>
        <w:t>), be exercisable in respect of Vested Shares at any time prior to:</w:t>
      </w:r>
    </w:p>
    <w:p>
      <w:pPr>
        <w:spacing w:after="0" w:line="16" w:lineRule="exact"/>
        <w:rPr>
          <w:sz w:val="20"/>
          <w:szCs w:val="20"/>
          <w:color w:val="auto"/>
        </w:rPr>
      </w:pPr>
    </w:p>
    <w:p>
      <w:pPr>
        <w:ind w:left="960" w:hanging="515"/>
        <w:spacing w:after="0"/>
        <w:tabs>
          <w:tab w:leader="none" w:pos="960" w:val="left"/>
        </w:tabs>
        <w:numPr>
          <w:ilvl w:val="0"/>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relation to a Regular Option, the tenth anniversary of the Grant Date; and</w:t>
      </w:r>
    </w:p>
    <w:p>
      <w:pPr>
        <w:ind w:left="5400" w:right="3880" w:hanging="4955"/>
        <w:spacing w:after="0" w:line="234" w:lineRule="auto"/>
        <w:tabs>
          <w:tab w:leader="none" w:pos="951" w:val="left"/>
        </w:tabs>
        <w:numPr>
          <w:ilvl w:val="0"/>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relation to a Short-Term Option, the end of the Short-Term Deferral Period in relation to that Option, -13-</w:t>
      </w:r>
    </w:p>
    <w:p>
      <w:pPr>
        <w:sectPr>
          <w:pgSz w:w="11900" w:h="16838" w:orient="portrait"/>
          <w:cols w:equalWidth="0" w:num="1">
            <w:col w:w="10700"/>
          </w:cols>
          <w:pgMar w:left="420" w:top="1262" w:right="779" w:bottom="1440" w:gutter="0" w:footer="0" w:header="0"/>
        </w:sectPr>
      </w:pPr>
    </w:p>
    <w:bookmarkStart w:id="237" w:name="page238"/>
    <w:bookmarkEnd w:id="237"/>
    <w:p>
      <w:pPr>
        <w:ind w:left="460" w:right="80"/>
        <w:spacing w:after="0" w:line="295" w:lineRule="auto"/>
        <w:rPr>
          <w:sz w:val="20"/>
          <w:szCs w:val="20"/>
          <w:color w:val="auto"/>
        </w:rPr>
      </w:pPr>
      <w:r>
        <w:rPr>
          <w:rFonts w:ascii="Times New Roman" w:cs="Times New Roman" w:eastAsia="Times New Roman" w:hAnsi="Times New Roman"/>
          <w:sz w:val="14"/>
          <w:szCs w:val="14"/>
          <w:color w:val="auto"/>
        </w:rPr>
        <w:t>unless, in each case, it lapses earlier under Rule 11.1 (</w:t>
      </w:r>
      <w:r>
        <w:rPr>
          <w:rFonts w:ascii="Times New Roman" w:cs="Times New Roman" w:eastAsia="Times New Roman" w:hAnsi="Times New Roman"/>
          <w:sz w:val="14"/>
          <w:szCs w:val="14"/>
          <w:i w:val="1"/>
          <w:iCs w:val="1"/>
          <w:color w:val="auto"/>
        </w:rPr>
        <w:t>Leavers</w:t>
      </w:r>
      <w:r>
        <w:rPr>
          <w:rFonts w:ascii="Times New Roman" w:cs="Times New Roman" w:eastAsia="Times New Roman" w:hAnsi="Times New Roman"/>
          <w:sz w:val="14"/>
          <w:szCs w:val="14"/>
          <w:color w:val="auto"/>
        </w:rPr>
        <w:t>), Rule 12.1 (</w:t>
      </w:r>
      <w:r>
        <w:rPr>
          <w:rFonts w:ascii="Times New Roman" w:cs="Times New Roman" w:eastAsia="Times New Roman" w:hAnsi="Times New Roman"/>
          <w:sz w:val="14"/>
          <w:szCs w:val="14"/>
          <w:i w:val="1"/>
          <w:iCs w:val="1"/>
          <w:color w:val="auto"/>
        </w:rPr>
        <w:t>General offers</w:t>
      </w:r>
      <w:r>
        <w:rPr>
          <w:rFonts w:ascii="Times New Roman" w:cs="Times New Roman" w:eastAsia="Times New Roman" w:hAnsi="Times New Roman"/>
          <w:sz w:val="14"/>
          <w:szCs w:val="14"/>
          <w:color w:val="auto"/>
        </w:rPr>
        <w:t>), Rule 12.2 (</w:t>
      </w:r>
      <w:r>
        <w:rPr>
          <w:rFonts w:ascii="Times New Roman" w:cs="Times New Roman" w:eastAsia="Times New Roman" w:hAnsi="Times New Roman"/>
          <w:sz w:val="14"/>
          <w:szCs w:val="14"/>
          <w:i w:val="1"/>
          <w:iCs w:val="1"/>
          <w:color w:val="auto"/>
        </w:rPr>
        <w:t>Schemes of arrangement and winding up</w:t>
      </w:r>
      <w:r>
        <w:rPr>
          <w:rFonts w:ascii="Times New Roman" w:cs="Times New Roman" w:eastAsia="Times New Roman" w:hAnsi="Times New Roman"/>
          <w:sz w:val="14"/>
          <w:szCs w:val="14"/>
          <w:color w:val="auto"/>
        </w:rPr>
        <w:t>) or Rule 12.3 (</w:t>
      </w:r>
      <w:r>
        <w:rPr>
          <w:rFonts w:ascii="Times New Roman" w:cs="Times New Roman" w:eastAsia="Times New Roman" w:hAnsi="Times New Roman"/>
          <w:sz w:val="14"/>
          <w:szCs w:val="14"/>
          <w:i w:val="1"/>
          <w:iCs w:val="1"/>
          <w:color w:val="auto"/>
        </w:rPr>
        <w:t>Demergers and similar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events</w:t>
      </w:r>
      <w:r>
        <w:rPr>
          <w:rFonts w:ascii="Times New Roman" w:cs="Times New Roman" w:eastAsia="Times New Roman" w:hAnsi="Times New Roman"/>
          <w:sz w:val="14"/>
          <w:szCs w:val="14"/>
          <w:color w:val="auto"/>
        </w:rPr>
        <w:t>).</w:t>
      </w:r>
    </w:p>
    <w:p>
      <w:pPr>
        <w:spacing w:after="0" w:line="30" w:lineRule="exact"/>
        <w:rPr>
          <w:sz w:val="20"/>
          <w:szCs w:val="20"/>
          <w:color w:val="auto"/>
        </w:rPr>
      </w:pPr>
    </w:p>
    <w:p>
      <w:pPr>
        <w:ind w:left="460" w:right="120"/>
        <w:spacing w:after="0" w:line="315" w:lineRule="auto"/>
        <w:rPr>
          <w:sz w:val="20"/>
          <w:szCs w:val="20"/>
          <w:color w:val="auto"/>
        </w:rPr>
      </w:pPr>
      <w:r>
        <w:rPr>
          <w:rFonts w:ascii="Times New Roman" w:cs="Times New Roman" w:eastAsia="Times New Roman" w:hAnsi="Times New Roman"/>
          <w:sz w:val="14"/>
          <w:szCs w:val="14"/>
          <w:color w:val="auto"/>
        </w:rPr>
        <w:t>For purposes of clarity, an RSU-style Option shall be automatically exercised upon Vesting in accordance with the provisions of Rule 8.4 (</w:t>
      </w:r>
      <w:r>
        <w:rPr>
          <w:rFonts w:ascii="Times New Roman" w:cs="Times New Roman" w:eastAsia="Times New Roman" w:hAnsi="Times New Roman"/>
          <w:sz w:val="14"/>
          <w:szCs w:val="14"/>
          <w:i w:val="1"/>
          <w:iCs w:val="1"/>
          <w:color w:val="auto"/>
        </w:rPr>
        <w:t>Method of exercise: RSU-style Option</w:t>
      </w:r>
      <w:r>
        <w:rPr>
          <w:rFonts w:ascii="Times New Roman" w:cs="Times New Roman" w:eastAsia="Times New Roman" w:hAnsi="Times New Roman"/>
          <w:sz w:val="14"/>
          <w:szCs w:val="14"/>
          <w:color w:val="auto"/>
        </w:rPr>
        <w:t>) and therefore there is no period where the Participant may exercise it.</w:t>
      </w:r>
    </w:p>
    <w:p>
      <w:pPr>
        <w:spacing w:after="0" w:line="163"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7.3</w:t>
      </w:r>
      <w:r>
        <w:rPr>
          <w:sz w:val="20"/>
          <w:szCs w:val="20"/>
          <w:color w:val="auto"/>
        </w:rPr>
        <w:tab/>
      </w:r>
      <w:r>
        <w:rPr>
          <w:rFonts w:ascii="Times New Roman" w:cs="Times New Roman" w:eastAsia="Times New Roman" w:hAnsi="Times New Roman"/>
          <w:sz w:val="14"/>
          <w:szCs w:val="14"/>
          <w:b w:val="1"/>
          <w:bCs w:val="1"/>
          <w:color w:val="auto"/>
        </w:rPr>
        <w:t>Dividend Equivalent</w:t>
      </w:r>
    </w:p>
    <w:p>
      <w:pPr>
        <w:spacing w:after="0" w:line="105" w:lineRule="exact"/>
        <w:rPr>
          <w:sz w:val="20"/>
          <w:szCs w:val="20"/>
          <w:color w:val="auto"/>
        </w:rPr>
      </w:pPr>
    </w:p>
    <w:p>
      <w:pPr>
        <w:ind w:left="460" w:right="200"/>
        <w:spacing w:after="0" w:line="286" w:lineRule="auto"/>
        <w:rPr>
          <w:sz w:val="20"/>
          <w:szCs w:val="20"/>
          <w:color w:val="auto"/>
        </w:rPr>
      </w:pPr>
      <w:r>
        <w:rPr>
          <w:rFonts w:ascii="Times New Roman" w:cs="Times New Roman" w:eastAsia="Times New Roman" w:hAnsi="Times New Roman"/>
          <w:sz w:val="14"/>
          <w:szCs w:val="14"/>
          <w:color w:val="auto"/>
        </w:rPr>
        <w:t>If the Committee decided under Rule 4.4 (</w:t>
      </w:r>
      <w:r>
        <w:rPr>
          <w:rFonts w:ascii="Times New Roman" w:cs="Times New Roman" w:eastAsia="Times New Roman" w:hAnsi="Times New Roman"/>
          <w:sz w:val="14"/>
          <w:szCs w:val="14"/>
          <w:i w:val="1"/>
          <w:iCs w:val="1"/>
          <w:color w:val="auto"/>
        </w:rPr>
        <w:t>Treatment of dividends)</w:t>
      </w:r>
      <w:r>
        <w:rPr>
          <w:rFonts w:ascii="Times New Roman" w:cs="Times New Roman" w:eastAsia="Times New Roman" w:hAnsi="Times New Roman"/>
          <w:sz w:val="14"/>
          <w:szCs w:val="14"/>
          <w:color w:val="auto"/>
        </w:rPr>
        <w:t xml:space="preserve"> that a Participant would be entitled to a Dividend Equivalent in relation to Shares under their Award but did not decide at that time whether the Dividend Equivalent would be provided in the form of cash and/or Shares, then the Committee shall make such decision on or as soon as practicable after Vesting.</w:t>
      </w:r>
    </w:p>
    <w:p>
      <w:pPr>
        <w:spacing w:after="0" w:line="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Committee, acting fairly and reasonably, may decide to exclude the value of all or part of a special dividend or any other dividend from the amount of the Dividend Equivalent.</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provision of the Dividend Equivalent to the Participant shall be made as soon as practicable after the issue or transfer of Vested Shares and:</w:t>
      </w:r>
    </w:p>
    <w:p>
      <w:pPr>
        <w:spacing w:after="0" w:line="23" w:lineRule="exact"/>
        <w:rPr>
          <w:sz w:val="20"/>
          <w:szCs w:val="20"/>
          <w:color w:val="auto"/>
        </w:rPr>
      </w:pPr>
    </w:p>
    <w:p>
      <w:pPr>
        <w:ind w:left="960" w:right="80" w:hanging="514"/>
        <w:spacing w:after="0" w:line="267" w:lineRule="auto"/>
        <w:tabs>
          <w:tab w:leader="none" w:pos="955" w:val="left"/>
        </w:tabs>
        <w:numPr>
          <w:ilvl w:val="1"/>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cash payment, shall be subject to such deductions (on account of tax or similar liabilities) as may be required by law or as the Board may reasonably consider to be necessary or desirable; and</w:t>
      </w:r>
    </w:p>
    <w:p>
      <w:pPr>
        <w:spacing w:after="0" w:line="1" w:lineRule="exact"/>
        <w:rPr>
          <w:rFonts w:ascii="Times New Roman" w:cs="Times New Roman" w:eastAsia="Times New Roman" w:hAnsi="Times New Roman"/>
          <w:sz w:val="14"/>
          <w:szCs w:val="14"/>
          <w:color w:val="auto"/>
        </w:rPr>
      </w:pPr>
    </w:p>
    <w:p>
      <w:pPr>
        <w:ind w:left="960" w:hanging="514"/>
        <w:spacing w:after="0" w:line="275" w:lineRule="auto"/>
        <w:tabs>
          <w:tab w:leader="none" w:pos="950" w:val="left"/>
        </w:tabs>
        <w:numPr>
          <w:ilvl w:val="1"/>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provision of Shares, Rule 6.3 (</w:t>
      </w:r>
      <w:r>
        <w:rPr>
          <w:rFonts w:ascii="Times New Roman" w:cs="Times New Roman" w:eastAsia="Times New Roman" w:hAnsi="Times New Roman"/>
          <w:sz w:val="14"/>
          <w:szCs w:val="14"/>
          <w:i w:val="1"/>
          <w:iCs w:val="1"/>
          <w:color w:val="auto"/>
        </w:rPr>
        <w:t>Restrictions on Vesting: tax issues</w:t>
      </w:r>
      <w:r>
        <w:rPr>
          <w:rFonts w:ascii="Times New Roman" w:cs="Times New Roman" w:eastAsia="Times New Roman" w:hAnsi="Times New Roman"/>
          <w:sz w:val="14"/>
          <w:szCs w:val="14"/>
          <w:color w:val="auto"/>
        </w:rPr>
        <w:t>) and Rule 6.5 (</w:t>
      </w:r>
      <w:r>
        <w:rPr>
          <w:rFonts w:ascii="Times New Roman" w:cs="Times New Roman" w:eastAsia="Times New Roman" w:hAnsi="Times New Roman"/>
          <w:sz w:val="14"/>
          <w:szCs w:val="14"/>
          <w:i w:val="1"/>
          <w:iCs w:val="1"/>
          <w:color w:val="auto"/>
        </w:rPr>
        <w:t>Payment of Tax Liability</w:t>
      </w:r>
      <w:r>
        <w:rPr>
          <w:rFonts w:ascii="Times New Roman" w:cs="Times New Roman" w:eastAsia="Times New Roman" w:hAnsi="Times New Roman"/>
          <w:sz w:val="14"/>
          <w:szCs w:val="14"/>
          <w:color w:val="auto"/>
        </w:rPr>
        <w:t>) shall apply as if such provision was the Vesting of an Award.</w:t>
      </w:r>
    </w:p>
    <w:p>
      <w:pPr>
        <w:spacing w:after="0" w:line="190" w:lineRule="exact"/>
        <w:rPr>
          <w:rFonts w:ascii="Times New Roman" w:cs="Times New Roman" w:eastAsia="Times New Roman" w:hAnsi="Times New Roman"/>
          <w:sz w:val="14"/>
          <w:szCs w:val="14"/>
          <w:color w:val="auto"/>
        </w:rPr>
      </w:pPr>
    </w:p>
    <w:p>
      <w:pPr>
        <w:ind w:left="440" w:hanging="432"/>
        <w:spacing w:after="0"/>
        <w:tabs>
          <w:tab w:leader="none" w:pos="440" w:val="left"/>
        </w:tabs>
        <w:numPr>
          <w:ilvl w:val="0"/>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EXERCISE OF OPTIONS</w:t>
      </w:r>
    </w:p>
    <w:p>
      <w:pPr>
        <w:spacing w:after="0" w:line="25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8.1</w:t>
      </w:r>
      <w:r>
        <w:rPr>
          <w:sz w:val="20"/>
          <w:szCs w:val="20"/>
          <w:color w:val="auto"/>
        </w:rPr>
        <w:tab/>
      </w:r>
      <w:r>
        <w:rPr>
          <w:rFonts w:ascii="Times New Roman" w:cs="Times New Roman" w:eastAsia="Times New Roman" w:hAnsi="Times New Roman"/>
          <w:sz w:val="14"/>
          <w:szCs w:val="14"/>
          <w:b w:val="1"/>
          <w:bCs w:val="1"/>
          <w:color w:val="auto"/>
        </w:rPr>
        <w:t>Restrictions on the exercise of an Option: regulatory and tax issues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An Option which has Vested may not be exercised unless the following conditions are satisfied:</w:t>
      </w:r>
    </w:p>
    <w:p>
      <w:pPr>
        <w:spacing w:after="0" w:line="23" w:lineRule="exact"/>
        <w:rPr>
          <w:sz w:val="20"/>
          <w:szCs w:val="20"/>
          <w:color w:val="auto"/>
        </w:rPr>
      </w:pPr>
    </w:p>
    <w:p>
      <w:pPr>
        <w:ind w:left="960" w:right="200" w:hanging="514"/>
        <w:spacing w:after="0" w:line="264" w:lineRule="auto"/>
        <w:tabs>
          <w:tab w:leader="none" w:pos="955" w:val="left"/>
        </w:tabs>
        <w:numPr>
          <w:ilvl w:val="0"/>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of the Option and the issue or transfer of Shares after such exercise would be lawful in all relevant jurisdictions and in compliance with any applicable rules of any exchange on which Shares or securities of the Company are listed or traded, any relevant share dealing code of the Company, the City Code on Takeovers and Mergers and any other relevant UK or overseas regulation or enactment;</w:t>
      </w:r>
    </w:p>
    <w:p>
      <w:pPr>
        <w:spacing w:after="0" w:line="1" w:lineRule="exact"/>
        <w:rPr>
          <w:rFonts w:ascii="Times New Roman" w:cs="Times New Roman" w:eastAsia="Times New Roman" w:hAnsi="Times New Roman"/>
          <w:sz w:val="14"/>
          <w:szCs w:val="14"/>
          <w:color w:val="auto"/>
        </w:rPr>
      </w:pPr>
    </w:p>
    <w:p>
      <w:pPr>
        <w:ind w:left="960" w:right="80" w:hanging="514"/>
        <w:spacing w:after="0" w:line="257" w:lineRule="auto"/>
        <w:tabs>
          <w:tab w:leader="none" w:pos="950" w:val="left"/>
        </w:tabs>
        <w:numPr>
          <w:ilvl w:val="0"/>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on the exercise of the Option, a Tax Liability would arise by virtue of such exercise and the Board decides that such Tax Liability shall not be satisfied by the sale of Shares pursuant to Rule 8.5 (</w:t>
      </w:r>
      <w:r>
        <w:rPr>
          <w:rFonts w:ascii="Times New Roman" w:cs="Times New Roman" w:eastAsia="Times New Roman" w:hAnsi="Times New Roman"/>
          <w:sz w:val="14"/>
          <w:szCs w:val="14"/>
          <w:i w:val="1"/>
          <w:iCs w:val="1"/>
          <w:color w:val="auto"/>
        </w:rPr>
        <w:t>Payment of Tax Liability</w:t>
      </w:r>
      <w:r>
        <w:rPr>
          <w:rFonts w:ascii="Times New Roman" w:cs="Times New Roman" w:eastAsia="Times New Roman" w:hAnsi="Times New Roman"/>
          <w:sz w:val="14"/>
          <w:szCs w:val="14"/>
          <w:color w:val="auto"/>
        </w:rPr>
        <w:t>) then the Participant must have entered into arrangements acceptable to the Board that the relevant Group Member will receive the amount of such Tax Liability; and</w:t>
      </w:r>
    </w:p>
    <w:p>
      <w:pPr>
        <w:spacing w:after="0" w:line="1" w:lineRule="exact"/>
        <w:rPr>
          <w:rFonts w:ascii="Times New Roman" w:cs="Times New Roman" w:eastAsia="Times New Roman" w:hAnsi="Times New Roman"/>
          <w:sz w:val="14"/>
          <w:szCs w:val="14"/>
          <w:color w:val="auto"/>
        </w:rPr>
      </w:pPr>
    </w:p>
    <w:p>
      <w:pPr>
        <w:ind w:left="960" w:hanging="514"/>
        <w:spacing w:after="0"/>
        <w:tabs>
          <w:tab w:leader="none" w:pos="960" w:val="left"/>
        </w:tabs>
        <w:numPr>
          <w:ilvl w:val="0"/>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the Committee requires, the Participant has entered into, or agreed to enter into, a valid election under Chapter 2, Part 7, ITEPA (</w:t>
      </w:r>
      <w:r>
        <w:rPr>
          <w:rFonts w:ascii="Times New Roman" w:cs="Times New Roman" w:eastAsia="Times New Roman" w:hAnsi="Times New Roman"/>
          <w:sz w:val="14"/>
          <w:szCs w:val="14"/>
          <w:i w:val="1"/>
          <w:iCs w:val="1"/>
          <w:color w:val="auto"/>
        </w:rPr>
        <w:t>Employment income: elections to</w:t>
      </w:r>
    </w:p>
    <w:p>
      <w:pPr>
        <w:spacing w:after="0" w:line="1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i w:val="1"/>
          <w:iCs w:val="1"/>
          <w:color w:val="auto"/>
        </w:rPr>
        <w:t>disapply tax charge on restricted securities</w:t>
      </w:r>
      <w:r>
        <w:rPr>
          <w:rFonts w:ascii="Times New Roman" w:cs="Times New Roman" w:eastAsia="Times New Roman" w:hAnsi="Times New Roman"/>
          <w:sz w:val="14"/>
          <w:szCs w:val="14"/>
          <w:color w:val="auto"/>
        </w:rPr>
        <w:t>) or any similar arrangement in any overseas jurisdiction.</w:t>
      </w:r>
    </w:p>
    <w:p>
      <w:pPr>
        <w:spacing w:after="0" w:line="1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880"/>
          </w:cols>
          <w:pgMar w:left="420" w:top="1260" w:right="599" w:bottom="1440" w:gutter="0" w:footer="0" w:header="0"/>
        </w:sectPr>
      </w:pPr>
    </w:p>
    <w:bookmarkStart w:id="238" w:name="page239"/>
    <w:bookmarkEnd w:id="238"/>
    <w:p>
      <w:pPr>
        <w:ind w:left="460" w:right="320"/>
        <w:spacing w:after="0" w:line="292" w:lineRule="auto"/>
        <w:rPr>
          <w:sz w:val="20"/>
          <w:szCs w:val="20"/>
          <w:color w:val="auto"/>
        </w:rPr>
      </w:pPr>
      <w:r>
        <w:rPr>
          <w:rFonts w:ascii="Times New Roman" w:cs="Times New Roman" w:eastAsia="Times New Roman" w:hAnsi="Times New Roman"/>
          <w:sz w:val="14"/>
          <w:szCs w:val="14"/>
          <w:color w:val="auto"/>
        </w:rPr>
        <w:t>In no event shall any restrictions under this Rule 8.1 on the exercise of a Vested Option extend the Exercise Period beyond the limit of Rule 7.2(a) (for a Regular Option) and Rule 7.2(b) (for an RSU-style Option or a Short-Term Option). For the purposes of this Rule 8.1, references to Group Member include any former Group Member.</w:t>
      </w:r>
    </w:p>
    <w:p>
      <w:pPr>
        <w:spacing w:after="0" w:line="17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8.2</w:t>
      </w:r>
      <w:r>
        <w:rPr>
          <w:sz w:val="20"/>
          <w:szCs w:val="20"/>
          <w:color w:val="auto"/>
        </w:rPr>
        <w:tab/>
      </w:r>
      <w:r>
        <w:rPr>
          <w:rFonts w:ascii="Times New Roman" w:cs="Times New Roman" w:eastAsia="Times New Roman" w:hAnsi="Times New Roman"/>
          <w:sz w:val="14"/>
          <w:szCs w:val="14"/>
          <w:b w:val="1"/>
          <w:bCs w:val="1"/>
          <w:color w:val="auto"/>
        </w:rPr>
        <w:t>Exercise in whole or part</w:t>
      </w:r>
    </w:p>
    <w:p>
      <w:pPr>
        <w:spacing w:after="0" w:line="121" w:lineRule="exact"/>
        <w:rPr>
          <w:sz w:val="20"/>
          <w:szCs w:val="20"/>
          <w:color w:val="auto"/>
        </w:rPr>
      </w:pPr>
    </w:p>
    <w:p>
      <w:pPr>
        <w:ind w:left="460" w:right="220"/>
        <w:spacing w:after="0" w:line="266" w:lineRule="auto"/>
        <w:rPr>
          <w:sz w:val="20"/>
          <w:szCs w:val="20"/>
          <w:color w:val="auto"/>
        </w:rPr>
      </w:pPr>
      <w:r>
        <w:rPr>
          <w:rFonts w:ascii="Times New Roman" w:cs="Times New Roman" w:eastAsia="Times New Roman" w:hAnsi="Times New Roman"/>
          <w:sz w:val="14"/>
          <w:szCs w:val="14"/>
          <w:color w:val="auto"/>
        </w:rPr>
        <w:t>An Option must be exercised over at least 2,000 Shares on any occasion unless the Committee decides that a Participant may exercise the Option in respect of such fewer number of Shares as it decides or there are fewer than 2,000 Shares (or such other number as the Committee may decide)</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in respect of which the Option may be exercised at the relevant time, in which case the Option must be exercised to the maximum extent possible at that time.</w:t>
      </w:r>
    </w:p>
    <w:p>
      <w:pPr>
        <w:spacing w:after="0" w:line="22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8.3</w:t>
      </w:r>
      <w:r>
        <w:rPr>
          <w:sz w:val="20"/>
          <w:szCs w:val="20"/>
          <w:color w:val="auto"/>
        </w:rPr>
        <w:tab/>
      </w:r>
      <w:r>
        <w:rPr>
          <w:rFonts w:ascii="Times New Roman" w:cs="Times New Roman" w:eastAsia="Times New Roman" w:hAnsi="Times New Roman"/>
          <w:sz w:val="14"/>
          <w:szCs w:val="14"/>
          <w:b w:val="1"/>
          <w:bCs w:val="1"/>
          <w:color w:val="auto"/>
        </w:rPr>
        <w:t>Method of exercise: Options other than RSU-style Options</w:t>
      </w:r>
    </w:p>
    <w:p>
      <w:pPr>
        <w:spacing w:after="0" w:line="121" w:lineRule="exact"/>
        <w:rPr>
          <w:sz w:val="20"/>
          <w:szCs w:val="20"/>
          <w:color w:val="auto"/>
        </w:rPr>
      </w:pPr>
    </w:p>
    <w:p>
      <w:pPr>
        <w:ind w:left="460" w:right="400"/>
        <w:spacing w:after="0" w:line="269" w:lineRule="auto"/>
        <w:rPr>
          <w:sz w:val="20"/>
          <w:szCs w:val="20"/>
          <w:color w:val="auto"/>
        </w:rPr>
      </w:pPr>
      <w:r>
        <w:rPr>
          <w:rFonts w:ascii="Times New Roman" w:cs="Times New Roman" w:eastAsia="Times New Roman" w:hAnsi="Times New Roman"/>
          <w:sz w:val="14"/>
          <w:szCs w:val="14"/>
          <w:color w:val="auto"/>
        </w:rPr>
        <w:t>The exercise of any Option other than an RSU-style Option shall be effected in the form and manner prescribed by the Board. Unless the Board, acting fairly and reasonably determines otherwise, any notice of exercise shall, subject to Rule 8.1 (</w:t>
      </w:r>
      <w:r>
        <w:rPr>
          <w:rFonts w:ascii="Times New Roman" w:cs="Times New Roman" w:eastAsia="Times New Roman" w:hAnsi="Times New Roman"/>
          <w:sz w:val="14"/>
          <w:szCs w:val="14"/>
          <w:i w:val="1"/>
          <w:iCs w:val="1"/>
          <w:color w:val="auto"/>
        </w:rPr>
        <w:t>Restrictions on the exercise of an Option: regulatory and tax issues</w:t>
      </w:r>
      <w:r>
        <w:rPr>
          <w:rFonts w:ascii="Times New Roman" w:cs="Times New Roman" w:eastAsia="Times New Roman" w:hAnsi="Times New Roman"/>
          <w:sz w:val="14"/>
          <w:szCs w:val="14"/>
          <w:color w:val="auto"/>
        </w:rPr>
        <w:t>), take effect only when the Company receives it, together with payment of any relevant Option Price (or, if the Board so permits, an undertaking to pay that amount). Any Option and RSU-style Option (or proportion thereof) Vesting in connection with the Jazz Scheme of Arrangement shall be automatically exercised in accordance with the provisions of Rule 8.4.</w:t>
      </w:r>
    </w:p>
    <w:p>
      <w:pPr>
        <w:spacing w:after="0" w:line="19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8.4</w:t>
      </w:r>
      <w:r>
        <w:rPr>
          <w:sz w:val="20"/>
          <w:szCs w:val="20"/>
          <w:color w:val="auto"/>
        </w:rPr>
        <w:tab/>
      </w:r>
      <w:r>
        <w:rPr>
          <w:rFonts w:ascii="Times New Roman" w:cs="Times New Roman" w:eastAsia="Times New Roman" w:hAnsi="Times New Roman"/>
          <w:sz w:val="14"/>
          <w:szCs w:val="14"/>
          <w:b w:val="1"/>
          <w:bCs w:val="1"/>
          <w:color w:val="auto"/>
        </w:rPr>
        <w:t>Method of exercise: RSU-style Options</w:t>
      </w:r>
    </w:p>
    <w:p>
      <w:pPr>
        <w:spacing w:after="0" w:line="121" w:lineRule="exact"/>
        <w:rPr>
          <w:sz w:val="20"/>
          <w:szCs w:val="20"/>
          <w:color w:val="auto"/>
        </w:rPr>
      </w:pPr>
    </w:p>
    <w:p>
      <w:pPr>
        <w:jc w:val="both"/>
        <w:ind w:left="460" w:right="40"/>
        <w:spacing w:after="0" w:line="263" w:lineRule="auto"/>
        <w:rPr>
          <w:sz w:val="20"/>
          <w:szCs w:val="20"/>
          <w:color w:val="auto"/>
        </w:rPr>
      </w:pPr>
      <w:r>
        <w:rPr>
          <w:rFonts w:ascii="Times New Roman" w:cs="Times New Roman" w:eastAsia="Times New Roman" w:hAnsi="Times New Roman"/>
          <w:sz w:val="14"/>
          <w:szCs w:val="14"/>
          <w:color w:val="auto"/>
        </w:rPr>
        <w:t>An RSU-style Option shall be automatically exercised to the full extent of the Vested Shares on the day it becomes exercisable in relation to those Vested Shares (taking account of any restrictions on exercise pursuant to Rule 8.1), and the Participant’s undertaking to pay the Option Price shall satisfy the obligation to pay the Option Price. By accepting the RSU-style Option the Participant shall:</w:t>
      </w:r>
    </w:p>
    <w:p>
      <w:pPr>
        <w:spacing w:after="0" w:line="1" w:lineRule="exact"/>
        <w:rPr>
          <w:sz w:val="20"/>
          <w:szCs w:val="20"/>
          <w:color w:val="auto"/>
        </w:rPr>
      </w:pPr>
    </w:p>
    <w:p>
      <w:pPr>
        <w:ind w:left="960" w:right="280" w:hanging="514"/>
        <w:spacing w:after="0" w:line="259" w:lineRule="auto"/>
        <w:tabs>
          <w:tab w:leader="none" w:pos="955"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authorise the Company to sell or procure the sale of sufficient Vested Shares on or following exercise of his RSU-style Option on his behalf to ensure that the Company receives the amount required to discharge that undertaking to pay (and authorises the Company to apply that amount in discharging the undertaking);</w:t>
      </w:r>
    </w:p>
    <w:p>
      <w:pPr>
        <w:ind w:left="960" w:right="120" w:hanging="514"/>
        <w:spacing w:after="0" w:line="266" w:lineRule="auto"/>
        <w:tabs>
          <w:tab w:leader="none" w:pos="950"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does not so sell or procure the sale of Vested Shares, authorise the Company to recover a sufficient amount to discharge the undertaking to pay from any amounts payable to the Participant by any Group Member whether by way of salary or otherwise; and</w:t>
      </w:r>
    </w:p>
    <w:p>
      <w:pPr>
        <w:ind w:left="960" w:hanging="514"/>
        <w:spacing w:after="0"/>
        <w:tabs>
          <w:tab w:leader="none" w:pos="960"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otherwise agree to be bound by all provisions of the Plan in relation to the RSU-style Option, including, without limitation, in relation to its exercise.</w:t>
      </w:r>
    </w:p>
    <w:p>
      <w:pPr>
        <w:spacing w:after="0" w:line="22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8.5</w:t>
      </w:r>
      <w:r>
        <w:rPr>
          <w:sz w:val="20"/>
          <w:szCs w:val="20"/>
          <w:color w:val="auto"/>
        </w:rPr>
        <w:tab/>
      </w:r>
      <w:r>
        <w:rPr>
          <w:rFonts w:ascii="Times New Roman" w:cs="Times New Roman" w:eastAsia="Times New Roman" w:hAnsi="Times New Roman"/>
          <w:sz w:val="14"/>
          <w:szCs w:val="14"/>
          <w:b w:val="1"/>
          <w:bCs w:val="1"/>
          <w:color w:val="auto"/>
        </w:rPr>
        <w:t>Payment of Tax Liability</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Participant authorises the Company to:</w:t>
      </w:r>
    </w:p>
    <w:p>
      <w:pPr>
        <w:spacing w:after="0" w:line="25" w:lineRule="exact"/>
        <w:rPr>
          <w:sz w:val="20"/>
          <w:szCs w:val="20"/>
          <w:color w:val="auto"/>
        </w:rPr>
      </w:pPr>
    </w:p>
    <w:p>
      <w:pPr>
        <w:ind w:left="960" w:hanging="514"/>
        <w:spacing w:after="0" w:line="266" w:lineRule="auto"/>
        <w:tabs>
          <w:tab w:leader="none" w:pos="955" w:val="left"/>
        </w:tabs>
        <w:numPr>
          <w:ilvl w:val="0"/>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or procure the sale of sufficient Vested Shares on or following exercise of his Option on his behalf to ensure that any relevant Group Member receives the amount required to discharge the Tax Liability which arises on such exercise; or</w:t>
      </w:r>
    </w:p>
    <w:p>
      <w:pPr>
        <w:ind w:left="960" w:right="160" w:hanging="514"/>
        <w:spacing w:after="0" w:line="275" w:lineRule="auto"/>
        <w:tabs>
          <w:tab w:leader="none" w:pos="950" w:val="left"/>
        </w:tabs>
        <w:numPr>
          <w:ilvl w:val="0"/>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withhold from the number of Shares deliverable on exercise of the Option such number of Shares as has a fair market value on the date the Tax Liability is to be determined equal to the Tax Liability in satisfaction of the Participant’s obligations in relation to that Tax Liability,</w:t>
      </w:r>
    </w:p>
    <w:p>
      <w:pPr>
        <w:spacing w:after="0" w:line="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except to the extent that he and the Company agree that all or part of the Tax Liability is to be funded in a different manner.</w:t>
      </w:r>
    </w:p>
    <w:p>
      <w:pPr>
        <w:spacing w:after="0" w:line="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920"/>
          </w:cols>
          <w:pgMar w:left="420" w:top="1262" w:right="559" w:bottom="1440" w:gutter="0" w:footer="0" w:header="0"/>
        </w:sectPr>
      </w:pPr>
    </w:p>
    <w:bookmarkStart w:id="239" w:name="page240"/>
    <w:bookmarkEnd w:id="239"/>
    <w:p>
      <w:pPr>
        <w:spacing w:after="0"/>
        <w:tabs>
          <w:tab w:leader="none" w:pos="420" w:val="left"/>
        </w:tabs>
        <w:rPr>
          <w:sz w:val="20"/>
          <w:szCs w:val="20"/>
          <w:color w:val="auto"/>
        </w:rPr>
      </w:pPr>
      <w:r>
        <w:rPr>
          <w:rFonts w:ascii="Times New Roman" w:cs="Times New Roman" w:eastAsia="Times New Roman" w:hAnsi="Times New Roman"/>
          <w:sz w:val="14"/>
          <w:szCs w:val="14"/>
          <w:color w:val="auto"/>
        </w:rPr>
        <w:t>8.6</w:t>
      </w:r>
      <w:r>
        <w:rPr>
          <w:sz w:val="20"/>
          <w:szCs w:val="20"/>
          <w:color w:val="auto"/>
        </w:rPr>
        <w:tab/>
      </w:r>
      <w:r>
        <w:rPr>
          <w:rFonts w:ascii="Times New Roman" w:cs="Times New Roman" w:eastAsia="Times New Roman" w:hAnsi="Times New Roman"/>
          <w:sz w:val="14"/>
          <w:szCs w:val="14"/>
          <w:b w:val="1"/>
          <w:bCs w:val="1"/>
          <w:color w:val="auto"/>
        </w:rPr>
        <w:t>Transfer or allotment timetable</w:t>
      </w:r>
    </w:p>
    <w:p>
      <w:pPr>
        <w:spacing w:after="0" w:line="105" w:lineRule="exact"/>
        <w:rPr>
          <w:sz w:val="20"/>
          <w:szCs w:val="20"/>
          <w:color w:val="auto"/>
        </w:rPr>
      </w:pPr>
    </w:p>
    <w:p>
      <w:pPr>
        <w:jc w:val="both"/>
        <w:ind w:left="460"/>
        <w:spacing w:after="0" w:line="276" w:lineRule="auto"/>
        <w:rPr>
          <w:sz w:val="20"/>
          <w:szCs w:val="20"/>
          <w:color w:val="auto"/>
        </w:rPr>
      </w:pPr>
      <w:r>
        <w:rPr>
          <w:rFonts w:ascii="Times New Roman" w:cs="Times New Roman" w:eastAsia="Times New Roman" w:hAnsi="Times New Roman"/>
          <w:sz w:val="14"/>
          <w:szCs w:val="14"/>
          <w:color w:val="auto"/>
        </w:rPr>
        <w:t>As soon as reasonably practicable after an Option has been exercised, the Company shall, subject to Rule 8.5 (</w:t>
      </w:r>
      <w:r>
        <w:rPr>
          <w:rFonts w:ascii="Times New Roman" w:cs="Times New Roman" w:eastAsia="Times New Roman" w:hAnsi="Times New Roman"/>
          <w:sz w:val="14"/>
          <w:szCs w:val="14"/>
          <w:i w:val="1"/>
          <w:iCs w:val="1"/>
          <w:color w:val="auto"/>
        </w:rPr>
        <w:t>Payment of Tax Liability</w:t>
      </w:r>
      <w:r>
        <w:rPr>
          <w:rFonts w:ascii="Times New Roman" w:cs="Times New Roman" w:eastAsia="Times New Roman" w:hAnsi="Times New Roman"/>
          <w:sz w:val="14"/>
          <w:szCs w:val="14"/>
          <w:color w:val="auto"/>
        </w:rPr>
        <w:t>) and any arrangement made under Rules 8.1(b) and 8.1(c) (</w:t>
      </w:r>
      <w:r>
        <w:rPr>
          <w:rFonts w:ascii="Times New Roman" w:cs="Times New Roman" w:eastAsia="Times New Roman" w:hAnsi="Times New Roman"/>
          <w:sz w:val="14"/>
          <w:szCs w:val="14"/>
          <w:i w:val="1"/>
          <w:iCs w:val="1"/>
          <w:color w:val="auto"/>
        </w:rPr>
        <w:t>Restrictions on exercise: regulatory and tax issues</w:t>
      </w:r>
      <w:r>
        <w:rPr>
          <w:rFonts w:ascii="Times New Roman" w:cs="Times New Roman" w:eastAsia="Times New Roman" w:hAnsi="Times New Roman"/>
          <w:sz w:val="14"/>
          <w:szCs w:val="14"/>
          <w:color w:val="auto"/>
        </w:rPr>
        <w:t>), transfer or procure the transfer to him (or a nominee for him) or, if appropriate, allot to him (or a nominee for him) the number of Shares in respect of which the Option has been exercised.</w:t>
      </w:r>
    </w:p>
    <w:p>
      <w:pPr>
        <w:spacing w:after="0" w:line="190"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8.7</w:t>
      </w:r>
      <w:r>
        <w:rPr>
          <w:sz w:val="20"/>
          <w:szCs w:val="20"/>
          <w:color w:val="auto"/>
        </w:rPr>
        <w:tab/>
      </w:r>
      <w:r>
        <w:rPr>
          <w:rFonts w:ascii="Times New Roman" w:cs="Times New Roman" w:eastAsia="Times New Roman" w:hAnsi="Times New Roman"/>
          <w:sz w:val="14"/>
          <w:szCs w:val="14"/>
          <w:b w:val="1"/>
          <w:bCs w:val="1"/>
          <w:color w:val="auto"/>
        </w:rPr>
        <w:t>Lapse of Options</w:t>
      </w:r>
    </w:p>
    <w:p>
      <w:pPr>
        <w:spacing w:after="0" w:line="119" w:lineRule="exact"/>
        <w:rPr>
          <w:sz w:val="20"/>
          <w:szCs w:val="20"/>
          <w:color w:val="auto"/>
        </w:rPr>
      </w:pPr>
    </w:p>
    <w:p>
      <w:pPr>
        <w:ind w:left="460" w:right="360"/>
        <w:spacing w:after="0" w:line="295" w:lineRule="auto"/>
        <w:rPr>
          <w:sz w:val="20"/>
          <w:szCs w:val="20"/>
          <w:color w:val="auto"/>
        </w:rPr>
      </w:pPr>
      <w:r>
        <w:rPr>
          <w:rFonts w:ascii="Times New Roman" w:cs="Times New Roman" w:eastAsia="Times New Roman" w:hAnsi="Times New Roman"/>
          <w:sz w:val="14"/>
          <w:szCs w:val="14"/>
          <w:color w:val="auto"/>
        </w:rPr>
        <w:t>An Option which has become exercisable shall, subject to, Rule 12.1 (</w:t>
      </w:r>
      <w:r>
        <w:rPr>
          <w:rFonts w:ascii="Times New Roman" w:cs="Times New Roman" w:eastAsia="Times New Roman" w:hAnsi="Times New Roman"/>
          <w:sz w:val="14"/>
          <w:szCs w:val="14"/>
          <w:i w:val="1"/>
          <w:iCs w:val="1"/>
          <w:color w:val="auto"/>
        </w:rPr>
        <w:t>General offers</w:t>
      </w:r>
      <w:r>
        <w:rPr>
          <w:rFonts w:ascii="Times New Roman" w:cs="Times New Roman" w:eastAsia="Times New Roman" w:hAnsi="Times New Roman"/>
          <w:sz w:val="14"/>
          <w:szCs w:val="14"/>
          <w:color w:val="auto"/>
        </w:rPr>
        <w:t>) , Rule 12.2 (</w:t>
      </w:r>
      <w:r>
        <w:rPr>
          <w:rFonts w:ascii="Times New Roman" w:cs="Times New Roman" w:eastAsia="Times New Roman" w:hAnsi="Times New Roman"/>
          <w:sz w:val="14"/>
          <w:szCs w:val="14"/>
          <w:i w:val="1"/>
          <w:iCs w:val="1"/>
          <w:color w:val="auto"/>
        </w:rPr>
        <w:t>Schemes of arrangement and winding up</w:t>
      </w:r>
      <w:r>
        <w:rPr>
          <w:rFonts w:ascii="Times New Roman" w:cs="Times New Roman" w:eastAsia="Times New Roman" w:hAnsi="Times New Roman"/>
          <w:sz w:val="14"/>
          <w:szCs w:val="14"/>
          <w:color w:val="auto"/>
        </w:rPr>
        <w:t>) or Rule 12.3 (</w:t>
      </w:r>
      <w:r>
        <w:rPr>
          <w:rFonts w:ascii="Times New Roman" w:cs="Times New Roman" w:eastAsia="Times New Roman" w:hAnsi="Times New Roman"/>
          <w:sz w:val="14"/>
          <w:szCs w:val="14"/>
          <w:i w:val="1"/>
          <w:iCs w:val="1"/>
          <w:color w:val="auto"/>
        </w:rPr>
        <w:t>Demergers and similar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events</w:t>
      </w:r>
      <w:r>
        <w:rPr>
          <w:rFonts w:ascii="Times New Roman" w:cs="Times New Roman" w:eastAsia="Times New Roman" w:hAnsi="Times New Roman"/>
          <w:sz w:val="14"/>
          <w:szCs w:val="14"/>
          <w:color w:val="auto"/>
        </w:rPr>
        <w:t>), lapse at the end of the Exercise Period to the extent it has not been exercised.</w:t>
      </w:r>
    </w:p>
    <w:p>
      <w:pPr>
        <w:spacing w:after="0" w:line="177" w:lineRule="exact"/>
        <w:rPr>
          <w:sz w:val="20"/>
          <w:szCs w:val="20"/>
          <w:color w:val="auto"/>
        </w:rPr>
      </w:pPr>
    </w:p>
    <w:p>
      <w:pPr>
        <w:ind w:left="440" w:hanging="432"/>
        <w:spacing w:after="0"/>
        <w:tabs>
          <w:tab w:leader="none" w:pos="440" w:val="left"/>
        </w:tabs>
        <w:numPr>
          <w:ilvl w:val="0"/>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CASH ALTERNATIVE</w:t>
      </w:r>
    </w:p>
    <w:p>
      <w:pPr>
        <w:spacing w:after="0" w:line="25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9.1</w:t>
      </w:r>
      <w:r>
        <w:rPr>
          <w:sz w:val="20"/>
          <w:szCs w:val="20"/>
          <w:color w:val="auto"/>
        </w:rPr>
        <w:tab/>
      </w:r>
      <w:r>
        <w:rPr>
          <w:rFonts w:ascii="Times New Roman" w:cs="Times New Roman" w:eastAsia="Times New Roman" w:hAnsi="Times New Roman"/>
          <w:sz w:val="14"/>
          <w:szCs w:val="14"/>
          <w:b w:val="1"/>
          <w:bCs w:val="1"/>
          <w:color w:val="auto"/>
        </w:rPr>
        <w:t>Committee determination</w:t>
      </w:r>
    </w:p>
    <w:p>
      <w:pPr>
        <w:spacing w:after="0" w:line="107" w:lineRule="exact"/>
        <w:rPr>
          <w:sz w:val="20"/>
          <w:szCs w:val="20"/>
          <w:color w:val="auto"/>
        </w:rPr>
      </w:pPr>
    </w:p>
    <w:p>
      <w:pPr>
        <w:ind w:left="460" w:right="280"/>
        <w:spacing w:after="0" w:line="276" w:lineRule="auto"/>
        <w:rPr>
          <w:sz w:val="20"/>
          <w:szCs w:val="20"/>
          <w:color w:val="auto"/>
        </w:rPr>
      </w:pPr>
      <w:r>
        <w:rPr>
          <w:rFonts w:ascii="Times New Roman" w:cs="Times New Roman" w:eastAsia="Times New Roman" w:hAnsi="Times New Roman"/>
          <w:sz w:val="14"/>
          <w:szCs w:val="14"/>
          <w:color w:val="auto"/>
        </w:rPr>
        <w:t>Where a Conditional Award Vests or where an Option has been exercised and Vested Shares have not yet been allotted or transferred to the Participant (or his nominee), the Committee may determine that, in substitution for his right to acquire such number of Vested Shares as the Committee may decide (but in full and final satisfaction of his right to acquire those Shares), he shall be paid by way of additional employment income a sum equal to the cash equivalent (as defined in Rule 9.3) of that number of Shares in accordance with the following provisions of this Rule 9.</w:t>
      </w:r>
    </w:p>
    <w:p>
      <w:pPr>
        <w:spacing w:after="0" w:line="18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9.2</w:t>
      </w:r>
      <w:r>
        <w:rPr>
          <w:sz w:val="20"/>
          <w:szCs w:val="20"/>
          <w:color w:val="auto"/>
        </w:rPr>
        <w:tab/>
      </w:r>
      <w:r>
        <w:rPr>
          <w:rFonts w:ascii="Times New Roman" w:cs="Times New Roman" w:eastAsia="Times New Roman" w:hAnsi="Times New Roman"/>
          <w:sz w:val="14"/>
          <w:szCs w:val="14"/>
          <w:b w:val="1"/>
          <w:bCs w:val="1"/>
          <w:color w:val="auto"/>
        </w:rPr>
        <w:t>Limitation on the use of this Rule</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Rule 9.1 shall not apply in relation to an Award made to a Participant in any jurisdiction where the presence of Rule 9.1 would cause:</w:t>
      </w:r>
    </w:p>
    <w:p>
      <w:pPr>
        <w:ind w:left="960" w:hanging="515"/>
        <w:spacing w:after="0"/>
        <w:tabs>
          <w:tab w:leader="none" w:pos="960" w:val="left"/>
        </w:tabs>
        <w:numPr>
          <w:ilvl w:val="0"/>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grant of the Award to be unlawful or for it to fall outside any applicable securities law exclusion or exemption; or</w:t>
      </w:r>
    </w:p>
    <w:p>
      <w:pPr>
        <w:ind w:left="960" w:hanging="515"/>
        <w:spacing w:after="0"/>
        <w:tabs>
          <w:tab w:leader="none" w:pos="960" w:val="left"/>
        </w:tabs>
        <w:numPr>
          <w:ilvl w:val="0"/>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tax or social security contribution consequences for the Participant or any Group Member as determined by the Board</w:t>
      </w:r>
    </w:p>
    <w:p>
      <w:pPr>
        <w:spacing w:after="0" w:line="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provided that this Rule 9.2 shall only apply if its application would prevent the occurrence of a consequence referred to in (a) or (b) above.</w:t>
      </w:r>
    </w:p>
    <w:p>
      <w:pPr>
        <w:spacing w:after="0" w:line="23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9.3</w:t>
      </w:r>
      <w:r>
        <w:rPr>
          <w:sz w:val="20"/>
          <w:szCs w:val="20"/>
          <w:color w:val="auto"/>
        </w:rPr>
        <w:tab/>
      </w:r>
      <w:r>
        <w:rPr>
          <w:rFonts w:ascii="Times New Roman" w:cs="Times New Roman" w:eastAsia="Times New Roman" w:hAnsi="Times New Roman"/>
          <w:sz w:val="14"/>
          <w:szCs w:val="14"/>
          <w:b w:val="1"/>
          <w:bCs w:val="1"/>
          <w:color w:val="auto"/>
        </w:rPr>
        <w:t>Cash equivalent</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For the purpose of this Rule 9, the cash equivalent of a Share is:</w:t>
      </w:r>
    </w:p>
    <w:p>
      <w:pPr>
        <w:ind w:left="960" w:hanging="515"/>
        <w:spacing w:after="0"/>
        <w:tabs>
          <w:tab w:leader="none" w:pos="960" w:val="left"/>
        </w:tabs>
        <w:numPr>
          <w:ilvl w:val="0"/>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Conditional Award, the Fair Market Value of a Share on the day when the Award Vests;</w:t>
      </w:r>
    </w:p>
    <w:p>
      <w:pPr>
        <w:ind w:left="5400" w:right="2720" w:hanging="4955"/>
        <w:spacing w:after="0" w:line="234" w:lineRule="auto"/>
        <w:tabs>
          <w:tab w:leader="none" w:pos="951" w:val="left"/>
        </w:tabs>
        <w:numPr>
          <w:ilvl w:val="0"/>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an Option, the Fair Market Value of a Share on the day when the Option is exercised reduced by the Option Price. -16-</w:t>
      </w:r>
    </w:p>
    <w:p>
      <w:pPr>
        <w:sectPr>
          <w:pgSz w:w="11900" w:h="16838" w:orient="portrait"/>
          <w:cols w:equalWidth="0" w:num="1">
            <w:col w:w="10920"/>
          </w:cols>
          <w:pgMar w:left="420" w:top="1233" w:right="559" w:bottom="1440" w:gutter="0" w:footer="0" w:header="0"/>
        </w:sectPr>
      </w:pPr>
    </w:p>
    <w:bookmarkStart w:id="240" w:name="page241"/>
    <w:bookmarkEnd w:id="240"/>
    <w:p>
      <w:pPr>
        <w:spacing w:after="0"/>
        <w:tabs>
          <w:tab w:leader="none" w:pos="420" w:val="left"/>
        </w:tabs>
        <w:rPr>
          <w:sz w:val="20"/>
          <w:szCs w:val="20"/>
          <w:color w:val="auto"/>
        </w:rPr>
      </w:pPr>
      <w:r>
        <w:rPr>
          <w:rFonts w:ascii="Times New Roman" w:cs="Times New Roman" w:eastAsia="Times New Roman" w:hAnsi="Times New Roman"/>
          <w:sz w:val="14"/>
          <w:szCs w:val="14"/>
          <w:color w:val="auto"/>
        </w:rPr>
        <w:t>9.4</w:t>
      </w:r>
      <w:r>
        <w:rPr>
          <w:sz w:val="20"/>
          <w:szCs w:val="20"/>
          <w:color w:val="auto"/>
        </w:rPr>
        <w:tab/>
      </w:r>
      <w:r>
        <w:rPr>
          <w:rFonts w:ascii="Times New Roman" w:cs="Times New Roman" w:eastAsia="Times New Roman" w:hAnsi="Times New Roman"/>
          <w:sz w:val="14"/>
          <w:szCs w:val="14"/>
          <w:b w:val="1"/>
          <w:bCs w:val="1"/>
          <w:color w:val="auto"/>
        </w:rPr>
        <w:t>Payment of cash equivalent</w:t>
      </w:r>
    </w:p>
    <w:p>
      <w:pPr>
        <w:spacing w:after="0" w:line="105" w:lineRule="exact"/>
        <w:rPr>
          <w:sz w:val="20"/>
          <w:szCs w:val="20"/>
          <w:color w:val="auto"/>
        </w:rPr>
      </w:pPr>
    </w:p>
    <w:p>
      <w:pPr>
        <w:ind w:left="460" w:right="140"/>
        <w:spacing w:after="0" w:line="261" w:lineRule="auto"/>
        <w:rPr>
          <w:sz w:val="20"/>
          <w:szCs w:val="20"/>
          <w:color w:val="auto"/>
        </w:rPr>
      </w:pPr>
      <w:r>
        <w:rPr>
          <w:rFonts w:ascii="Times New Roman" w:cs="Times New Roman" w:eastAsia="Times New Roman" w:hAnsi="Times New Roman"/>
          <w:sz w:val="14"/>
          <w:szCs w:val="14"/>
          <w:color w:val="auto"/>
        </w:rPr>
        <w:t>Subject to Rule 9.5 (</w:t>
      </w:r>
      <w:r>
        <w:rPr>
          <w:rFonts w:ascii="Times New Roman" w:cs="Times New Roman" w:eastAsia="Times New Roman" w:hAnsi="Times New Roman"/>
          <w:sz w:val="14"/>
          <w:szCs w:val="14"/>
          <w:i w:val="1"/>
          <w:iCs w:val="1"/>
          <w:color w:val="auto"/>
        </w:rPr>
        <w:t>Share alternative</w:t>
      </w:r>
      <w:r>
        <w:rPr>
          <w:rFonts w:ascii="Times New Roman" w:cs="Times New Roman" w:eastAsia="Times New Roman" w:hAnsi="Times New Roman"/>
          <w:sz w:val="14"/>
          <w:szCs w:val="14"/>
          <w:color w:val="auto"/>
        </w:rPr>
        <w:t>), as soon as reasonably practicable after the Committee has determined under Rule 9.1 that a Participant shall be paid a sum in substitution for his right to acquire any number of Vested Shares:</w:t>
      </w:r>
    </w:p>
    <w:p>
      <w:pPr>
        <w:ind w:left="960" w:hanging="515"/>
        <w:spacing w:after="0"/>
        <w:tabs>
          <w:tab w:leader="none" w:pos="960" w:val="left"/>
        </w:tabs>
        <w:numPr>
          <w:ilvl w:val="0"/>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pay to him or procure the payment to him of that sum in cash; and</w:t>
      </w:r>
    </w:p>
    <w:p>
      <w:pPr>
        <w:ind w:left="960" w:hanging="515"/>
        <w:spacing w:after="0"/>
        <w:tabs>
          <w:tab w:leader="none" w:pos="960" w:val="left"/>
        </w:tabs>
        <w:numPr>
          <w:ilvl w:val="0"/>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he has already paid the Company for those Shares, the Company shall return to him the amount so paid by him.</w:t>
      </w:r>
    </w:p>
    <w:p>
      <w:pPr>
        <w:spacing w:after="0" w:line="23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9.5</w:t>
      </w:r>
      <w:r>
        <w:rPr>
          <w:sz w:val="20"/>
          <w:szCs w:val="20"/>
          <w:color w:val="auto"/>
        </w:rPr>
        <w:tab/>
      </w:r>
      <w:r>
        <w:rPr>
          <w:rFonts w:ascii="Times New Roman" w:cs="Times New Roman" w:eastAsia="Times New Roman" w:hAnsi="Times New Roman"/>
          <w:sz w:val="14"/>
          <w:szCs w:val="14"/>
          <w:b w:val="1"/>
          <w:bCs w:val="1"/>
          <w:color w:val="auto"/>
        </w:rPr>
        <w:t>Share alternative</w:t>
      </w:r>
    </w:p>
    <w:p>
      <w:pPr>
        <w:spacing w:after="0" w:line="1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If the Committee so decides, the whole or any part of the sum payable under Rule 9.4 shall, instead of being paid to the Participant in cash, be applied on his behalf:</w:t>
      </w:r>
    </w:p>
    <w:p>
      <w:pPr>
        <w:spacing w:after="0" w:line="14" w:lineRule="exact"/>
        <w:rPr>
          <w:sz w:val="20"/>
          <w:szCs w:val="20"/>
          <w:color w:val="auto"/>
        </w:rPr>
      </w:pPr>
    </w:p>
    <w:p>
      <w:pPr>
        <w:ind w:left="960" w:hanging="515"/>
        <w:spacing w:after="0"/>
        <w:tabs>
          <w:tab w:leader="none" w:pos="960" w:val="left"/>
        </w:tabs>
        <w:numPr>
          <w:ilvl w:val="0"/>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subscribing for Shares at a price equal to the market value by reference to which the cash equivalent is calculated; or</w:t>
      </w:r>
    </w:p>
    <w:p>
      <w:pPr>
        <w:ind w:left="960" w:hanging="515"/>
        <w:spacing w:after="0" w:line="218" w:lineRule="auto"/>
        <w:tabs>
          <w:tab w:leader="none" w:pos="960" w:val="left"/>
        </w:tabs>
        <w:numPr>
          <w:ilvl w:val="0"/>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purchasing such Shares; or</w:t>
      </w:r>
    </w:p>
    <w:p>
      <w:pPr>
        <w:ind w:left="960" w:hanging="515"/>
        <w:spacing w:after="0"/>
        <w:tabs>
          <w:tab w:leader="none" w:pos="960" w:val="left"/>
        </w:tabs>
        <w:numPr>
          <w:ilvl w:val="0"/>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partly in one way and partly in the other</w:t>
      </w:r>
    </w:p>
    <w:p>
      <w:pPr>
        <w:spacing w:after="0" w:line="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and the Company shall allot or transfer to him (or his nominee) or procure the transfer to him (or his nominee) of the Shares so subscribed for or purchased.</w:t>
      </w:r>
    </w:p>
    <w:p>
      <w:pPr>
        <w:spacing w:after="0" w:line="23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9.6</w:t>
      </w:r>
      <w:r>
        <w:rPr>
          <w:sz w:val="20"/>
          <w:szCs w:val="20"/>
          <w:color w:val="auto"/>
        </w:rPr>
        <w:tab/>
      </w:r>
      <w:r>
        <w:rPr>
          <w:rFonts w:ascii="Times New Roman" w:cs="Times New Roman" w:eastAsia="Times New Roman" w:hAnsi="Times New Roman"/>
          <w:sz w:val="14"/>
          <w:szCs w:val="14"/>
          <w:b w:val="1"/>
          <w:bCs w:val="1"/>
          <w:color w:val="auto"/>
        </w:rPr>
        <w:t>Deductions</w:t>
      </w:r>
    </w:p>
    <w:p>
      <w:pPr>
        <w:spacing w:after="0" w:line="121" w:lineRule="exact"/>
        <w:rPr>
          <w:sz w:val="20"/>
          <w:szCs w:val="20"/>
          <w:color w:val="auto"/>
        </w:rPr>
      </w:pPr>
    </w:p>
    <w:p>
      <w:pPr>
        <w:ind w:left="460"/>
        <w:spacing w:after="0" w:line="292" w:lineRule="auto"/>
        <w:rPr>
          <w:sz w:val="20"/>
          <w:szCs w:val="20"/>
          <w:color w:val="auto"/>
        </w:rPr>
      </w:pPr>
      <w:r>
        <w:rPr>
          <w:rFonts w:ascii="Times New Roman" w:cs="Times New Roman" w:eastAsia="Times New Roman" w:hAnsi="Times New Roman"/>
          <w:sz w:val="14"/>
          <w:szCs w:val="14"/>
          <w:color w:val="auto"/>
        </w:rPr>
        <w:t>There shall be deducted from any payment under this Rule 9 such amounts (on account of tax or similar liabilities) as may be required by law or as the Board may reasonably consider to be necessary or desirable and permitted by law.</w:t>
      </w:r>
    </w:p>
    <w:p>
      <w:pPr>
        <w:spacing w:after="0" w:line="179" w:lineRule="exact"/>
        <w:rPr>
          <w:sz w:val="20"/>
          <w:szCs w:val="20"/>
          <w:color w:val="auto"/>
        </w:rPr>
      </w:pPr>
    </w:p>
    <w:p>
      <w:pPr>
        <w:ind w:left="440" w:hanging="432"/>
        <w:spacing w:after="0"/>
        <w:tabs>
          <w:tab w:leader="none" w:pos="440"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LAPSE OF AWARDS</w:t>
      </w:r>
    </w:p>
    <w:p>
      <w:pPr>
        <w:spacing w:after="0" w:line="25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10.1</w:t>
      </w:r>
      <w:r>
        <w:rPr>
          <w:sz w:val="20"/>
          <w:szCs w:val="20"/>
          <w:color w:val="auto"/>
        </w:rPr>
        <w:tab/>
      </w:r>
      <w:r>
        <w:rPr>
          <w:rFonts w:ascii="Times New Roman" w:cs="Times New Roman" w:eastAsia="Times New Roman" w:hAnsi="Times New Roman"/>
          <w:sz w:val="14"/>
          <w:szCs w:val="14"/>
          <w:b w:val="1"/>
          <w:bCs w:val="1"/>
          <w:color w:val="auto"/>
        </w:rPr>
        <w:t>General</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An Award shall lapse:</w:t>
      </w:r>
    </w:p>
    <w:p>
      <w:pPr>
        <w:ind w:left="960" w:hanging="515"/>
        <w:spacing w:after="0"/>
        <w:tabs>
          <w:tab w:leader="none" w:pos="960"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the Rules; or</w:t>
      </w:r>
    </w:p>
    <w:p>
      <w:pPr>
        <w:ind w:left="960" w:hanging="515"/>
        <w:spacing w:after="0"/>
        <w:tabs>
          <w:tab w:leader="none" w:pos="960"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it does not Vest under these Rules.</w:t>
      </w:r>
    </w:p>
    <w:p>
      <w:pPr>
        <w:spacing w:after="0" w:line="220"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10.2</w:t>
      </w:r>
      <w:r>
        <w:rPr>
          <w:sz w:val="20"/>
          <w:szCs w:val="20"/>
          <w:color w:val="auto"/>
        </w:rPr>
        <w:tab/>
      </w:r>
      <w:r>
        <w:rPr>
          <w:rFonts w:ascii="Times New Roman" w:cs="Times New Roman" w:eastAsia="Times New Roman" w:hAnsi="Times New Roman"/>
          <w:sz w:val="14"/>
          <w:szCs w:val="14"/>
          <w:b w:val="1"/>
          <w:bCs w:val="1"/>
          <w:color w:val="auto"/>
        </w:rPr>
        <w:t>Dealings in Investment Shares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 Matching Award shall lapse on the date on which the Participant:</w:t>
      </w:r>
    </w:p>
    <w:p>
      <w:pPr>
        <w:spacing w:after="0" w:line="15" w:lineRule="exact"/>
        <w:rPr>
          <w:sz w:val="20"/>
          <w:szCs w:val="20"/>
          <w:color w:val="auto"/>
        </w:rPr>
      </w:pPr>
    </w:p>
    <w:p>
      <w:pPr>
        <w:ind w:left="960" w:hanging="515"/>
        <w:spacing w:after="0"/>
        <w:tabs>
          <w:tab w:leader="none" w:pos="960" w:val="left"/>
        </w:tabs>
        <w:numPr>
          <w:ilvl w:val="0"/>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any act in breach of any of the terms relating to his Investment Shares unless the Committee decides otherwise; or</w:t>
      </w:r>
    </w:p>
    <w:p>
      <w:pPr>
        <w:spacing w:after="0" w:line="7" w:lineRule="exact"/>
        <w:rPr>
          <w:rFonts w:ascii="Times New Roman" w:cs="Times New Roman" w:eastAsia="Times New Roman" w:hAnsi="Times New Roman"/>
          <w:sz w:val="14"/>
          <w:szCs w:val="14"/>
          <w:color w:val="auto"/>
        </w:rPr>
      </w:pPr>
    </w:p>
    <w:p>
      <w:pPr>
        <w:ind w:left="960" w:hanging="514"/>
        <w:spacing w:after="0"/>
        <w:tabs>
          <w:tab w:leader="none" w:pos="960" w:val="left"/>
        </w:tabs>
        <w:numPr>
          <w:ilvl w:val="0"/>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loses his entitlement to, transfers, charges, or otherwise disposes of the Investment Shares to which the relevant Matching Award relates</w:t>
      </w:r>
    </w:p>
    <w:p>
      <w:pPr>
        <w:spacing w:after="0" w:line="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and such lapse shall be pro-rata to the number of Investment Shares in respect of which such act or event occurs.</w:t>
      </w:r>
    </w:p>
    <w:p>
      <w:pPr>
        <w:spacing w:after="0" w:line="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840"/>
          </w:cols>
          <w:pgMar w:left="420" w:top="1233" w:right="639" w:bottom="1440" w:gutter="0" w:footer="0" w:header="0"/>
        </w:sectPr>
      </w:pPr>
    </w:p>
    <w:bookmarkStart w:id="241" w:name="page242"/>
    <w:bookmarkEnd w:id="241"/>
    <w:p>
      <w:pPr>
        <w:spacing w:after="0"/>
        <w:tabs>
          <w:tab w:leader="none" w:pos="420" w:val="left"/>
        </w:tabs>
        <w:rPr>
          <w:sz w:val="20"/>
          <w:szCs w:val="20"/>
          <w:color w:val="auto"/>
        </w:rPr>
      </w:pPr>
      <w:r>
        <w:rPr>
          <w:rFonts w:ascii="Times New Roman" w:cs="Times New Roman" w:eastAsia="Times New Roman" w:hAnsi="Times New Roman"/>
          <w:sz w:val="14"/>
          <w:szCs w:val="14"/>
          <w:color w:val="auto"/>
        </w:rPr>
        <w:t>10.3</w:t>
      </w:r>
      <w:r>
        <w:rPr>
          <w:sz w:val="20"/>
          <w:szCs w:val="20"/>
          <w:color w:val="auto"/>
        </w:rPr>
        <w:tab/>
      </w:r>
      <w:r>
        <w:rPr>
          <w:rFonts w:ascii="Times New Roman" w:cs="Times New Roman" w:eastAsia="Times New Roman" w:hAnsi="Times New Roman"/>
          <w:sz w:val="14"/>
          <w:szCs w:val="14"/>
          <w:b w:val="1"/>
          <w:bCs w:val="1"/>
          <w:color w:val="auto"/>
        </w:rPr>
        <w:t>Short-Term Options</w:t>
      </w:r>
    </w:p>
    <w:p>
      <w:pPr>
        <w:spacing w:after="0" w:line="107" w:lineRule="exact"/>
        <w:rPr>
          <w:sz w:val="20"/>
          <w:szCs w:val="20"/>
          <w:color w:val="auto"/>
        </w:rPr>
      </w:pPr>
    </w:p>
    <w:p>
      <w:pPr>
        <w:ind w:left="460"/>
        <w:spacing w:after="0" w:line="292" w:lineRule="auto"/>
        <w:rPr>
          <w:sz w:val="20"/>
          <w:szCs w:val="20"/>
          <w:color w:val="auto"/>
        </w:rPr>
      </w:pPr>
      <w:r>
        <w:rPr>
          <w:rFonts w:ascii="Times New Roman" w:cs="Times New Roman" w:eastAsia="Times New Roman" w:hAnsi="Times New Roman"/>
          <w:sz w:val="14"/>
          <w:szCs w:val="14"/>
          <w:color w:val="auto"/>
        </w:rPr>
        <w:t>A Short-Term Option shall lapse at the end of the Short-Term Deferral Period in relation to that Option (or such shorter period set forth in the grant documentation or as specified in by the Committee in order to avoid adverse tax consequences), if not exercised.</w:t>
      </w:r>
    </w:p>
    <w:p>
      <w:pPr>
        <w:spacing w:after="0" w:line="179" w:lineRule="exact"/>
        <w:rPr>
          <w:sz w:val="20"/>
          <w:szCs w:val="20"/>
          <w:color w:val="auto"/>
        </w:rPr>
      </w:pPr>
    </w:p>
    <w:p>
      <w:pPr>
        <w:ind w:left="440" w:hanging="432"/>
        <w:spacing w:after="0"/>
        <w:tabs>
          <w:tab w:leader="none" w:pos="440" w:val="left"/>
        </w:tabs>
        <w:numPr>
          <w:ilvl w:val="0"/>
          <w:numId w:val="2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LEAVERS</w:t>
      </w:r>
    </w:p>
    <w:p>
      <w:pPr>
        <w:spacing w:after="0" w:line="238"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11.1</w:t>
      </w:r>
      <w:r>
        <w:rPr>
          <w:sz w:val="20"/>
          <w:szCs w:val="20"/>
          <w:color w:val="auto"/>
        </w:rPr>
        <w:tab/>
      </w:r>
      <w:r>
        <w:rPr>
          <w:rFonts w:ascii="Times New Roman" w:cs="Times New Roman" w:eastAsia="Times New Roman" w:hAnsi="Times New Roman"/>
          <w:sz w:val="14"/>
          <w:szCs w:val="14"/>
          <w:b w:val="1"/>
          <w:bCs w:val="1"/>
          <w:color w:val="auto"/>
        </w:rPr>
        <w:t>Leavers</w:t>
      </w:r>
    </w:p>
    <w:p>
      <w:pPr>
        <w:spacing w:after="0" w:line="1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If a Participant ceases to be a Connected Person in relation to an Award held by him then that Award shall lapse immediately on such cessation.</w:t>
      </w:r>
    </w:p>
    <w:p>
      <w:pPr>
        <w:spacing w:after="0" w:line="250"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11.2</w:t>
      </w:r>
      <w:r>
        <w:rPr>
          <w:sz w:val="20"/>
          <w:szCs w:val="20"/>
          <w:color w:val="auto"/>
        </w:rPr>
        <w:tab/>
      </w:r>
      <w:r>
        <w:rPr>
          <w:rFonts w:ascii="Times New Roman" w:cs="Times New Roman" w:eastAsia="Times New Roman" w:hAnsi="Times New Roman"/>
          <w:sz w:val="14"/>
          <w:szCs w:val="14"/>
          <w:b w:val="1"/>
          <w:bCs w:val="1"/>
          <w:color w:val="auto"/>
        </w:rPr>
        <w:t>Leavers: reduction in number of Vested Shares</w:t>
      </w:r>
    </w:p>
    <w:p>
      <w:pPr>
        <w:spacing w:after="0" w:line="1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Where an Award Vests on or after a Participant ceasing to be a Connected Person, the Committee shall determine the number of Vested Shares of that Award by the following steps:</w:t>
      </w:r>
    </w:p>
    <w:p>
      <w:pPr>
        <w:spacing w:after="0" w:line="23" w:lineRule="exact"/>
        <w:rPr>
          <w:sz w:val="20"/>
          <w:szCs w:val="20"/>
          <w:color w:val="auto"/>
        </w:rPr>
      </w:pPr>
    </w:p>
    <w:p>
      <w:pPr>
        <w:ind w:left="960" w:hanging="514"/>
        <w:spacing w:after="0"/>
        <w:tabs>
          <w:tab w:leader="none" w:pos="960" w:val="left"/>
        </w:tabs>
        <w:numPr>
          <w:ilvl w:val="0"/>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applying any Performance Condition and any other condition imposed on the Vesting of the Award in accordance with Rule 6.2 (</w:t>
      </w:r>
      <w:r>
        <w:rPr>
          <w:rFonts w:ascii="Times New Roman" w:cs="Times New Roman" w:eastAsia="Times New Roman" w:hAnsi="Times New Roman"/>
          <w:sz w:val="14"/>
          <w:szCs w:val="14"/>
          <w:i w:val="1"/>
          <w:iCs w:val="1"/>
          <w:color w:val="auto"/>
        </w:rPr>
        <w:t>Extent of Vesting</w:t>
      </w:r>
      <w:r>
        <w:rPr>
          <w:rFonts w:ascii="Times New Roman" w:cs="Times New Roman" w:eastAsia="Times New Roman" w:hAnsi="Times New Roman"/>
          <w:sz w:val="14"/>
          <w:szCs w:val="14"/>
          <w:color w:val="auto"/>
        </w:rPr>
        <w:t>); and</w:t>
      </w:r>
    </w:p>
    <w:p>
      <w:pPr>
        <w:spacing w:after="0" w:line="12" w:lineRule="exact"/>
        <w:rPr>
          <w:rFonts w:ascii="Times New Roman" w:cs="Times New Roman" w:eastAsia="Times New Roman" w:hAnsi="Times New Roman"/>
          <w:sz w:val="14"/>
          <w:szCs w:val="14"/>
          <w:color w:val="auto"/>
        </w:rPr>
      </w:pPr>
    </w:p>
    <w:p>
      <w:pPr>
        <w:ind w:left="960" w:right="200" w:hanging="514"/>
        <w:spacing w:after="0" w:line="295" w:lineRule="auto"/>
        <w:tabs>
          <w:tab w:leader="none" w:pos="950" w:val="left"/>
        </w:tabs>
        <w:numPr>
          <w:ilvl w:val="0"/>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Committee so decides, applying such reduction to the number of Shares determined under Rule 11.2(a) as it sees fit (such reduction to be, unless it decides otherwise, on such pro-rata basis as it may determine).</w:t>
      </w:r>
    </w:p>
    <w:p>
      <w:pPr>
        <w:spacing w:after="0" w:line="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If an Award Vests under any of Rules 12.1 to 12.3 when the holder of that Award has ceased to be a Connected Person then this Rule 11.2 shall take precedence over Rule 12.5.</w:t>
      </w:r>
    </w:p>
    <w:p>
      <w:pPr>
        <w:spacing w:after="0" w:line="23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11.3</w:t>
      </w:r>
      <w:r>
        <w:rPr>
          <w:sz w:val="20"/>
          <w:szCs w:val="20"/>
          <w:color w:val="auto"/>
        </w:rPr>
        <w:tab/>
      </w:r>
      <w:r>
        <w:rPr>
          <w:rFonts w:ascii="Times New Roman" w:cs="Times New Roman" w:eastAsia="Times New Roman" w:hAnsi="Times New Roman"/>
          <w:sz w:val="14"/>
          <w:szCs w:val="14"/>
          <w:b w:val="1"/>
          <w:bCs w:val="1"/>
          <w:color w:val="auto"/>
        </w:rPr>
        <w:t>Meaning of ceasing to be a Connected Person</w:t>
      </w:r>
    </w:p>
    <w:p>
      <w:pPr>
        <w:spacing w:after="0" w:line="121" w:lineRule="exact"/>
        <w:rPr>
          <w:sz w:val="20"/>
          <w:szCs w:val="20"/>
          <w:color w:val="auto"/>
        </w:rPr>
      </w:pPr>
    </w:p>
    <w:p>
      <w:pPr>
        <w:jc w:val="both"/>
        <w:ind w:left="460" w:right="60"/>
        <w:spacing w:after="0" w:line="259" w:lineRule="auto"/>
        <w:rPr>
          <w:sz w:val="20"/>
          <w:szCs w:val="20"/>
          <w:color w:val="auto"/>
        </w:rPr>
      </w:pPr>
      <w:r>
        <w:rPr>
          <w:rFonts w:ascii="Times New Roman" w:cs="Times New Roman" w:eastAsia="Times New Roman" w:hAnsi="Times New Roman"/>
          <w:sz w:val="14"/>
          <w:szCs w:val="14"/>
          <w:color w:val="auto"/>
        </w:rPr>
        <w:t>A Participant shall not be treated for the purposes of this Rule 11 as ceasing to be a Connected Person until such time as he is no longer a director or employee of, or a Consultant to, any Group Member. If any Participant ceases to be such a director or employee before the Vesting of his Award in circumstances where he retains a statutory right to return to work then he shall</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1060"/>
          </w:cols>
          <w:pgMar w:left="420" w:top="1233" w:right="419" w:bottom="1440" w:gutter="0" w:footer="0" w:header="0"/>
        </w:sectPr>
      </w:pPr>
    </w:p>
    <w:bookmarkStart w:id="242" w:name="page243"/>
    <w:bookmarkEnd w:id="242"/>
    <w:p>
      <w:pPr>
        <w:jc w:val="both"/>
        <w:ind w:left="460" w:right="180"/>
        <w:spacing w:after="0" w:line="275" w:lineRule="auto"/>
        <w:rPr>
          <w:sz w:val="20"/>
          <w:szCs w:val="20"/>
          <w:color w:val="auto"/>
        </w:rPr>
      </w:pPr>
      <w:r>
        <w:rPr>
          <w:rFonts w:ascii="Times New Roman" w:cs="Times New Roman" w:eastAsia="Times New Roman" w:hAnsi="Times New Roman"/>
          <w:sz w:val="14"/>
          <w:szCs w:val="14"/>
          <w:color w:val="auto"/>
        </w:rPr>
        <w:t>be treated as not having ceased to be such a director or employee until such time (if at all) as he ceases to have such a right to return to work while not acting as an employee or director. In the case of a US Taxpayer, a Participant shall not be treated for the purposes of this Rule 11 as ceasing to be a Connected Person unless and until the Participant has also had a “separation from service” for purposes of Section 409A.</w:t>
      </w:r>
    </w:p>
    <w:p>
      <w:pPr>
        <w:spacing w:after="0" w:line="59" w:lineRule="exact"/>
        <w:rPr>
          <w:sz w:val="20"/>
          <w:szCs w:val="20"/>
          <w:color w:val="auto"/>
        </w:rPr>
      </w:pPr>
    </w:p>
    <w:p>
      <w:pPr>
        <w:ind w:left="460"/>
        <w:spacing w:after="0" w:line="292" w:lineRule="auto"/>
        <w:rPr>
          <w:sz w:val="20"/>
          <w:szCs w:val="20"/>
          <w:color w:val="auto"/>
        </w:rPr>
      </w:pPr>
      <w:r>
        <w:rPr>
          <w:rFonts w:ascii="Times New Roman" w:cs="Times New Roman" w:eastAsia="Times New Roman" w:hAnsi="Times New Roman"/>
          <w:sz w:val="14"/>
          <w:szCs w:val="14"/>
          <w:color w:val="auto"/>
        </w:rPr>
        <w:t>The reason for the termination of office or employment of a Participant, or the relevant consultancy contract, shall be determined by reference to Rule 11.1 regardless of whether such termination was lawful or unlawful.</w:t>
      </w:r>
    </w:p>
    <w:p>
      <w:pPr>
        <w:spacing w:after="0" w:line="179" w:lineRule="exact"/>
        <w:rPr>
          <w:sz w:val="20"/>
          <w:szCs w:val="20"/>
          <w:color w:val="auto"/>
        </w:rPr>
      </w:pPr>
    </w:p>
    <w:p>
      <w:pPr>
        <w:ind w:left="440" w:hanging="432"/>
        <w:spacing w:after="0"/>
        <w:tabs>
          <w:tab w:leader="none" w:pos="440" w:val="left"/>
        </w:tabs>
        <w:numPr>
          <w:ilvl w:val="0"/>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TAKEOVERS AND OTHER CORPORATE EVENTS</w:t>
      </w:r>
    </w:p>
    <w:p>
      <w:pPr>
        <w:spacing w:after="0" w:line="25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12.1</w:t>
      </w:r>
      <w:r>
        <w:rPr>
          <w:sz w:val="20"/>
          <w:szCs w:val="20"/>
          <w:color w:val="auto"/>
        </w:rPr>
        <w:tab/>
      </w:r>
      <w:r>
        <w:rPr>
          <w:rFonts w:ascii="Times New Roman" w:cs="Times New Roman" w:eastAsia="Times New Roman" w:hAnsi="Times New Roman"/>
          <w:sz w:val="14"/>
          <w:szCs w:val="14"/>
          <w:b w:val="1"/>
          <w:bCs w:val="1"/>
          <w:color w:val="auto"/>
        </w:rPr>
        <w:t>General offers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If any person (or group of persons acting in concert):</w:t>
      </w:r>
    </w:p>
    <w:p>
      <w:pPr>
        <w:spacing w:after="0" w:line="23" w:lineRule="exact"/>
        <w:rPr>
          <w:sz w:val="20"/>
          <w:szCs w:val="20"/>
          <w:color w:val="auto"/>
        </w:rPr>
      </w:pPr>
    </w:p>
    <w:p>
      <w:pPr>
        <w:ind w:left="960" w:hanging="514"/>
        <w:spacing w:after="0"/>
        <w:tabs>
          <w:tab w:leader="none" w:pos="960" w:val="left"/>
        </w:tabs>
        <w:numPr>
          <w:ilvl w:val="0"/>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obtains (or, in the reasonable opinion of the Committee, is expected to obtain) Control of the Company as a result of making a general offer to acquire Shares; or</w:t>
      </w:r>
    </w:p>
    <w:p>
      <w:pPr>
        <w:spacing w:after="0" w:line="12" w:lineRule="exact"/>
        <w:rPr>
          <w:rFonts w:ascii="Times New Roman" w:cs="Times New Roman" w:eastAsia="Times New Roman" w:hAnsi="Times New Roman"/>
          <w:sz w:val="14"/>
          <w:szCs w:val="14"/>
          <w:color w:val="auto"/>
        </w:rPr>
      </w:pPr>
    </w:p>
    <w:p>
      <w:pPr>
        <w:ind w:left="960" w:hanging="515"/>
        <w:spacing w:after="0"/>
        <w:tabs>
          <w:tab w:leader="none" w:pos="960" w:val="left"/>
        </w:tabs>
        <w:numPr>
          <w:ilvl w:val="0"/>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having obtained Control of the Company makes such an offer and such offer becomes unconditional in all respects</w:t>
      </w:r>
    </w:p>
    <w:p>
      <w:pPr>
        <w:spacing w:after="0" w:line="92" w:lineRule="exact"/>
        <w:rPr>
          <w:sz w:val="20"/>
          <w:szCs w:val="20"/>
          <w:color w:val="auto"/>
        </w:rPr>
      </w:pPr>
    </w:p>
    <w:p>
      <w:pPr>
        <w:ind w:left="460" w:right="280"/>
        <w:spacing w:after="0" w:line="267" w:lineRule="auto"/>
        <w:rPr>
          <w:sz w:val="20"/>
          <w:szCs w:val="20"/>
          <w:color w:val="auto"/>
        </w:rPr>
      </w:pPr>
      <w:r>
        <w:rPr>
          <w:rFonts w:ascii="Times New Roman" w:cs="Times New Roman" w:eastAsia="Times New Roman" w:hAnsi="Times New Roman"/>
          <w:sz w:val="14"/>
          <w:szCs w:val="14"/>
          <w:color w:val="auto"/>
        </w:rPr>
        <w:t>the Committee shall within 7 days of becoming aware of that event or forming such opinion (as applicable) notify every Participant accordingly and, subject to Rule 12.4 (</w:t>
      </w:r>
      <w:r>
        <w:rPr>
          <w:rFonts w:ascii="Times New Roman" w:cs="Times New Roman" w:eastAsia="Times New Roman" w:hAnsi="Times New Roman"/>
          <w:sz w:val="14"/>
          <w:szCs w:val="14"/>
          <w:i w:val="1"/>
          <w:iCs w:val="1"/>
          <w:color w:val="auto"/>
        </w:rPr>
        <w:t>Internal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reorganisations</w:t>
      </w:r>
      <w:r>
        <w:rPr>
          <w:rFonts w:ascii="Times New Roman" w:cs="Times New Roman" w:eastAsia="Times New Roman" w:hAnsi="Times New Roman"/>
          <w:sz w:val="14"/>
          <w:szCs w:val="14"/>
          <w:color w:val="auto"/>
        </w:rPr>
        <w:t>), the following provisions shall apply:</w:t>
      </w:r>
    </w:p>
    <w:p>
      <w:pPr>
        <w:spacing w:after="0" w:line="1" w:lineRule="exact"/>
        <w:rPr>
          <w:sz w:val="20"/>
          <w:szCs w:val="20"/>
          <w:color w:val="auto"/>
        </w:rPr>
      </w:pPr>
    </w:p>
    <w:p>
      <w:pPr>
        <w:ind w:left="960" w:hanging="514"/>
        <w:spacing w:after="0" w:line="264" w:lineRule="auto"/>
        <w:tabs>
          <w:tab w:leader="none" w:pos="958" w:val="left"/>
        </w:tabs>
        <w:numPr>
          <w:ilvl w:val="0"/>
          <w:numId w:val="2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Rule 6.3 (</w:t>
      </w:r>
      <w:r>
        <w:rPr>
          <w:rFonts w:ascii="Times New Roman" w:cs="Times New Roman" w:eastAsia="Times New Roman" w:hAnsi="Times New Roman"/>
          <w:sz w:val="14"/>
          <w:szCs w:val="14"/>
          <w:i w:val="1"/>
          <w:iCs w:val="1"/>
          <w:color w:val="auto"/>
        </w:rPr>
        <w:t>Restrictions on Vesting: tax issues</w:t>
      </w:r>
      <w:r>
        <w:rPr>
          <w:rFonts w:ascii="Times New Roman" w:cs="Times New Roman" w:eastAsia="Times New Roman" w:hAnsi="Times New Roman"/>
          <w:sz w:val="14"/>
          <w:szCs w:val="14"/>
          <w:color w:val="auto"/>
        </w:rPr>
        <w:t>), all Awards shall Vest on such date as the Committee may determine (being no later than the date of the change in Control of the Company or the offer becoming unconditional in all respects, as applicable) (such date being the Early Vesting Date) if they have not then Vested and Rule 12.5 (</w:t>
      </w:r>
      <w:r>
        <w:rPr>
          <w:rFonts w:ascii="Times New Roman" w:cs="Times New Roman" w:eastAsia="Times New Roman" w:hAnsi="Times New Roman"/>
          <w:sz w:val="14"/>
          <w:szCs w:val="14"/>
          <w:i w:val="1"/>
          <w:iCs w:val="1"/>
          <w:color w:val="auto"/>
        </w:rPr>
        <w:t>Corporate events: reduction in number of Vested Shares</w:t>
      </w:r>
      <w:r>
        <w:rPr>
          <w:rFonts w:ascii="Times New Roman" w:cs="Times New Roman" w:eastAsia="Times New Roman" w:hAnsi="Times New Roman"/>
          <w:sz w:val="14"/>
          <w:szCs w:val="14"/>
          <w:color w:val="auto"/>
        </w:rPr>
        <w:t>) shall apply; and</w:t>
      </w:r>
    </w:p>
    <w:p>
      <w:pPr>
        <w:spacing w:after="0" w:line="1" w:lineRule="exact"/>
        <w:rPr>
          <w:rFonts w:ascii="Times New Roman" w:cs="Times New Roman" w:eastAsia="Times New Roman" w:hAnsi="Times New Roman"/>
          <w:sz w:val="14"/>
          <w:szCs w:val="14"/>
          <w:color w:val="auto"/>
        </w:rPr>
      </w:pPr>
    </w:p>
    <w:p>
      <w:pPr>
        <w:ind w:left="960" w:right="20" w:hanging="514"/>
        <w:spacing w:after="0" w:line="270" w:lineRule="auto"/>
        <w:tabs>
          <w:tab w:leader="none" w:pos="958" w:val="left"/>
        </w:tabs>
        <w:numPr>
          <w:ilvl w:val="0"/>
          <w:numId w:val="2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Option may, subject to Rule 8.1 (</w:t>
      </w:r>
      <w:r>
        <w:rPr>
          <w:rFonts w:ascii="Times New Roman" w:cs="Times New Roman" w:eastAsia="Times New Roman" w:hAnsi="Times New Roman"/>
          <w:sz w:val="14"/>
          <w:szCs w:val="14"/>
          <w:i w:val="1"/>
          <w:iCs w:val="1"/>
          <w:color w:val="auto"/>
        </w:rPr>
        <w:t>Restrictions on the exercise of an Option: regulatory and tax issues</w:t>
      </w:r>
      <w:r>
        <w:rPr>
          <w:rFonts w:ascii="Times New Roman" w:cs="Times New Roman" w:eastAsia="Times New Roman" w:hAnsi="Times New Roman"/>
          <w:sz w:val="14"/>
          <w:szCs w:val="14"/>
          <w:color w:val="auto"/>
        </w:rPr>
        <w:t>), be exercised within one month of the Early Vesting Date (or such shorter period of time approved by the Committee, not to be less than five days), except for RSU-style Options, which shall be automatically exercised to the full extent of the Vested Shares upon the Early Vesting Date, but to the extent that an Option is not exercised within that period, that Option shall (regardless of any other provision of the Plan) lapse at the end of that period.</w:t>
      </w:r>
    </w:p>
    <w:p>
      <w:pPr>
        <w:spacing w:after="0" w:line="19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12.2</w:t>
      </w:r>
      <w:r>
        <w:rPr>
          <w:sz w:val="20"/>
          <w:szCs w:val="20"/>
          <w:color w:val="auto"/>
        </w:rPr>
        <w:tab/>
      </w:r>
      <w:r>
        <w:rPr>
          <w:rFonts w:ascii="Times New Roman" w:cs="Times New Roman" w:eastAsia="Times New Roman" w:hAnsi="Times New Roman"/>
          <w:sz w:val="14"/>
          <w:szCs w:val="14"/>
          <w:b w:val="1"/>
          <w:bCs w:val="1"/>
          <w:color w:val="auto"/>
        </w:rPr>
        <w:t>Schemes of arrangement and winding up</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In the event that:</w:t>
      </w:r>
    </w:p>
    <w:p>
      <w:pPr>
        <w:spacing w:after="0" w:line="23" w:lineRule="exact"/>
        <w:rPr>
          <w:sz w:val="20"/>
          <w:szCs w:val="20"/>
          <w:color w:val="auto"/>
        </w:rPr>
      </w:pPr>
    </w:p>
    <w:p>
      <w:pPr>
        <w:ind w:left="960" w:right="420" w:hanging="514"/>
        <w:spacing w:after="0" w:line="251" w:lineRule="auto"/>
        <w:tabs>
          <w:tab w:leader="none" w:pos="955" w:val="left"/>
        </w:tabs>
        <w:numPr>
          <w:ilvl w:val="0"/>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compromise or arrangement is sanctioned by the Court under section 899 of the Companies Act 2006 in connection with or for the purposes of a change in Control of the Company; or</w:t>
      </w:r>
    </w:p>
    <w:p>
      <w:pPr>
        <w:ind w:left="960" w:hanging="515"/>
        <w:spacing w:after="0" w:line="238" w:lineRule="auto"/>
        <w:tabs>
          <w:tab w:leader="none" w:pos="960" w:val="left"/>
        </w:tabs>
        <w:numPr>
          <w:ilvl w:val="0"/>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passes a resolution for a voluntary winding up of the Company; or</w:t>
      </w:r>
    </w:p>
    <w:p>
      <w:pPr>
        <w:ind w:left="960" w:hanging="515"/>
        <w:spacing w:after="0"/>
        <w:tabs>
          <w:tab w:leader="none" w:pos="960" w:val="left"/>
        </w:tabs>
        <w:numPr>
          <w:ilvl w:val="0"/>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order is made for the compulsory winding up of the Company</w:t>
      </w:r>
    </w:p>
    <w:p>
      <w:pPr>
        <w:spacing w:after="0" w:line="87" w:lineRule="exact"/>
        <w:rPr>
          <w:sz w:val="20"/>
          <w:szCs w:val="20"/>
          <w:color w:val="auto"/>
        </w:rPr>
      </w:pPr>
    </w:p>
    <w:p>
      <w:pPr>
        <w:ind w:left="460" w:right="20"/>
        <w:spacing w:after="0" w:line="263" w:lineRule="auto"/>
        <w:rPr>
          <w:sz w:val="20"/>
          <w:szCs w:val="20"/>
          <w:color w:val="auto"/>
        </w:rPr>
      </w:pPr>
      <w:r>
        <w:rPr>
          <w:rFonts w:ascii="Times New Roman" w:cs="Times New Roman" w:eastAsia="Times New Roman" w:hAnsi="Times New Roman"/>
          <w:sz w:val="14"/>
          <w:szCs w:val="14"/>
          <w:color w:val="auto"/>
        </w:rPr>
        <w:t>or, in the reasonable opinion of the Committee, any of the above events is expected to occur, all Awards shall, subject to Rule 6.3 (</w:t>
      </w:r>
      <w:r>
        <w:rPr>
          <w:rFonts w:ascii="Times New Roman" w:cs="Times New Roman" w:eastAsia="Times New Roman" w:hAnsi="Times New Roman"/>
          <w:sz w:val="14"/>
          <w:szCs w:val="14"/>
          <w:i w:val="1"/>
          <w:iCs w:val="1"/>
          <w:color w:val="auto"/>
        </w:rPr>
        <w:t>Restrictions on Vesting: tax issues</w:t>
      </w:r>
      <w:r>
        <w:rPr>
          <w:rFonts w:ascii="Times New Roman" w:cs="Times New Roman" w:eastAsia="Times New Roman" w:hAnsi="Times New Roman"/>
          <w:sz w:val="14"/>
          <w:szCs w:val="14"/>
          <w:color w:val="auto"/>
        </w:rPr>
        <w:t>) and Rule 12.4 (</w:t>
      </w:r>
      <w:r>
        <w:rPr>
          <w:rFonts w:ascii="Times New Roman" w:cs="Times New Roman" w:eastAsia="Times New Roman" w:hAnsi="Times New Roman"/>
          <w:sz w:val="14"/>
          <w:szCs w:val="14"/>
          <w:i w:val="1"/>
          <w:iCs w:val="1"/>
          <w:color w:val="auto"/>
        </w:rPr>
        <w:t>Internal reorganisations</w:t>
      </w:r>
      <w:r>
        <w:rPr>
          <w:rFonts w:ascii="Times New Roman" w:cs="Times New Roman" w:eastAsia="Times New Roman" w:hAnsi="Times New Roman"/>
          <w:sz w:val="14"/>
          <w:szCs w:val="14"/>
          <w:color w:val="auto"/>
        </w:rPr>
        <w:t>), Vest on such date (and, in respect of any Awards granted on or after 3 February 2021, to such extent) as the Committee may determine (being no later than the date of such event) (such date being the Early Vesting Date) if they have not then Vested and Rule 12.5 (C</w:t>
      </w:r>
      <w:r>
        <w:rPr>
          <w:rFonts w:ascii="Times New Roman" w:cs="Times New Roman" w:eastAsia="Times New Roman" w:hAnsi="Times New Roman"/>
          <w:sz w:val="14"/>
          <w:szCs w:val="14"/>
          <w:i w:val="1"/>
          <w:iCs w:val="1"/>
          <w:color w:val="auto"/>
        </w:rPr>
        <w:t>orporate events: reduction in number of Vested Shares</w:t>
      </w:r>
      <w:r>
        <w:rPr>
          <w:rFonts w:ascii="Times New Roman" w:cs="Times New Roman" w:eastAsia="Times New Roman" w:hAnsi="Times New Roman"/>
          <w:sz w:val="14"/>
          <w:szCs w:val="14"/>
          <w:color w:val="auto"/>
        </w:rPr>
        <w:t>) shall apply. In respect of any Awards granted on or after 3 February 2021, the Committee may determine the proportion of the Award that will Vest under this Rule 12.2 and whether the remainder of the Award will be exchanged for an equivalent award as determined by the Committee except that it will be over shares in another company.</w:t>
      </w:r>
    </w:p>
    <w:p>
      <w:pPr>
        <w:spacing w:after="0" w:line="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880"/>
          </w:cols>
          <w:pgMar w:left="420" w:top="1262" w:right="599" w:bottom="1440" w:gutter="0" w:footer="0" w:header="0"/>
        </w:sectPr>
      </w:pPr>
    </w:p>
    <w:bookmarkStart w:id="243" w:name="page244"/>
    <w:bookmarkEnd w:id="243"/>
    <w:p>
      <w:pPr>
        <w:ind w:left="460"/>
        <w:spacing w:after="0" w:line="267" w:lineRule="auto"/>
        <w:rPr>
          <w:sz w:val="20"/>
          <w:szCs w:val="20"/>
          <w:color w:val="auto"/>
        </w:rPr>
      </w:pPr>
      <w:r>
        <w:rPr>
          <w:rFonts w:ascii="Times New Roman" w:cs="Times New Roman" w:eastAsia="Times New Roman" w:hAnsi="Times New Roman"/>
          <w:sz w:val="14"/>
          <w:szCs w:val="14"/>
          <w:color w:val="auto"/>
        </w:rPr>
        <w:t>If an event as described in this Rule 12.2 occurs (or, in the reasonable opinion of the Committee, is expected to occur) then an Option may, subject to Rule 8.1 (</w:t>
      </w:r>
      <w:r>
        <w:rPr>
          <w:rFonts w:ascii="Times New Roman" w:cs="Times New Roman" w:eastAsia="Times New Roman" w:hAnsi="Times New Roman"/>
          <w:sz w:val="14"/>
          <w:szCs w:val="14"/>
          <w:i w:val="1"/>
          <w:iCs w:val="1"/>
          <w:color w:val="auto"/>
        </w:rPr>
        <w:t>Restrictions on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exercise of an Option: regulatory and tax issues</w:t>
      </w:r>
      <w:r>
        <w:rPr>
          <w:rFonts w:ascii="Times New Roman" w:cs="Times New Roman" w:eastAsia="Times New Roman" w:hAnsi="Times New Roman"/>
          <w:sz w:val="14"/>
          <w:szCs w:val="14"/>
          <w:color w:val="auto"/>
        </w:rPr>
        <w:t>) and Rule 12.4 (</w:t>
      </w:r>
      <w:r>
        <w:rPr>
          <w:rFonts w:ascii="Times New Roman" w:cs="Times New Roman" w:eastAsia="Times New Roman" w:hAnsi="Times New Roman"/>
          <w:sz w:val="14"/>
          <w:szCs w:val="14"/>
          <w:i w:val="1"/>
          <w:iCs w:val="1"/>
          <w:color w:val="auto"/>
        </w:rPr>
        <w:t>Internal reorganisations</w:t>
      </w:r>
      <w:r>
        <w:rPr>
          <w:rFonts w:ascii="Times New Roman" w:cs="Times New Roman" w:eastAsia="Times New Roman" w:hAnsi="Times New Roman"/>
          <w:sz w:val="14"/>
          <w:szCs w:val="14"/>
          <w:color w:val="auto"/>
        </w:rPr>
        <w:t>), be exercised within</w:t>
      </w:r>
    </w:p>
    <w:p>
      <w:pPr>
        <w:spacing w:after="0" w:line="1" w:lineRule="exact"/>
        <w:rPr>
          <w:sz w:val="20"/>
          <w:szCs w:val="20"/>
          <w:color w:val="auto"/>
        </w:rPr>
      </w:pPr>
    </w:p>
    <w:p>
      <w:pPr>
        <w:ind w:left="460" w:right="40"/>
        <w:spacing w:after="0" w:line="295" w:lineRule="auto"/>
        <w:rPr>
          <w:sz w:val="20"/>
          <w:szCs w:val="20"/>
          <w:color w:val="auto"/>
        </w:rPr>
      </w:pPr>
      <w:r>
        <w:rPr>
          <w:rFonts w:ascii="Times New Roman" w:cs="Times New Roman" w:eastAsia="Times New Roman" w:hAnsi="Times New Roman"/>
          <w:sz w:val="14"/>
          <w:szCs w:val="14"/>
          <w:color w:val="auto"/>
        </w:rPr>
        <w:t>one month of the Early Vesting Date (except for RSU-style Options, which shall be automatically exercised to the full extent of the Vested Shares upon the Early Vesting Date), but to the extent that the Option is not exercised within that period, it shall (regardless of any other provision of the Plan) lapse at the end of that period.</w:t>
      </w:r>
    </w:p>
    <w:p>
      <w:pPr>
        <w:spacing w:after="0" w:line="177"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12.3</w:t>
      </w:r>
      <w:r>
        <w:rPr>
          <w:sz w:val="20"/>
          <w:szCs w:val="20"/>
          <w:color w:val="auto"/>
        </w:rPr>
        <w:tab/>
      </w:r>
      <w:r>
        <w:rPr>
          <w:rFonts w:ascii="Times New Roman" w:cs="Times New Roman" w:eastAsia="Times New Roman" w:hAnsi="Times New Roman"/>
          <w:sz w:val="14"/>
          <w:szCs w:val="14"/>
          <w:b w:val="1"/>
          <w:bCs w:val="1"/>
          <w:color w:val="auto"/>
        </w:rPr>
        <w:t>Demergers and similar events</w:t>
      </w:r>
    </w:p>
    <w:p>
      <w:pPr>
        <w:spacing w:after="0" w:line="105" w:lineRule="exact"/>
        <w:rPr>
          <w:sz w:val="20"/>
          <w:szCs w:val="20"/>
          <w:color w:val="auto"/>
        </w:rPr>
      </w:pPr>
    </w:p>
    <w:p>
      <w:pPr>
        <w:ind w:left="460" w:right="20"/>
        <w:spacing w:after="0" w:line="267" w:lineRule="auto"/>
        <w:rPr>
          <w:sz w:val="20"/>
          <w:szCs w:val="20"/>
          <w:color w:val="auto"/>
        </w:rPr>
      </w:pPr>
      <w:r>
        <w:rPr>
          <w:rFonts w:ascii="Times New Roman" w:cs="Times New Roman" w:eastAsia="Times New Roman" w:hAnsi="Times New Roman"/>
          <w:sz w:val="14"/>
          <w:szCs w:val="14"/>
          <w:color w:val="auto"/>
        </w:rPr>
        <w:t xml:space="preserve">If a demerger, special dividend or other similar event (the </w:t>
      </w:r>
      <w:r>
        <w:rPr>
          <w:rFonts w:ascii="Times New Roman" w:cs="Times New Roman" w:eastAsia="Times New Roman" w:hAnsi="Times New Roman"/>
          <w:sz w:val="14"/>
          <w:szCs w:val="14"/>
          <w:b w:val="1"/>
          <w:bCs w:val="1"/>
          <w:color w:val="auto"/>
        </w:rPr>
        <w:t>“Relevant Event”</w:t>
      </w:r>
      <w:r>
        <w:rPr>
          <w:rFonts w:ascii="Times New Roman" w:cs="Times New Roman" w:eastAsia="Times New Roman" w:hAnsi="Times New Roman"/>
          <w:sz w:val="14"/>
          <w:szCs w:val="14"/>
          <w:color w:val="auto"/>
        </w:rPr>
        <w:t>) is proposed which, in the opinion of the Committee, would affect the market price of Shares to a material extent, then the Committee may, at its discretion, decide that the following provisions shall apply:</w:t>
      </w:r>
    </w:p>
    <w:p>
      <w:pPr>
        <w:spacing w:after="0" w:line="1" w:lineRule="exact"/>
        <w:rPr>
          <w:sz w:val="20"/>
          <w:szCs w:val="20"/>
          <w:color w:val="auto"/>
        </w:rPr>
      </w:pPr>
    </w:p>
    <w:p>
      <w:pPr>
        <w:ind w:left="960" w:right="180" w:hanging="514"/>
        <w:spacing w:after="0" w:line="264" w:lineRule="auto"/>
        <w:tabs>
          <w:tab w:leader="none" w:pos="955" w:val="left"/>
        </w:tabs>
        <w:numPr>
          <w:ilvl w:val="0"/>
          <w:numId w:val="2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Committee shall, as soon as reasonably practicable after deciding to apply these provisions, notify a Participant that, subject to earlier lapse under Rule 11 (</w:t>
      </w:r>
      <w:r>
        <w:rPr>
          <w:rFonts w:ascii="Times New Roman" w:cs="Times New Roman" w:eastAsia="Times New Roman" w:hAnsi="Times New Roman"/>
          <w:sz w:val="14"/>
          <w:szCs w:val="14"/>
          <w:i w:val="1"/>
          <w:iCs w:val="1"/>
          <w:color w:val="auto"/>
        </w:rPr>
        <w:t>Leavers</w:t>
      </w:r>
      <w:r>
        <w:rPr>
          <w:rFonts w:ascii="Times New Roman" w:cs="Times New Roman" w:eastAsia="Times New Roman" w:hAnsi="Times New Roman"/>
          <w:sz w:val="14"/>
          <w:szCs w:val="14"/>
          <w:color w:val="auto"/>
        </w:rPr>
        <w:t>), his Award Vests and, if relevant, his Option may be exercised on such terms as the Committee may determine and during such period preceding the Relevant Event or on the Relevant Event as the Committee may determine and shall lapse at the end of that period to the extent unexercised;</w:t>
      </w:r>
    </w:p>
    <w:p>
      <w:pPr>
        <w:spacing w:after="0" w:line="1" w:lineRule="exact"/>
        <w:rPr>
          <w:rFonts w:ascii="Times New Roman" w:cs="Times New Roman" w:eastAsia="Times New Roman" w:hAnsi="Times New Roman"/>
          <w:sz w:val="14"/>
          <w:szCs w:val="14"/>
          <w:color w:val="auto"/>
        </w:rPr>
      </w:pPr>
    </w:p>
    <w:p>
      <w:pPr>
        <w:ind w:left="960" w:right="600" w:hanging="514"/>
        <w:spacing w:after="0" w:line="257" w:lineRule="auto"/>
        <w:tabs>
          <w:tab w:leader="none" w:pos="950" w:val="left"/>
        </w:tabs>
        <w:numPr>
          <w:ilvl w:val="0"/>
          <w:numId w:val="2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 Award Vests, or an Option is exercised, conditional upon the Relevant Event and such event does not occur then the conditional Vesting or exercise shall not be effective and the Award shall continue to subsist; and</w:t>
      </w:r>
    </w:p>
    <w:p>
      <w:pPr>
        <w:spacing w:after="0" w:line="1" w:lineRule="exact"/>
        <w:rPr>
          <w:rFonts w:ascii="Times New Roman" w:cs="Times New Roman" w:eastAsia="Times New Roman" w:hAnsi="Times New Roman"/>
          <w:sz w:val="14"/>
          <w:szCs w:val="14"/>
          <w:color w:val="auto"/>
        </w:rPr>
      </w:pPr>
    </w:p>
    <w:p>
      <w:pPr>
        <w:ind w:left="960" w:right="260" w:hanging="514"/>
        <w:spacing w:after="0" w:line="275" w:lineRule="auto"/>
        <w:tabs>
          <w:tab w:leader="none" w:pos="955" w:val="left"/>
        </w:tabs>
        <w:numPr>
          <w:ilvl w:val="0"/>
          <w:numId w:val="2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Committee decides that an Award Vests under this Rule 12.3 then the date of that Vesting shall be the Early Vesting Date and the provisions of Rule 12.5 (</w:t>
      </w:r>
      <w:r>
        <w:rPr>
          <w:rFonts w:ascii="Times New Roman" w:cs="Times New Roman" w:eastAsia="Times New Roman" w:hAnsi="Times New Roman"/>
          <w:sz w:val="14"/>
          <w:szCs w:val="14"/>
          <w:i w:val="1"/>
          <w:iCs w:val="1"/>
          <w:color w:val="auto"/>
        </w:rPr>
        <w:t>Corporate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events: reduction in number of Vested Shares</w:t>
      </w:r>
      <w:r>
        <w:rPr>
          <w:rFonts w:ascii="Times New Roman" w:cs="Times New Roman" w:eastAsia="Times New Roman" w:hAnsi="Times New Roman"/>
          <w:sz w:val="14"/>
          <w:szCs w:val="14"/>
          <w:color w:val="auto"/>
        </w:rPr>
        <w:t>) shall apply.</w:t>
      </w:r>
    </w:p>
    <w:p>
      <w:pPr>
        <w:spacing w:after="0" w:line="203" w:lineRule="exact"/>
        <w:rPr>
          <w:sz w:val="20"/>
          <w:szCs w:val="20"/>
          <w:color w:val="auto"/>
        </w:rPr>
      </w:pPr>
    </w:p>
    <w:p>
      <w:pPr>
        <w:jc w:val="center"/>
        <w:ind w:right="9000"/>
        <w:spacing w:after="0"/>
        <w:tabs>
          <w:tab w:leader="none" w:pos="160" w:val="left"/>
        </w:tabs>
        <w:rPr>
          <w:sz w:val="20"/>
          <w:szCs w:val="20"/>
          <w:color w:val="auto"/>
        </w:rPr>
      </w:pPr>
      <w:r>
        <w:rPr>
          <w:rFonts w:ascii="Times New Roman" w:cs="Times New Roman" w:eastAsia="Times New Roman" w:hAnsi="Times New Roman"/>
          <w:sz w:val="14"/>
          <w:szCs w:val="14"/>
          <w:color w:val="auto"/>
        </w:rPr>
        <w:t>12.4</w:t>
      </w:r>
      <w:r>
        <w:rPr>
          <w:sz w:val="20"/>
          <w:szCs w:val="20"/>
          <w:color w:val="auto"/>
        </w:rPr>
        <w:tab/>
      </w:r>
      <w:r>
        <w:rPr>
          <w:rFonts w:ascii="Times New Roman" w:cs="Times New Roman" w:eastAsia="Times New Roman" w:hAnsi="Times New Roman"/>
          <w:sz w:val="14"/>
          <w:szCs w:val="14"/>
          <w:b w:val="1"/>
          <w:bCs w:val="1"/>
          <w:color w:val="auto"/>
        </w:rPr>
        <w:t>Internal reorganisations</w:t>
      </w:r>
    </w:p>
    <w:p>
      <w:pPr>
        <w:spacing w:after="0" w:line="81" w:lineRule="exact"/>
        <w:rPr>
          <w:sz w:val="20"/>
          <w:szCs w:val="20"/>
          <w:color w:val="auto"/>
        </w:rPr>
      </w:pPr>
    </w:p>
    <w:p>
      <w:pPr>
        <w:jc w:val="center"/>
        <w:ind w:right="9040"/>
        <w:spacing w:after="0"/>
        <w:rPr>
          <w:sz w:val="20"/>
          <w:szCs w:val="20"/>
          <w:color w:val="auto"/>
        </w:rPr>
      </w:pPr>
      <w:r>
        <w:rPr>
          <w:rFonts w:ascii="Times New Roman" w:cs="Times New Roman" w:eastAsia="Times New Roman" w:hAnsi="Times New Roman"/>
          <w:sz w:val="14"/>
          <w:szCs w:val="14"/>
          <w:color w:val="auto"/>
        </w:rPr>
        <w:t>In the event that:</w:t>
      </w:r>
    </w:p>
    <w:p>
      <w:pPr>
        <w:spacing w:after="0" w:line="23" w:lineRule="exact"/>
        <w:rPr>
          <w:sz w:val="20"/>
          <w:szCs w:val="20"/>
          <w:color w:val="auto"/>
        </w:rPr>
      </w:pPr>
    </w:p>
    <w:p>
      <w:pPr>
        <w:ind w:left="960" w:right="440" w:hanging="514"/>
        <w:spacing w:after="0" w:line="257" w:lineRule="auto"/>
        <w:tabs>
          <w:tab w:leader="none" w:pos="955" w:val="left"/>
        </w:tabs>
        <w:numPr>
          <w:ilvl w:val="0"/>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company (the </w:t>
      </w:r>
      <w:r>
        <w:rPr>
          <w:rFonts w:ascii="Times New Roman" w:cs="Times New Roman" w:eastAsia="Times New Roman" w:hAnsi="Times New Roman"/>
          <w:sz w:val="14"/>
          <w:szCs w:val="14"/>
          <w:b w:val="1"/>
          <w:bCs w:val="1"/>
          <w:color w:val="auto"/>
        </w:rPr>
        <w:t>“Acquiring Company”</w:t>
      </w:r>
      <w:r>
        <w:rPr>
          <w:rFonts w:ascii="Times New Roman" w:cs="Times New Roman" w:eastAsia="Times New Roman" w:hAnsi="Times New Roman"/>
          <w:sz w:val="14"/>
          <w:szCs w:val="14"/>
          <w:color w:val="auto"/>
        </w:rPr>
        <w:t>) is expected to obtain Control of the Company as a result of an offer referred to in Rule 12.1 (</w:t>
      </w:r>
      <w:r>
        <w:rPr>
          <w:rFonts w:ascii="Times New Roman" w:cs="Times New Roman" w:eastAsia="Times New Roman" w:hAnsi="Times New Roman"/>
          <w:sz w:val="14"/>
          <w:szCs w:val="14"/>
          <w:i w:val="1"/>
          <w:iCs w:val="1"/>
          <w:color w:val="auto"/>
        </w:rPr>
        <w:t>General offers</w:t>
      </w:r>
      <w:r>
        <w:rPr>
          <w:rFonts w:ascii="Times New Roman" w:cs="Times New Roman" w:eastAsia="Times New Roman" w:hAnsi="Times New Roman"/>
          <w:sz w:val="14"/>
          <w:szCs w:val="14"/>
          <w:color w:val="auto"/>
        </w:rPr>
        <w:t>) or a compromise or arrangement referred to in Rule 12.2(a) (</w:t>
      </w:r>
      <w:r>
        <w:rPr>
          <w:rFonts w:ascii="Times New Roman" w:cs="Times New Roman" w:eastAsia="Times New Roman" w:hAnsi="Times New Roman"/>
          <w:sz w:val="14"/>
          <w:szCs w:val="14"/>
          <w:i w:val="1"/>
          <w:iCs w:val="1"/>
          <w:color w:val="auto"/>
        </w:rPr>
        <w:t>Schemes of arrangement and winding up</w:t>
      </w:r>
      <w:r>
        <w:rPr>
          <w:rFonts w:ascii="Times New Roman" w:cs="Times New Roman" w:eastAsia="Times New Roman" w:hAnsi="Times New Roman"/>
          <w:sz w:val="14"/>
          <w:szCs w:val="14"/>
          <w:color w:val="auto"/>
        </w:rPr>
        <w:t>);and</w:t>
      </w:r>
    </w:p>
    <w:p>
      <w:pPr>
        <w:spacing w:after="0" w:line="1" w:lineRule="exact"/>
        <w:rPr>
          <w:rFonts w:ascii="Times New Roman" w:cs="Times New Roman" w:eastAsia="Times New Roman" w:hAnsi="Times New Roman"/>
          <w:sz w:val="14"/>
          <w:szCs w:val="14"/>
          <w:color w:val="auto"/>
        </w:rPr>
      </w:pPr>
    </w:p>
    <w:p>
      <w:pPr>
        <w:ind w:left="960" w:right="480" w:hanging="514"/>
        <w:spacing w:after="0" w:line="295" w:lineRule="auto"/>
        <w:tabs>
          <w:tab w:leader="none" w:pos="950" w:val="left"/>
        </w:tabs>
        <w:numPr>
          <w:ilvl w:val="0"/>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least 75% of the shares in the Acquiring Company are expected to be held by substantially the same persons who immediately before the obtaining of Control of the Company were shareholders in the Company</w:t>
      </w:r>
    </w:p>
    <w:p>
      <w:pPr>
        <w:spacing w:after="0" w:line="32" w:lineRule="exact"/>
        <w:rPr>
          <w:sz w:val="20"/>
          <w:szCs w:val="20"/>
          <w:color w:val="auto"/>
        </w:rPr>
      </w:pPr>
    </w:p>
    <w:p>
      <w:pPr>
        <w:jc w:val="both"/>
        <w:ind w:left="460" w:right="120"/>
        <w:spacing w:after="0" w:line="275" w:lineRule="auto"/>
        <w:rPr>
          <w:sz w:val="20"/>
          <w:szCs w:val="20"/>
          <w:color w:val="auto"/>
        </w:rPr>
      </w:pPr>
      <w:r>
        <w:rPr>
          <w:rFonts w:ascii="Times New Roman" w:cs="Times New Roman" w:eastAsia="Times New Roman" w:hAnsi="Times New Roman"/>
          <w:sz w:val="14"/>
          <w:szCs w:val="14"/>
          <w:color w:val="auto"/>
        </w:rPr>
        <w:t>then the Committee, with the consent of the Acquiring Company, may decide before the obtaining of such Control that an Award shall not Vest under Rule 12.1 or Rule 12.2 but shall be automatically surrendered in consideration for the grant of a new award which the Committee determines is equivalent to the Award it replaces except that it will be over shares in the Acquiring Company or some other company.</w:t>
      </w:r>
    </w:p>
    <w:p>
      <w:pPr>
        <w:spacing w:after="0" w:line="59" w:lineRule="exact"/>
        <w:rPr>
          <w:sz w:val="20"/>
          <w:szCs w:val="20"/>
          <w:color w:val="auto"/>
        </w:rPr>
      </w:pPr>
    </w:p>
    <w:p>
      <w:pPr>
        <w:ind w:left="460" w:right="320"/>
        <w:spacing w:after="0" w:line="259" w:lineRule="auto"/>
        <w:rPr>
          <w:sz w:val="20"/>
          <w:szCs w:val="20"/>
          <w:color w:val="auto"/>
        </w:rPr>
      </w:pPr>
      <w:r>
        <w:rPr>
          <w:rFonts w:ascii="Times New Roman" w:cs="Times New Roman" w:eastAsia="Times New Roman" w:hAnsi="Times New Roman"/>
          <w:sz w:val="14"/>
          <w:szCs w:val="14"/>
          <w:color w:val="auto"/>
        </w:rPr>
        <w:t>The Rules will apply to any new award granted under this Rule 12.4 as if references to Shares were references to shares over which the new award is granted and references to the Company were references to the company whose shares are subject to the new award.</w:t>
      </w:r>
    </w:p>
    <w:p>
      <w:pPr>
        <w:spacing w:after="0" w:line="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900"/>
          </w:cols>
          <w:pgMar w:left="420" w:top="1260" w:right="579" w:bottom="1440" w:gutter="0" w:footer="0" w:header="0"/>
        </w:sectPr>
      </w:pPr>
    </w:p>
    <w:bookmarkStart w:id="244" w:name="page245"/>
    <w:bookmarkEnd w:id="244"/>
    <w:p>
      <w:pPr>
        <w:ind w:left="460" w:right="300"/>
        <w:spacing w:after="0" w:line="292" w:lineRule="auto"/>
        <w:rPr>
          <w:sz w:val="20"/>
          <w:szCs w:val="20"/>
          <w:color w:val="auto"/>
        </w:rPr>
      </w:pPr>
      <w:r>
        <w:rPr>
          <w:rFonts w:ascii="Times New Roman" w:cs="Times New Roman" w:eastAsia="Times New Roman" w:hAnsi="Times New Roman"/>
          <w:sz w:val="14"/>
          <w:szCs w:val="14"/>
          <w:color w:val="auto"/>
        </w:rPr>
        <w:t>In the case of an Award granted to a US Taxpayer, Rule 12.4 shall be administered in a manner that either complies with Section 409A of the IRS Code, or in a manner that does not result in the Award becoming subject to Section 409A.</w:t>
      </w:r>
    </w:p>
    <w:p>
      <w:pPr>
        <w:spacing w:after="0" w:line="17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12.5</w:t>
      </w:r>
      <w:r>
        <w:rPr>
          <w:sz w:val="20"/>
          <w:szCs w:val="20"/>
          <w:color w:val="auto"/>
        </w:rPr>
        <w:tab/>
      </w:r>
      <w:r>
        <w:rPr>
          <w:rFonts w:ascii="Times New Roman" w:cs="Times New Roman" w:eastAsia="Times New Roman" w:hAnsi="Times New Roman"/>
          <w:sz w:val="14"/>
          <w:szCs w:val="14"/>
          <w:b w:val="1"/>
          <w:bCs w:val="1"/>
          <w:color w:val="auto"/>
        </w:rPr>
        <w:t>Corporate events: reduction in number of Vested Shares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If an Award Vests under any of Rules 12.1 to 12.3, the Committee shall determine in its absolute discretion, including by way of an agreement approved by the Committee, the number of</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Vested Shares of that Award. Without limitation to the generality of the foregoing, the Committee may determine that number by the following steps:</w:t>
      </w:r>
    </w:p>
    <w:p>
      <w:pPr>
        <w:spacing w:after="0" w:line="3" w:lineRule="exact"/>
        <w:rPr>
          <w:sz w:val="20"/>
          <w:szCs w:val="20"/>
          <w:color w:val="auto"/>
        </w:rPr>
      </w:pPr>
    </w:p>
    <w:p>
      <w:pPr>
        <w:ind w:left="960" w:hanging="515"/>
        <w:spacing w:after="0"/>
        <w:tabs>
          <w:tab w:leader="none" w:pos="960" w:val="left"/>
        </w:tabs>
        <w:numPr>
          <w:ilvl w:val="0"/>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applying any Performance Condition and any other condition imposed on the Vesting of the Award; and</w:t>
      </w:r>
    </w:p>
    <w:p>
      <w:pPr>
        <w:spacing w:after="0" w:line="7" w:lineRule="exact"/>
        <w:rPr>
          <w:rFonts w:ascii="Times New Roman" w:cs="Times New Roman" w:eastAsia="Times New Roman" w:hAnsi="Times New Roman"/>
          <w:sz w:val="14"/>
          <w:szCs w:val="14"/>
          <w:color w:val="auto"/>
        </w:rPr>
      </w:pPr>
    </w:p>
    <w:p>
      <w:pPr>
        <w:ind w:left="960" w:right="20" w:hanging="514"/>
        <w:spacing w:after="0" w:line="295" w:lineRule="auto"/>
        <w:tabs>
          <w:tab w:leader="none" w:pos="950" w:val="left"/>
        </w:tabs>
        <w:numPr>
          <w:ilvl w:val="0"/>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Rule 11.2 (</w:t>
      </w:r>
      <w:r>
        <w:rPr>
          <w:rFonts w:ascii="Times New Roman" w:cs="Times New Roman" w:eastAsia="Times New Roman" w:hAnsi="Times New Roman"/>
          <w:sz w:val="14"/>
          <w:szCs w:val="14"/>
          <w:i w:val="1"/>
          <w:iCs w:val="1"/>
          <w:color w:val="auto"/>
        </w:rPr>
        <w:t>Leavers: reduction in number of Vested Shares</w:t>
      </w:r>
      <w:r>
        <w:rPr>
          <w:rFonts w:ascii="Times New Roman" w:cs="Times New Roman" w:eastAsia="Times New Roman" w:hAnsi="Times New Roman"/>
          <w:sz w:val="14"/>
          <w:szCs w:val="14"/>
          <w:color w:val="auto"/>
        </w:rPr>
        <w:t>), and if the Committee so decides, by applying such reduction to the number of Shares determined under Rule 12.5(a) as it sees fit (such reduction to be, unless it decides otherwise, on such pro-rata basis as it may determine).</w:t>
      </w:r>
    </w:p>
    <w:p>
      <w:pPr>
        <w:spacing w:after="0" w:line="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If an Award Vests under any of Rules 12.1 to 12.3 after the holder of that Award has ceased to be a Connected Person then Rule 1125 shall take precedence over this Rule 12.5.</w:t>
      </w:r>
    </w:p>
    <w:p>
      <w:pPr>
        <w:spacing w:after="0" w:line="236" w:lineRule="exact"/>
        <w:rPr>
          <w:sz w:val="20"/>
          <w:szCs w:val="20"/>
          <w:color w:val="auto"/>
        </w:rPr>
      </w:pPr>
    </w:p>
    <w:p>
      <w:pPr>
        <w:ind w:left="440" w:hanging="432"/>
        <w:spacing w:after="0"/>
        <w:tabs>
          <w:tab w:leader="none" w:pos="440" w:val="left"/>
        </w:tabs>
        <w:numPr>
          <w:ilvl w:val="0"/>
          <w:numId w:val="2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ADJUSTMENT OF AWARDS</w:t>
      </w:r>
    </w:p>
    <w:p>
      <w:pPr>
        <w:spacing w:after="0" w:line="25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13.1</w:t>
      </w:r>
      <w:r>
        <w:rPr>
          <w:sz w:val="20"/>
          <w:szCs w:val="20"/>
          <w:color w:val="auto"/>
        </w:rPr>
        <w:tab/>
      </w:r>
      <w:r>
        <w:rPr>
          <w:rFonts w:ascii="Times New Roman" w:cs="Times New Roman" w:eastAsia="Times New Roman" w:hAnsi="Times New Roman"/>
          <w:sz w:val="14"/>
          <w:szCs w:val="14"/>
          <w:b w:val="1"/>
          <w:bCs w:val="1"/>
          <w:color w:val="auto"/>
        </w:rPr>
        <w:t>General rule</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In the event of:</w:t>
      </w:r>
    </w:p>
    <w:p>
      <w:pPr>
        <w:ind w:left="960" w:hanging="515"/>
        <w:spacing w:after="0"/>
        <w:tabs>
          <w:tab w:leader="none" w:pos="960" w:val="left"/>
        </w:tabs>
        <w:numPr>
          <w:ilvl w:val="0"/>
          <w:numId w:val="2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variation of the share capital of the Company; or</w:t>
      </w:r>
    </w:p>
    <w:p>
      <w:pPr>
        <w:ind w:left="960" w:hanging="515"/>
        <w:spacing w:after="0"/>
        <w:tabs>
          <w:tab w:leader="none" w:pos="960" w:val="left"/>
        </w:tabs>
        <w:numPr>
          <w:ilvl w:val="0"/>
          <w:numId w:val="2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demerger, special dividend or other similar event which affects the market price of Shares to a material extent</w:t>
      </w:r>
    </w:p>
    <w:p>
      <w:pPr>
        <w:spacing w:after="0" w:line="87" w:lineRule="exact"/>
        <w:rPr>
          <w:sz w:val="20"/>
          <w:szCs w:val="20"/>
          <w:color w:val="auto"/>
        </w:rPr>
      </w:pPr>
    </w:p>
    <w:p>
      <w:pPr>
        <w:ind w:left="460" w:right="920"/>
        <w:spacing w:after="0" w:line="295" w:lineRule="auto"/>
        <w:rPr>
          <w:sz w:val="20"/>
          <w:szCs w:val="20"/>
          <w:color w:val="auto"/>
        </w:rPr>
      </w:pPr>
      <w:r>
        <w:rPr>
          <w:rFonts w:ascii="Times New Roman" w:cs="Times New Roman" w:eastAsia="Times New Roman" w:hAnsi="Times New Roman"/>
          <w:sz w:val="14"/>
          <w:szCs w:val="14"/>
          <w:color w:val="auto"/>
        </w:rPr>
        <w:t>the Committee may make such adjustments as it considers appropriate under Rule 13.2 (</w:t>
      </w:r>
      <w:r>
        <w:rPr>
          <w:rFonts w:ascii="Times New Roman" w:cs="Times New Roman" w:eastAsia="Times New Roman" w:hAnsi="Times New Roman"/>
          <w:sz w:val="14"/>
          <w:szCs w:val="14"/>
          <w:i w:val="1"/>
          <w:iCs w:val="1"/>
          <w:color w:val="auto"/>
        </w:rPr>
        <w:t>Method of adjustment</w:t>
      </w:r>
      <w:r>
        <w:rPr>
          <w:rFonts w:ascii="Times New Roman" w:cs="Times New Roman" w:eastAsia="Times New Roman" w:hAnsi="Times New Roman"/>
          <w:sz w:val="14"/>
          <w:szCs w:val="14"/>
          <w:color w:val="auto"/>
        </w:rPr>
        <w:t>) taking into account, where relevant, any adjustment to the related holding of Investment Shares under Rule 3.4 (</w:t>
      </w:r>
      <w:r>
        <w:rPr>
          <w:rFonts w:ascii="Times New Roman" w:cs="Times New Roman" w:eastAsia="Times New Roman" w:hAnsi="Times New Roman"/>
          <w:sz w:val="14"/>
          <w:szCs w:val="14"/>
          <w:i w:val="1"/>
          <w:iCs w:val="1"/>
          <w:color w:val="auto"/>
        </w:rPr>
        <w:t>Variation of share capital – Investment Shares</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13.2</w:t>
      </w:r>
      <w:r>
        <w:rPr>
          <w:sz w:val="20"/>
          <w:szCs w:val="20"/>
          <w:color w:val="auto"/>
        </w:rPr>
        <w:tab/>
      </w:r>
      <w:r>
        <w:rPr>
          <w:rFonts w:ascii="Times New Roman" w:cs="Times New Roman" w:eastAsia="Times New Roman" w:hAnsi="Times New Roman"/>
          <w:sz w:val="14"/>
          <w:szCs w:val="14"/>
          <w:b w:val="1"/>
          <w:bCs w:val="1"/>
          <w:color w:val="auto"/>
        </w:rPr>
        <w:t>Method of adjustment</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An adjustment made under this Rule shall be to one or more of the following:</w:t>
      </w:r>
    </w:p>
    <w:p>
      <w:pPr>
        <w:ind w:left="960" w:hanging="515"/>
        <w:spacing w:after="0"/>
        <w:tabs>
          <w:tab w:leader="none" w:pos="960" w:val="left"/>
        </w:tabs>
        <w:numPr>
          <w:ilvl w:val="0"/>
          <w:numId w:val="2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comprised in an Award;</w:t>
      </w:r>
    </w:p>
    <w:p>
      <w:pPr>
        <w:ind w:left="960" w:hanging="515"/>
        <w:spacing w:after="0"/>
        <w:tabs>
          <w:tab w:leader="none" w:pos="960" w:val="left"/>
        </w:tabs>
        <w:numPr>
          <w:ilvl w:val="0"/>
          <w:numId w:val="2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Rule 13.3 (</w:t>
      </w:r>
      <w:r>
        <w:rPr>
          <w:rFonts w:ascii="Times New Roman" w:cs="Times New Roman" w:eastAsia="Times New Roman" w:hAnsi="Times New Roman"/>
          <w:sz w:val="14"/>
          <w:szCs w:val="14"/>
          <w:i w:val="1"/>
          <w:iCs w:val="1"/>
          <w:color w:val="auto"/>
        </w:rPr>
        <w:t>Adjustment below nominal value</w:t>
      </w:r>
      <w:r>
        <w:rPr>
          <w:rFonts w:ascii="Times New Roman" w:cs="Times New Roman" w:eastAsia="Times New Roman" w:hAnsi="Times New Roman"/>
          <w:sz w:val="14"/>
          <w:szCs w:val="14"/>
          <w:color w:val="auto"/>
        </w:rPr>
        <w:t>), the Option Price; and</w:t>
      </w:r>
    </w:p>
    <w:p>
      <w:pPr>
        <w:spacing w:after="0" w:line="7" w:lineRule="exact"/>
        <w:rPr>
          <w:rFonts w:ascii="Times New Roman" w:cs="Times New Roman" w:eastAsia="Times New Roman" w:hAnsi="Times New Roman"/>
          <w:sz w:val="14"/>
          <w:szCs w:val="14"/>
          <w:color w:val="auto"/>
        </w:rPr>
      </w:pPr>
    </w:p>
    <w:p>
      <w:pPr>
        <w:ind w:left="960" w:right="220" w:hanging="514"/>
        <w:spacing w:after="0" w:line="275" w:lineRule="auto"/>
        <w:tabs>
          <w:tab w:leader="none" w:pos="955" w:val="left"/>
        </w:tabs>
        <w:numPr>
          <w:ilvl w:val="0"/>
          <w:numId w:val="2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any Award has Vested or Option has been exercised but no Shares have been transferred or allotted after such Vesting or exercise, the number of Shares which may be so transferred or allotted and (if relevant) the price at which they may be acquired.</w:t>
      </w:r>
    </w:p>
    <w:p>
      <w:pPr>
        <w:spacing w:after="0" w:line="59" w:lineRule="exact"/>
        <w:rPr>
          <w:sz w:val="20"/>
          <w:szCs w:val="20"/>
          <w:color w:val="auto"/>
        </w:rPr>
      </w:pPr>
    </w:p>
    <w:p>
      <w:pPr>
        <w:ind w:left="460" w:right="740"/>
        <w:spacing w:after="0" w:line="259" w:lineRule="auto"/>
        <w:rPr>
          <w:sz w:val="20"/>
          <w:szCs w:val="20"/>
          <w:color w:val="auto"/>
        </w:rPr>
      </w:pPr>
      <w:r>
        <w:rPr>
          <w:rFonts w:ascii="Times New Roman" w:cs="Times New Roman" w:eastAsia="Times New Roman" w:hAnsi="Times New Roman"/>
          <w:sz w:val="14"/>
          <w:szCs w:val="14"/>
          <w:color w:val="auto"/>
        </w:rPr>
        <w:t>In the case of any Award granted to a US Taxpayer, any adjustment under this Rule 13.2 shall be made in a manner that complies with Sections 409A and, in the case of ISO Options, 424 of the Code.</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1000"/>
          </w:cols>
          <w:pgMar w:left="420" w:top="1262" w:right="479" w:bottom="1440" w:gutter="0" w:footer="0" w:header="0"/>
        </w:sectPr>
      </w:pPr>
    </w:p>
    <w:bookmarkStart w:id="245" w:name="page246"/>
    <w:bookmarkEnd w:id="245"/>
    <w:p>
      <w:pPr>
        <w:spacing w:after="0"/>
        <w:tabs>
          <w:tab w:leader="none" w:pos="420" w:val="left"/>
        </w:tabs>
        <w:rPr>
          <w:sz w:val="20"/>
          <w:szCs w:val="20"/>
          <w:color w:val="auto"/>
        </w:rPr>
      </w:pPr>
      <w:r>
        <w:rPr>
          <w:rFonts w:ascii="Times New Roman" w:cs="Times New Roman" w:eastAsia="Times New Roman" w:hAnsi="Times New Roman"/>
          <w:sz w:val="14"/>
          <w:szCs w:val="14"/>
          <w:color w:val="auto"/>
        </w:rPr>
        <w:t>13.3</w:t>
      </w:r>
      <w:r>
        <w:rPr>
          <w:sz w:val="20"/>
          <w:szCs w:val="20"/>
          <w:color w:val="auto"/>
        </w:rPr>
        <w:tab/>
      </w:r>
      <w:r>
        <w:rPr>
          <w:rFonts w:ascii="Times New Roman" w:cs="Times New Roman" w:eastAsia="Times New Roman" w:hAnsi="Times New Roman"/>
          <w:sz w:val="14"/>
          <w:szCs w:val="14"/>
          <w:b w:val="1"/>
          <w:bCs w:val="1"/>
          <w:color w:val="auto"/>
        </w:rPr>
        <w:t>Adjustment below nominalvalue</w:t>
      </w:r>
    </w:p>
    <w:p>
      <w:pPr>
        <w:spacing w:after="0" w:line="107" w:lineRule="exact"/>
        <w:rPr>
          <w:sz w:val="20"/>
          <w:szCs w:val="20"/>
          <w:color w:val="auto"/>
        </w:rPr>
      </w:pPr>
    </w:p>
    <w:p>
      <w:pPr>
        <w:ind w:left="460" w:right="400"/>
        <w:spacing w:after="0" w:line="266" w:lineRule="auto"/>
        <w:rPr>
          <w:sz w:val="20"/>
          <w:szCs w:val="20"/>
          <w:color w:val="auto"/>
        </w:rPr>
      </w:pPr>
      <w:r>
        <w:rPr>
          <w:rFonts w:ascii="Times New Roman" w:cs="Times New Roman" w:eastAsia="Times New Roman" w:hAnsi="Times New Roman"/>
          <w:sz w:val="14"/>
          <w:szCs w:val="14"/>
          <w:color w:val="auto"/>
        </w:rPr>
        <w:t>An adjustment under Rule 13.2 may have the effect of reducing the price at which Shares may be subscribed for on the exercise of an Option to less than their nominal value, but only if and to the extent that the Board is authorised:</w:t>
      </w:r>
    </w:p>
    <w:p>
      <w:pPr>
        <w:spacing w:after="0" w:line="1" w:lineRule="exact"/>
        <w:rPr>
          <w:sz w:val="20"/>
          <w:szCs w:val="20"/>
          <w:color w:val="auto"/>
        </w:rPr>
      </w:pPr>
    </w:p>
    <w:p>
      <w:pPr>
        <w:ind w:left="960" w:right="100" w:hanging="514"/>
        <w:spacing w:after="0" w:line="261" w:lineRule="auto"/>
        <w:tabs>
          <w:tab w:leader="none" w:pos="955" w:val="left"/>
        </w:tabs>
        <w:numPr>
          <w:ilvl w:val="0"/>
          <w:numId w:val="2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capitalise from the reserves of the Company a sum equal to the amount by which the nominal value of the Shares in respect of which the Option is exercised and which are to be allotted after such exercise exceeds the price at which the Shares may be subscribed for; and</w:t>
      </w:r>
    </w:p>
    <w:p>
      <w:pPr>
        <w:ind w:left="960" w:hanging="515"/>
        <w:spacing w:after="0"/>
        <w:tabs>
          <w:tab w:leader="none" w:pos="960" w:val="left"/>
        </w:tabs>
        <w:numPr>
          <w:ilvl w:val="0"/>
          <w:numId w:val="2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apply that sum in paying up such amount on such Shares</w:t>
      </w:r>
    </w:p>
    <w:p>
      <w:pPr>
        <w:spacing w:after="0" w:line="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so that on exercise of any Option in respect of which such a reduction shall have been made the Board shall capitalise that sum (if any) and apply it in paying up that amount.</w:t>
      </w:r>
    </w:p>
    <w:p>
      <w:pPr>
        <w:spacing w:after="0" w:line="236" w:lineRule="exact"/>
        <w:rPr>
          <w:sz w:val="20"/>
          <w:szCs w:val="20"/>
          <w:color w:val="auto"/>
        </w:rPr>
      </w:pPr>
    </w:p>
    <w:p>
      <w:pPr>
        <w:ind w:left="440" w:hanging="432"/>
        <w:spacing w:after="0"/>
        <w:tabs>
          <w:tab w:leader="none" w:pos="440" w:val="left"/>
        </w:tabs>
        <w:numPr>
          <w:ilvl w:val="0"/>
          <w:numId w:val="2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ALTERATIONS</w:t>
      </w:r>
    </w:p>
    <w:p>
      <w:pPr>
        <w:spacing w:after="0" w:line="25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14.1</w:t>
      </w:r>
      <w:r>
        <w:rPr>
          <w:sz w:val="20"/>
          <w:szCs w:val="20"/>
          <w:color w:val="auto"/>
        </w:rPr>
        <w:tab/>
      </w:r>
      <w:r>
        <w:rPr>
          <w:rFonts w:ascii="Times New Roman" w:cs="Times New Roman" w:eastAsia="Times New Roman" w:hAnsi="Times New Roman"/>
          <w:sz w:val="14"/>
          <w:szCs w:val="14"/>
          <w:b w:val="1"/>
          <w:bCs w:val="1"/>
          <w:color w:val="auto"/>
        </w:rPr>
        <w:t>General rule on alterations</w:t>
      </w:r>
    </w:p>
    <w:p>
      <w:pPr>
        <w:spacing w:after="0" w:line="105" w:lineRule="exact"/>
        <w:rPr>
          <w:sz w:val="20"/>
          <w:szCs w:val="20"/>
          <w:color w:val="auto"/>
        </w:rPr>
      </w:pPr>
    </w:p>
    <w:p>
      <w:pPr>
        <w:ind w:left="460" w:right="100"/>
        <w:spacing w:after="0" w:line="277" w:lineRule="auto"/>
        <w:rPr>
          <w:sz w:val="20"/>
          <w:szCs w:val="20"/>
          <w:color w:val="auto"/>
        </w:rPr>
      </w:pPr>
      <w:r>
        <w:rPr>
          <w:rFonts w:ascii="Times New Roman" w:cs="Times New Roman" w:eastAsia="Times New Roman" w:hAnsi="Times New Roman"/>
          <w:sz w:val="14"/>
          <w:szCs w:val="14"/>
          <w:color w:val="auto"/>
        </w:rPr>
        <w:t>Except as described in Rule 14.2 (</w:t>
      </w:r>
      <w:r>
        <w:rPr>
          <w:rFonts w:ascii="Times New Roman" w:cs="Times New Roman" w:eastAsia="Times New Roman" w:hAnsi="Times New Roman"/>
          <w:sz w:val="14"/>
          <w:szCs w:val="14"/>
          <w:i w:val="1"/>
          <w:iCs w:val="1"/>
          <w:color w:val="auto"/>
        </w:rPr>
        <w:t>Shareholder approval</w:t>
      </w:r>
      <w:r>
        <w:rPr>
          <w:rFonts w:ascii="Times New Roman" w:cs="Times New Roman" w:eastAsia="Times New Roman" w:hAnsi="Times New Roman"/>
          <w:sz w:val="14"/>
          <w:szCs w:val="14"/>
          <w:color w:val="auto"/>
        </w:rPr>
        <w:t>) and Rule 14.4 (</w:t>
      </w:r>
      <w:r>
        <w:rPr>
          <w:rFonts w:ascii="Times New Roman" w:cs="Times New Roman" w:eastAsia="Times New Roman" w:hAnsi="Times New Roman"/>
          <w:sz w:val="14"/>
          <w:szCs w:val="14"/>
          <w:i w:val="1"/>
          <w:iCs w:val="1"/>
          <w:color w:val="auto"/>
        </w:rPr>
        <w:t>Alterations to disadvantage of Participants</w:t>
      </w:r>
      <w:r>
        <w:rPr>
          <w:rFonts w:ascii="Times New Roman" w:cs="Times New Roman" w:eastAsia="Times New Roman" w:hAnsi="Times New Roman"/>
          <w:sz w:val="14"/>
          <w:szCs w:val="14"/>
          <w:color w:val="auto"/>
        </w:rPr>
        <w:t>), the Committee may at any time alter the Plan or the terms of any Award including without limitation to modify Awards granted or to be granted to individuals who are nationals of a jurisdiction, or employed, outside the United Kingdom and the United States or establish sub-plans or procedures under the Plan to address differences in laws, rules, regulations or customs of such international jurisdictions with respect to tax, securities, currency, employee benefit or other matters.</w:t>
      </w:r>
    </w:p>
    <w:p>
      <w:pPr>
        <w:spacing w:after="0" w:line="18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14.2</w:t>
      </w:r>
      <w:r>
        <w:rPr>
          <w:sz w:val="20"/>
          <w:szCs w:val="20"/>
          <w:color w:val="auto"/>
        </w:rPr>
        <w:tab/>
      </w:r>
      <w:r>
        <w:rPr>
          <w:rFonts w:ascii="Times New Roman" w:cs="Times New Roman" w:eastAsia="Times New Roman" w:hAnsi="Times New Roman"/>
          <w:sz w:val="14"/>
          <w:szCs w:val="14"/>
          <w:b w:val="1"/>
          <w:bCs w:val="1"/>
          <w:color w:val="auto"/>
        </w:rPr>
        <w:t>Shareholder approval</w:t>
      </w:r>
    </w:p>
    <w:p>
      <w:pPr>
        <w:spacing w:after="0" w:line="105" w:lineRule="exact"/>
        <w:rPr>
          <w:sz w:val="20"/>
          <w:szCs w:val="20"/>
          <w:color w:val="auto"/>
        </w:rPr>
      </w:pPr>
    </w:p>
    <w:p>
      <w:pPr>
        <w:ind w:left="460" w:right="580"/>
        <w:spacing w:after="0" w:line="261" w:lineRule="auto"/>
        <w:rPr>
          <w:sz w:val="20"/>
          <w:szCs w:val="20"/>
          <w:color w:val="auto"/>
        </w:rPr>
      </w:pPr>
      <w:r>
        <w:rPr>
          <w:rFonts w:ascii="Times New Roman" w:cs="Times New Roman" w:eastAsia="Times New Roman" w:hAnsi="Times New Roman"/>
          <w:sz w:val="14"/>
          <w:szCs w:val="14"/>
          <w:color w:val="auto"/>
        </w:rPr>
        <w:t>Except as described in Rule 14.3 (</w:t>
      </w:r>
      <w:r>
        <w:rPr>
          <w:rFonts w:ascii="Times New Roman" w:cs="Times New Roman" w:eastAsia="Times New Roman" w:hAnsi="Times New Roman"/>
          <w:sz w:val="14"/>
          <w:szCs w:val="14"/>
          <w:i w:val="1"/>
          <w:iCs w:val="1"/>
          <w:color w:val="auto"/>
        </w:rPr>
        <w:t>Exceptions to shareholder approval</w:t>
      </w:r>
      <w:r>
        <w:rPr>
          <w:rFonts w:ascii="Times New Roman" w:cs="Times New Roman" w:eastAsia="Times New Roman" w:hAnsi="Times New Roman"/>
          <w:sz w:val="14"/>
          <w:szCs w:val="14"/>
          <w:color w:val="auto"/>
        </w:rPr>
        <w:t>), no alteration to the advantage of an individual to whom an Award has been or may be granted shall be made under Rule 14.1 to the provisions concerning:</w:t>
      </w:r>
    </w:p>
    <w:p>
      <w:pPr>
        <w:ind w:left="960" w:hanging="515"/>
        <w:spacing w:after="0"/>
        <w:tabs>
          <w:tab w:leader="none" w:pos="960" w:val="left"/>
        </w:tabs>
        <w:numPr>
          <w:ilvl w:val="0"/>
          <w:numId w:val="2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individual limits on participation;</w:t>
      </w:r>
    </w:p>
    <w:p>
      <w:pPr>
        <w:ind w:left="960" w:hanging="515"/>
        <w:spacing w:after="0"/>
        <w:tabs>
          <w:tab w:leader="none" w:pos="960" w:val="left"/>
        </w:tabs>
        <w:numPr>
          <w:ilvl w:val="0"/>
          <w:numId w:val="2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overall limits on the issue of Shares or the transfer of treasury Shares; and</w:t>
      </w:r>
    </w:p>
    <w:p>
      <w:pPr>
        <w:spacing w:after="0" w:line="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terms of this Rule 14.2 without the prior approval by ordinary resolution of the members of the Company in general meeting.</w:t>
      </w:r>
    </w:p>
    <w:p>
      <w:pPr>
        <w:spacing w:after="0" w:line="105" w:lineRule="exact"/>
        <w:rPr>
          <w:sz w:val="20"/>
          <w:szCs w:val="20"/>
          <w:color w:val="auto"/>
        </w:rPr>
      </w:pPr>
    </w:p>
    <w:p>
      <w:pPr>
        <w:jc w:val="both"/>
        <w:ind w:left="460"/>
        <w:spacing w:after="0" w:line="285" w:lineRule="auto"/>
        <w:rPr>
          <w:sz w:val="20"/>
          <w:szCs w:val="20"/>
          <w:color w:val="auto"/>
        </w:rPr>
      </w:pPr>
      <w:r>
        <w:rPr>
          <w:rFonts w:ascii="Times New Roman" w:cs="Times New Roman" w:eastAsia="Times New Roman" w:hAnsi="Times New Roman"/>
          <w:sz w:val="14"/>
          <w:szCs w:val="14"/>
          <w:color w:val="auto"/>
        </w:rPr>
        <w:t>In addition, the Company shall not have the authority to: (i) reduce the Option Price of any outstanding Options under the Plan, or (ii) cancel any outstanding Option that has an Option Price greater than the current Fair Market Value of the Shares in exchange for cash or other Awards under the Plan, unless the shareholders of the Company have approved such an action within twelve (12) months prior to such an event.</w:t>
      </w:r>
    </w:p>
    <w:p>
      <w:pPr>
        <w:spacing w:after="0" w:line="183"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14.3</w:t>
      </w:r>
      <w:r>
        <w:rPr>
          <w:sz w:val="20"/>
          <w:szCs w:val="20"/>
          <w:color w:val="auto"/>
        </w:rPr>
        <w:tab/>
      </w:r>
      <w:r>
        <w:rPr>
          <w:rFonts w:ascii="Times New Roman" w:cs="Times New Roman" w:eastAsia="Times New Roman" w:hAnsi="Times New Roman"/>
          <w:sz w:val="14"/>
          <w:szCs w:val="14"/>
          <w:b w:val="1"/>
          <w:bCs w:val="1"/>
          <w:color w:val="auto"/>
        </w:rPr>
        <w:t>Exceptions to shareholder approval</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Rule 14.2 (</w:t>
      </w:r>
      <w:r>
        <w:rPr>
          <w:rFonts w:ascii="Times New Roman" w:cs="Times New Roman" w:eastAsia="Times New Roman" w:hAnsi="Times New Roman"/>
          <w:sz w:val="14"/>
          <w:szCs w:val="14"/>
          <w:i w:val="1"/>
          <w:iCs w:val="1"/>
          <w:color w:val="auto"/>
        </w:rPr>
        <w:t>Shareholder approval</w:t>
      </w:r>
      <w:r>
        <w:rPr>
          <w:rFonts w:ascii="Times New Roman" w:cs="Times New Roman" w:eastAsia="Times New Roman" w:hAnsi="Times New Roman"/>
          <w:sz w:val="14"/>
          <w:szCs w:val="14"/>
          <w:color w:val="auto"/>
        </w:rPr>
        <w:t>) shall not apply to:</w:t>
      </w:r>
    </w:p>
    <w:p>
      <w:pPr>
        <w:spacing w:after="0" w:line="27" w:lineRule="exact"/>
        <w:rPr>
          <w:sz w:val="20"/>
          <w:szCs w:val="20"/>
          <w:color w:val="auto"/>
        </w:rPr>
      </w:pPr>
    </w:p>
    <w:p>
      <w:pPr>
        <w:ind w:left="960" w:right="700" w:hanging="514"/>
        <w:spacing w:after="0" w:line="259" w:lineRule="auto"/>
        <w:tabs>
          <w:tab w:leader="none" w:pos="955" w:val="left"/>
        </w:tabs>
        <w:numPr>
          <w:ilvl w:val="0"/>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minor alteration to benefit the administration of the Plan, to take account of a change in legislation or to obtain or maintain favourable tax, exchange control or regulatory treatment for Participants or any Group Member; or</w:t>
      </w:r>
    </w:p>
    <w:p>
      <w:pPr>
        <w:spacing w:after="0" w:line="1" w:lineRule="exact"/>
        <w:rPr>
          <w:rFonts w:ascii="Times New Roman" w:cs="Times New Roman" w:eastAsia="Times New Roman" w:hAnsi="Times New Roman"/>
          <w:sz w:val="14"/>
          <w:szCs w:val="14"/>
          <w:color w:val="auto"/>
        </w:rPr>
      </w:pPr>
    </w:p>
    <w:p>
      <w:pPr>
        <w:ind w:left="960" w:hanging="515"/>
        <w:spacing w:after="0" w:line="238" w:lineRule="auto"/>
        <w:tabs>
          <w:tab w:leader="none" w:pos="960" w:val="left"/>
        </w:tabs>
        <w:numPr>
          <w:ilvl w:val="0"/>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alteration relating to the Performance Condition made under Rule 14.5; or</w:t>
      </w:r>
    </w:p>
    <w:p>
      <w:pPr>
        <w:jc w:val="center"/>
        <w:ind w:right="-119"/>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0920"/>
          </w:cols>
          <w:pgMar w:left="420" w:top="1233" w:right="559" w:bottom="1440" w:gutter="0" w:footer="0" w:header="0"/>
        </w:sectPr>
      </w:pPr>
    </w:p>
    <w:bookmarkStart w:id="246" w:name="page247"/>
    <w:bookmarkEnd w:id="246"/>
    <w:p>
      <w:pPr>
        <w:ind w:left="960" w:hanging="515"/>
        <w:spacing w:after="0"/>
        <w:tabs>
          <w:tab w:leader="none" w:pos="960" w:val="left"/>
        </w:tabs>
        <w:numPr>
          <w:ilvl w:val="0"/>
          <w:numId w:val="2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avoidance of doubt, any alteration not named in Rule 14.2.</w:t>
      </w:r>
    </w:p>
    <w:p>
      <w:pPr>
        <w:spacing w:after="0" w:line="23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14.4</w:t>
      </w:r>
      <w:r>
        <w:rPr>
          <w:sz w:val="20"/>
          <w:szCs w:val="20"/>
          <w:color w:val="auto"/>
        </w:rPr>
        <w:tab/>
      </w:r>
      <w:r>
        <w:rPr>
          <w:rFonts w:ascii="Times New Roman" w:cs="Times New Roman" w:eastAsia="Times New Roman" w:hAnsi="Times New Roman"/>
          <w:sz w:val="14"/>
          <w:szCs w:val="14"/>
          <w:b w:val="1"/>
          <w:bCs w:val="1"/>
          <w:color w:val="auto"/>
        </w:rPr>
        <w:t>Alterations to disadvantage of Participants</w:t>
      </w:r>
    </w:p>
    <w:p>
      <w:pPr>
        <w:spacing w:after="0" w:line="1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No alteration to the material disadvantage of Participants (other than a change to any Performance Condition) shall be made under Rule 14.1 unless:</w:t>
      </w:r>
    </w:p>
    <w:p>
      <w:pPr>
        <w:spacing w:after="0" w:line="23" w:lineRule="exact"/>
        <w:rPr>
          <w:sz w:val="20"/>
          <w:szCs w:val="20"/>
          <w:color w:val="auto"/>
        </w:rPr>
      </w:pPr>
    </w:p>
    <w:p>
      <w:pPr>
        <w:ind w:left="960" w:hanging="515"/>
        <w:spacing w:after="0"/>
        <w:tabs>
          <w:tab w:leader="none" w:pos="960" w:val="left"/>
        </w:tabs>
        <w:numPr>
          <w:ilvl w:val="0"/>
          <w:numId w:val="2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shall have invited every relevant Participant to indicate whether or not he approves the alteration; and</w:t>
      </w:r>
    </w:p>
    <w:p>
      <w:pPr>
        <w:spacing w:after="0" w:line="3" w:lineRule="exact"/>
        <w:rPr>
          <w:rFonts w:ascii="Times New Roman" w:cs="Times New Roman" w:eastAsia="Times New Roman" w:hAnsi="Times New Roman"/>
          <w:sz w:val="14"/>
          <w:szCs w:val="14"/>
          <w:color w:val="auto"/>
        </w:rPr>
      </w:pPr>
    </w:p>
    <w:p>
      <w:pPr>
        <w:ind w:left="960" w:hanging="515"/>
        <w:spacing w:after="0"/>
        <w:tabs>
          <w:tab w:leader="none" w:pos="960" w:val="left"/>
        </w:tabs>
        <w:numPr>
          <w:ilvl w:val="0"/>
          <w:numId w:val="2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alteration is approved by a majority of those Participants who have given such an indication.</w:t>
      </w:r>
    </w:p>
    <w:p>
      <w:pPr>
        <w:spacing w:after="0" w:line="89" w:lineRule="exact"/>
        <w:rPr>
          <w:sz w:val="20"/>
          <w:szCs w:val="20"/>
          <w:color w:val="auto"/>
        </w:rPr>
      </w:pPr>
    </w:p>
    <w:p>
      <w:pPr>
        <w:jc w:val="both"/>
        <w:ind w:left="460" w:right="140"/>
        <w:spacing w:after="0" w:line="275" w:lineRule="auto"/>
        <w:rPr>
          <w:sz w:val="20"/>
          <w:szCs w:val="20"/>
          <w:color w:val="auto"/>
        </w:rPr>
      </w:pPr>
      <w:r>
        <w:rPr>
          <w:rFonts w:ascii="Times New Roman" w:cs="Times New Roman" w:eastAsia="Times New Roman" w:hAnsi="Times New Roman"/>
          <w:sz w:val="14"/>
          <w:szCs w:val="14"/>
          <w:color w:val="auto"/>
        </w:rPr>
        <w:t>Notwithstanding the foregoing, the Board may amend the Plan so as to apply to existing Awards, or the terms of an Award, without such approval to: correct what they consider to be an error in the drafting of the Plan or the Award documentation which is evidently an error from the wording of the Plan or the Award documentation; clarify the manner of exemption from, or to bring the Award into compliance with, Section 409A; or to comply with other applicable laws, regulations, ruling, judicial decision or listing requirements.</w:t>
      </w:r>
    </w:p>
    <w:p>
      <w:pPr>
        <w:spacing w:after="0" w:line="190"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14.5</w:t>
      </w:r>
      <w:r>
        <w:rPr>
          <w:sz w:val="20"/>
          <w:szCs w:val="20"/>
          <w:color w:val="auto"/>
        </w:rPr>
        <w:tab/>
      </w:r>
      <w:r>
        <w:rPr>
          <w:rFonts w:ascii="Times New Roman" w:cs="Times New Roman" w:eastAsia="Times New Roman" w:hAnsi="Times New Roman"/>
          <w:sz w:val="14"/>
          <w:szCs w:val="14"/>
          <w:b w:val="1"/>
          <w:bCs w:val="1"/>
          <w:color w:val="auto"/>
        </w:rPr>
        <w:t>Alterations to a Performance Condition</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Committee may amend any Performance Condition without prior shareholder approval if:</w:t>
      </w:r>
    </w:p>
    <w:p>
      <w:pPr>
        <w:spacing w:after="0" w:line="25" w:lineRule="exact"/>
        <w:rPr>
          <w:sz w:val="20"/>
          <w:szCs w:val="20"/>
          <w:color w:val="auto"/>
        </w:rPr>
      </w:pPr>
    </w:p>
    <w:p>
      <w:pPr>
        <w:ind w:left="960" w:hanging="514"/>
        <w:spacing w:after="0"/>
        <w:tabs>
          <w:tab w:leader="none" w:pos="960" w:val="left"/>
        </w:tabs>
        <w:numPr>
          <w:ilvl w:val="1"/>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event has occurred which causes the Committee reasonably to consider that it would be appropriate to amend the Performance Condition; and</w:t>
      </w:r>
    </w:p>
    <w:p>
      <w:pPr>
        <w:spacing w:after="0" w:line="14" w:lineRule="exact"/>
        <w:rPr>
          <w:rFonts w:ascii="Times New Roman" w:cs="Times New Roman" w:eastAsia="Times New Roman" w:hAnsi="Times New Roman"/>
          <w:sz w:val="14"/>
          <w:szCs w:val="14"/>
          <w:color w:val="auto"/>
        </w:rPr>
      </w:pPr>
    </w:p>
    <w:p>
      <w:pPr>
        <w:ind w:left="960" w:hanging="515"/>
        <w:spacing w:after="0"/>
        <w:tabs>
          <w:tab w:leader="none" w:pos="960" w:val="left"/>
        </w:tabs>
        <w:numPr>
          <w:ilvl w:val="1"/>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Committee shall act fairly and reasonably in making the alteration.</w:t>
      </w:r>
    </w:p>
    <w:p>
      <w:pPr>
        <w:spacing w:after="0" w:line="233" w:lineRule="exact"/>
        <w:rPr>
          <w:rFonts w:ascii="Times New Roman" w:cs="Times New Roman" w:eastAsia="Times New Roman" w:hAnsi="Times New Roman"/>
          <w:sz w:val="14"/>
          <w:szCs w:val="14"/>
          <w:color w:val="auto"/>
        </w:rPr>
      </w:pPr>
    </w:p>
    <w:p>
      <w:pPr>
        <w:ind w:left="440" w:hanging="432"/>
        <w:spacing w:after="0"/>
        <w:tabs>
          <w:tab w:leader="none" w:pos="440" w:val="left"/>
        </w:tabs>
        <w:numPr>
          <w:ilvl w:val="0"/>
          <w:numId w:val="2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MISCELLANEOUS</w:t>
      </w:r>
    </w:p>
    <w:p>
      <w:pPr>
        <w:spacing w:after="0" w:line="238"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15.1</w:t>
      </w:r>
      <w:r>
        <w:rPr>
          <w:sz w:val="20"/>
          <w:szCs w:val="20"/>
          <w:color w:val="auto"/>
        </w:rPr>
        <w:tab/>
      </w:r>
      <w:r>
        <w:rPr>
          <w:rFonts w:ascii="Times New Roman" w:cs="Times New Roman" w:eastAsia="Times New Roman" w:hAnsi="Times New Roman"/>
          <w:sz w:val="14"/>
          <w:szCs w:val="14"/>
          <w:b w:val="1"/>
          <w:bCs w:val="1"/>
          <w:color w:val="auto"/>
        </w:rPr>
        <w:t>Employment, office or consultancy</w:t>
      </w:r>
    </w:p>
    <w:p>
      <w:pPr>
        <w:spacing w:after="0" w:line="107" w:lineRule="exact"/>
        <w:rPr>
          <w:sz w:val="20"/>
          <w:szCs w:val="20"/>
          <w:color w:val="auto"/>
        </w:rPr>
      </w:pPr>
    </w:p>
    <w:p>
      <w:pPr>
        <w:ind w:left="460" w:right="320"/>
        <w:spacing w:after="0" w:line="271" w:lineRule="auto"/>
        <w:rPr>
          <w:sz w:val="20"/>
          <w:szCs w:val="20"/>
          <w:color w:val="auto"/>
        </w:rPr>
      </w:pPr>
      <w:r>
        <w:rPr>
          <w:rFonts w:ascii="Times New Roman" w:cs="Times New Roman" w:eastAsia="Times New Roman" w:hAnsi="Times New Roman"/>
          <w:sz w:val="14"/>
          <w:szCs w:val="14"/>
          <w:color w:val="auto"/>
        </w:rPr>
        <w:t>The rights and obligations of any individual under the terms of his office or employment with any Group Member, or the contract pursuant to which he is a Consultant, shall not be affected by his participation in the Plan or any right which he may have to participate in it. An individual who participates in the Plan waives any and all rights to compensation or damages in consequence of the termination of his office, employment or consultancy for any reason whatsoever insofar as those rights arise or may arise from him ceasing to have rights under an Award as a result of such termination. Participation in the Plan shall not confer a right to continued employment, office or consultancy upon any individual who participates in it.</w:t>
      </w:r>
    </w:p>
    <w:p>
      <w:pPr>
        <w:spacing w:after="0" w:line="19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15.2</w:t>
      </w:r>
      <w:r>
        <w:rPr>
          <w:sz w:val="20"/>
          <w:szCs w:val="20"/>
          <w:color w:val="auto"/>
        </w:rPr>
        <w:tab/>
      </w:r>
      <w:r>
        <w:rPr>
          <w:rFonts w:ascii="Times New Roman" w:cs="Times New Roman" w:eastAsia="Times New Roman" w:hAnsi="Times New Roman"/>
          <w:sz w:val="14"/>
          <w:szCs w:val="14"/>
          <w:b w:val="1"/>
          <w:bCs w:val="1"/>
          <w:color w:val="auto"/>
        </w:rPr>
        <w:t>No implied right to participate</w:t>
      </w:r>
    </w:p>
    <w:p>
      <w:pPr>
        <w:spacing w:after="0" w:line="107" w:lineRule="exact"/>
        <w:rPr>
          <w:sz w:val="20"/>
          <w:szCs w:val="20"/>
          <w:color w:val="auto"/>
        </w:rPr>
      </w:pPr>
    </w:p>
    <w:p>
      <w:pPr>
        <w:jc w:val="both"/>
        <w:ind w:left="460"/>
        <w:spacing w:after="0" w:line="285" w:lineRule="auto"/>
        <w:rPr>
          <w:sz w:val="20"/>
          <w:szCs w:val="20"/>
          <w:color w:val="auto"/>
        </w:rPr>
      </w:pPr>
      <w:r>
        <w:rPr>
          <w:rFonts w:ascii="Times New Roman" w:cs="Times New Roman" w:eastAsia="Times New Roman" w:hAnsi="Times New Roman"/>
          <w:sz w:val="14"/>
          <w:szCs w:val="14"/>
          <w:color w:val="auto"/>
        </w:rPr>
        <w:t>No Connected Person has a right to participate in the Plan The grant of any Award does not imply that any further Award will be granted nor that a Participant has any right to receive any further Award. Participation in the Plan or the grant of Awards on a particular basis in any year does not create any right to or expectation of participation in the Plan or the grant of Awards on the same basis, or at all, in any future year.</w:t>
      </w:r>
    </w:p>
    <w:p>
      <w:pPr>
        <w:spacing w:after="0" w:line="183"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15.3</w:t>
      </w:r>
      <w:r>
        <w:rPr>
          <w:sz w:val="20"/>
          <w:szCs w:val="20"/>
          <w:color w:val="auto"/>
        </w:rPr>
        <w:tab/>
      </w:r>
      <w:r>
        <w:rPr>
          <w:rFonts w:ascii="Times New Roman" w:cs="Times New Roman" w:eastAsia="Times New Roman" w:hAnsi="Times New Roman"/>
          <w:sz w:val="14"/>
          <w:szCs w:val="14"/>
          <w:b w:val="1"/>
          <w:bCs w:val="1"/>
          <w:color w:val="auto"/>
        </w:rPr>
        <w:t>Disputes</w:t>
      </w:r>
    </w:p>
    <w:p>
      <w:pPr>
        <w:spacing w:after="0" w:line="121" w:lineRule="exact"/>
        <w:rPr>
          <w:sz w:val="20"/>
          <w:szCs w:val="20"/>
          <w:color w:val="auto"/>
        </w:rPr>
      </w:pPr>
    </w:p>
    <w:p>
      <w:pPr>
        <w:ind w:left="460" w:right="300"/>
        <w:spacing w:after="0" w:line="259" w:lineRule="auto"/>
        <w:rPr>
          <w:sz w:val="20"/>
          <w:szCs w:val="20"/>
          <w:color w:val="auto"/>
        </w:rPr>
      </w:pPr>
      <w:r>
        <w:rPr>
          <w:rFonts w:ascii="Times New Roman" w:cs="Times New Roman" w:eastAsia="Times New Roman" w:hAnsi="Times New Roman"/>
          <w:sz w:val="14"/>
          <w:szCs w:val="14"/>
          <w:color w:val="auto"/>
        </w:rPr>
        <w:t>In the event of any dispute or disagreement as to the interpretation of the Plan, or as to any question or right arising from or relating to the Plan, the decision of the Committee shall be final and binding upon all persons.</w:t>
      </w:r>
    </w:p>
    <w:p>
      <w:pPr>
        <w:spacing w:after="0" w:line="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0960"/>
          </w:cols>
          <w:pgMar w:left="420" w:top="1235" w:right="519" w:bottom="1440" w:gutter="0" w:footer="0" w:header="0"/>
        </w:sectPr>
      </w:pPr>
    </w:p>
    <w:bookmarkStart w:id="247" w:name="page248"/>
    <w:bookmarkEnd w:id="247"/>
    <w:p>
      <w:pPr>
        <w:spacing w:after="0"/>
        <w:tabs>
          <w:tab w:leader="none" w:pos="420" w:val="left"/>
        </w:tabs>
        <w:rPr>
          <w:sz w:val="20"/>
          <w:szCs w:val="20"/>
          <w:color w:val="auto"/>
        </w:rPr>
      </w:pPr>
      <w:r>
        <w:rPr>
          <w:rFonts w:ascii="Times New Roman" w:cs="Times New Roman" w:eastAsia="Times New Roman" w:hAnsi="Times New Roman"/>
          <w:sz w:val="14"/>
          <w:szCs w:val="14"/>
          <w:color w:val="auto"/>
        </w:rPr>
        <w:t>15.4</w:t>
      </w:r>
      <w:r>
        <w:rPr>
          <w:sz w:val="20"/>
          <w:szCs w:val="20"/>
          <w:color w:val="auto"/>
        </w:rPr>
        <w:tab/>
      </w:r>
      <w:r>
        <w:rPr>
          <w:rFonts w:ascii="Times New Roman" w:cs="Times New Roman" w:eastAsia="Times New Roman" w:hAnsi="Times New Roman"/>
          <w:sz w:val="14"/>
          <w:szCs w:val="14"/>
          <w:b w:val="1"/>
          <w:bCs w:val="1"/>
          <w:color w:val="auto"/>
        </w:rPr>
        <w:t>Exercise of powers and discretions and delegation</w:t>
      </w:r>
    </w:p>
    <w:p>
      <w:pPr>
        <w:spacing w:after="0" w:line="25" w:lineRule="exact"/>
        <w:rPr>
          <w:sz w:val="20"/>
          <w:szCs w:val="20"/>
          <w:color w:val="auto"/>
        </w:rPr>
      </w:pPr>
    </w:p>
    <w:p>
      <w:pPr>
        <w:ind w:left="960" w:right="300" w:hanging="514"/>
        <w:spacing w:after="0" w:line="251" w:lineRule="auto"/>
        <w:tabs>
          <w:tab w:leader="none" w:pos="955" w:val="left"/>
        </w:tabs>
        <w:numPr>
          <w:ilvl w:val="0"/>
          <w:numId w:val="2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of any power or discretion by the Board or the Committee shall not be open to question by any person and a Participant or former Participant shall have no rights in relation to the exercise of or omission to exercise any such power or discretion.</w:t>
      </w:r>
    </w:p>
    <w:p>
      <w:pPr>
        <w:ind w:left="960" w:hanging="515"/>
        <w:spacing w:after="0"/>
        <w:tabs>
          <w:tab w:leader="none" w:pos="960" w:val="left"/>
        </w:tabs>
        <w:numPr>
          <w:ilvl w:val="0"/>
          <w:numId w:val="2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else to the contrary in these Rules, any matter to be determined in relation to an Award granted or to be</w:t>
      </w:r>
    </w:p>
    <w:p>
      <w:pPr>
        <w:spacing w:after="0" w:line="7" w:lineRule="exact"/>
        <w:rPr>
          <w:rFonts w:ascii="Times New Roman" w:cs="Times New Roman" w:eastAsia="Times New Roman" w:hAnsi="Times New Roman"/>
          <w:sz w:val="14"/>
          <w:szCs w:val="14"/>
          <w:color w:val="auto"/>
        </w:rPr>
      </w:pPr>
    </w:p>
    <w:p>
      <w:pPr>
        <w:ind w:left="960" w:right="460"/>
        <w:spacing w:after="0" w:line="25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granted to, or held by, the Company’s chief executive officer or its other executive officers must be determined or recommended to the full board of the Company for determination either by:</w:t>
      </w:r>
    </w:p>
    <w:p>
      <w:pPr>
        <w:ind w:left="1400" w:hanging="422"/>
        <w:spacing w:after="0"/>
        <w:tabs>
          <w:tab w:leader="none" w:pos="1400" w:val="left"/>
        </w:tabs>
        <w:numPr>
          <w:ilvl w:val="1"/>
          <w:numId w:val="2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independent directors constituting a majority of the board’s independent directors in a vote in which only independent directors participate; or</w:t>
      </w:r>
    </w:p>
    <w:p>
      <w:pPr>
        <w:spacing w:after="0" w:line="14" w:lineRule="exact"/>
        <w:rPr>
          <w:rFonts w:ascii="Times New Roman" w:cs="Times New Roman" w:eastAsia="Times New Roman" w:hAnsi="Times New Roman"/>
          <w:sz w:val="14"/>
          <w:szCs w:val="14"/>
          <w:color w:val="auto"/>
        </w:rPr>
      </w:pPr>
    </w:p>
    <w:p>
      <w:pPr>
        <w:ind w:left="1400" w:hanging="422"/>
        <w:spacing w:after="0"/>
        <w:tabs>
          <w:tab w:leader="none" w:pos="1400" w:val="left"/>
        </w:tabs>
        <w:numPr>
          <w:ilvl w:val="1"/>
          <w:numId w:val="2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compensation committee comprised solely of independent directors.</w:t>
      </w:r>
    </w:p>
    <w:p>
      <w:pPr>
        <w:spacing w:after="0" w:line="89" w:lineRule="exact"/>
        <w:rPr>
          <w:sz w:val="20"/>
          <w:szCs w:val="20"/>
          <w:color w:val="auto"/>
        </w:rPr>
      </w:pPr>
    </w:p>
    <w:p>
      <w:pPr>
        <w:ind w:left="980" w:right="40"/>
        <w:spacing w:after="0" w:line="264" w:lineRule="auto"/>
        <w:rPr>
          <w:sz w:val="20"/>
          <w:szCs w:val="20"/>
          <w:color w:val="auto"/>
        </w:rPr>
      </w:pPr>
      <w:r>
        <w:rPr>
          <w:rFonts w:ascii="Times New Roman" w:cs="Times New Roman" w:eastAsia="Times New Roman" w:hAnsi="Times New Roman"/>
          <w:sz w:val="14"/>
          <w:szCs w:val="14"/>
          <w:color w:val="auto"/>
        </w:rPr>
        <w:t>This Rule 15.4(b) shall be interpreted in accordance with the NASDAQ Listing Rules, save that “independent director” shall mean a person who is both an independent director within the meaning of the NASDAQ Listing Rules and a non-employee director within the meaning of Rule16b-3 under the Securities Exchange Act of 1934 of the United States (the “Exchange Act”).</w:t>
      </w:r>
    </w:p>
    <w:p>
      <w:pPr>
        <w:spacing w:after="0" w:line="1" w:lineRule="exact"/>
        <w:rPr>
          <w:sz w:val="20"/>
          <w:szCs w:val="20"/>
          <w:color w:val="auto"/>
        </w:rPr>
      </w:pPr>
    </w:p>
    <w:p>
      <w:pPr>
        <w:ind w:left="960" w:hanging="514"/>
        <w:spacing w:after="0" w:line="269" w:lineRule="auto"/>
        <w:tabs>
          <w:tab w:leader="none" w:pos="955" w:val="left"/>
        </w:tabs>
        <w:numPr>
          <w:ilvl w:val="0"/>
          <w:numId w:val="2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always to Rule 15.4(b), the Board or the Committee may delegate its powers to such person or persons as it determines, and on such terms as it determines, provided that the Board or Committee may not delegate its power and authority to the chief executive officer or other executive officer of the Company with regard to the selection for participation in the Plan of an officer, director or other person subject to Section 16 of the Exchange Act or decisions concerning the timing, pricing or amount of an Award granted to such an officer, director or other person.</w:t>
      </w:r>
    </w:p>
    <w:p>
      <w:pPr>
        <w:spacing w:after="0" w:line="19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15.5</w:t>
      </w:r>
      <w:r>
        <w:rPr>
          <w:sz w:val="20"/>
          <w:szCs w:val="20"/>
          <w:color w:val="auto"/>
        </w:rPr>
        <w:tab/>
      </w:r>
      <w:r>
        <w:rPr>
          <w:rFonts w:ascii="Times New Roman" w:cs="Times New Roman" w:eastAsia="Times New Roman" w:hAnsi="Times New Roman"/>
          <w:sz w:val="14"/>
          <w:szCs w:val="14"/>
          <w:b w:val="1"/>
          <w:bCs w:val="1"/>
          <w:color w:val="auto"/>
        </w:rPr>
        <w:t>Share rights</w:t>
      </w:r>
    </w:p>
    <w:p>
      <w:pPr>
        <w:spacing w:after="0" w:line="107" w:lineRule="exact"/>
        <w:rPr>
          <w:sz w:val="20"/>
          <w:szCs w:val="20"/>
          <w:color w:val="auto"/>
        </w:rPr>
      </w:pPr>
    </w:p>
    <w:p>
      <w:pPr>
        <w:ind w:left="460" w:right="260"/>
        <w:spacing w:after="0" w:line="312" w:lineRule="auto"/>
        <w:rPr>
          <w:sz w:val="20"/>
          <w:szCs w:val="20"/>
          <w:color w:val="auto"/>
        </w:rPr>
      </w:pPr>
      <w:r>
        <w:rPr>
          <w:rFonts w:ascii="Times New Roman" w:cs="Times New Roman" w:eastAsia="Times New Roman" w:hAnsi="Times New Roman"/>
          <w:sz w:val="14"/>
          <w:szCs w:val="14"/>
          <w:color w:val="auto"/>
        </w:rPr>
        <w:t>All Shares allotted under the Plan shall rank equally in all respects with Shares then in issue except for any rights attaching to such Shares by reference to a record date before the date of the allotment.</w:t>
      </w:r>
    </w:p>
    <w:p>
      <w:pPr>
        <w:spacing w:after="0" w:line="21" w:lineRule="exact"/>
        <w:rPr>
          <w:sz w:val="20"/>
          <w:szCs w:val="20"/>
          <w:color w:val="auto"/>
        </w:rPr>
      </w:pPr>
    </w:p>
    <w:p>
      <w:pPr>
        <w:ind w:left="460" w:right="140"/>
        <w:spacing w:after="0" w:line="292" w:lineRule="auto"/>
        <w:rPr>
          <w:sz w:val="20"/>
          <w:szCs w:val="20"/>
          <w:color w:val="auto"/>
        </w:rPr>
      </w:pPr>
      <w:r>
        <w:rPr>
          <w:rFonts w:ascii="Times New Roman" w:cs="Times New Roman" w:eastAsia="Times New Roman" w:hAnsi="Times New Roman"/>
          <w:sz w:val="14"/>
          <w:szCs w:val="14"/>
          <w:color w:val="auto"/>
        </w:rPr>
        <w:t>Where Vested Shares are transferred to Participants (or their nominee) they shall be entitled to all rights attaching to such Shares by reference to a record date on or after the date of such transfer.</w:t>
      </w:r>
    </w:p>
    <w:p>
      <w:pPr>
        <w:spacing w:after="0" w:line="19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15.6</w:t>
      </w:r>
      <w:r>
        <w:rPr>
          <w:sz w:val="20"/>
          <w:szCs w:val="20"/>
          <w:color w:val="auto"/>
        </w:rPr>
        <w:tab/>
      </w:r>
      <w:r>
        <w:rPr>
          <w:rFonts w:ascii="Times New Roman" w:cs="Times New Roman" w:eastAsia="Times New Roman" w:hAnsi="Times New Roman"/>
          <w:sz w:val="14"/>
          <w:szCs w:val="14"/>
          <w:b w:val="1"/>
          <w:bCs w:val="1"/>
          <w:color w:val="auto"/>
        </w:rPr>
        <w:t>Notices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Any notice or other communication under or in connection with the Plan may be given:</w:t>
      </w:r>
    </w:p>
    <w:p>
      <w:pPr>
        <w:spacing w:after="0" w:line="23" w:lineRule="exact"/>
        <w:rPr>
          <w:sz w:val="20"/>
          <w:szCs w:val="20"/>
          <w:color w:val="auto"/>
        </w:rPr>
      </w:pPr>
    </w:p>
    <w:p>
      <w:pPr>
        <w:ind w:left="960" w:right="380" w:hanging="514"/>
        <w:spacing w:after="0" w:line="264" w:lineRule="auto"/>
        <w:tabs>
          <w:tab w:leader="none" w:pos="955" w:val="left"/>
        </w:tabs>
        <w:numPr>
          <w:ilvl w:val="0"/>
          <w:numId w:val="2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personal delivery or by post, in the case of a company to its registered office, and in the case of an individual to his last known address, or, where he is a Connected Person, either to his last known address or to the address of the place of business at which he performs the whole or substantially the whole of the duties of his office, employment or other arrangement pursuant to which he is a Connected Person;</w:t>
      </w:r>
    </w:p>
    <w:p>
      <w:pPr>
        <w:spacing w:after="0" w:line="1" w:lineRule="exact"/>
        <w:rPr>
          <w:rFonts w:ascii="Times New Roman" w:cs="Times New Roman" w:eastAsia="Times New Roman" w:hAnsi="Times New Roman"/>
          <w:sz w:val="14"/>
          <w:szCs w:val="14"/>
          <w:color w:val="auto"/>
        </w:rPr>
      </w:pPr>
    </w:p>
    <w:p>
      <w:pPr>
        <w:ind w:left="960" w:hanging="514"/>
        <w:spacing w:after="0"/>
        <w:tabs>
          <w:tab w:leader="none" w:pos="960" w:val="left"/>
        </w:tabs>
        <w:numPr>
          <w:ilvl w:val="0"/>
          <w:numId w:val="2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 electronic communication to their usual business address or such other address for the time being notified for that purpose to the person giving the notice; or</w:t>
      </w:r>
    </w:p>
    <w:p>
      <w:pPr>
        <w:spacing w:after="0" w:line="3" w:lineRule="exact"/>
        <w:rPr>
          <w:rFonts w:ascii="Times New Roman" w:cs="Times New Roman" w:eastAsia="Times New Roman" w:hAnsi="Times New Roman"/>
          <w:sz w:val="14"/>
          <w:szCs w:val="14"/>
          <w:color w:val="auto"/>
        </w:rPr>
      </w:pPr>
    </w:p>
    <w:p>
      <w:pPr>
        <w:ind w:left="960" w:hanging="515"/>
        <w:spacing w:after="0" w:line="238" w:lineRule="auto"/>
        <w:tabs>
          <w:tab w:leader="none" w:pos="960" w:val="left"/>
        </w:tabs>
        <w:numPr>
          <w:ilvl w:val="0"/>
          <w:numId w:val="2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such other method as the Board determines.</w:t>
      </w:r>
    </w:p>
    <w:p>
      <w:pPr>
        <w:jc w:val="center"/>
        <w:ind w:right="-239"/>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0800"/>
          </w:cols>
          <w:pgMar w:left="420" w:top="1233" w:right="679" w:bottom="1440" w:gutter="0" w:footer="0" w:header="0"/>
        </w:sectPr>
      </w:pPr>
    </w:p>
    <w:bookmarkStart w:id="248" w:name="page249"/>
    <w:bookmarkEnd w:id="248"/>
    <w:p>
      <w:pPr>
        <w:spacing w:after="0"/>
        <w:tabs>
          <w:tab w:leader="none" w:pos="420" w:val="left"/>
        </w:tabs>
        <w:rPr>
          <w:sz w:val="20"/>
          <w:szCs w:val="20"/>
          <w:color w:val="auto"/>
        </w:rPr>
      </w:pPr>
      <w:r>
        <w:rPr>
          <w:rFonts w:ascii="Times New Roman" w:cs="Times New Roman" w:eastAsia="Times New Roman" w:hAnsi="Times New Roman"/>
          <w:sz w:val="14"/>
          <w:szCs w:val="14"/>
          <w:color w:val="auto"/>
        </w:rPr>
        <w:t>15.7</w:t>
      </w:r>
      <w:r>
        <w:rPr>
          <w:sz w:val="20"/>
          <w:szCs w:val="20"/>
          <w:color w:val="auto"/>
        </w:rPr>
        <w:tab/>
      </w:r>
      <w:r>
        <w:rPr>
          <w:rFonts w:ascii="Times New Roman" w:cs="Times New Roman" w:eastAsia="Times New Roman" w:hAnsi="Times New Roman"/>
          <w:sz w:val="14"/>
          <w:szCs w:val="14"/>
          <w:b w:val="1"/>
          <w:bCs w:val="1"/>
          <w:color w:val="auto"/>
        </w:rPr>
        <w:t>Third parties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No third party has any rights under the Contracts (Rights of Third Parties) Act 1999 to enforce any term of the Plan.</w:t>
      </w:r>
    </w:p>
    <w:p>
      <w:pPr>
        <w:spacing w:after="0" w:line="23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15.8</w:t>
      </w:r>
      <w:r>
        <w:rPr>
          <w:sz w:val="20"/>
          <w:szCs w:val="20"/>
          <w:color w:val="auto"/>
        </w:rPr>
        <w:tab/>
      </w:r>
      <w:r>
        <w:rPr>
          <w:rFonts w:ascii="Times New Roman" w:cs="Times New Roman" w:eastAsia="Times New Roman" w:hAnsi="Times New Roman"/>
          <w:sz w:val="14"/>
          <w:szCs w:val="14"/>
          <w:b w:val="1"/>
          <w:bCs w:val="1"/>
          <w:color w:val="auto"/>
        </w:rPr>
        <w:t>Benefits not pensionable</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Benefits provided under the Plan shall not be pensionable.</w:t>
      </w:r>
    </w:p>
    <w:p>
      <w:pPr>
        <w:spacing w:after="0" w:line="23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15.9</w:t>
      </w:r>
      <w:r>
        <w:rPr>
          <w:sz w:val="20"/>
          <w:szCs w:val="20"/>
          <w:color w:val="auto"/>
        </w:rPr>
        <w:tab/>
      </w:r>
      <w:r>
        <w:rPr>
          <w:rFonts w:ascii="Times New Roman" w:cs="Times New Roman" w:eastAsia="Times New Roman" w:hAnsi="Times New Roman"/>
          <w:sz w:val="14"/>
          <w:szCs w:val="14"/>
          <w:b w:val="1"/>
          <w:bCs w:val="1"/>
          <w:color w:val="auto"/>
        </w:rPr>
        <w:t>Data Protection</w:t>
      </w:r>
    </w:p>
    <w:p>
      <w:pPr>
        <w:spacing w:after="0" w:line="27" w:lineRule="exact"/>
        <w:rPr>
          <w:sz w:val="20"/>
          <w:szCs w:val="20"/>
          <w:color w:val="auto"/>
        </w:rPr>
      </w:pPr>
    </w:p>
    <w:p>
      <w:pPr>
        <w:ind w:left="960" w:hanging="514"/>
        <w:spacing w:after="0" w:line="261" w:lineRule="auto"/>
        <w:tabs>
          <w:tab w:leader="none" w:pos="955" w:val="left"/>
        </w:tabs>
        <w:numPr>
          <w:ilvl w:val="0"/>
          <w:numId w:val="2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As a condition for receiving any Award, each Participant acknowledges that the Company and any Subsidiary of the Company may collect, use and transfer, in electronic or other form, personal data as described in this section by and among the Company and its Subsidiaries and affiliates exclusively for implementing, administering and managing the Participant’s participation in the Plan. The Company (as above) may hold certain personal information about a Participant, including the Participant’s name, address and telephone number; birthdate; social security, insurance number or other identification number; salary; nationality; job title(s); any Shares held; and Award details, to implement, manage and administer the Plan and Awards (the </w:t>
      </w:r>
      <w:r>
        <w:rPr>
          <w:rFonts w:ascii="Times New Roman" w:cs="Times New Roman" w:eastAsia="Times New Roman" w:hAnsi="Times New Roman"/>
          <w:sz w:val="14"/>
          <w:szCs w:val="14"/>
          <w:b w:val="1"/>
          <w:bCs w:val="1"/>
          <w:color w:val="auto"/>
        </w:rPr>
        <w:t>“Data”</w:t>
      </w:r>
      <w:r>
        <w:rPr>
          <w:rFonts w:ascii="Times New Roman" w:cs="Times New Roman" w:eastAsia="Times New Roman" w:hAnsi="Times New Roman"/>
          <w:sz w:val="14"/>
          <w:szCs w:val="14"/>
          <w:color w:val="auto"/>
        </w:rPr>
        <w:t>). The Company (as above) may transfer the Data amongst themselves as necessary to implement, administer and manage a Participant’s participation in the Plan, and the Company (as above)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acknowledges that such recipients may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and recommend any necessary corrections to the Data regarding the Participant in writing, without cost, by contacting the local human resources representative.</w:t>
      </w:r>
    </w:p>
    <w:p>
      <w:pPr>
        <w:spacing w:after="0" w:line="3" w:lineRule="exact"/>
        <w:rPr>
          <w:rFonts w:ascii="Times New Roman" w:cs="Times New Roman" w:eastAsia="Times New Roman" w:hAnsi="Times New Roman"/>
          <w:sz w:val="14"/>
          <w:szCs w:val="14"/>
          <w:color w:val="auto"/>
        </w:rPr>
      </w:pPr>
    </w:p>
    <w:p>
      <w:pPr>
        <w:ind w:left="960" w:right="2140" w:hanging="515"/>
        <w:spacing w:after="0" w:line="234" w:lineRule="auto"/>
        <w:tabs>
          <w:tab w:leader="none" w:pos="949" w:val="left"/>
        </w:tabs>
        <w:numPr>
          <w:ilvl w:val="0"/>
          <w:numId w:val="2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purpose of operating the Plan in the European Union and the United Kingdom, the Company will collect and process information relating to Participants in accordance with the privacy notice which is provided to each Participant.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15.10  </w:t>
      </w:r>
      <w:r>
        <w:rPr>
          <w:rFonts w:ascii="Times New Roman" w:cs="Times New Roman" w:eastAsia="Times New Roman" w:hAnsi="Times New Roman"/>
          <w:sz w:val="14"/>
          <w:szCs w:val="14"/>
          <w:b w:val="1"/>
          <w:bCs w:val="1"/>
          <w:color w:val="auto"/>
        </w:rPr>
        <w:t>Governing law</w:t>
      </w:r>
    </w:p>
    <w:p>
      <w:pPr>
        <w:spacing w:after="0" w:line="107" w:lineRule="exact"/>
        <w:rPr>
          <w:sz w:val="20"/>
          <w:szCs w:val="20"/>
          <w:color w:val="auto"/>
        </w:rPr>
      </w:pPr>
    </w:p>
    <w:p>
      <w:pPr>
        <w:ind w:left="460" w:right="260"/>
        <w:spacing w:after="0" w:line="292" w:lineRule="auto"/>
        <w:rPr>
          <w:sz w:val="20"/>
          <w:szCs w:val="20"/>
          <w:color w:val="auto"/>
        </w:rPr>
      </w:pPr>
      <w:r>
        <w:rPr>
          <w:rFonts w:ascii="Times New Roman" w:cs="Times New Roman" w:eastAsia="Times New Roman" w:hAnsi="Times New Roman"/>
          <w:sz w:val="14"/>
          <w:szCs w:val="14"/>
          <w:color w:val="auto"/>
        </w:rPr>
        <w:t>The Plan and all Awards shall be governed by and construed in accordance with the laws of England and Wales and the Courts of England and Wales have exclusive jurisdiction to hear any dispute.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15.11  </w:t>
      </w:r>
      <w:r>
        <w:rPr>
          <w:rFonts w:ascii="Times New Roman" w:cs="Times New Roman" w:eastAsia="Times New Roman" w:hAnsi="Times New Roman"/>
          <w:sz w:val="14"/>
          <w:szCs w:val="14"/>
          <w:b w:val="1"/>
          <w:bCs w:val="1"/>
          <w:color w:val="auto"/>
        </w:rPr>
        <w:t>Section 409A</w:t>
      </w:r>
    </w:p>
    <w:p>
      <w:pPr>
        <w:spacing w:after="0" w:line="121" w:lineRule="exact"/>
        <w:rPr>
          <w:sz w:val="20"/>
          <w:szCs w:val="20"/>
          <w:color w:val="auto"/>
        </w:rPr>
      </w:pPr>
    </w:p>
    <w:p>
      <w:pPr>
        <w:ind w:left="460" w:right="700"/>
        <w:spacing w:after="0" w:line="259" w:lineRule="auto"/>
        <w:rPr>
          <w:sz w:val="20"/>
          <w:szCs w:val="20"/>
          <w:color w:val="auto"/>
        </w:rPr>
      </w:pPr>
      <w:r>
        <w:rPr>
          <w:rFonts w:ascii="Times New Roman" w:cs="Times New Roman" w:eastAsia="Times New Roman" w:hAnsi="Times New Roman"/>
          <w:sz w:val="14"/>
          <w:szCs w:val="14"/>
          <w:color w:val="auto"/>
        </w:rPr>
        <w:t>Although neither the Company, the Committee nor any Group Member guarantees any particular tax treatment to a US Participant, all Awards granted to US Taxpayers are intended to be exempt from, or compliant with, the application of Section 409A of the IRS Code:</w:t>
      </w:r>
    </w:p>
    <w:p>
      <w:pPr>
        <w:spacing w:after="0" w:line="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0880"/>
          </w:cols>
          <w:pgMar w:left="420" w:top="1233" w:right="599" w:bottom="1440" w:gutter="0" w:footer="0" w:header="0"/>
        </w:sectPr>
      </w:pPr>
    </w:p>
    <w:bookmarkStart w:id="249" w:name="page250"/>
    <w:bookmarkEnd w:id="249"/>
    <w:p>
      <w:pPr>
        <w:ind w:left="515" w:hanging="514"/>
        <w:spacing w:after="0"/>
        <w:tabs>
          <w:tab w:leader="none" w:pos="515" w:val="left"/>
        </w:tabs>
        <w:numPr>
          <w:ilvl w:val="0"/>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Awards other than Regular Options, pursuant to the short-term deferral exception set forth Treas. Regs. §1.409A-1(b)(4)); and</w:t>
      </w:r>
    </w:p>
    <w:p>
      <w:pPr>
        <w:spacing w:after="0" w:line="14" w:lineRule="exact"/>
        <w:rPr>
          <w:rFonts w:ascii="Times New Roman" w:cs="Times New Roman" w:eastAsia="Times New Roman" w:hAnsi="Times New Roman"/>
          <w:sz w:val="14"/>
          <w:szCs w:val="14"/>
          <w:color w:val="auto"/>
        </w:rPr>
      </w:pPr>
    </w:p>
    <w:p>
      <w:pPr>
        <w:ind w:left="515" w:hanging="515"/>
        <w:spacing w:after="0"/>
        <w:tabs>
          <w:tab w:leader="none" w:pos="515" w:val="left"/>
        </w:tabs>
        <w:numPr>
          <w:ilvl w:val="0"/>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Regular Options, as options which are exempt from Section 409A;</w:t>
      </w:r>
    </w:p>
    <w:p>
      <w:pPr>
        <w:spacing w:after="0" w:line="89" w:lineRule="exact"/>
        <w:rPr>
          <w:sz w:val="20"/>
          <w:szCs w:val="20"/>
          <w:color w:val="auto"/>
        </w:rPr>
      </w:pPr>
    </w:p>
    <w:p>
      <w:pPr>
        <w:ind w:left="15" w:right="620"/>
        <w:spacing w:after="0" w:line="267" w:lineRule="auto"/>
        <w:rPr>
          <w:sz w:val="20"/>
          <w:szCs w:val="20"/>
          <w:color w:val="auto"/>
        </w:rPr>
      </w:pPr>
      <w:r>
        <w:rPr>
          <w:rFonts w:ascii="Times New Roman" w:cs="Times New Roman" w:eastAsia="Times New Roman" w:hAnsi="Times New Roman"/>
          <w:sz w:val="14"/>
          <w:szCs w:val="14"/>
          <w:color w:val="auto"/>
        </w:rPr>
        <w:t>and this Plan shall be limited, construed and administered consistent with that intent. Accordingly, notwithstanding any Rule in the Plan to the contrary, in the case of Awards granted to US Taxpayers:</w:t>
      </w:r>
    </w:p>
    <w:p>
      <w:pPr>
        <w:spacing w:after="0" w:line="1" w:lineRule="exact"/>
        <w:rPr>
          <w:sz w:val="20"/>
          <w:szCs w:val="20"/>
          <w:color w:val="auto"/>
        </w:rPr>
      </w:pPr>
    </w:p>
    <w:p>
      <w:pPr>
        <w:ind w:left="515" w:right="100" w:hanging="514"/>
        <w:spacing w:after="0" w:line="266" w:lineRule="auto"/>
        <w:tabs>
          <w:tab w:leader="none" w:pos="510" w:val="left"/>
        </w:tabs>
        <w:numPr>
          <w:ilvl w:val="0"/>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instance in which a new Regular Option is substituted for an outstanding Option pursuant to a corporate transaction or in any instance in which an outstanding Regular Option is assumed pursuant to a corporate transaction, the number of Shares and the Option Price shall be adjusted in accordance with the principles set forth in Sections</w:t>
      </w:r>
    </w:p>
    <w:p>
      <w:pPr>
        <w:ind w:left="515" w:right="80"/>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1.424-1(a)(5) and 1.409A-1(b)(5)(v)(D) of the Treasury Regulations. The instances in which there may be a substitution of a new Regular Option for an outstanding Option pursuant to a corporate transaction shall be limited to those corporate transactions authorized by the Plan but shall be further limited to only those corporate transactions described in Section 1.424(a)(3) of the Treasury Regulations. In the case of a stock split (including a reverse stock split), or stock dividend involving the Shares where the only effect of the stock split or stock dividend is to increase or decrease on a pro rata basis the number of Shares owned by each shareholder, the Option Price and the number of Shares subject to an Option shall be proportionally adjusted to reflect such stock split or stock dividend;</w:t>
      </w:r>
    </w:p>
    <w:p>
      <w:pPr>
        <w:spacing w:after="0" w:line="3" w:lineRule="exact"/>
        <w:rPr>
          <w:rFonts w:ascii="Times New Roman" w:cs="Times New Roman" w:eastAsia="Times New Roman" w:hAnsi="Times New Roman"/>
          <w:sz w:val="14"/>
          <w:szCs w:val="14"/>
          <w:color w:val="auto"/>
        </w:rPr>
      </w:pPr>
    </w:p>
    <w:p>
      <w:pPr>
        <w:ind w:left="515" w:right="300" w:hanging="514"/>
        <w:spacing w:after="0" w:line="259" w:lineRule="auto"/>
        <w:tabs>
          <w:tab w:leader="none" w:pos="505" w:val="left"/>
        </w:tabs>
        <w:numPr>
          <w:ilvl w:val="0"/>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underlying any Regular Option granted to a US Taxpayer shall in all instances constitute “service recipient stock” and shall be issued by a Group Member that is, with respect to such US Taxpayer, an “eligible issuer of service recipient stock” for purposes of IRS Code Section 409A;</w:t>
      </w:r>
    </w:p>
    <w:p>
      <w:pPr>
        <w:ind w:left="515" w:right="180" w:hanging="514"/>
        <w:spacing w:after="0" w:line="265" w:lineRule="auto"/>
        <w:tabs>
          <w:tab w:leader="none" w:pos="510" w:val="left"/>
        </w:tabs>
        <w:numPr>
          <w:ilvl w:val="0"/>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that any amount payable under the Plan constitutes non-exempt “deferred compensation” for purposes of Section 409A and would otherwise be payable or distributable under the Plan by reason of the occurrence of a corporate transaction, such amount or benefit will not be payable or distributable to the Participant who is a US Taxpayer by reason of such corporate transaction unless the circumstances giving rise to such corporate transaction constitutes a “change in control event” in Section 409A of the IRS Code. If this provision prevents the payment or distribution of any amount, such payment or distribution shall be made on the next earliest payment or distribution date or event specified in the Plan that is permissible under Section 409A; and</w:t>
      </w:r>
    </w:p>
    <w:p>
      <w:pPr>
        <w:spacing w:after="0" w:line="1" w:lineRule="exact"/>
        <w:rPr>
          <w:rFonts w:ascii="Times New Roman" w:cs="Times New Roman" w:eastAsia="Times New Roman" w:hAnsi="Times New Roman"/>
          <w:sz w:val="14"/>
          <w:szCs w:val="14"/>
          <w:color w:val="auto"/>
        </w:rPr>
      </w:pPr>
    </w:p>
    <w:p>
      <w:pPr>
        <w:ind w:left="515" w:hanging="514"/>
        <w:spacing w:after="0" w:line="260" w:lineRule="auto"/>
        <w:tabs>
          <w:tab w:leader="none" w:pos="508" w:val="left"/>
        </w:tabs>
        <w:numPr>
          <w:ilvl w:val="0"/>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amount or benefit that constitutes non-exempt “deferred compensation” for purposes of Section 409A would otherwise be payable or distributable under this Plan by reason of a Participant’s separation from service during a period in which the Participant is a Specified Employee (as defined below), then, subject to any permissible acceleration of payment by the Committee under Treas. Reg. Section 1.409A -3(j)(4)(ii) (domestic relations order), (j)(4)(iii) (conflicts of interest), or (j)(4)(vi) (payment of employment taxes), the Participant’s right to receive payment or distribution of such non-exempt deferred compensation will be delayed until the earlier of the Participant’s death or the first day of the seventh month following the Participant’s separation from service. For purposes of this Plan, the term “Specified Employee” has the meaning given such term in Section 409A, provided, however, that, as permitted thereunder, the Company’s Specified Employees and its application of the six-month delay rule of IRS Code Section 409A(a)(2)(B)(i) shall be determined in accordance with rules adopted by the Committee, which shall be applied consistently with respect to all nonqualified deferred</w:t>
      </w:r>
    </w:p>
    <w:p>
      <w:pPr>
        <w:spacing w:after="0" w:line="4" w:lineRule="exact"/>
        <w:rPr>
          <w:sz w:val="20"/>
          <w:szCs w:val="20"/>
          <w:color w:val="auto"/>
        </w:rPr>
      </w:pPr>
    </w:p>
    <w:p>
      <w:pPr>
        <w:ind w:left="515"/>
        <w:spacing w:after="0"/>
        <w:rPr>
          <w:sz w:val="20"/>
          <w:szCs w:val="20"/>
          <w:color w:val="auto"/>
        </w:rPr>
      </w:pPr>
      <w:r>
        <w:rPr>
          <w:rFonts w:ascii="Times New Roman" w:cs="Times New Roman" w:eastAsia="Times New Roman" w:hAnsi="Times New Roman"/>
          <w:sz w:val="14"/>
          <w:szCs w:val="14"/>
          <w:color w:val="auto"/>
        </w:rPr>
        <w:t>compensation arrangements of the Company applicable to US Taxpayers, including this Plan.</w:t>
      </w:r>
    </w:p>
    <w:p>
      <w:pPr>
        <w:spacing w:after="0" w:line="12" w:lineRule="exact"/>
        <w:rPr>
          <w:sz w:val="20"/>
          <w:szCs w:val="20"/>
          <w:color w:val="auto"/>
        </w:rPr>
      </w:pPr>
    </w:p>
    <w:p>
      <w:pPr>
        <w:ind w:left="4955"/>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0475"/>
          </w:cols>
          <w:pgMar w:left="865" w:top="1262" w:right="559" w:bottom="1440" w:gutter="0" w:footer="0" w:header="0"/>
        </w:sectPr>
      </w:pPr>
    </w:p>
    <w:bookmarkStart w:id="250" w:name="page251"/>
    <w:bookmarkEnd w:id="250"/>
    <w:p>
      <w:pPr>
        <w:jc w:val="center"/>
        <w:ind w:right="-251"/>
        <w:spacing w:after="0"/>
        <w:rPr>
          <w:sz w:val="20"/>
          <w:szCs w:val="20"/>
          <w:color w:val="auto"/>
        </w:rPr>
      </w:pPr>
      <w:r>
        <w:rPr>
          <w:rFonts w:ascii="Times New Roman" w:cs="Times New Roman" w:eastAsia="Times New Roman" w:hAnsi="Times New Roman"/>
          <w:sz w:val="14"/>
          <w:szCs w:val="14"/>
          <w:color w:val="auto"/>
        </w:rPr>
        <w:t>SCHEDULE 1</w:t>
      </w:r>
    </w:p>
    <w:p>
      <w:pPr>
        <w:spacing w:after="0" w:line="223" w:lineRule="exact"/>
        <w:rPr>
          <w:sz w:val="20"/>
          <w:szCs w:val="20"/>
          <w:color w:val="auto"/>
        </w:rPr>
      </w:pPr>
    </w:p>
    <w:p>
      <w:pPr>
        <w:jc w:val="center"/>
        <w:ind w:right="-251"/>
        <w:spacing w:after="0"/>
        <w:rPr>
          <w:sz w:val="20"/>
          <w:szCs w:val="20"/>
          <w:color w:val="auto"/>
        </w:rPr>
      </w:pPr>
      <w:r>
        <w:rPr>
          <w:rFonts w:ascii="Times New Roman" w:cs="Times New Roman" w:eastAsia="Times New Roman" w:hAnsi="Times New Roman"/>
          <w:sz w:val="14"/>
          <w:szCs w:val="14"/>
          <w:b w:val="1"/>
          <w:bCs w:val="1"/>
          <w:color w:val="auto"/>
        </w:rPr>
        <w:t>CASH CONDITIONAL AWARDS</w:t>
      </w:r>
    </w:p>
    <w:p>
      <w:pPr>
        <w:spacing w:after="0" w:line="252" w:lineRule="exact"/>
        <w:rPr>
          <w:sz w:val="20"/>
          <w:szCs w:val="20"/>
          <w:color w:val="auto"/>
        </w:rPr>
      </w:pPr>
    </w:p>
    <w:p>
      <w:pPr>
        <w:ind w:left="12" w:right="220"/>
        <w:spacing w:after="0" w:line="295" w:lineRule="auto"/>
        <w:rPr>
          <w:sz w:val="20"/>
          <w:szCs w:val="20"/>
          <w:color w:val="auto"/>
        </w:rPr>
      </w:pPr>
      <w:r>
        <w:rPr>
          <w:rFonts w:ascii="Times New Roman" w:cs="Times New Roman" w:eastAsia="Times New Roman" w:hAnsi="Times New Roman"/>
          <w:sz w:val="14"/>
          <w:szCs w:val="14"/>
          <w:color w:val="auto"/>
        </w:rPr>
        <w:t xml:space="preserve">The Rules of the GW Pharmaceuticals plc 2020 Long-Term Incentive Plan shall apply to a right (a </w:t>
      </w:r>
      <w:r>
        <w:rPr>
          <w:rFonts w:ascii="Times New Roman" w:cs="Times New Roman" w:eastAsia="Times New Roman" w:hAnsi="Times New Roman"/>
          <w:sz w:val="14"/>
          <w:szCs w:val="14"/>
          <w:b w:val="1"/>
          <w:bCs w:val="1"/>
          <w:color w:val="auto"/>
        </w:rPr>
        <w:t>“Cash Conditional Award”</w:t>
      </w:r>
      <w:r>
        <w:rPr>
          <w:rFonts w:ascii="Times New Roman" w:cs="Times New Roman" w:eastAsia="Times New Roman" w:hAnsi="Times New Roman"/>
          <w:sz w:val="14"/>
          <w:szCs w:val="14"/>
          <w:color w:val="auto"/>
        </w:rPr>
        <w:t>) to receive a cash sum granted or to be granted under this Schedule as if it was a Conditional Award, except as set out in this Schedule. Where there is any conflict between the Rules and this Schedule, the terms of this Schedule shall prevail.</w:t>
      </w:r>
    </w:p>
    <w:p>
      <w:pPr>
        <w:spacing w:after="0" w:line="179" w:lineRule="exact"/>
        <w:rPr>
          <w:sz w:val="20"/>
          <w:szCs w:val="20"/>
          <w:color w:val="auto"/>
        </w:rPr>
      </w:pPr>
    </w:p>
    <w:p>
      <w:pPr>
        <w:ind w:left="432" w:hanging="432"/>
        <w:spacing w:after="0"/>
        <w:tabs>
          <w:tab w:leader="none" w:pos="432" w:val="left"/>
        </w:tabs>
        <w:numPr>
          <w:ilvl w:val="0"/>
          <w:numId w:val="2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Committee may grant or procure the grant of a Cash Conditional Award.</w:t>
      </w:r>
    </w:p>
    <w:p>
      <w:pPr>
        <w:spacing w:after="0" w:line="14" w:lineRule="exact"/>
        <w:rPr>
          <w:rFonts w:ascii="Times New Roman" w:cs="Times New Roman" w:eastAsia="Times New Roman" w:hAnsi="Times New Roman"/>
          <w:sz w:val="14"/>
          <w:szCs w:val="14"/>
          <w:color w:val="auto"/>
        </w:rPr>
      </w:pPr>
    </w:p>
    <w:p>
      <w:pPr>
        <w:ind w:left="432" w:hanging="432"/>
        <w:spacing w:after="0"/>
        <w:tabs>
          <w:tab w:leader="none" w:pos="432" w:val="left"/>
        </w:tabs>
        <w:numPr>
          <w:ilvl w:val="0"/>
          <w:numId w:val="2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Cash Conditional Award shall relate to a given number of notional Shares.</w:t>
      </w:r>
    </w:p>
    <w:p>
      <w:pPr>
        <w:spacing w:after="0" w:line="7" w:lineRule="exact"/>
        <w:rPr>
          <w:rFonts w:ascii="Times New Roman" w:cs="Times New Roman" w:eastAsia="Times New Roman" w:hAnsi="Times New Roman"/>
          <w:sz w:val="14"/>
          <w:szCs w:val="14"/>
          <w:color w:val="auto"/>
        </w:rPr>
      </w:pPr>
    </w:p>
    <w:p>
      <w:pPr>
        <w:jc w:val="both"/>
        <w:ind w:left="432" w:hanging="431"/>
        <w:spacing w:after="0" w:line="264" w:lineRule="auto"/>
        <w:tabs>
          <w:tab w:leader="none" w:pos="421" w:val="left"/>
        </w:tabs>
        <w:numPr>
          <w:ilvl w:val="0"/>
          <w:numId w:val="2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the Vesting of the Cash Conditional Award the holder of that Award shall be entitled to a cash sum which shall be equal to the </w:t>
      </w:r>
      <w:r>
        <w:rPr>
          <w:rFonts w:ascii="Times New Roman" w:cs="Times New Roman" w:eastAsia="Times New Roman" w:hAnsi="Times New Roman"/>
          <w:sz w:val="14"/>
          <w:szCs w:val="14"/>
          <w:b w:val="1"/>
          <w:bCs w:val="1"/>
          <w:color w:val="auto"/>
        </w:rPr>
        <w:t>“Cash Value”</w:t>
      </w:r>
      <w:r>
        <w:rPr>
          <w:rFonts w:ascii="Times New Roman" w:cs="Times New Roman" w:eastAsia="Times New Roman" w:hAnsi="Times New Roman"/>
          <w:sz w:val="14"/>
          <w:szCs w:val="14"/>
          <w:color w:val="auto"/>
        </w:rPr>
        <w:t xml:space="preserve"> of the notional Vested Shares, where the Cash Value of a notional Share is the market value of a Share on the date of Vesting of the Cash Conditional Award. For the purposes of this Schedule, the market value of a Share on any day shall be determined in accordance with Rule 9.3 (</w:t>
      </w:r>
      <w:r>
        <w:rPr>
          <w:rFonts w:ascii="Times New Roman" w:cs="Times New Roman" w:eastAsia="Times New Roman" w:hAnsi="Times New Roman"/>
          <w:sz w:val="14"/>
          <w:szCs w:val="14"/>
          <w:i w:val="1"/>
          <w:iCs w:val="1"/>
          <w:color w:val="auto"/>
        </w:rPr>
        <w:t>Cash equivalent</w:t>
      </w:r>
      <w:r>
        <w:rPr>
          <w:rFonts w:ascii="Times New Roman" w:cs="Times New Roman" w:eastAsia="Times New Roman" w:hAnsi="Times New Roman"/>
          <w:sz w:val="14"/>
          <w:szCs w:val="14"/>
          <w:color w:val="auto"/>
        </w:rPr>
        <w:t>).</w:t>
      </w:r>
    </w:p>
    <w:p>
      <w:pPr>
        <w:spacing w:after="0" w:line="1" w:lineRule="exact"/>
        <w:rPr>
          <w:rFonts w:ascii="Times New Roman" w:cs="Times New Roman" w:eastAsia="Times New Roman" w:hAnsi="Times New Roman"/>
          <w:sz w:val="14"/>
          <w:szCs w:val="14"/>
          <w:color w:val="auto"/>
        </w:rPr>
      </w:pPr>
    </w:p>
    <w:p>
      <w:pPr>
        <w:ind w:left="432" w:right="260" w:hanging="431"/>
        <w:spacing w:after="0" w:line="264" w:lineRule="auto"/>
        <w:tabs>
          <w:tab w:leader="none" w:pos="421" w:val="left"/>
        </w:tabs>
        <w:numPr>
          <w:ilvl w:val="0"/>
          <w:numId w:val="2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cash sum payable under paragraph 3 above shall be paid by the employer of the Participant as soon as practicable after the Vesting of the Cash Conditional Award, net of any deductions (on account of tax or similar liabilities) as may be required by law or as the Board may reasonably consider to be necessary or desirable (and in relation to any Cash Conditional Award granted to a US Taxpayer, within such period of time as may be specified in the grant documentation to avoid adverse tax consequences under Section 409A).</w:t>
      </w:r>
    </w:p>
    <w:p>
      <w:pPr>
        <w:spacing w:after="0" w:line="1" w:lineRule="exact"/>
        <w:rPr>
          <w:rFonts w:ascii="Times New Roman" w:cs="Times New Roman" w:eastAsia="Times New Roman" w:hAnsi="Times New Roman"/>
          <w:sz w:val="14"/>
          <w:szCs w:val="14"/>
          <w:color w:val="auto"/>
        </w:rPr>
      </w:pPr>
    </w:p>
    <w:p>
      <w:pPr>
        <w:ind w:left="432" w:hanging="431"/>
        <w:spacing w:after="0"/>
        <w:tabs>
          <w:tab w:leader="none" w:pos="432" w:val="left"/>
        </w:tabs>
        <w:numPr>
          <w:ilvl w:val="0"/>
          <w:numId w:val="2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avoidance of doubt, a Cash Conditional Award shall not confer any right on the holder of such an Award to receive Shares or any interest in Shares.</w:t>
      </w:r>
    </w:p>
    <w:p>
      <w:pPr>
        <w:spacing w:after="0" w:line="3" w:lineRule="exact"/>
        <w:rPr>
          <w:sz w:val="20"/>
          <w:szCs w:val="20"/>
          <w:color w:val="auto"/>
        </w:rPr>
      </w:pPr>
    </w:p>
    <w:p>
      <w:pPr>
        <w:jc w:val="center"/>
        <w:ind w:right="-251"/>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0772"/>
          </w:cols>
          <w:pgMar w:left="428" w:top="1169" w:right="699" w:bottom="1440" w:gutter="0" w:footer="0" w:header="0"/>
        </w:sectPr>
      </w:pPr>
    </w:p>
    <w:bookmarkStart w:id="251" w:name="page252"/>
    <w:bookmarkEnd w:id="251"/>
    <w:p>
      <w:pPr>
        <w:jc w:val="center"/>
        <w:ind w:right="60"/>
        <w:spacing w:after="0"/>
        <w:rPr>
          <w:sz w:val="20"/>
          <w:szCs w:val="20"/>
          <w:color w:val="auto"/>
        </w:rPr>
      </w:pPr>
      <w:r>
        <w:rPr>
          <w:rFonts w:ascii="Times New Roman" w:cs="Times New Roman" w:eastAsia="Times New Roman" w:hAnsi="Times New Roman"/>
          <w:sz w:val="14"/>
          <w:szCs w:val="14"/>
          <w:color w:val="auto"/>
        </w:rPr>
        <w:t>SCHEDULE 2</w:t>
      </w:r>
    </w:p>
    <w:p>
      <w:pPr>
        <w:spacing w:after="0" w:line="19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ITALIAN AWARDS</w:t>
      </w:r>
    </w:p>
    <w:p>
      <w:pPr>
        <w:spacing w:after="0" w:line="254" w:lineRule="exact"/>
        <w:rPr>
          <w:sz w:val="20"/>
          <w:szCs w:val="20"/>
          <w:color w:val="auto"/>
        </w:rPr>
      </w:pPr>
    </w:p>
    <w:p>
      <w:pPr>
        <w:ind w:left="20"/>
        <w:spacing w:after="0" w:line="292" w:lineRule="auto"/>
        <w:rPr>
          <w:sz w:val="20"/>
          <w:szCs w:val="20"/>
          <w:color w:val="auto"/>
        </w:rPr>
      </w:pPr>
      <w:r>
        <w:rPr>
          <w:rFonts w:ascii="Times New Roman" w:cs="Times New Roman" w:eastAsia="Times New Roman" w:hAnsi="Times New Roman"/>
          <w:sz w:val="14"/>
          <w:szCs w:val="14"/>
          <w:color w:val="auto"/>
        </w:rPr>
        <w:t>This schedule (“Schedule 2”) modifies the provisions of the GW Pharmaceuticals plc 2020 Long-Term Incentive Plan, as amended from time to time (the “Plan”) with respect to Awards made to a Participant who is employed in Italy. The provisions of this Schedule 2 apply automatically to those Awards.</w:t>
      </w:r>
    </w:p>
    <w:p>
      <w:pPr>
        <w:spacing w:after="0" w:line="179" w:lineRule="exact"/>
        <w:rPr>
          <w:sz w:val="20"/>
          <w:szCs w:val="20"/>
          <w:color w:val="auto"/>
        </w:rPr>
      </w:pPr>
    </w:p>
    <w:p>
      <w:pPr>
        <w:ind w:left="440" w:hanging="432"/>
        <w:spacing w:after="0"/>
        <w:tabs>
          <w:tab w:leader="none" w:pos="440" w:val="left"/>
        </w:tabs>
        <w:numPr>
          <w:ilvl w:val="0"/>
          <w:numId w:val="2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Indirect pay</w:t>
      </w:r>
    </w:p>
    <w:p>
      <w:pPr>
        <w:spacing w:after="0" w:line="121" w:lineRule="exact"/>
        <w:rPr>
          <w:sz w:val="20"/>
          <w:szCs w:val="20"/>
          <w:color w:val="auto"/>
        </w:rPr>
      </w:pPr>
    </w:p>
    <w:p>
      <w:pPr>
        <w:ind w:left="460" w:right="560"/>
        <w:spacing w:after="0" w:line="275" w:lineRule="auto"/>
        <w:rPr>
          <w:sz w:val="20"/>
          <w:szCs w:val="20"/>
          <w:color w:val="auto"/>
        </w:rPr>
      </w:pPr>
      <w:r>
        <w:rPr>
          <w:rFonts w:ascii="Times New Roman" w:cs="Times New Roman" w:eastAsia="Times New Roman" w:hAnsi="Times New Roman"/>
          <w:sz w:val="14"/>
          <w:szCs w:val="14"/>
          <w:color w:val="auto"/>
        </w:rPr>
        <w:t>By accepting an Award, the Participant agrees and accepts that any economic benefits deriving from the Award or the Plan shall not be considered part of normal or expected compensation, and accordingly shall not be included in the calculation of indirect pay for any purpose (including, without limitation, for the purpose of severance payments, TFR (trattamento di fine rapport), payment in lieu of notice and bonus payments).</w:t>
      </w:r>
    </w:p>
    <w:p>
      <w:pPr>
        <w:spacing w:after="0" w:line="203" w:lineRule="exact"/>
        <w:rPr>
          <w:sz w:val="20"/>
          <w:szCs w:val="20"/>
          <w:color w:val="auto"/>
        </w:rPr>
      </w:pPr>
    </w:p>
    <w:p>
      <w:pPr>
        <w:ind w:left="440" w:hanging="432"/>
        <w:spacing w:after="0"/>
        <w:tabs>
          <w:tab w:leader="none" w:pos="440" w:val="left"/>
        </w:tabs>
        <w:numPr>
          <w:ilvl w:val="0"/>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Statutory right to return to work</w:t>
      </w:r>
    </w:p>
    <w:p>
      <w:pPr>
        <w:spacing w:after="0" w:line="107" w:lineRule="exact"/>
        <w:rPr>
          <w:sz w:val="20"/>
          <w:szCs w:val="20"/>
          <w:color w:val="auto"/>
        </w:rPr>
      </w:pPr>
    </w:p>
    <w:p>
      <w:pPr>
        <w:ind w:left="460" w:right="500"/>
        <w:spacing w:after="0" w:line="262" w:lineRule="auto"/>
        <w:rPr>
          <w:sz w:val="20"/>
          <w:szCs w:val="20"/>
          <w:color w:val="auto"/>
        </w:rPr>
      </w:pPr>
      <w:r>
        <w:rPr>
          <w:rFonts w:ascii="Times New Roman" w:cs="Times New Roman" w:eastAsia="Times New Roman" w:hAnsi="Times New Roman"/>
          <w:sz w:val="14"/>
          <w:szCs w:val="14"/>
          <w:color w:val="auto"/>
        </w:rPr>
        <w:t>The sentence “If any Participant ceases to be such a director or employee before the Vesting of his Award in circumstances where he retains a statutory right to return to work then he shall be treated as not having ceased to be such a director or employee until such time (if at all) as he ceases to have such a right to return to work while not acting as an employee or director.” in Rule 11.3 (</w:t>
      </w:r>
      <w:r>
        <w:rPr>
          <w:rFonts w:ascii="Times New Roman" w:cs="Times New Roman" w:eastAsia="Times New Roman" w:hAnsi="Times New Roman"/>
          <w:sz w:val="14"/>
          <w:szCs w:val="14"/>
          <w:i w:val="1"/>
          <w:iCs w:val="1"/>
          <w:color w:val="auto"/>
        </w:rPr>
        <w:t>Meaning of ceasing to be a Connected Person</w:t>
      </w:r>
      <w:r>
        <w:rPr>
          <w:rFonts w:ascii="Times New Roman" w:cs="Times New Roman" w:eastAsia="Times New Roman" w:hAnsi="Times New Roman"/>
          <w:sz w:val="14"/>
          <w:szCs w:val="14"/>
          <w:color w:val="auto"/>
        </w:rPr>
        <w:t>) shall not apply in circumstances where the Participant ceases to be a Connected Person by reason of the relevant relationship being terminated by a Group Member.</w:t>
      </w:r>
    </w:p>
    <w:p>
      <w:pPr>
        <w:spacing w:after="0" w:line="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1100"/>
          </w:cols>
          <w:pgMar w:left="420" w:top="1156" w:right="379" w:bottom="1440" w:gutter="0" w:footer="0" w:header="0"/>
        </w:sectPr>
      </w:pPr>
    </w:p>
    <w:bookmarkStart w:id="252" w:name="page253"/>
    <w:bookmarkEnd w:id="252"/>
    <w:p>
      <w:pPr>
        <w:jc w:val="center"/>
        <w:ind w:right="280"/>
        <w:spacing w:after="0"/>
        <w:rPr>
          <w:sz w:val="20"/>
          <w:szCs w:val="20"/>
          <w:color w:val="auto"/>
        </w:rPr>
      </w:pPr>
      <w:r>
        <w:rPr>
          <w:rFonts w:ascii="Times New Roman" w:cs="Times New Roman" w:eastAsia="Times New Roman" w:hAnsi="Times New Roman"/>
          <w:sz w:val="14"/>
          <w:szCs w:val="14"/>
          <w:color w:val="auto"/>
        </w:rPr>
        <w:t>SCHEDULE 3</w:t>
      </w:r>
    </w:p>
    <w:p>
      <w:pPr>
        <w:spacing w:after="0" w:line="19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4"/>
          <w:szCs w:val="14"/>
          <w:b w:val="1"/>
          <w:bCs w:val="1"/>
          <w:color w:val="auto"/>
        </w:rPr>
        <w:t>FRENCH SUB PLAN</w:t>
      </w:r>
    </w:p>
    <w:p>
      <w:pPr>
        <w:spacing w:after="0" w:line="22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FRENCH-QUALIFIED FREE SHARES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Preamble</w:t>
      </w:r>
    </w:p>
    <w:p>
      <w:pPr>
        <w:spacing w:after="0" w:line="105" w:lineRule="exact"/>
        <w:rPr>
          <w:sz w:val="20"/>
          <w:szCs w:val="20"/>
          <w:color w:val="auto"/>
        </w:rPr>
      </w:pPr>
    </w:p>
    <w:p>
      <w:pPr>
        <w:jc w:val="both"/>
        <w:ind w:left="20" w:right="20"/>
        <w:spacing w:after="0" w:line="276" w:lineRule="auto"/>
        <w:rPr>
          <w:sz w:val="20"/>
          <w:szCs w:val="20"/>
          <w:color w:val="auto"/>
        </w:rPr>
      </w:pPr>
      <w:r>
        <w:rPr>
          <w:rFonts w:ascii="Times New Roman" w:cs="Times New Roman" w:eastAsia="Times New Roman" w:hAnsi="Times New Roman"/>
          <w:sz w:val="14"/>
          <w:szCs w:val="14"/>
          <w:color w:val="auto"/>
        </w:rPr>
        <w:t xml:space="preserve">The Board of Directors of GW Pharmaceuticals plc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xml:space="preserve">) has established the 2020 Long-term Equity Incentive Plan (the </w:t>
      </w:r>
      <w:r>
        <w:rPr>
          <w:rFonts w:ascii="Times New Roman" w:cs="Times New Roman" w:eastAsia="Times New Roman" w:hAnsi="Times New Roman"/>
          <w:sz w:val="14"/>
          <w:szCs w:val="14"/>
          <w:b w:val="1"/>
          <w:bCs w:val="1"/>
          <w:color w:val="auto"/>
        </w:rPr>
        <w:t>“Plan”</w:t>
      </w:r>
      <w:r>
        <w:rPr>
          <w:rFonts w:ascii="Times New Roman" w:cs="Times New Roman" w:eastAsia="Times New Roman" w:hAnsi="Times New Roman"/>
          <w:sz w:val="14"/>
          <w:szCs w:val="14"/>
          <w:color w:val="auto"/>
        </w:rPr>
        <w:t xml:space="preserve">) for the benefit of certain eligible persons, including employees of the Company and its Subsidiaries, including its Subsidiaries in France of which the Company holds directly or indirectly at least 10% of the share capital (each, a </w:t>
      </w:r>
      <w:r>
        <w:rPr>
          <w:rFonts w:ascii="Times New Roman" w:cs="Times New Roman" w:eastAsia="Times New Roman" w:hAnsi="Times New Roman"/>
          <w:sz w:val="14"/>
          <w:szCs w:val="14"/>
          <w:b w:val="1"/>
          <w:bCs w:val="1"/>
          <w:color w:val="auto"/>
        </w:rPr>
        <w:t>“French Entity”</w:t>
      </w:r>
      <w:r>
        <w:rPr>
          <w:rFonts w:ascii="Times New Roman" w:cs="Times New Roman" w:eastAsia="Times New Roman" w:hAnsi="Times New Roman"/>
          <w:sz w:val="14"/>
          <w:szCs w:val="14"/>
          <w:color w:val="auto"/>
        </w:rPr>
        <w:t>).</w:t>
      </w:r>
    </w:p>
    <w:p>
      <w:pPr>
        <w:spacing w:after="0" w:line="57" w:lineRule="exact"/>
        <w:rPr>
          <w:sz w:val="20"/>
          <w:szCs w:val="20"/>
          <w:color w:val="auto"/>
        </w:rPr>
      </w:pPr>
    </w:p>
    <w:p>
      <w:pPr>
        <w:ind w:left="20" w:right="360"/>
        <w:spacing w:after="0" w:line="295" w:lineRule="auto"/>
        <w:rPr>
          <w:sz w:val="20"/>
          <w:szCs w:val="20"/>
          <w:color w:val="auto"/>
        </w:rPr>
      </w:pPr>
      <w:r>
        <w:rPr>
          <w:rFonts w:ascii="Times New Roman" w:cs="Times New Roman" w:eastAsia="Times New Roman" w:hAnsi="Times New Roman"/>
          <w:sz w:val="14"/>
          <w:szCs w:val="14"/>
          <w:color w:val="auto"/>
        </w:rPr>
        <w:t>Rule 14.1 (</w:t>
      </w:r>
      <w:r>
        <w:rPr>
          <w:rFonts w:ascii="Times New Roman" w:cs="Times New Roman" w:eastAsia="Times New Roman" w:hAnsi="Times New Roman"/>
          <w:sz w:val="14"/>
          <w:szCs w:val="14"/>
          <w:i w:val="1"/>
          <w:iCs w:val="1"/>
          <w:color w:val="auto"/>
        </w:rPr>
        <w:t>General rule on alterations</w:t>
      </w:r>
      <w:r>
        <w:rPr>
          <w:rFonts w:ascii="Times New Roman" w:cs="Times New Roman" w:eastAsia="Times New Roman" w:hAnsi="Times New Roman"/>
          <w:sz w:val="14"/>
          <w:szCs w:val="14"/>
          <w:color w:val="auto"/>
        </w:rPr>
        <w:t>) of the Plan specifically authorises the Committee to adopt sub-plans and/or special terms applicable to any Award made under the Plan to the benefit of participants outside the United Kingdom and United States.</w:t>
      </w:r>
    </w:p>
    <w:p>
      <w:pPr>
        <w:spacing w:after="0" w:line="32" w:lineRule="exact"/>
        <w:rPr>
          <w:sz w:val="20"/>
          <w:szCs w:val="20"/>
          <w:color w:val="auto"/>
        </w:rPr>
      </w:pPr>
    </w:p>
    <w:p>
      <w:pPr>
        <w:ind w:left="20"/>
        <w:spacing w:after="0" w:line="271" w:lineRule="auto"/>
        <w:rPr>
          <w:sz w:val="20"/>
          <w:szCs w:val="20"/>
          <w:color w:val="auto"/>
        </w:rPr>
      </w:pPr>
      <w:r>
        <w:rPr>
          <w:rFonts w:ascii="Times New Roman" w:cs="Times New Roman" w:eastAsia="Times New Roman" w:hAnsi="Times New Roman"/>
          <w:sz w:val="14"/>
          <w:szCs w:val="14"/>
          <w:color w:val="auto"/>
        </w:rPr>
        <w:t>The Committee has determined that it is appropriate and desirable to establish a sub-plan for the purposes of permitting RSU-style Options granted to employees of a French Entity that qualify for specific tax and social security treatment in France (</w:t>
      </w:r>
      <w:r>
        <w:rPr>
          <w:rFonts w:ascii="Times New Roman" w:cs="Times New Roman" w:eastAsia="Times New Roman" w:hAnsi="Times New Roman"/>
          <w:sz w:val="14"/>
          <w:szCs w:val="14"/>
          <w:b w:val="1"/>
          <w:bCs w:val="1"/>
          <w:color w:val="auto"/>
        </w:rPr>
        <w:t>“Free Share Awards”</w:t>
      </w:r>
      <w:r>
        <w:rPr>
          <w:rFonts w:ascii="Times New Roman" w:cs="Times New Roman" w:eastAsia="Times New Roman" w:hAnsi="Times New Roman"/>
          <w:sz w:val="14"/>
          <w:szCs w:val="14"/>
          <w:color w:val="auto"/>
        </w:rPr>
        <w:t xml:space="preserve">). The Committee, therefore, decided to establish a sub-plan to the Plan for the purpose of granting Free Share Awards that qualify for the specific tax and social security treatment in France applicable to free shares granted under Sections L. 225-197-1 to L. 225-197-6 of the French Commercial Code, as amended (referred to herein as </w:t>
      </w:r>
      <w:r>
        <w:rPr>
          <w:rFonts w:ascii="Times New Roman" w:cs="Times New Roman" w:eastAsia="Times New Roman" w:hAnsi="Times New Roman"/>
          <w:sz w:val="14"/>
          <w:szCs w:val="14"/>
          <w:b w:val="1"/>
          <w:bCs w:val="1"/>
          <w:color w:val="auto"/>
        </w:rPr>
        <w:t>“French-qualified Free Shares”</w:t>
      </w:r>
      <w:r>
        <w:rPr>
          <w:rFonts w:ascii="Times New Roman" w:cs="Times New Roman" w:eastAsia="Times New Roman" w:hAnsi="Times New Roman"/>
          <w:sz w:val="14"/>
          <w:szCs w:val="14"/>
          <w:color w:val="auto"/>
        </w:rPr>
        <w:t xml:space="preserve">), to employees of a French Entity who are resident in France for French tax purposes and/or subject to the French social security regime (the </w:t>
      </w:r>
      <w:r>
        <w:rPr>
          <w:rFonts w:ascii="Times New Roman" w:cs="Times New Roman" w:eastAsia="Times New Roman" w:hAnsi="Times New Roman"/>
          <w:sz w:val="14"/>
          <w:szCs w:val="14"/>
          <w:b w:val="1"/>
          <w:bCs w:val="1"/>
          <w:color w:val="auto"/>
        </w:rPr>
        <w:t>“French Participants”</w:t>
      </w:r>
      <w:r>
        <w:rPr>
          <w:rFonts w:ascii="Times New Roman" w:cs="Times New Roman" w:eastAsia="Times New Roman" w:hAnsi="Times New Roman"/>
          <w:sz w:val="14"/>
          <w:szCs w:val="14"/>
          <w:color w:val="auto"/>
        </w:rPr>
        <w:t>).</w:t>
      </w:r>
    </w:p>
    <w:p>
      <w:pPr>
        <w:spacing w:after="0" w:line="50" w:lineRule="exact"/>
        <w:rPr>
          <w:sz w:val="20"/>
          <w:szCs w:val="20"/>
          <w:color w:val="auto"/>
        </w:rPr>
      </w:pPr>
    </w:p>
    <w:p>
      <w:pPr>
        <w:ind w:left="20" w:right="180"/>
        <w:spacing w:after="0" w:line="307" w:lineRule="auto"/>
        <w:rPr>
          <w:sz w:val="20"/>
          <w:szCs w:val="20"/>
          <w:color w:val="auto"/>
        </w:rPr>
      </w:pPr>
      <w:r>
        <w:rPr>
          <w:rFonts w:ascii="Times New Roman" w:cs="Times New Roman" w:eastAsia="Times New Roman" w:hAnsi="Times New Roman"/>
          <w:sz w:val="14"/>
          <w:szCs w:val="14"/>
          <w:color w:val="auto"/>
        </w:rPr>
        <w:t xml:space="preserve">The Free Share Awards shall be RSU-style Options governed by the terms of the Plan applicable to RSU-style Options, subject to the provisions set forth in this Schedule, and those terms together shall constitute the </w:t>
      </w:r>
      <w:r>
        <w:rPr>
          <w:rFonts w:ascii="Times New Roman" w:cs="Times New Roman" w:eastAsia="Times New Roman" w:hAnsi="Times New Roman"/>
          <w:sz w:val="14"/>
          <w:szCs w:val="14"/>
          <w:b w:val="1"/>
          <w:bCs w:val="1"/>
          <w:color w:val="auto"/>
        </w:rPr>
        <w:t>“French Sub-Plan”</w:t>
      </w:r>
      <w:r>
        <w:rPr>
          <w:rFonts w:ascii="Times New Roman" w:cs="Times New Roman" w:eastAsia="Times New Roman" w:hAnsi="Times New Roman"/>
          <w:sz w:val="14"/>
          <w:szCs w:val="14"/>
          <w:color w:val="auto"/>
        </w:rPr>
        <w:t>.</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Fundamental characteristics of the RSU-Style Options granted as Free Share Awards to French Participants under the French Sub-Plan:</w:t>
      </w:r>
    </w:p>
    <w:p>
      <w:pPr>
        <w:spacing w:after="0" w:line="25" w:lineRule="exact"/>
        <w:rPr>
          <w:sz w:val="20"/>
          <w:szCs w:val="20"/>
          <w:color w:val="auto"/>
        </w:rPr>
      </w:pPr>
    </w:p>
    <w:p>
      <w:pPr>
        <w:ind w:left="360" w:right="280" w:hanging="355"/>
        <w:spacing w:after="0" w:line="259" w:lineRule="auto"/>
        <w:tabs>
          <w:tab w:leader="none" w:pos="355" w:val="left"/>
        </w:tabs>
        <w:numPr>
          <w:ilvl w:val="0"/>
          <w:numId w:val="2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beneficiaries will receive Ordinary Shares or ADSs when the Free Share Awards Vest. Save as provided in this Schedule, the Free Share Awards shall not Vest before the second anniversary of the Grant Date (and, accordingly, the Normal Vesting Date shall not be before that second anniversary).</w:t>
      </w:r>
    </w:p>
    <w:p>
      <w:pPr>
        <w:spacing w:after="0" w:line="1" w:lineRule="exact"/>
        <w:rPr>
          <w:rFonts w:ascii="Times New Roman" w:cs="Times New Roman" w:eastAsia="Times New Roman" w:hAnsi="Times New Roman"/>
          <w:sz w:val="14"/>
          <w:szCs w:val="14"/>
          <w:color w:val="auto"/>
        </w:rPr>
      </w:pPr>
    </w:p>
    <w:p>
      <w:pPr>
        <w:ind w:left="340" w:hanging="335"/>
        <w:spacing w:after="0"/>
        <w:tabs>
          <w:tab w:leader="none" w:pos="340" w:val="left"/>
        </w:tabs>
        <w:numPr>
          <w:ilvl w:val="0"/>
          <w:numId w:val="2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of the Free Share Awards will be automatic as provided for by Rule 8.4 of the Plan</w:t>
      </w:r>
    </w:p>
    <w:p>
      <w:pPr>
        <w:spacing w:after="0" w:line="9" w:lineRule="exact"/>
        <w:rPr>
          <w:rFonts w:ascii="Times New Roman" w:cs="Times New Roman" w:eastAsia="Times New Roman" w:hAnsi="Times New Roman"/>
          <w:sz w:val="14"/>
          <w:szCs w:val="14"/>
          <w:color w:val="auto"/>
        </w:rPr>
      </w:pPr>
    </w:p>
    <w:p>
      <w:pPr>
        <w:ind w:left="360" w:right="160" w:hanging="355"/>
        <w:spacing w:after="0" w:line="266" w:lineRule="auto"/>
        <w:tabs>
          <w:tab w:leader="none" w:pos="355" w:val="left"/>
        </w:tabs>
        <w:numPr>
          <w:ilvl w:val="0"/>
          <w:numId w:val="2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delivery of the Shares pursuant to the Free Share Awards is subject to the payment by the beneficiaries of the nominal value of 0.1p for each Ordinary Share subject to the Free Share Award. In accordance with position of the French tax authorities, the payment of this consideration does not exceed 5% of the Fair Market Value of the Share at the</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Grant Date and does not prevent that the Free Share Award qualifying as French-qualified Free Shares (BOI-RSA-ES-20-20-10-20, n°390).</w:t>
      </w:r>
    </w:p>
    <w:p>
      <w:pPr>
        <w:spacing w:after="0" w:line="1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0440"/>
          </w:cols>
          <w:pgMar w:left="860" w:top="1155" w:right="59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4"/>
          <w:szCs w:val="14"/>
          <w:b w:val="1"/>
          <w:bCs w:val="1"/>
          <w:u w:val="single" w:color="auto"/>
          <w:color w:val="auto"/>
        </w:rPr>
        <w:t>Specific provisions of the French Sub Plan which supersede Rules of the Plan</w:t>
      </w:r>
      <w:r>
        <w:rPr>
          <w:rFonts w:ascii="Times New Roman" w:cs="Times New Roman" w:eastAsia="Times New Roman" w:hAnsi="Times New Roman"/>
          <w:sz w:val="14"/>
          <w:szCs w:val="14"/>
          <w:b w:val="1"/>
          <w:bCs w:val="1"/>
          <w:color w:val="auto"/>
        </w:rPr>
        <w: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Definitions</w:t>
      </w:r>
      <w:r>
        <w:rPr>
          <w:rFonts w:ascii="Times New Roman" w:cs="Times New Roman" w:eastAsia="Times New Roman" w:hAnsi="Times New Roman"/>
          <w:sz w:val="14"/>
          <w:szCs w:val="14"/>
          <w:color w:val="auto"/>
        </w:rPr>
        <w:t>. Capitalised terms not otherwise defined herein shall have the same meanings as set forth in the Plan.</w:t>
      </w:r>
    </w:p>
    <w:p>
      <w:pPr>
        <w:spacing w:after="0" w:line="252" w:lineRule="exact"/>
        <w:rPr>
          <w:sz w:val="20"/>
          <w:szCs w:val="20"/>
          <w:color w:val="auto"/>
        </w:rPr>
      </w:pPr>
    </w:p>
    <w:p>
      <w:pPr>
        <w:ind w:right="620"/>
        <w:spacing w:after="0" w:line="295" w:lineRule="auto"/>
        <w:rPr>
          <w:sz w:val="20"/>
          <w:szCs w:val="20"/>
          <w:color w:val="auto"/>
        </w:rPr>
      </w:pPr>
      <w:r>
        <w:rPr>
          <w:rFonts w:ascii="Times New Roman" w:cs="Times New Roman" w:eastAsia="Times New Roman" w:hAnsi="Times New Roman"/>
          <w:sz w:val="14"/>
          <w:szCs w:val="14"/>
          <w:b w:val="1"/>
          <w:bCs w:val="1"/>
          <w:color w:val="auto"/>
        </w:rPr>
        <w:t>Accelerated vesting: Takeovers etc</w:t>
      </w:r>
      <w:r>
        <w:rPr>
          <w:rFonts w:ascii="Times New Roman" w:cs="Times New Roman" w:eastAsia="Times New Roman" w:hAnsi="Times New Roman"/>
          <w:sz w:val="14"/>
          <w:szCs w:val="14"/>
          <w:color w:val="auto"/>
        </w:rPr>
        <w:t>. A Free Share Award may not be exercised before the Normal Vesting Date pursuant to Rule 12 (</w:t>
      </w:r>
      <w:r>
        <w:rPr>
          <w:rFonts w:ascii="Times New Roman" w:cs="Times New Roman" w:eastAsia="Times New Roman" w:hAnsi="Times New Roman"/>
          <w:sz w:val="14"/>
          <w:szCs w:val="14"/>
          <w:i w:val="1"/>
          <w:iCs w:val="1"/>
          <w:color w:val="auto"/>
        </w:rPr>
        <w:t>Takeovers and other corporate events</w:t>
      </w:r>
      <w:r>
        <w:rPr>
          <w:rFonts w:ascii="Times New Roman" w:cs="Times New Roman" w:eastAsia="Times New Roman" w:hAnsi="Times New Roman"/>
          <w:sz w:val="14"/>
          <w:szCs w:val="14"/>
          <w:color w:val="auto"/>
        </w:rPr>
        <w:t>) unless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Committee specifically determines that the Award may be so exercised, in which case the provisions of Rule 12 shall apply in relation to the relevant transaction.</w:t>
      </w:r>
    </w:p>
    <w:p>
      <w:pPr>
        <w:spacing w:after="0" w:line="190" w:lineRule="exact"/>
        <w:rPr>
          <w:sz w:val="20"/>
          <w:szCs w:val="20"/>
          <w:color w:val="auto"/>
        </w:rPr>
      </w:pPr>
    </w:p>
    <w:p>
      <w:pPr>
        <w:spacing w:after="0" w:line="315" w:lineRule="auto"/>
        <w:rPr>
          <w:sz w:val="20"/>
          <w:szCs w:val="20"/>
          <w:color w:val="auto"/>
        </w:rPr>
      </w:pPr>
      <w:r>
        <w:rPr>
          <w:rFonts w:ascii="Times New Roman" w:cs="Times New Roman" w:eastAsia="Times New Roman" w:hAnsi="Times New Roman"/>
          <w:sz w:val="14"/>
          <w:szCs w:val="14"/>
          <w:b w:val="1"/>
          <w:bCs w:val="1"/>
          <w:color w:val="auto"/>
        </w:rPr>
        <w:t>Limits regarding percentage of holding of the Company’s capital by a French Participant</w:t>
      </w:r>
      <w:r>
        <w:rPr>
          <w:rFonts w:ascii="Times New Roman" w:cs="Times New Roman" w:eastAsia="Times New Roman" w:hAnsi="Times New Roman"/>
          <w:sz w:val="14"/>
          <w:szCs w:val="14"/>
          <w:color w:val="auto"/>
        </w:rPr>
        <w:t>. Free Share Awards may not be issued under the French Sub- Plan to French Participants who own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more than ten percent (10%) of the Company’s share capital.</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Grants of Free Share Awards may not result in any French Participant’s owning more than ten percent (10%) of the Company’s share capital.</w:t>
      </w:r>
    </w:p>
    <w:p>
      <w:pPr>
        <w:spacing w:after="0" w:line="250" w:lineRule="exact"/>
        <w:rPr>
          <w:sz w:val="20"/>
          <w:szCs w:val="20"/>
          <w:color w:val="auto"/>
        </w:rPr>
      </w:pPr>
    </w:p>
    <w:p>
      <w:pPr>
        <w:ind w:right="480"/>
        <w:spacing w:after="0" w:line="315" w:lineRule="auto"/>
        <w:rPr>
          <w:sz w:val="20"/>
          <w:szCs w:val="20"/>
          <w:color w:val="auto"/>
        </w:rPr>
      </w:pPr>
      <w:r>
        <w:rPr>
          <w:rFonts w:ascii="Times New Roman" w:cs="Times New Roman" w:eastAsia="Times New Roman" w:hAnsi="Times New Roman"/>
          <w:sz w:val="14"/>
          <w:szCs w:val="14"/>
          <w:b w:val="1"/>
          <w:bCs w:val="1"/>
          <w:color w:val="auto"/>
        </w:rPr>
        <w:t>Delivery of Shares only</w:t>
      </w:r>
      <w:r>
        <w:rPr>
          <w:rFonts w:ascii="Times New Roman" w:cs="Times New Roman" w:eastAsia="Times New Roman" w:hAnsi="Times New Roman"/>
          <w:sz w:val="14"/>
          <w:szCs w:val="14"/>
          <w:color w:val="auto"/>
        </w:rPr>
        <w:t>. Only Shares, and not the cash equivalent in lieu of such Shares, may be delivered to any French Participant pursuant to Free Share Awards. Accordingly, Rule 9</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(Cash alternative) of the Plan does not apply to Free Share Awards.</w:t>
      </w:r>
    </w:p>
    <w:p>
      <w:pPr>
        <w:spacing w:after="0" w:line="176"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14"/>
          <w:szCs w:val="14"/>
          <w:b w:val="1"/>
          <w:bCs w:val="1"/>
          <w:color w:val="auto"/>
        </w:rPr>
        <w:t>Disqualification of Free Share Awards as French-qualified Free Shares</w:t>
      </w:r>
      <w:r>
        <w:rPr>
          <w:rFonts w:ascii="Times New Roman" w:cs="Times New Roman" w:eastAsia="Times New Roman" w:hAnsi="Times New Roman"/>
          <w:sz w:val="14"/>
          <w:szCs w:val="14"/>
          <w:color w:val="auto"/>
        </w:rPr>
        <w:t>. If, following the grant, changes are made to the terms and conditions of the Free Share Awards due to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applicable legal requirements or a decision of the Company’s shareholders, the Board or the Committee, the Free Share Awards may no longer qualify as French-qualified Free Shares. If the Free Share Awards no longer qualify as French-qualified Free Shares, the Committee may determine, in its sole discretion, to lift, shorten or terminate certain restrictions applicable to the vesting of the Free Share Awards or to the sale of the Shares delivered pursuant to the Free Share Awards, which restrictions have been imposed under this French Sub-Plan.</w:t>
      </w:r>
    </w:p>
    <w:p>
      <w:pPr>
        <w:spacing w:after="0" w:line="215" w:lineRule="exact"/>
        <w:rPr>
          <w:sz w:val="20"/>
          <w:szCs w:val="20"/>
          <w:color w:val="auto"/>
        </w:rPr>
      </w:pPr>
    </w:p>
    <w:p>
      <w:pPr>
        <w:jc w:val="both"/>
        <w:ind w:right="280"/>
        <w:spacing w:after="0" w:line="260" w:lineRule="auto"/>
        <w:rPr>
          <w:sz w:val="20"/>
          <w:szCs w:val="20"/>
          <w:color w:val="auto"/>
        </w:rPr>
      </w:pPr>
      <w:r>
        <w:rPr>
          <w:rFonts w:ascii="Times New Roman" w:cs="Times New Roman" w:eastAsia="Times New Roman" w:hAnsi="Times New Roman"/>
          <w:sz w:val="14"/>
          <w:szCs w:val="14"/>
          <w:b w:val="1"/>
          <w:bCs w:val="1"/>
          <w:color w:val="auto"/>
        </w:rPr>
        <w:t>Adjustment of Free Share Awards</w:t>
      </w:r>
      <w:r>
        <w:rPr>
          <w:rFonts w:ascii="Times New Roman" w:cs="Times New Roman" w:eastAsia="Times New Roman" w:hAnsi="Times New Roman"/>
          <w:sz w:val="14"/>
          <w:szCs w:val="14"/>
          <w:color w:val="auto"/>
        </w:rPr>
        <w:t>. The Committee may only make adjustments to a Free Share Award pursuant to Rule 13 (</w:t>
      </w:r>
      <w:r>
        <w:rPr>
          <w:rFonts w:ascii="Times New Roman" w:cs="Times New Roman" w:eastAsia="Times New Roman" w:hAnsi="Times New Roman"/>
          <w:sz w:val="14"/>
          <w:szCs w:val="14"/>
          <w:i w:val="1"/>
          <w:iCs w:val="1"/>
          <w:color w:val="auto"/>
        </w:rPr>
        <w:t>Adjustment of Awards</w:t>
      </w:r>
      <w:r>
        <w:rPr>
          <w:rFonts w:ascii="Times New Roman" w:cs="Times New Roman" w:eastAsia="Times New Roman" w:hAnsi="Times New Roman"/>
          <w:sz w:val="14"/>
          <w:szCs w:val="14"/>
          <w:color w:val="auto"/>
        </w:rPr>
        <w:t>) in the case of transactions mentioned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Article L. 225-181 of the French Commercial Code. Any such adjustment shall be in order to guarantee the neutrality of the relevant transaction on the rights of the French Participants, such adjustments not being mandatory upon the Company.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1020"/>
          </w:cols>
          <w:pgMar w:left="440" w:top="993" w:right="439" w:bottom="1440" w:gutter="0" w:footer="0" w:header="0"/>
        </w:sectPr>
      </w:pPr>
    </w:p>
    <w:bookmarkStart w:id="254" w:name="page255"/>
    <w:bookmarkEnd w:id="254"/>
    <w:p>
      <w:pPr>
        <w:ind w:right="180"/>
        <w:spacing w:after="0" w:line="295" w:lineRule="auto"/>
        <w:rPr>
          <w:sz w:val="20"/>
          <w:szCs w:val="20"/>
          <w:color w:val="auto"/>
        </w:rPr>
      </w:pPr>
      <w:r>
        <w:rPr>
          <w:rFonts w:ascii="Times New Roman" w:cs="Times New Roman" w:eastAsia="Times New Roman" w:hAnsi="Times New Roman"/>
          <w:sz w:val="14"/>
          <w:szCs w:val="14"/>
          <w:b w:val="1"/>
          <w:bCs w:val="1"/>
          <w:color w:val="auto"/>
        </w:rPr>
        <w:t>Employment Rights</w:t>
      </w:r>
      <w:r>
        <w:rPr>
          <w:rFonts w:ascii="Times New Roman" w:cs="Times New Roman" w:eastAsia="Times New Roman" w:hAnsi="Times New Roman"/>
          <w:sz w:val="14"/>
          <w:szCs w:val="14"/>
          <w:color w:val="auto"/>
        </w:rPr>
        <w:t>. The adoption of this French Sub-Plan (a) shall not confer any employment rights upon the French Participants or any employees of a French Entity, and (b) shall not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 construed as a part of any employment contracts that a French Entity has with its employees.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Amendments</w:t>
      </w:r>
      <w:r>
        <w:rPr>
          <w:rFonts w:ascii="Times New Roman" w:cs="Times New Roman" w:eastAsia="Times New Roman" w:hAnsi="Times New Roman"/>
          <w:sz w:val="14"/>
          <w:szCs w:val="14"/>
          <w:color w:val="auto"/>
        </w:rPr>
        <w:t>. Subject to the terms of the Plan, the Committee reserves the right to amend or terminate this French Sub-Plan at any time in accordance with applicable French law.</w:t>
      </w:r>
    </w:p>
    <w:p>
      <w:pPr>
        <w:spacing w:after="0" w:line="26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Interpretation. </w:t>
      </w:r>
      <w:r>
        <w:rPr>
          <w:rFonts w:ascii="Times New Roman" w:cs="Times New Roman" w:eastAsia="Times New Roman" w:hAnsi="Times New Roman"/>
          <w:sz w:val="14"/>
          <w:szCs w:val="14"/>
          <w:color w:val="auto"/>
        </w:rPr>
        <w:t>The Free Share Awards are intended to qualify for the specific tax and social security treatment applicable to free shares granted under Sections L. 225-197-1 to L. 225-197-6</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the French Commercial Code, as amended, and in accordance with the relevant provisions set forth by French tax and social security laws. Nevertheless, the Company does not undertake to maintain this status. The terms of this French Sub-Plan shall be interpreted accordingly and in accordance with the relevant provisions set forth by French tax and social security laws and relevant guidelines published by French tax and social security administrations and subject to the fulfilment of certain legal, tax, and reporting obligations, to the extent applicable. In the event of any conflict between the provisions of this French Sub-Plan and the Plan, the provisions of this French Sub-Plan shall control for any grants of Free Share Awards made hereunder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French Participants.</w:t>
      </w:r>
    </w:p>
    <w:p>
      <w:pPr>
        <w:spacing w:after="0" w:line="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0780"/>
          </w:cols>
          <w:pgMar w:left="440" w:top="1260" w:right="679" w:bottom="1440" w:gutter="0" w:footer="0" w:header="0"/>
        </w:sectPr>
      </w:pPr>
    </w:p>
    <w:bookmarkStart w:id="255" w:name="page256"/>
    <w:bookmarkEnd w:id="255"/>
    <w:p>
      <w:pPr>
        <w:jc w:val="right"/>
        <w:spacing w:after="0"/>
        <w:rPr>
          <w:sz w:val="20"/>
          <w:szCs w:val="20"/>
          <w:color w:val="auto"/>
        </w:rPr>
      </w:pPr>
      <w:r>
        <w:rPr>
          <w:rFonts w:ascii="Times New Roman" w:cs="Times New Roman" w:eastAsia="Times New Roman" w:hAnsi="Times New Roman"/>
          <w:sz w:val="16"/>
          <w:szCs w:val="16"/>
          <w:b w:val="1"/>
          <w:bCs w:val="1"/>
          <w:color w:val="auto"/>
        </w:rPr>
        <w:t>Exhibit 10.21C</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J</w:t>
      </w:r>
      <w:r>
        <w:rPr>
          <w:rFonts w:ascii="Times New Roman" w:cs="Times New Roman" w:eastAsia="Times New Roman" w:hAnsi="Times New Roman"/>
          <w:sz w:val="19"/>
          <w:szCs w:val="19"/>
          <w:b w:val="1"/>
          <w:bCs w:val="1"/>
          <w:color w:val="auto"/>
        </w:rPr>
        <w:t>AZZ</w:t>
      </w:r>
      <w:r>
        <w:rPr>
          <w:rFonts w:ascii="Times New Roman" w:cs="Times New Roman" w:eastAsia="Times New Roman" w:hAnsi="Times New Roman"/>
          <w:sz w:val="25"/>
          <w:szCs w:val="25"/>
          <w:b w:val="1"/>
          <w:bCs w:val="1"/>
          <w:color w:val="auto"/>
        </w:rPr>
        <w:t xml:space="preserve"> P</w:t>
      </w:r>
      <w:r>
        <w:rPr>
          <w:rFonts w:ascii="Times New Roman" w:cs="Times New Roman" w:eastAsia="Times New Roman" w:hAnsi="Times New Roman"/>
          <w:sz w:val="19"/>
          <w:szCs w:val="19"/>
          <w:b w:val="1"/>
          <w:bCs w:val="1"/>
          <w:color w:val="auto"/>
        </w:rPr>
        <w:t>HARMACEUTICALS PLC</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2007 E</w:t>
      </w:r>
      <w:r>
        <w:rPr>
          <w:rFonts w:ascii="Times New Roman" w:cs="Times New Roman" w:eastAsia="Times New Roman" w:hAnsi="Times New Roman"/>
          <w:sz w:val="20"/>
          <w:szCs w:val="20"/>
          <w:b w:val="1"/>
          <w:bCs w:val="1"/>
          <w:color w:val="auto"/>
        </w:rPr>
        <w:t>MPLOYEE</w:t>
      </w:r>
      <w:r>
        <w:rPr>
          <w:rFonts w:ascii="Times New Roman" w:cs="Times New Roman" w:eastAsia="Times New Roman" w:hAnsi="Times New Roman"/>
          <w:sz w:val="26"/>
          <w:szCs w:val="26"/>
          <w:b w:val="1"/>
          <w:bCs w:val="1"/>
          <w:color w:val="auto"/>
        </w:rPr>
        <w:t xml:space="preserve"> S</w:t>
      </w:r>
      <w:r>
        <w:rPr>
          <w:rFonts w:ascii="Times New Roman" w:cs="Times New Roman" w:eastAsia="Times New Roman" w:hAnsi="Times New Roman"/>
          <w:sz w:val="20"/>
          <w:szCs w:val="20"/>
          <w:b w:val="1"/>
          <w:bCs w:val="1"/>
          <w:color w:val="auto"/>
        </w:rPr>
        <w:t>TOCK</w:t>
      </w:r>
      <w:r>
        <w:rPr>
          <w:rFonts w:ascii="Times New Roman" w:cs="Times New Roman" w:eastAsia="Times New Roman" w:hAnsi="Times New Roman"/>
          <w:sz w:val="26"/>
          <w:szCs w:val="26"/>
          <w:b w:val="1"/>
          <w:bCs w:val="1"/>
          <w:color w:val="auto"/>
        </w:rPr>
        <w:t xml:space="preserve"> P</w:t>
      </w:r>
      <w:r>
        <w:rPr>
          <w:rFonts w:ascii="Times New Roman" w:cs="Times New Roman" w:eastAsia="Times New Roman" w:hAnsi="Times New Roman"/>
          <w:sz w:val="20"/>
          <w:szCs w:val="20"/>
          <w:b w:val="1"/>
          <w:bCs w:val="1"/>
          <w:color w:val="auto"/>
        </w:rPr>
        <w:t>URCHASE</w:t>
      </w:r>
      <w:r>
        <w:rPr>
          <w:rFonts w:ascii="Times New Roman" w:cs="Times New Roman" w:eastAsia="Times New Roman" w:hAnsi="Times New Roman"/>
          <w:sz w:val="26"/>
          <w:szCs w:val="26"/>
          <w:b w:val="1"/>
          <w:bCs w:val="1"/>
          <w:color w:val="auto"/>
        </w:rPr>
        <w:t xml:space="preserve"> P</w:t>
      </w:r>
      <w:r>
        <w:rPr>
          <w:rFonts w:ascii="Times New Roman" w:cs="Times New Roman" w:eastAsia="Times New Roman" w:hAnsi="Times New Roman"/>
          <w:sz w:val="20"/>
          <w:szCs w:val="20"/>
          <w:b w:val="1"/>
          <w:bCs w:val="1"/>
          <w:color w:val="auto"/>
        </w:rPr>
        <w:t>LAN</w:t>
      </w:r>
    </w:p>
    <w:p>
      <w:pPr>
        <w:spacing w:after="0" w:line="200" w:lineRule="exact"/>
        <w:rPr>
          <w:sz w:val="20"/>
          <w:szCs w:val="20"/>
          <w:color w:val="auto"/>
        </w:rPr>
      </w:pPr>
    </w:p>
    <w:p>
      <w:pPr>
        <w:spacing w:after="0" w:line="252" w:lineRule="exact"/>
        <w:rPr>
          <w:sz w:val="20"/>
          <w:szCs w:val="20"/>
          <w:color w:val="auto"/>
        </w:rPr>
      </w:pPr>
    </w:p>
    <w:p>
      <w:pPr>
        <w:ind w:left="640" w:hanging="634"/>
        <w:spacing w:after="0"/>
        <w:tabs>
          <w:tab w:leader="none" w:pos="640" w:val="left"/>
        </w:tabs>
        <w:numPr>
          <w:ilvl w:val="0"/>
          <w:numId w:val="25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GENERAL.</w:t>
      </w:r>
    </w:p>
    <w:p>
      <w:pPr>
        <w:spacing w:after="0" w:line="188" w:lineRule="exact"/>
        <w:rPr>
          <w:rFonts w:ascii="Times New Roman" w:cs="Times New Roman" w:eastAsia="Times New Roman" w:hAnsi="Times New Roman"/>
          <w:sz w:val="21"/>
          <w:szCs w:val="21"/>
          <w:b w:val="1"/>
          <w:bCs w:val="1"/>
          <w:color w:val="auto"/>
        </w:rPr>
      </w:pPr>
    </w:p>
    <w:p>
      <w:pPr>
        <w:jc w:val="both"/>
        <w:ind w:firstLine="645"/>
        <w:spacing w:after="0" w:line="233" w:lineRule="auto"/>
        <w:tabs>
          <w:tab w:leader="none" w:pos="1273" w:val="left"/>
        </w:tabs>
        <w:numPr>
          <w:ilvl w:val="1"/>
          <w:numId w:val="25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purpose of the Plan is to provide a means by which Eligible Employees of the Company and certain designated Related Corporations may be given an opportunity to purchase Ordinary Shares. The Plan is intended to permit the Company to grant a series of Purchase Rights to Eligible Employees under an Employee Stock Purchase Plan.</w:t>
      </w:r>
    </w:p>
    <w:p>
      <w:pPr>
        <w:spacing w:after="0" w:line="148" w:lineRule="exact"/>
        <w:rPr>
          <w:rFonts w:ascii="Times New Roman" w:cs="Times New Roman" w:eastAsia="Times New Roman" w:hAnsi="Times New Roman"/>
          <w:sz w:val="21"/>
          <w:szCs w:val="21"/>
          <w:b w:val="1"/>
          <w:bCs w:val="1"/>
          <w:color w:val="auto"/>
        </w:rPr>
      </w:pPr>
    </w:p>
    <w:p>
      <w:pPr>
        <w:jc w:val="both"/>
        <w:ind w:firstLine="645"/>
        <w:spacing w:after="0" w:line="233" w:lineRule="auto"/>
        <w:tabs>
          <w:tab w:leader="none" w:pos="1272" w:val="left"/>
        </w:tabs>
        <w:numPr>
          <w:ilvl w:val="1"/>
          <w:numId w:val="25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Company, by means of the Plan, seeks to retain the services of such Employees, to secure and retain the services of new Employees and to provide incentives for such persons to exert maximum efforts for the success of the Company, its Related Corporations and Affiliates.</w:t>
      </w:r>
    </w:p>
    <w:p>
      <w:pPr>
        <w:spacing w:after="0" w:line="148" w:lineRule="exact"/>
        <w:rPr>
          <w:rFonts w:ascii="Times New Roman" w:cs="Times New Roman" w:eastAsia="Times New Roman" w:hAnsi="Times New Roman"/>
          <w:sz w:val="21"/>
          <w:szCs w:val="21"/>
          <w:b w:val="1"/>
          <w:bCs w:val="1"/>
          <w:color w:val="auto"/>
        </w:rPr>
      </w:pPr>
    </w:p>
    <w:p>
      <w:pPr>
        <w:jc w:val="both"/>
        <w:ind w:firstLine="645"/>
        <w:spacing w:after="0" w:line="220" w:lineRule="auto"/>
        <w:tabs>
          <w:tab w:leader="none" w:pos="1275" w:val="left"/>
        </w:tabs>
        <w:numPr>
          <w:ilvl w:val="1"/>
          <w:numId w:val="25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This Plan includes two components: a 423 Component and a Non-423 Component. It is the intention of the Company to have the 423 Component qualify as an Employee Stock Purchase Plan. The provisions of the 423 Component, accordingly, shall be construed so as to extend and limit participation in a uniform and nondiscriminatory basis consistent with the requirements of Section 423 of the Code. In addition, this Plan authorizes the grant of Purchase Rights under the Non-423 Component that does not qualify as an Employee Stock Purchase Plan; such Purchase Rights shall be granted pursuant to any rules, procedures, agreements, appendices, or sub-plans adopted by the Board for such purpose. Except as otherwise provided herein or determined by the Board, the Non-423 Component will operate and be administered in the same manner as the 423 Component.</w:t>
      </w:r>
    </w:p>
    <w:p>
      <w:pPr>
        <w:spacing w:after="0" w:line="150" w:lineRule="exact"/>
        <w:rPr>
          <w:rFonts w:ascii="Times New Roman" w:cs="Times New Roman" w:eastAsia="Times New Roman" w:hAnsi="Times New Roman"/>
          <w:sz w:val="21"/>
          <w:szCs w:val="21"/>
          <w:b w:val="1"/>
          <w:bCs w:val="1"/>
          <w:color w:val="auto"/>
        </w:rPr>
      </w:pPr>
    </w:p>
    <w:p>
      <w:pPr>
        <w:ind w:left="640" w:hanging="634"/>
        <w:spacing w:after="0"/>
        <w:tabs>
          <w:tab w:leader="none" w:pos="640" w:val="left"/>
        </w:tabs>
        <w:numPr>
          <w:ilvl w:val="0"/>
          <w:numId w:val="25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w:t>
      </w:r>
      <w:r>
        <w:rPr>
          <w:rFonts w:ascii="Times New Roman" w:cs="Times New Roman" w:eastAsia="Times New Roman" w:hAnsi="Times New Roman"/>
          <w:sz w:val="16"/>
          <w:szCs w:val="16"/>
          <w:b w:val="1"/>
          <w:bCs w:val="1"/>
          <w:color w:val="auto"/>
        </w:rPr>
        <w:t>DMINISTRATION</w:t>
      </w:r>
      <w:r>
        <w:rPr>
          <w:rFonts w:ascii="Times New Roman" w:cs="Times New Roman" w:eastAsia="Times New Roman" w:hAnsi="Times New Roman"/>
          <w:sz w:val="21"/>
          <w:szCs w:val="21"/>
          <w:b w:val="1"/>
          <w:bCs w:val="1"/>
          <w:color w:val="auto"/>
        </w:rPr>
        <w:t>.</w:t>
      </w:r>
    </w:p>
    <w:p>
      <w:pPr>
        <w:spacing w:after="0" w:line="188" w:lineRule="exact"/>
        <w:rPr>
          <w:rFonts w:ascii="Times New Roman" w:cs="Times New Roman" w:eastAsia="Times New Roman" w:hAnsi="Times New Roman"/>
          <w:sz w:val="21"/>
          <w:szCs w:val="21"/>
          <w:b w:val="1"/>
          <w:bCs w:val="1"/>
          <w:color w:val="auto"/>
        </w:rPr>
      </w:pPr>
    </w:p>
    <w:p>
      <w:pPr>
        <w:ind w:firstLine="645"/>
        <w:spacing w:after="0" w:line="247" w:lineRule="auto"/>
        <w:tabs>
          <w:tab w:leader="none" w:pos="1273" w:val="left"/>
        </w:tabs>
        <w:numPr>
          <w:ilvl w:val="1"/>
          <w:numId w:val="25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Board shall administer the Plan unless and until the Board delegates administration of the Plan to a Committee or Committees, as provided in Section 2(c).</w:t>
      </w:r>
    </w:p>
    <w:p>
      <w:pPr>
        <w:spacing w:after="0" w:line="141" w:lineRule="exact"/>
        <w:rPr>
          <w:rFonts w:ascii="Times New Roman" w:cs="Times New Roman" w:eastAsia="Times New Roman" w:hAnsi="Times New Roman"/>
          <w:sz w:val="21"/>
          <w:szCs w:val="21"/>
          <w:b w:val="1"/>
          <w:bCs w:val="1"/>
          <w:color w:val="auto"/>
        </w:rPr>
      </w:pPr>
    </w:p>
    <w:p>
      <w:pPr>
        <w:ind w:left="1280" w:hanging="635"/>
        <w:spacing w:after="0"/>
        <w:tabs>
          <w:tab w:leader="none" w:pos="1280" w:val="left"/>
        </w:tabs>
        <w:numPr>
          <w:ilvl w:val="1"/>
          <w:numId w:val="25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Board shall have the power, subject to, and within the limitations of, the express provisions of the Plan:</w:t>
      </w:r>
    </w:p>
    <w:p>
      <w:pPr>
        <w:spacing w:after="0" w:line="184" w:lineRule="exact"/>
        <w:rPr>
          <w:rFonts w:ascii="Times New Roman" w:cs="Times New Roman" w:eastAsia="Times New Roman" w:hAnsi="Times New Roman"/>
          <w:sz w:val="21"/>
          <w:szCs w:val="21"/>
          <w:b w:val="1"/>
          <w:bCs w:val="1"/>
          <w:color w:val="auto"/>
        </w:rPr>
      </w:pPr>
    </w:p>
    <w:p>
      <w:pPr>
        <w:ind w:firstLine="1284"/>
        <w:spacing w:after="0" w:line="247" w:lineRule="auto"/>
        <w:tabs>
          <w:tab w:leader="none" w:pos="1905" w:val="left"/>
        </w:tabs>
        <w:numPr>
          <w:ilvl w:val="2"/>
          <w:numId w:val="25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To determine how and when Purchase Rights to purchase Ordinary Shares shall be granted and the provisions of each Offering comprised of such Purchase Rights (which need not be identical).</w:t>
      </w:r>
    </w:p>
    <w:p>
      <w:pPr>
        <w:spacing w:after="0" w:line="141" w:lineRule="exact"/>
        <w:rPr>
          <w:rFonts w:ascii="Times New Roman" w:cs="Times New Roman" w:eastAsia="Times New Roman" w:hAnsi="Times New Roman"/>
          <w:sz w:val="21"/>
          <w:szCs w:val="21"/>
          <w:b w:val="1"/>
          <w:bCs w:val="1"/>
          <w:color w:val="auto"/>
        </w:rPr>
      </w:pPr>
    </w:p>
    <w:p>
      <w:pPr>
        <w:jc w:val="both"/>
        <w:ind w:firstLine="1284"/>
        <w:spacing w:after="0" w:line="227" w:lineRule="auto"/>
        <w:tabs>
          <w:tab w:leader="none" w:pos="1911" w:val="left"/>
        </w:tabs>
        <w:numPr>
          <w:ilvl w:val="2"/>
          <w:numId w:val="25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To designate from time to time which Related Corporations shall be eligible to participate in the 423 Component as Designated Related Corporations and which Related Corporations or Affiliates shall be eligible to participate in the Non-423 Component as Designated Companies; provided, however, that at any given time, a Related Corporation that is a Designated Company under the 423 Component will not be a Designated Company under the Non-423 Component.</w:t>
      </w:r>
    </w:p>
    <w:p>
      <w:pPr>
        <w:spacing w:after="0" w:line="151" w:lineRule="exact"/>
        <w:rPr>
          <w:rFonts w:ascii="Times New Roman" w:cs="Times New Roman" w:eastAsia="Times New Roman" w:hAnsi="Times New Roman"/>
          <w:sz w:val="21"/>
          <w:szCs w:val="21"/>
          <w:b w:val="1"/>
          <w:bCs w:val="1"/>
          <w:color w:val="auto"/>
        </w:rPr>
      </w:pPr>
    </w:p>
    <w:p>
      <w:pPr>
        <w:jc w:val="both"/>
        <w:ind w:firstLine="1284"/>
        <w:spacing w:after="0" w:line="227" w:lineRule="auto"/>
        <w:tabs>
          <w:tab w:leader="none" w:pos="1917" w:val="left"/>
        </w:tabs>
        <w:numPr>
          <w:ilvl w:val="2"/>
          <w:numId w:val="25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To construe and interpret the Plan and Purchase Rights, and to establish, amend and revoke rules and regulations for administration of the Plan. The Board, in the exercise of this power, may correct any defect, omission or inconsistency in the Plan, in a manner and to the extent it shall deem necessary or expedient to make the Plan or Purchase Rights fully effective.</w:t>
      </w:r>
    </w:p>
    <w:p>
      <w:pPr>
        <w:spacing w:after="0" w:line="151" w:lineRule="exact"/>
        <w:rPr>
          <w:rFonts w:ascii="Times New Roman" w:cs="Times New Roman" w:eastAsia="Times New Roman" w:hAnsi="Times New Roman"/>
          <w:sz w:val="21"/>
          <w:szCs w:val="21"/>
          <w:b w:val="1"/>
          <w:bCs w:val="1"/>
          <w:color w:val="auto"/>
        </w:rPr>
      </w:pPr>
    </w:p>
    <w:p>
      <w:pPr>
        <w:ind w:left="1920" w:hanging="636"/>
        <w:spacing w:after="0"/>
        <w:tabs>
          <w:tab w:leader="none" w:pos="1920" w:val="left"/>
        </w:tabs>
        <w:numPr>
          <w:ilvl w:val="2"/>
          <w:numId w:val="25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To settle all controversies regarding the Plan and Purchase Rights granted under it.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590" w:right="339" w:bottom="1440" w:gutter="0" w:footer="0" w:header="0"/>
        </w:sectPr>
      </w:pPr>
    </w:p>
    <w:bookmarkStart w:id="256" w:name="page257"/>
    <w:bookmarkEnd w:id="256"/>
    <w:p>
      <w:pPr>
        <w:jc w:val="right"/>
        <w:spacing w:after="0"/>
        <w:rPr>
          <w:sz w:val="20"/>
          <w:szCs w:val="20"/>
          <w:color w:val="auto"/>
        </w:rPr>
      </w:pPr>
      <w:r>
        <w:rPr>
          <w:rFonts w:ascii="Times New Roman" w:cs="Times New Roman" w:eastAsia="Times New Roman" w:hAnsi="Times New Roman"/>
          <w:sz w:val="16"/>
          <w:szCs w:val="16"/>
          <w:b w:val="1"/>
          <w:bCs w:val="1"/>
          <w:color w:val="auto"/>
        </w:rPr>
        <w:t>Exhibit 10.21C</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920" w:hanging="636"/>
        <w:spacing w:after="0"/>
        <w:tabs>
          <w:tab w:leader="none" w:pos="1920" w:val="left"/>
        </w:tabs>
        <w:numPr>
          <w:ilvl w:val="0"/>
          <w:numId w:val="25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To suspend or terminate the Plan at any time as provided in Section 13.</w:t>
      </w:r>
    </w:p>
    <w:p>
      <w:pPr>
        <w:spacing w:after="0" w:line="184" w:lineRule="exact"/>
        <w:rPr>
          <w:rFonts w:ascii="Times New Roman" w:cs="Times New Roman" w:eastAsia="Times New Roman" w:hAnsi="Times New Roman"/>
          <w:sz w:val="21"/>
          <w:szCs w:val="21"/>
          <w:b w:val="1"/>
          <w:bCs w:val="1"/>
          <w:color w:val="auto"/>
        </w:rPr>
      </w:pPr>
    </w:p>
    <w:p>
      <w:pPr>
        <w:ind w:left="1920" w:hanging="636"/>
        <w:spacing w:after="0"/>
        <w:tabs>
          <w:tab w:leader="none" w:pos="1920" w:val="left"/>
        </w:tabs>
        <w:numPr>
          <w:ilvl w:val="0"/>
          <w:numId w:val="25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To amend the Plan at any time as provided in Section 13.</w:t>
      </w:r>
    </w:p>
    <w:p>
      <w:pPr>
        <w:spacing w:after="0" w:line="179" w:lineRule="exact"/>
        <w:rPr>
          <w:rFonts w:ascii="Times New Roman" w:cs="Times New Roman" w:eastAsia="Times New Roman" w:hAnsi="Times New Roman"/>
          <w:sz w:val="21"/>
          <w:szCs w:val="21"/>
          <w:b w:val="1"/>
          <w:bCs w:val="1"/>
          <w:color w:val="auto"/>
        </w:rPr>
      </w:pPr>
    </w:p>
    <w:p>
      <w:pPr>
        <w:ind w:left="1920" w:hanging="636"/>
        <w:spacing w:after="0"/>
        <w:tabs>
          <w:tab w:leader="none" w:pos="1920" w:val="left"/>
        </w:tabs>
        <w:numPr>
          <w:ilvl w:val="0"/>
          <w:numId w:val="25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Generally, to exercise such powers and to perform such acts as it deems</w:t>
      </w:r>
    </w:p>
    <w:p>
      <w:pPr>
        <w:ind w:left="120" w:right="100"/>
        <w:spacing w:after="0" w:line="231" w:lineRule="auto"/>
        <w:rPr>
          <w:sz w:val="20"/>
          <w:szCs w:val="20"/>
          <w:color w:val="auto"/>
        </w:rPr>
      </w:pPr>
      <w:r>
        <w:rPr>
          <w:rFonts w:ascii="Times New Roman" w:cs="Times New Roman" w:eastAsia="Times New Roman" w:hAnsi="Times New Roman"/>
          <w:sz w:val="21"/>
          <w:szCs w:val="21"/>
          <w:color w:val="auto"/>
        </w:rPr>
        <w:t>necessary or expedient to promote the best interests of the Company, its Related Corporations and Affiliates and to carry out the intent that the 423 Component be treated as an Employee Stock Purchase Plan.</w:t>
      </w:r>
    </w:p>
    <w:p>
      <w:pPr>
        <w:spacing w:after="0" w:line="150" w:lineRule="exact"/>
        <w:rPr>
          <w:sz w:val="20"/>
          <w:szCs w:val="20"/>
          <w:color w:val="auto"/>
        </w:rPr>
      </w:pPr>
    </w:p>
    <w:p>
      <w:pPr>
        <w:jc w:val="both"/>
        <w:ind w:firstLine="1284"/>
        <w:spacing w:after="0"/>
        <w:tabs>
          <w:tab w:leader="none" w:pos="1917" w:val="left"/>
        </w:tabs>
        <w:numPr>
          <w:ilvl w:val="2"/>
          <w:numId w:val="25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To adopt such rules, procedures, agreements, appendices, or sub-plans as are necessary or appropriate to permit participation in the Plan by Employees who are foreign nationals or employed outside the United States. Without limiting the generality of the foregoing, the Board specifically is authorized to adopt rules, procedures, agreements, appendices, or sub-plans, which, for purposes of the Non-423 Component, may be outside the scope of Section 423 of the Code, regarding, without limitation, eligibility to participate in the Plan, handling and making of Contributions, establishment of bank or trust accounts to hold Contributions, payment of interest, conversion of local currency, obligations to pay payroll tax, determination of beneficiary designation requirements, withholding procedures and handling of share issuances, which may vary according to local requirements.</w:t>
      </w:r>
    </w:p>
    <w:p>
      <w:pPr>
        <w:spacing w:after="0" w:line="226" w:lineRule="exact"/>
        <w:rPr>
          <w:rFonts w:ascii="Times New Roman" w:cs="Times New Roman" w:eastAsia="Times New Roman" w:hAnsi="Times New Roman"/>
          <w:sz w:val="21"/>
          <w:szCs w:val="21"/>
          <w:b w:val="1"/>
          <w:bCs w:val="1"/>
          <w:color w:val="auto"/>
        </w:rPr>
      </w:pPr>
    </w:p>
    <w:p>
      <w:pPr>
        <w:ind w:firstLine="1284"/>
        <w:spacing w:after="0" w:line="247" w:lineRule="auto"/>
        <w:tabs>
          <w:tab w:leader="none" w:pos="1905" w:val="left"/>
        </w:tabs>
        <w:numPr>
          <w:ilvl w:val="2"/>
          <w:numId w:val="25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To make any other determination and take any other action that the Board deems necessary or desirable for the administration of the Plan.</w:t>
      </w:r>
    </w:p>
    <w:p>
      <w:pPr>
        <w:spacing w:after="0" w:line="141" w:lineRule="exact"/>
        <w:rPr>
          <w:rFonts w:ascii="Times New Roman" w:cs="Times New Roman" w:eastAsia="Times New Roman" w:hAnsi="Times New Roman"/>
          <w:sz w:val="21"/>
          <w:szCs w:val="21"/>
          <w:b w:val="1"/>
          <w:bCs w:val="1"/>
          <w:color w:val="auto"/>
        </w:rPr>
      </w:pPr>
    </w:p>
    <w:p>
      <w:pPr>
        <w:jc w:val="both"/>
        <w:ind w:firstLine="645"/>
        <w:spacing w:after="0" w:line="217" w:lineRule="auto"/>
        <w:tabs>
          <w:tab w:leader="none" w:pos="1275" w:val="left"/>
        </w:tabs>
        <w:numPr>
          <w:ilvl w:val="1"/>
          <w:numId w:val="25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Board may delegate some or all of the administration of the Plan to a Committee or Committees. If administration is delegated to a Committee, the Committee shall have, in connection with the administration of the Plan, the powers theretofore possessed by the Board that have been delegated to the Committee, including the power to delegate to a subcommittee any of the administrative powers the Committee is authorized to exercise (and references in this Plan to the Board shall thereafter be to the Committee or subcommittee), subject, however, to such resolutions, not inconsistent with the provisions of the Plan, as may be adopted from time to time by the Board. Further, to the extent not prohibited by applicable law, the Board or Committee may, from time to time, delegate some or all of its authority under to the Plan to one or more officers of the Company or other persons or groups of persons as it deems necessary, appropriate or advisable under conditions or limitations that it may set at or after the time of delegation. The Board may retain the authority to concurrently administer the Plan with the Committee (or other applicable delegate) and may, at any time, revest in the Board some or all of the powers previously delegated. Whether or not the Board has delegated administration of the Plan to a Committee or other delegate, the Board shall have the final power to determine all questions of policy and expediency that may arise in the administration of the Plan.</w:t>
      </w:r>
    </w:p>
    <w:p>
      <w:pPr>
        <w:spacing w:after="0" w:line="148" w:lineRule="exact"/>
        <w:rPr>
          <w:rFonts w:ascii="Times New Roman" w:cs="Times New Roman" w:eastAsia="Times New Roman" w:hAnsi="Times New Roman"/>
          <w:sz w:val="21"/>
          <w:szCs w:val="21"/>
          <w:b w:val="1"/>
          <w:bCs w:val="1"/>
          <w:color w:val="auto"/>
        </w:rPr>
      </w:pPr>
    </w:p>
    <w:p>
      <w:pPr>
        <w:ind w:right="20" w:firstLine="645"/>
        <w:spacing w:after="0" w:line="247" w:lineRule="auto"/>
        <w:tabs>
          <w:tab w:leader="none" w:pos="1272" w:val="left"/>
        </w:tabs>
        <w:numPr>
          <w:ilvl w:val="1"/>
          <w:numId w:val="25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All determinations, interpretations and constructions made by the Board in good faith shall not be subject to review by any person and shall be final, binding and conclusive on all persons.</w:t>
      </w:r>
    </w:p>
    <w:p>
      <w:pPr>
        <w:spacing w:after="0" w:line="137" w:lineRule="exact"/>
        <w:rPr>
          <w:rFonts w:ascii="Times New Roman" w:cs="Times New Roman" w:eastAsia="Times New Roman" w:hAnsi="Times New Roman"/>
          <w:sz w:val="21"/>
          <w:szCs w:val="21"/>
          <w:b w:val="1"/>
          <w:bCs w:val="1"/>
          <w:color w:val="auto"/>
        </w:rPr>
      </w:pPr>
    </w:p>
    <w:p>
      <w:pPr>
        <w:ind w:left="640" w:hanging="634"/>
        <w:spacing w:after="0"/>
        <w:tabs>
          <w:tab w:leader="none" w:pos="640" w:val="left"/>
        </w:tabs>
        <w:numPr>
          <w:ilvl w:val="0"/>
          <w:numId w:val="25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O</w:t>
      </w:r>
      <w:r>
        <w:rPr>
          <w:rFonts w:ascii="Times New Roman" w:cs="Times New Roman" w:eastAsia="Times New Roman" w:hAnsi="Times New Roman"/>
          <w:sz w:val="16"/>
          <w:szCs w:val="16"/>
          <w:b w:val="1"/>
          <w:bCs w:val="1"/>
          <w:color w:val="auto"/>
        </w:rPr>
        <w:t>RDINARY</w:t>
      </w:r>
      <w:r>
        <w:rPr>
          <w:rFonts w:ascii="Times New Roman" w:cs="Times New Roman" w:eastAsia="Times New Roman" w:hAnsi="Times New Roman"/>
          <w:sz w:val="21"/>
          <w:szCs w:val="21"/>
          <w:b w:val="1"/>
          <w:bCs w:val="1"/>
          <w:color w:val="auto"/>
        </w:rPr>
        <w:t xml:space="preserve"> S</w:t>
      </w:r>
      <w:r>
        <w:rPr>
          <w:rFonts w:ascii="Times New Roman" w:cs="Times New Roman" w:eastAsia="Times New Roman" w:hAnsi="Times New Roman"/>
          <w:sz w:val="16"/>
          <w:szCs w:val="16"/>
          <w:b w:val="1"/>
          <w:bCs w:val="1"/>
          <w:color w:val="auto"/>
        </w:rPr>
        <w:t>HARES</w:t>
      </w:r>
      <w:r>
        <w:rPr>
          <w:rFonts w:ascii="Times New Roman" w:cs="Times New Roman" w:eastAsia="Times New Roman" w:hAnsi="Times New Roman"/>
          <w:sz w:val="21"/>
          <w:szCs w:val="21"/>
          <w:b w:val="1"/>
          <w:bCs w:val="1"/>
          <w:color w:val="auto"/>
        </w:rPr>
        <w:t xml:space="preserve"> S</w:t>
      </w:r>
      <w:r>
        <w:rPr>
          <w:rFonts w:ascii="Times New Roman" w:cs="Times New Roman" w:eastAsia="Times New Roman" w:hAnsi="Times New Roman"/>
          <w:sz w:val="16"/>
          <w:szCs w:val="16"/>
          <w:b w:val="1"/>
          <w:bCs w:val="1"/>
          <w:color w:val="auto"/>
        </w:rPr>
        <w:t>UBJECT TO THE</w:t>
      </w:r>
      <w:r>
        <w:rPr>
          <w:rFonts w:ascii="Times New Roman" w:cs="Times New Roman" w:eastAsia="Times New Roman" w:hAnsi="Times New Roman"/>
          <w:sz w:val="21"/>
          <w:szCs w:val="21"/>
          <w:b w:val="1"/>
          <w:bCs w:val="1"/>
          <w:color w:val="auto"/>
        </w:rPr>
        <w:t xml:space="preserve"> P</w:t>
      </w:r>
      <w:r>
        <w:rPr>
          <w:rFonts w:ascii="Times New Roman" w:cs="Times New Roman" w:eastAsia="Times New Roman" w:hAnsi="Times New Roman"/>
          <w:sz w:val="16"/>
          <w:szCs w:val="16"/>
          <w:b w:val="1"/>
          <w:bCs w:val="1"/>
          <w:color w:val="auto"/>
        </w:rPr>
        <w:t>LAN</w:t>
      </w:r>
      <w:r>
        <w:rPr>
          <w:rFonts w:ascii="Times New Roman" w:cs="Times New Roman" w:eastAsia="Times New Roman" w:hAnsi="Times New Roman"/>
          <w:sz w:val="21"/>
          <w:szCs w:val="21"/>
          <w:b w:val="1"/>
          <w:bCs w:val="1"/>
          <w:color w:val="auto"/>
        </w:rPr>
        <w:t>.</w:t>
      </w:r>
    </w:p>
    <w:p>
      <w:pPr>
        <w:spacing w:after="0" w:line="188" w:lineRule="exact"/>
        <w:rPr>
          <w:rFonts w:ascii="Times New Roman" w:cs="Times New Roman" w:eastAsia="Times New Roman" w:hAnsi="Times New Roman"/>
          <w:sz w:val="21"/>
          <w:szCs w:val="21"/>
          <w:b w:val="1"/>
          <w:bCs w:val="1"/>
          <w:color w:val="auto"/>
        </w:rPr>
      </w:pPr>
    </w:p>
    <w:p>
      <w:pPr>
        <w:jc w:val="both"/>
        <w:ind w:firstLine="645"/>
        <w:spacing w:after="0" w:line="220" w:lineRule="auto"/>
        <w:tabs>
          <w:tab w:leader="none" w:pos="1273" w:val="left"/>
        </w:tabs>
        <w:numPr>
          <w:ilvl w:val="1"/>
          <w:numId w:val="25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Subject to the provisions of Section 12(a) relating to Capitalization Adjustments, the number of Ordinary Shares that may be sold pursuant to Purchase Rights shall not exceed in the aggregate one million two thousand one hundred twenty five (1,002,125) Ordinary Shares. In addition, the number of Ordinary Shares available for issuance under the Plan shall automatically increase on January 1st of each year for a period of ten (10) years commencing on January 1, 2013 and ending on (and including) January 1, 2022, in an amount equal to the lesser of (i) one and one-half percent (1.5%) of the total number of Ordinary Shares outstanding on December 31st of the preceding calendar year or (ii) one million (1,000,000) Ordinary Shares. Notwithstanding the foregoing, the Board may act prior to the first day of any calendar year, to provide that there shall</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590" w:right="339" w:bottom="1440" w:gutter="0" w:footer="0" w:header="0"/>
        </w:sectPr>
      </w:pPr>
    </w:p>
    <w:bookmarkStart w:id="257" w:name="page258"/>
    <w:bookmarkEnd w:id="257"/>
    <w:p>
      <w:pPr>
        <w:jc w:val="right"/>
        <w:spacing w:after="0"/>
        <w:rPr>
          <w:sz w:val="20"/>
          <w:szCs w:val="20"/>
          <w:color w:val="auto"/>
        </w:rPr>
      </w:pPr>
      <w:r>
        <w:rPr>
          <w:rFonts w:ascii="Times New Roman" w:cs="Times New Roman" w:eastAsia="Times New Roman" w:hAnsi="Times New Roman"/>
          <w:sz w:val="16"/>
          <w:szCs w:val="16"/>
          <w:b w:val="1"/>
          <w:bCs w:val="1"/>
          <w:color w:val="auto"/>
        </w:rPr>
        <w:t>Exhibit 10.21C</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be no increase in the share reserve for such calendar year or that the increase in the share reserve for such calendar year shall be a lesser number of Ordinary Shares than would otherwise occur pursuant to the preceding sentence.</w:t>
      </w:r>
    </w:p>
    <w:p>
      <w:pPr>
        <w:spacing w:after="0" w:line="142" w:lineRule="exact"/>
        <w:rPr>
          <w:sz w:val="20"/>
          <w:szCs w:val="20"/>
          <w:color w:val="auto"/>
        </w:rPr>
      </w:pPr>
    </w:p>
    <w:p>
      <w:pPr>
        <w:ind w:firstLine="645"/>
        <w:spacing w:after="0" w:line="247" w:lineRule="auto"/>
        <w:tabs>
          <w:tab w:leader="none" w:pos="1272" w:val="left"/>
        </w:tabs>
        <w:numPr>
          <w:ilvl w:val="2"/>
          <w:numId w:val="26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If any Purchase Right granted under the Plan shall for any reason terminate without having been exercised, the Ordinary Shares not purchased under such Purchase Right shall again become available for issuance under the Plan.</w:t>
      </w:r>
    </w:p>
    <w:p>
      <w:pPr>
        <w:spacing w:after="0" w:line="141" w:lineRule="exact"/>
        <w:rPr>
          <w:rFonts w:ascii="Times New Roman" w:cs="Times New Roman" w:eastAsia="Times New Roman" w:hAnsi="Times New Roman"/>
          <w:sz w:val="21"/>
          <w:szCs w:val="21"/>
          <w:b w:val="1"/>
          <w:bCs w:val="1"/>
          <w:color w:val="auto"/>
        </w:rPr>
      </w:pPr>
    </w:p>
    <w:p>
      <w:pPr>
        <w:ind w:firstLine="645"/>
        <w:spacing w:after="0" w:line="247" w:lineRule="auto"/>
        <w:tabs>
          <w:tab w:leader="none" w:pos="1275" w:val="left"/>
        </w:tabs>
        <w:numPr>
          <w:ilvl w:val="2"/>
          <w:numId w:val="26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shares purchasable under the Plan shall be authorized but unissued or reacquired Ordinary Shares, including Ordinary Shares repurchased by the Company or any Affiliate on the open market or otherwise</w:t>
      </w:r>
    </w:p>
    <w:p>
      <w:pPr>
        <w:spacing w:after="0" w:line="141" w:lineRule="exact"/>
        <w:rPr>
          <w:rFonts w:ascii="Times New Roman" w:cs="Times New Roman" w:eastAsia="Times New Roman" w:hAnsi="Times New Roman"/>
          <w:sz w:val="21"/>
          <w:szCs w:val="21"/>
          <w:b w:val="1"/>
          <w:bCs w:val="1"/>
          <w:color w:val="auto"/>
        </w:rPr>
      </w:pPr>
    </w:p>
    <w:p>
      <w:pPr>
        <w:jc w:val="both"/>
        <w:ind w:firstLine="645"/>
        <w:spacing w:after="0" w:line="233" w:lineRule="auto"/>
        <w:tabs>
          <w:tab w:leader="none" w:pos="1272" w:val="left"/>
        </w:tabs>
        <w:numPr>
          <w:ilvl w:val="2"/>
          <w:numId w:val="26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For avoidance of doubt, up to the maximum number of Ordinary Shares reserved under Section 3(a) may be used to satisfy purchases of Ordinary Shares under the 423 Component and any remaining portion of such maximum number of Ordinary Shares may be used to satisfy purchases of Shares under the Non-423 Component.</w:t>
      </w:r>
    </w:p>
    <w:p>
      <w:pPr>
        <w:spacing w:after="0" w:line="384" w:lineRule="exact"/>
        <w:rPr>
          <w:rFonts w:ascii="Times New Roman" w:cs="Times New Roman" w:eastAsia="Times New Roman" w:hAnsi="Times New Roman"/>
          <w:sz w:val="21"/>
          <w:szCs w:val="21"/>
          <w:b w:val="1"/>
          <w:bCs w:val="1"/>
          <w:color w:val="auto"/>
        </w:rPr>
      </w:pPr>
    </w:p>
    <w:p>
      <w:pPr>
        <w:ind w:left="640" w:hanging="634"/>
        <w:spacing w:after="0"/>
        <w:tabs>
          <w:tab w:leader="none" w:pos="640" w:val="left"/>
        </w:tabs>
        <w:numPr>
          <w:ilvl w:val="0"/>
          <w:numId w:val="26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GRANT OF PURCHASE RIGHTS; OFFERING.</w:t>
      </w:r>
    </w:p>
    <w:p>
      <w:pPr>
        <w:spacing w:after="0" w:line="42" w:lineRule="exact"/>
        <w:rPr>
          <w:rFonts w:ascii="Times New Roman" w:cs="Times New Roman" w:eastAsia="Times New Roman" w:hAnsi="Times New Roman"/>
          <w:sz w:val="21"/>
          <w:szCs w:val="21"/>
          <w:b w:val="1"/>
          <w:bCs w:val="1"/>
          <w:color w:val="auto"/>
        </w:rPr>
      </w:pPr>
    </w:p>
    <w:p>
      <w:pPr>
        <w:jc w:val="both"/>
        <w:ind w:left="120" w:right="100" w:firstLine="632"/>
        <w:spacing w:after="0" w:line="218" w:lineRule="auto"/>
        <w:tabs>
          <w:tab w:leader="none" w:pos="1287" w:val="left"/>
        </w:tabs>
        <w:numPr>
          <w:ilvl w:val="3"/>
          <w:numId w:val="26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Board may from time to time grant or provide for the grant of Purchase Rights to purchase Ordinary Shares under the Plan to Eligible Employees in an Offering (consisting of one or more Purchase Periods) on an Offering Date or Offering Dates selected by the Board. Each Offering shall be in such form and shall contain such terms and conditions as the Board shall deem appropriate, and with respect to the 423 Component shall comply with the requirement of Section 423(b)(5) of the Code that all Employees granted Purchase Rights shall have the same rights and privileges. The terms and conditions of an Offering shall be incorporated by reference into the Plan and treated as part of the Plan. The provisions of separate Offerings need not be identical, but each Offering shall include (through incorporation of the provisions of this Plan by reference in the document comprising the Offering or otherwise) the period during which the Offering shall be effective, which period shall not exceed twenty-seven (27) months beginning with the Offering Date, and the substance of the provisions contained in Sections 5 through 8, inclusive relevant to the Offering as either a 423 Component Offering or a Non-423 Component Offering.</w:t>
      </w:r>
    </w:p>
    <w:p>
      <w:pPr>
        <w:spacing w:after="0" w:line="149" w:lineRule="exact"/>
        <w:rPr>
          <w:rFonts w:ascii="Times New Roman" w:cs="Times New Roman" w:eastAsia="Times New Roman" w:hAnsi="Times New Roman"/>
          <w:sz w:val="21"/>
          <w:szCs w:val="21"/>
          <w:b w:val="1"/>
          <w:bCs w:val="1"/>
          <w:color w:val="auto"/>
        </w:rPr>
      </w:pPr>
    </w:p>
    <w:p>
      <w:pPr>
        <w:jc w:val="both"/>
        <w:ind w:firstLine="645"/>
        <w:spacing w:after="0" w:line="222" w:lineRule="auto"/>
        <w:tabs>
          <w:tab w:leader="none" w:pos="1272" w:val="left"/>
        </w:tabs>
        <w:numPr>
          <w:ilvl w:val="2"/>
          <w:numId w:val="26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If a Participant has more than one Purchase Right outstanding under the Plan, unless he or she otherwise indicates in agreements or notices delivered hereunder: (i) each agreement or notice delivered by that Participant shall be deemed to apply to all of his or her Purchase Rights under the Plan, and (ii) a Purchase Right with a lower exercise price (or an earlier-granted Purchase Right, if different Purchase Rights have identical exercise prices) shall be exercised to the fullest possible extent before a Purchase Right with a higher exercise price (or a later-granted Purchase Right if different Purchase Rights have identical exercise prices) shall be exercised.</w:t>
      </w:r>
    </w:p>
    <w:p>
      <w:pPr>
        <w:spacing w:after="0" w:line="150" w:lineRule="exact"/>
        <w:rPr>
          <w:rFonts w:ascii="Times New Roman" w:cs="Times New Roman" w:eastAsia="Times New Roman" w:hAnsi="Times New Roman"/>
          <w:sz w:val="21"/>
          <w:szCs w:val="21"/>
          <w:b w:val="1"/>
          <w:bCs w:val="1"/>
          <w:color w:val="auto"/>
        </w:rPr>
      </w:pPr>
    </w:p>
    <w:p>
      <w:pPr>
        <w:jc w:val="both"/>
        <w:ind w:firstLine="645"/>
        <w:spacing w:after="0" w:line="219" w:lineRule="auto"/>
        <w:tabs>
          <w:tab w:leader="none" w:pos="1275" w:val="left"/>
        </w:tabs>
        <w:numPr>
          <w:ilvl w:val="2"/>
          <w:numId w:val="26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Board shall have the discretion to structure an Offering so that if the Fair Market Value of an Ordinary Share on any Purchase Date within that Offering is less than or equal to the Fair Market Value of an Ordinary Share on the Offering Date for that Offering, then</w:t>
      </w:r>
    </w:p>
    <w:p>
      <w:pPr>
        <w:spacing w:after="0" w:line="1" w:lineRule="exact"/>
        <w:rPr>
          <w:rFonts w:ascii="Times New Roman" w:cs="Times New Roman" w:eastAsia="Times New Roman" w:hAnsi="Times New Roman"/>
          <w:sz w:val="21"/>
          <w:szCs w:val="21"/>
          <w:b w:val="1"/>
          <w:bCs w:val="1"/>
          <w:color w:val="auto"/>
        </w:rPr>
      </w:pPr>
    </w:p>
    <w:p>
      <w:pPr>
        <w:jc w:val="both"/>
        <w:ind w:left="120" w:right="100" w:hanging="8"/>
        <w:spacing w:after="0" w:line="225" w:lineRule="auto"/>
        <w:tabs>
          <w:tab w:leader="none" w:pos="424" w:val="left"/>
        </w:tabs>
        <w:numPr>
          <w:ilvl w:val="1"/>
          <w:numId w:val="2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Offering shall terminate immediately following the purchase of Ordinary Shares on such Purchase Date, and (ii) Participants in such terminated Offering shall be automatically enrolled in a new Offering beginning on the first day following such Purchase Date.</w:t>
      </w:r>
    </w:p>
    <w:p>
      <w:pPr>
        <w:spacing w:after="0" w:line="144" w:lineRule="exact"/>
        <w:rPr>
          <w:rFonts w:ascii="Times New Roman" w:cs="Times New Roman" w:eastAsia="Times New Roman" w:hAnsi="Times New Roman"/>
          <w:sz w:val="21"/>
          <w:szCs w:val="21"/>
          <w:color w:val="auto"/>
        </w:rPr>
      </w:pPr>
    </w:p>
    <w:p>
      <w:pPr>
        <w:ind w:left="640" w:hanging="634"/>
        <w:spacing w:after="0"/>
        <w:tabs>
          <w:tab w:leader="none" w:pos="640" w:val="left"/>
        </w:tabs>
        <w:numPr>
          <w:ilvl w:val="0"/>
          <w:numId w:val="26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w:t>
      </w:r>
      <w:r>
        <w:rPr>
          <w:rFonts w:ascii="Times New Roman" w:cs="Times New Roman" w:eastAsia="Times New Roman" w:hAnsi="Times New Roman"/>
          <w:sz w:val="16"/>
          <w:szCs w:val="16"/>
          <w:b w:val="1"/>
          <w:bCs w:val="1"/>
          <w:color w:val="auto"/>
        </w:rPr>
        <w:t>LIGIBILITY</w:t>
      </w:r>
      <w:r>
        <w:rPr>
          <w:rFonts w:ascii="Times New Roman" w:cs="Times New Roman" w:eastAsia="Times New Roman" w:hAnsi="Times New Roman"/>
          <w:sz w:val="21"/>
          <w:szCs w:val="21"/>
          <w:b w:val="1"/>
          <w:bCs w:val="1"/>
          <w:color w:val="auto"/>
        </w:rPr>
        <w:t>.</w:t>
      </w:r>
    </w:p>
    <w:p>
      <w:pPr>
        <w:spacing w:after="0" w:line="188" w:lineRule="exact"/>
        <w:rPr>
          <w:rFonts w:ascii="Times New Roman" w:cs="Times New Roman" w:eastAsia="Times New Roman" w:hAnsi="Times New Roman"/>
          <w:sz w:val="21"/>
          <w:szCs w:val="21"/>
          <w:b w:val="1"/>
          <w:bCs w:val="1"/>
          <w:color w:val="auto"/>
        </w:rPr>
      </w:pPr>
    </w:p>
    <w:p>
      <w:pPr>
        <w:jc w:val="both"/>
        <w:ind w:firstLine="645"/>
        <w:spacing w:after="0" w:line="233" w:lineRule="auto"/>
        <w:tabs>
          <w:tab w:leader="none" w:pos="1273" w:val="left"/>
        </w:tabs>
        <w:numPr>
          <w:ilvl w:val="2"/>
          <w:numId w:val="26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Purchase Rights may be granted only to Employees of the Company or, as the Board may designate as provided in Section 2(b), to Employees of a Related Corporation or, in the case of the Non-423 Component, an Affiliate. Except as provided in Section 5(b), an Employee shall not be eligible to be granted Purchase Rights under the Plan unless, on the Offering Date, such</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590" w:right="339" w:bottom="1440" w:gutter="0" w:footer="0" w:header="0"/>
        </w:sectPr>
      </w:pPr>
    </w:p>
    <w:bookmarkStart w:id="258" w:name="page259"/>
    <w:bookmarkEnd w:id="258"/>
    <w:p>
      <w:pPr>
        <w:jc w:val="right"/>
        <w:spacing w:after="0"/>
        <w:rPr>
          <w:sz w:val="20"/>
          <w:szCs w:val="20"/>
          <w:color w:val="auto"/>
        </w:rPr>
      </w:pPr>
      <w:r>
        <w:rPr>
          <w:rFonts w:ascii="Times New Roman" w:cs="Times New Roman" w:eastAsia="Times New Roman" w:hAnsi="Times New Roman"/>
          <w:sz w:val="16"/>
          <w:szCs w:val="16"/>
          <w:b w:val="1"/>
          <w:bCs w:val="1"/>
          <w:color w:val="auto"/>
        </w:rPr>
        <w:t>Exhibit 10.21C</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1"/>
          <w:szCs w:val="21"/>
          <w:color w:val="auto"/>
        </w:rPr>
        <w:t>Employee has been in the employ of the Company, Related Corporation or Affiliate, as the case may be, for such continuous period preceding such Offering Date as the Board may require, but in no event shall the required period of continuous employment be greater than two (2) years. In addition, the Board may provide that no Employee shall be eligible to be granted Purchase Rights under the Plan unless, on the Offering Date, such Employee’s customary employment with the Company or the Related Corporation or, in the case of the Non-423 Component, an Affiliate is at least twenty (20) hours per week and at least five (5) months per calendar year or such other criteria as the Board may determine, and with respect to the Section 423 Component, any such determination shall be consistent with Section 423 of the Code. Further, an Eligible Employee (or group of Eligible Employees) may be excluded from participation in the Non-423 Component or an Offering thereunder if the Committee has determined, in its sole discretion, that participation of such Eligible Employee(s) is not advisable or practicable for any reason.</w:t>
      </w:r>
    </w:p>
    <w:p>
      <w:pPr>
        <w:spacing w:after="0" w:line="156" w:lineRule="exact"/>
        <w:rPr>
          <w:sz w:val="20"/>
          <w:szCs w:val="20"/>
          <w:color w:val="auto"/>
        </w:rPr>
      </w:pPr>
    </w:p>
    <w:p>
      <w:pPr>
        <w:jc w:val="both"/>
        <w:ind w:firstLine="645"/>
        <w:spacing w:after="0" w:line="224" w:lineRule="auto"/>
        <w:tabs>
          <w:tab w:leader="none" w:pos="1272" w:val="left"/>
        </w:tabs>
        <w:numPr>
          <w:ilvl w:val="0"/>
          <w:numId w:val="26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Board may provide that each person who, during the course of an Offering, first becomes an Eligible Employee shall, on a date or dates specified in the Offering which coincides with the day on which such person becomes an Eligible Employee or which occurs thereafter, receive a Purchase Right under that Offering, which Purchase Right shall thereafter be deemed to be a part of that Offering. Such Purchase Right shall have the same characteristics as any Purchase Rights originally granted under that Offering, as described herein, except that:</w:t>
      </w:r>
    </w:p>
    <w:p>
      <w:pPr>
        <w:spacing w:after="0" w:line="151" w:lineRule="exact"/>
        <w:rPr>
          <w:rFonts w:ascii="Times New Roman" w:cs="Times New Roman" w:eastAsia="Times New Roman" w:hAnsi="Times New Roman"/>
          <w:sz w:val="21"/>
          <w:szCs w:val="21"/>
          <w:b w:val="1"/>
          <w:bCs w:val="1"/>
          <w:color w:val="auto"/>
        </w:rPr>
      </w:pPr>
    </w:p>
    <w:p>
      <w:pPr>
        <w:ind w:firstLine="1284"/>
        <w:spacing w:after="0" w:line="247" w:lineRule="auto"/>
        <w:tabs>
          <w:tab w:leader="none" w:pos="1905" w:val="left"/>
        </w:tabs>
        <w:numPr>
          <w:ilvl w:val="1"/>
          <w:numId w:val="26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date on which such Purchase Right is granted shall be the “Offering Date” of such Purchase Right for all purposes, including determination of the exercise price of such Purchase Right;</w:t>
      </w:r>
    </w:p>
    <w:p>
      <w:pPr>
        <w:spacing w:after="0" w:line="141" w:lineRule="exact"/>
        <w:rPr>
          <w:rFonts w:ascii="Times New Roman" w:cs="Times New Roman" w:eastAsia="Times New Roman" w:hAnsi="Times New Roman"/>
          <w:sz w:val="21"/>
          <w:szCs w:val="21"/>
          <w:b w:val="1"/>
          <w:bCs w:val="1"/>
          <w:color w:val="auto"/>
        </w:rPr>
      </w:pPr>
    </w:p>
    <w:p>
      <w:pPr>
        <w:ind w:firstLine="1284"/>
        <w:spacing w:after="0" w:line="247" w:lineRule="auto"/>
        <w:tabs>
          <w:tab w:leader="none" w:pos="1911" w:val="left"/>
        </w:tabs>
        <w:numPr>
          <w:ilvl w:val="1"/>
          <w:numId w:val="26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period of the Offering with respect to such Purchase Right shall begin on its Offering Date and end coincident with the end of such Offering; and</w:t>
      </w:r>
    </w:p>
    <w:p>
      <w:pPr>
        <w:spacing w:after="0" w:line="141" w:lineRule="exact"/>
        <w:rPr>
          <w:rFonts w:ascii="Times New Roman" w:cs="Times New Roman" w:eastAsia="Times New Roman" w:hAnsi="Times New Roman"/>
          <w:sz w:val="21"/>
          <w:szCs w:val="21"/>
          <w:b w:val="1"/>
          <w:bCs w:val="1"/>
          <w:color w:val="auto"/>
        </w:rPr>
      </w:pPr>
    </w:p>
    <w:p>
      <w:pPr>
        <w:ind w:right="20" w:firstLine="1284"/>
        <w:spacing w:after="0" w:line="247" w:lineRule="auto"/>
        <w:tabs>
          <w:tab w:leader="none" w:pos="1917" w:val="left"/>
        </w:tabs>
        <w:numPr>
          <w:ilvl w:val="1"/>
          <w:numId w:val="26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Board may provide that if such person first becomes an Eligible Employee within a specified period of time before the end of the Offering, he or she shall not receive any Purchase Right under that Offering.</w:t>
      </w:r>
    </w:p>
    <w:p>
      <w:pPr>
        <w:spacing w:after="0" w:line="141" w:lineRule="exact"/>
        <w:rPr>
          <w:rFonts w:ascii="Times New Roman" w:cs="Times New Roman" w:eastAsia="Times New Roman" w:hAnsi="Times New Roman"/>
          <w:sz w:val="21"/>
          <w:szCs w:val="21"/>
          <w:b w:val="1"/>
          <w:bCs w:val="1"/>
          <w:color w:val="auto"/>
        </w:rPr>
      </w:pPr>
    </w:p>
    <w:p>
      <w:pPr>
        <w:jc w:val="both"/>
        <w:ind w:firstLine="645"/>
        <w:spacing w:after="0" w:line="224" w:lineRule="auto"/>
        <w:tabs>
          <w:tab w:leader="none" w:pos="1275" w:val="left"/>
        </w:tabs>
        <w:numPr>
          <w:ilvl w:val="0"/>
          <w:numId w:val="26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No Employee shall be eligible for the grant of any Purchase Rights under the Plan if, immediately after any such Purchase Rights are granted, such Employee owns shares possessing five percent (5%) or more of the total combined voting power or value of all classes of shares of the Company or of any Related Corporation. For purposes of this Section 5(c), the rules of Section 424(d) of the Code shall apply in determining the share ownership of any Employee, and shares which such Employee may purchase under all outstanding Purchase Rights and options shall be treated as shares owned by such Employee.</w:t>
      </w:r>
    </w:p>
    <w:p>
      <w:pPr>
        <w:spacing w:after="0" w:line="151" w:lineRule="exact"/>
        <w:rPr>
          <w:rFonts w:ascii="Times New Roman" w:cs="Times New Roman" w:eastAsia="Times New Roman" w:hAnsi="Times New Roman"/>
          <w:sz w:val="21"/>
          <w:szCs w:val="21"/>
          <w:b w:val="1"/>
          <w:bCs w:val="1"/>
          <w:color w:val="auto"/>
        </w:rPr>
      </w:pPr>
    </w:p>
    <w:p>
      <w:pPr>
        <w:jc w:val="both"/>
        <w:ind w:firstLine="645"/>
        <w:spacing w:after="0" w:line="222" w:lineRule="auto"/>
        <w:tabs>
          <w:tab w:leader="none" w:pos="1272" w:val="left"/>
        </w:tabs>
        <w:numPr>
          <w:ilvl w:val="0"/>
          <w:numId w:val="26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As specified by Section 423(b)(8) of the Code, an Eligible Employee may be granted Purchase Rights under the Plan only if such Purchase Rights, together with any other rights granted under all Employee Stock Purchase Plans of the Company and any Related Corporations, do not permit such Eligible Employee’s rights to purchase shares of the Company or any Related Corporation to accrue at a rate which exceeds twenty five thousand dollars ($25,000) of Fair Market Value of such shares (determined at the time such rights are granted, and which, with respect to the Plan, shall be determined as of their respective Offering Dates) for each calendar year in which such rights are outstanding at any time.</w:t>
      </w:r>
    </w:p>
    <w:p>
      <w:pPr>
        <w:spacing w:after="0" w:line="150" w:lineRule="exact"/>
        <w:rPr>
          <w:rFonts w:ascii="Times New Roman" w:cs="Times New Roman" w:eastAsia="Times New Roman" w:hAnsi="Times New Roman"/>
          <w:sz w:val="21"/>
          <w:szCs w:val="21"/>
          <w:b w:val="1"/>
          <w:bCs w:val="1"/>
          <w:color w:val="auto"/>
        </w:rPr>
      </w:pPr>
    </w:p>
    <w:p>
      <w:pPr>
        <w:jc w:val="both"/>
        <w:ind w:firstLine="645"/>
        <w:spacing w:after="0" w:line="233" w:lineRule="auto"/>
        <w:tabs>
          <w:tab w:leader="none" w:pos="1275" w:val="left"/>
        </w:tabs>
        <w:numPr>
          <w:ilvl w:val="0"/>
          <w:numId w:val="26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Officers of the Company and any Designated Company, if they are otherwise Eligible Employees, shall be eligible to participate in Offerings under the Plan. Notwithstanding the foregoing, the Board may provide in an Offering that Employees who are highly compensated Employees within the meaning of Section 423(b)(4)(D) of the Code shall not be eligible to participate.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590" w:right="339" w:bottom="1440" w:gutter="0" w:footer="0" w:header="0"/>
        </w:sectPr>
      </w:pPr>
    </w:p>
    <w:bookmarkStart w:id="259" w:name="page260"/>
    <w:bookmarkEnd w:id="259"/>
    <w:p>
      <w:pPr>
        <w:jc w:val="right"/>
        <w:spacing w:after="0"/>
        <w:rPr>
          <w:sz w:val="20"/>
          <w:szCs w:val="20"/>
          <w:color w:val="auto"/>
        </w:rPr>
      </w:pPr>
      <w:r>
        <w:rPr>
          <w:rFonts w:ascii="Times New Roman" w:cs="Times New Roman" w:eastAsia="Times New Roman" w:hAnsi="Times New Roman"/>
          <w:sz w:val="16"/>
          <w:szCs w:val="16"/>
          <w:b w:val="1"/>
          <w:bCs w:val="1"/>
          <w:color w:val="auto"/>
        </w:rPr>
        <w:t>Exhibit 10.21C</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40" w:hanging="634"/>
        <w:spacing w:after="0"/>
        <w:tabs>
          <w:tab w:leader="none" w:pos="640" w:val="left"/>
        </w:tabs>
        <w:numPr>
          <w:ilvl w:val="0"/>
          <w:numId w:val="26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w:t>
      </w:r>
      <w:r>
        <w:rPr>
          <w:rFonts w:ascii="Times New Roman" w:cs="Times New Roman" w:eastAsia="Times New Roman" w:hAnsi="Times New Roman"/>
          <w:sz w:val="16"/>
          <w:szCs w:val="16"/>
          <w:b w:val="1"/>
          <w:bCs w:val="1"/>
          <w:color w:val="auto"/>
        </w:rPr>
        <w:t>URCHASE</w:t>
      </w:r>
      <w:r>
        <w:rPr>
          <w:rFonts w:ascii="Times New Roman" w:cs="Times New Roman" w:eastAsia="Times New Roman" w:hAnsi="Times New Roman"/>
          <w:sz w:val="21"/>
          <w:szCs w:val="21"/>
          <w:b w:val="1"/>
          <w:bCs w:val="1"/>
          <w:color w:val="auto"/>
        </w:rPr>
        <w:t xml:space="preserve"> R</w:t>
      </w:r>
      <w:r>
        <w:rPr>
          <w:rFonts w:ascii="Times New Roman" w:cs="Times New Roman" w:eastAsia="Times New Roman" w:hAnsi="Times New Roman"/>
          <w:sz w:val="16"/>
          <w:szCs w:val="16"/>
          <w:b w:val="1"/>
          <w:bCs w:val="1"/>
          <w:color w:val="auto"/>
        </w:rPr>
        <w:t>IGHTS</w:t>
      </w:r>
      <w:r>
        <w:rPr>
          <w:rFonts w:ascii="Times New Roman" w:cs="Times New Roman" w:eastAsia="Times New Roman" w:hAnsi="Times New Roman"/>
          <w:sz w:val="21"/>
          <w:szCs w:val="21"/>
          <w:b w:val="1"/>
          <w:bCs w:val="1"/>
          <w:color w:val="auto"/>
        </w:rPr>
        <w:t>; P</w:t>
      </w:r>
      <w:r>
        <w:rPr>
          <w:rFonts w:ascii="Times New Roman" w:cs="Times New Roman" w:eastAsia="Times New Roman" w:hAnsi="Times New Roman"/>
          <w:sz w:val="16"/>
          <w:szCs w:val="16"/>
          <w:b w:val="1"/>
          <w:bCs w:val="1"/>
          <w:color w:val="auto"/>
        </w:rPr>
        <w:t>URCHASE</w:t>
      </w:r>
      <w:r>
        <w:rPr>
          <w:rFonts w:ascii="Times New Roman" w:cs="Times New Roman" w:eastAsia="Times New Roman" w:hAnsi="Times New Roman"/>
          <w:sz w:val="21"/>
          <w:szCs w:val="21"/>
          <w:b w:val="1"/>
          <w:bCs w:val="1"/>
          <w:color w:val="auto"/>
        </w:rPr>
        <w:t xml:space="preserve"> P</w:t>
      </w:r>
      <w:r>
        <w:rPr>
          <w:rFonts w:ascii="Times New Roman" w:cs="Times New Roman" w:eastAsia="Times New Roman" w:hAnsi="Times New Roman"/>
          <w:sz w:val="16"/>
          <w:szCs w:val="16"/>
          <w:b w:val="1"/>
          <w:bCs w:val="1"/>
          <w:color w:val="auto"/>
        </w:rPr>
        <w:t>RICE</w:t>
      </w:r>
      <w:r>
        <w:rPr>
          <w:rFonts w:ascii="Times New Roman" w:cs="Times New Roman" w:eastAsia="Times New Roman" w:hAnsi="Times New Roman"/>
          <w:sz w:val="21"/>
          <w:szCs w:val="21"/>
          <w:b w:val="1"/>
          <w:bCs w:val="1"/>
          <w:color w:val="auto"/>
        </w:rPr>
        <w:t>.</w:t>
      </w:r>
    </w:p>
    <w:p>
      <w:pPr>
        <w:spacing w:after="0" w:line="188" w:lineRule="exact"/>
        <w:rPr>
          <w:rFonts w:ascii="Times New Roman" w:cs="Times New Roman" w:eastAsia="Times New Roman" w:hAnsi="Times New Roman"/>
          <w:sz w:val="21"/>
          <w:szCs w:val="21"/>
          <w:b w:val="1"/>
          <w:bCs w:val="1"/>
          <w:color w:val="auto"/>
        </w:rPr>
      </w:pPr>
    </w:p>
    <w:p>
      <w:pPr>
        <w:jc w:val="both"/>
        <w:ind w:firstLine="645"/>
        <w:spacing w:after="0" w:line="224" w:lineRule="auto"/>
        <w:tabs>
          <w:tab w:leader="none" w:pos="1273" w:val="left"/>
        </w:tabs>
        <w:numPr>
          <w:ilvl w:val="1"/>
          <w:numId w:val="26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On each Offering Date, each Eligible Employee, pursuant to an Offering made under the Plan, shall be granted a Purchase Right to purchase up to that number of Ordinary Shares purchasable either with a percentage or with a maximum dollar amount, as designated by the Board, but in either case not exceeding fifteen percent (15%) of such Employee’s earnings (as defined by the Board in each Offering) during the period that begins on the Offering Date (or such later date as the Board determines for a particular Offering) and ends on the date stated in the Offering, which date shall be no later than the end of the Offering.</w:t>
      </w:r>
    </w:p>
    <w:p>
      <w:pPr>
        <w:spacing w:after="0" w:line="151" w:lineRule="exact"/>
        <w:rPr>
          <w:rFonts w:ascii="Times New Roman" w:cs="Times New Roman" w:eastAsia="Times New Roman" w:hAnsi="Times New Roman"/>
          <w:sz w:val="21"/>
          <w:szCs w:val="21"/>
          <w:b w:val="1"/>
          <w:bCs w:val="1"/>
          <w:color w:val="auto"/>
        </w:rPr>
      </w:pPr>
    </w:p>
    <w:p>
      <w:pPr>
        <w:jc w:val="both"/>
        <w:ind w:firstLine="645"/>
        <w:spacing w:after="0" w:line="218" w:lineRule="auto"/>
        <w:tabs>
          <w:tab w:leader="none" w:pos="1272" w:val="left"/>
        </w:tabs>
        <w:numPr>
          <w:ilvl w:val="1"/>
          <w:numId w:val="26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Board shall establish one (1) or more Purchase Dates during an Offering as of which Purchase Rights granted pursuant to that Offering shall be exercised and purchases of Ordinary Shares shall be carried out in accordance with such Offering. In connection with each Offering made under the Plan, the Board may specify a maximum number of Ordinary Shares that may be purchased by any Participant on any Purchase Date during such Offering. In connection with each Offering made under the Plan, the Board may specify a maximum aggregate number of Ordinary Shares that may be purchased by all Participants pursuant to such Offering. In addition, in connection with each Offering that contains more than one Purchase Date, the Board may specify a maximum aggregate number of Ordinary Shares that may be purchased by all Participants on any Purchase Date under the Offering. If the aggregate purchase of Ordinary Shares issuable upon exercise of Purchase Rights granted under the Offering would exceed any such maximum aggregate number, then, in the absence of any Board action otherwise, a pro rata allocation of the Ordinary Shares available shall be made in as nearly a uniform manner as shall be practicable and equitable.</w:t>
      </w:r>
    </w:p>
    <w:p>
      <w:pPr>
        <w:spacing w:after="0" w:line="149" w:lineRule="exact"/>
        <w:rPr>
          <w:rFonts w:ascii="Times New Roman" w:cs="Times New Roman" w:eastAsia="Times New Roman" w:hAnsi="Times New Roman"/>
          <w:sz w:val="21"/>
          <w:szCs w:val="21"/>
          <w:b w:val="1"/>
          <w:bCs w:val="1"/>
          <w:color w:val="auto"/>
        </w:rPr>
      </w:pPr>
    </w:p>
    <w:p>
      <w:pPr>
        <w:ind w:left="1280" w:hanging="635"/>
        <w:spacing w:after="0"/>
        <w:tabs>
          <w:tab w:leader="none" w:pos="1280" w:val="left"/>
        </w:tabs>
        <w:numPr>
          <w:ilvl w:val="1"/>
          <w:numId w:val="26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purchase price of Ordinary Shares acquired pursuant to Purchase Rights shall be not less than the lesser of:</w:t>
      </w:r>
    </w:p>
    <w:p>
      <w:pPr>
        <w:spacing w:after="0" w:line="179" w:lineRule="exact"/>
        <w:rPr>
          <w:rFonts w:ascii="Times New Roman" w:cs="Times New Roman" w:eastAsia="Times New Roman" w:hAnsi="Times New Roman"/>
          <w:sz w:val="21"/>
          <w:szCs w:val="21"/>
          <w:b w:val="1"/>
          <w:bCs w:val="1"/>
          <w:color w:val="auto"/>
        </w:rPr>
      </w:pPr>
    </w:p>
    <w:p>
      <w:pPr>
        <w:ind w:left="1920" w:hanging="636"/>
        <w:spacing w:after="0"/>
        <w:tabs>
          <w:tab w:leader="none" w:pos="1920" w:val="left"/>
        </w:tabs>
        <w:numPr>
          <w:ilvl w:val="2"/>
          <w:numId w:val="26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an amount equal to eighty-five percent (85%) of the Fair Market Value of the Ordinary Shares on the</w:t>
      </w: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Offering Date; or</w:t>
      </w:r>
    </w:p>
    <w:p>
      <w:pPr>
        <w:spacing w:after="0" w:line="160" w:lineRule="exact"/>
        <w:rPr>
          <w:rFonts w:ascii="Times New Roman" w:cs="Times New Roman" w:eastAsia="Times New Roman" w:hAnsi="Times New Roman"/>
          <w:sz w:val="21"/>
          <w:szCs w:val="21"/>
          <w:b w:val="1"/>
          <w:bCs w:val="1"/>
          <w:color w:val="auto"/>
        </w:rPr>
      </w:pPr>
    </w:p>
    <w:p>
      <w:pPr>
        <w:ind w:right="20" w:firstLine="1284"/>
        <w:spacing w:after="0" w:line="247" w:lineRule="auto"/>
        <w:tabs>
          <w:tab w:leader="none" w:pos="1911" w:val="left"/>
        </w:tabs>
        <w:numPr>
          <w:ilvl w:val="2"/>
          <w:numId w:val="26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an amount equal to eighty-five percent (85%) of the Fair Market Value of the Ordinary Shares on the applicable Purchase Date;</w:t>
      </w:r>
    </w:p>
    <w:p>
      <w:pPr>
        <w:spacing w:after="0" w:line="178"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in all cases the purchase price is not less than the nominal value of an Ordinary Share on the applicable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Purchase Date.</w:t>
      </w:r>
    </w:p>
    <w:p>
      <w:pPr>
        <w:spacing w:after="0" w:line="134" w:lineRule="exact"/>
        <w:rPr>
          <w:sz w:val="20"/>
          <w:szCs w:val="20"/>
          <w:color w:val="auto"/>
        </w:rPr>
      </w:pPr>
    </w:p>
    <w:p>
      <w:pPr>
        <w:ind w:left="640" w:hanging="634"/>
        <w:spacing w:after="0"/>
        <w:tabs>
          <w:tab w:leader="none" w:pos="640" w:val="left"/>
        </w:tabs>
        <w:numPr>
          <w:ilvl w:val="0"/>
          <w:numId w:val="26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w:t>
      </w:r>
      <w:r>
        <w:rPr>
          <w:rFonts w:ascii="Times New Roman" w:cs="Times New Roman" w:eastAsia="Times New Roman" w:hAnsi="Times New Roman"/>
          <w:sz w:val="16"/>
          <w:szCs w:val="16"/>
          <w:b w:val="1"/>
          <w:bCs w:val="1"/>
          <w:color w:val="auto"/>
        </w:rPr>
        <w:t>ARTICIPATION</w:t>
      </w:r>
      <w:r>
        <w:rPr>
          <w:rFonts w:ascii="Times New Roman" w:cs="Times New Roman" w:eastAsia="Times New Roman" w:hAnsi="Times New Roman"/>
          <w:sz w:val="21"/>
          <w:szCs w:val="21"/>
          <w:b w:val="1"/>
          <w:bCs w:val="1"/>
          <w:color w:val="auto"/>
        </w:rPr>
        <w:t>; W</w:t>
      </w:r>
      <w:r>
        <w:rPr>
          <w:rFonts w:ascii="Times New Roman" w:cs="Times New Roman" w:eastAsia="Times New Roman" w:hAnsi="Times New Roman"/>
          <w:sz w:val="16"/>
          <w:szCs w:val="16"/>
          <w:b w:val="1"/>
          <w:bCs w:val="1"/>
          <w:color w:val="auto"/>
        </w:rPr>
        <w:t>ITHDRAWAL</w:t>
      </w:r>
      <w:r>
        <w:rPr>
          <w:rFonts w:ascii="Times New Roman" w:cs="Times New Roman" w:eastAsia="Times New Roman" w:hAnsi="Times New Roman"/>
          <w:sz w:val="21"/>
          <w:szCs w:val="21"/>
          <w:b w:val="1"/>
          <w:bCs w:val="1"/>
          <w:color w:val="auto"/>
        </w:rPr>
        <w:t>; T</w:t>
      </w:r>
      <w:r>
        <w:rPr>
          <w:rFonts w:ascii="Times New Roman" w:cs="Times New Roman" w:eastAsia="Times New Roman" w:hAnsi="Times New Roman"/>
          <w:sz w:val="16"/>
          <w:szCs w:val="16"/>
          <w:b w:val="1"/>
          <w:bCs w:val="1"/>
          <w:color w:val="auto"/>
        </w:rPr>
        <w:t>ERMINATION</w:t>
      </w:r>
      <w:r>
        <w:rPr>
          <w:rFonts w:ascii="Times New Roman" w:cs="Times New Roman" w:eastAsia="Times New Roman" w:hAnsi="Times New Roman"/>
          <w:sz w:val="21"/>
          <w:szCs w:val="21"/>
          <w:b w:val="1"/>
          <w:bCs w:val="1"/>
          <w:color w:val="auto"/>
        </w:rPr>
        <w:t>.</w:t>
      </w:r>
    </w:p>
    <w:p>
      <w:pPr>
        <w:spacing w:after="0" w:line="188" w:lineRule="exact"/>
        <w:rPr>
          <w:rFonts w:ascii="Times New Roman" w:cs="Times New Roman" w:eastAsia="Times New Roman" w:hAnsi="Times New Roman"/>
          <w:sz w:val="21"/>
          <w:szCs w:val="21"/>
          <w:b w:val="1"/>
          <w:bCs w:val="1"/>
          <w:color w:val="auto"/>
        </w:rPr>
      </w:pPr>
    </w:p>
    <w:p>
      <w:pPr>
        <w:jc w:val="both"/>
        <w:ind w:firstLine="645"/>
        <w:spacing w:after="0" w:line="217" w:lineRule="auto"/>
        <w:tabs>
          <w:tab w:leader="none" w:pos="1273" w:val="left"/>
        </w:tabs>
        <w:numPr>
          <w:ilvl w:val="1"/>
          <w:numId w:val="26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 Participant may elect to authorize payroll deductions pursuant to an Offering under the Plan by completing and delivering to the Company, within the time specified in the Offering, an enrollment form (in such form as the Company may provide). Each such enrollment form shall authorize an amount of Contributions expressed as a percentage of the submitting Participant’s earnings (as defined in each Offering) during the Offering (not to exceed the maximum percentage specified by the Board). Each Participant’s Contributions shall be credited to a bookkeeping account for such Participant under the Plan and shall be deposited with the general funds of the Company except where applicable law requires that Contributions be deposited with a third party. To the extent provided in the Offering, a Participant may begin such Contributions after the beginning of the Offering. To the extent provided in the Offering, a Participant may thereafter reduce (including to zero) or increase his or her Contributions. To the extent required under applicable law or if specifically provided in the Offering, in addition to or instead of making Contributions by payroll deductions, a Participant may make Contributions through the payment by cash or check prior to each Purchase Date of the Offering.</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590" w:right="339" w:bottom="1440" w:gutter="0" w:footer="0" w:header="0"/>
        </w:sectPr>
      </w:pPr>
    </w:p>
    <w:bookmarkStart w:id="260" w:name="page261"/>
    <w:bookmarkEnd w:id="260"/>
    <w:p>
      <w:pPr>
        <w:jc w:val="right"/>
        <w:spacing w:after="0"/>
        <w:rPr>
          <w:sz w:val="20"/>
          <w:szCs w:val="20"/>
          <w:color w:val="auto"/>
        </w:rPr>
      </w:pPr>
      <w:r>
        <w:rPr>
          <w:rFonts w:ascii="Times New Roman" w:cs="Times New Roman" w:eastAsia="Times New Roman" w:hAnsi="Times New Roman"/>
          <w:sz w:val="16"/>
          <w:szCs w:val="16"/>
          <w:b w:val="1"/>
          <w:bCs w:val="1"/>
          <w:color w:val="auto"/>
        </w:rPr>
        <w:t>Exhibit 10.21C</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firstLine="645"/>
        <w:spacing w:after="0" w:line="219" w:lineRule="auto"/>
        <w:tabs>
          <w:tab w:leader="none" w:pos="1272" w:val="left"/>
        </w:tabs>
        <w:numPr>
          <w:ilvl w:val="1"/>
          <w:numId w:val="26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During an Offering, a Participant may cease making Contributions and withdraw from the Offering by delivering to the Company a notice of withdrawal in such form as the Company may provide. Such withdrawal may be elected at any time prior to the end of the Offering, except as provided otherwise in the Offering. Upon such withdrawal from the Offering by a Participant, the Company shall distribute to such Participant all of his or her accumulated Contributions (reduced to the extent, if any, such Contributions have been used to acquire Ordinary Shares for the Participant) under the Offering, and such Participant’s Purchase Right in that Offering shall thereupon terminate. A Participant’s withdrawal from an Offering shall have no effect upon such Participant’s eligibility to participate in any other Offerings under the Plan, but such Participant shall be required to deliver a new enrollment form in order to participate in subsequent Offerings.</w:t>
      </w:r>
    </w:p>
    <w:p>
      <w:pPr>
        <w:spacing w:after="0" w:line="154" w:lineRule="exact"/>
        <w:rPr>
          <w:rFonts w:ascii="Times New Roman" w:cs="Times New Roman" w:eastAsia="Times New Roman" w:hAnsi="Times New Roman"/>
          <w:sz w:val="21"/>
          <w:szCs w:val="21"/>
          <w:b w:val="1"/>
          <w:bCs w:val="1"/>
          <w:color w:val="auto"/>
        </w:rPr>
      </w:pPr>
    </w:p>
    <w:p>
      <w:pPr>
        <w:jc w:val="both"/>
        <w:ind w:firstLine="645"/>
        <w:spacing w:after="0" w:line="224" w:lineRule="auto"/>
        <w:tabs>
          <w:tab w:leader="none" w:pos="1275" w:val="left"/>
        </w:tabs>
        <w:numPr>
          <w:ilvl w:val="1"/>
          <w:numId w:val="26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Unless otherwise required by applicable law, Purchase Rights granted pursuant to any Offering under the Plan shall terminate immediately upon a Participant ceasing to be an Employee for any reason or for no reason or other lack of eligibility. The Company shall distribute to such terminated or otherwise ineligible Employee all of his or her accumulated Contributions (reduced to the extent, if any, such Contributions have been used to acquire Ordinary Shares for the terminated or otherwise ineligible Employee) under the Offering.</w:t>
      </w:r>
    </w:p>
    <w:p>
      <w:pPr>
        <w:spacing w:after="0" w:line="151" w:lineRule="exact"/>
        <w:rPr>
          <w:rFonts w:ascii="Times New Roman" w:cs="Times New Roman" w:eastAsia="Times New Roman" w:hAnsi="Times New Roman"/>
          <w:sz w:val="21"/>
          <w:szCs w:val="21"/>
          <w:b w:val="1"/>
          <w:bCs w:val="1"/>
          <w:color w:val="auto"/>
        </w:rPr>
      </w:pPr>
    </w:p>
    <w:p>
      <w:pPr>
        <w:jc w:val="both"/>
        <w:ind w:firstLine="645"/>
        <w:spacing w:after="0" w:line="216" w:lineRule="auto"/>
        <w:tabs>
          <w:tab w:leader="none" w:pos="1272" w:val="left"/>
        </w:tabs>
        <w:numPr>
          <w:ilvl w:val="1"/>
          <w:numId w:val="26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With respect to the 423 Component, unless otherwise determined by the Board, in the event a Participant transfers employment from the Company or a Related Corporation that has been designated as being eligible to participate in the 423 Component to a Related Corporation that has not been designated as being eligible to participate in the 423 Component, such transfer shall not cause such Participant to cease being eligible to participate in the Plan, provided that there is no interruption or termination of such Participant’s employment with the Company or a Related Corporation. Further, unless otherwise determined by the Board, a Participant who transfers employment between the Company or a Designated Company or between Designated Companies will not be treated as having terminated employment for purposes of participating in the Plan or an Offering; however, if a Participant transfers employment from the Company or any Designated Related Corporation participating in the 423 Component to a Designated Affiliate participating in the Non-423 Component, the exercise of the Participant’s Purchase Right will be qualified under the Section 423 Component Offering only to the extent that such exercise complies with Section 423 of the Code. If a Participant transfers from a Designated Affiliate participating in the Non-423 Component to the Company or any Designated Related Corporation participating in the 423 Component, such Participant shall remain a Participant in the Non-423 Component until the earlier of (i) the end of the applicable Offering Period under the Non-423 Component in which such transfer occurs, or (ii) the Offering Date of the first Offering in which he or she participates following such transfer.</w:t>
      </w:r>
    </w:p>
    <w:p>
      <w:pPr>
        <w:spacing w:after="0" w:line="152" w:lineRule="exact"/>
        <w:rPr>
          <w:rFonts w:ascii="Times New Roman" w:cs="Times New Roman" w:eastAsia="Times New Roman" w:hAnsi="Times New Roman"/>
          <w:sz w:val="21"/>
          <w:szCs w:val="21"/>
          <w:b w:val="1"/>
          <w:bCs w:val="1"/>
          <w:color w:val="auto"/>
        </w:rPr>
      </w:pPr>
    </w:p>
    <w:p>
      <w:pPr>
        <w:jc w:val="both"/>
        <w:ind w:firstLine="645"/>
        <w:spacing w:after="0" w:line="233" w:lineRule="auto"/>
        <w:tabs>
          <w:tab w:leader="none" w:pos="1275" w:val="left"/>
        </w:tabs>
        <w:numPr>
          <w:ilvl w:val="1"/>
          <w:numId w:val="26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Purchase Rights shall not be transferable by a Participant except by will, the laws of descent and distribution, or by a beneficiary designation as provided in Section 10. During a Participant’s lifetime, Purchase Rights shall be exercisable only by such Participant.</w:t>
      </w:r>
    </w:p>
    <w:p>
      <w:pPr>
        <w:spacing w:after="0" w:line="148" w:lineRule="exact"/>
        <w:rPr>
          <w:rFonts w:ascii="Times New Roman" w:cs="Times New Roman" w:eastAsia="Times New Roman" w:hAnsi="Times New Roman"/>
          <w:sz w:val="21"/>
          <w:szCs w:val="21"/>
          <w:b w:val="1"/>
          <w:bCs w:val="1"/>
          <w:color w:val="auto"/>
        </w:rPr>
      </w:pPr>
    </w:p>
    <w:p>
      <w:pPr>
        <w:ind w:firstLine="645"/>
        <w:spacing w:after="0" w:line="247" w:lineRule="auto"/>
        <w:tabs>
          <w:tab w:leader="none" w:pos="1278" w:val="left"/>
        </w:tabs>
        <w:numPr>
          <w:ilvl w:val="1"/>
          <w:numId w:val="26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Unless otherwise specified in an Offering, the Company shall have no obligation to pay interest on Contributions, unless otherwise required by applicable law.</w:t>
      </w:r>
    </w:p>
    <w:p>
      <w:pPr>
        <w:spacing w:after="0" w:line="137" w:lineRule="exact"/>
        <w:rPr>
          <w:rFonts w:ascii="Times New Roman" w:cs="Times New Roman" w:eastAsia="Times New Roman" w:hAnsi="Times New Roman"/>
          <w:sz w:val="21"/>
          <w:szCs w:val="21"/>
          <w:b w:val="1"/>
          <w:bCs w:val="1"/>
          <w:color w:val="auto"/>
        </w:rPr>
      </w:pPr>
    </w:p>
    <w:p>
      <w:pPr>
        <w:ind w:left="640" w:hanging="634"/>
        <w:spacing w:after="0"/>
        <w:tabs>
          <w:tab w:leader="none" w:pos="640" w:val="left"/>
        </w:tabs>
        <w:numPr>
          <w:ilvl w:val="0"/>
          <w:numId w:val="26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w:t>
      </w:r>
      <w:r>
        <w:rPr>
          <w:rFonts w:ascii="Times New Roman" w:cs="Times New Roman" w:eastAsia="Times New Roman" w:hAnsi="Times New Roman"/>
          <w:sz w:val="16"/>
          <w:szCs w:val="16"/>
          <w:b w:val="1"/>
          <w:bCs w:val="1"/>
          <w:color w:val="auto"/>
        </w:rPr>
        <w:t>XERCISE OF</w:t>
      </w:r>
      <w:r>
        <w:rPr>
          <w:rFonts w:ascii="Times New Roman" w:cs="Times New Roman" w:eastAsia="Times New Roman" w:hAnsi="Times New Roman"/>
          <w:sz w:val="21"/>
          <w:szCs w:val="21"/>
          <w:b w:val="1"/>
          <w:bCs w:val="1"/>
          <w:color w:val="auto"/>
        </w:rPr>
        <w:t xml:space="preserve"> P</w:t>
      </w:r>
      <w:r>
        <w:rPr>
          <w:rFonts w:ascii="Times New Roman" w:cs="Times New Roman" w:eastAsia="Times New Roman" w:hAnsi="Times New Roman"/>
          <w:sz w:val="16"/>
          <w:szCs w:val="16"/>
          <w:b w:val="1"/>
          <w:bCs w:val="1"/>
          <w:color w:val="auto"/>
        </w:rPr>
        <w:t>URCHASE</w:t>
      </w:r>
      <w:r>
        <w:rPr>
          <w:rFonts w:ascii="Times New Roman" w:cs="Times New Roman" w:eastAsia="Times New Roman" w:hAnsi="Times New Roman"/>
          <w:sz w:val="21"/>
          <w:szCs w:val="21"/>
          <w:b w:val="1"/>
          <w:bCs w:val="1"/>
          <w:color w:val="auto"/>
        </w:rPr>
        <w:t xml:space="preserve"> R</w:t>
      </w:r>
      <w:r>
        <w:rPr>
          <w:rFonts w:ascii="Times New Roman" w:cs="Times New Roman" w:eastAsia="Times New Roman" w:hAnsi="Times New Roman"/>
          <w:sz w:val="16"/>
          <w:szCs w:val="16"/>
          <w:b w:val="1"/>
          <w:bCs w:val="1"/>
          <w:color w:val="auto"/>
        </w:rPr>
        <w:t>IGHTS</w:t>
      </w:r>
      <w:r>
        <w:rPr>
          <w:rFonts w:ascii="Times New Roman" w:cs="Times New Roman" w:eastAsia="Times New Roman" w:hAnsi="Times New Roman"/>
          <w:sz w:val="21"/>
          <w:szCs w:val="21"/>
          <w:b w:val="1"/>
          <w:bCs w:val="1"/>
          <w:color w:val="auto"/>
        </w:rPr>
        <w:t>.</w:t>
      </w:r>
    </w:p>
    <w:p>
      <w:pPr>
        <w:spacing w:after="0" w:line="188" w:lineRule="exact"/>
        <w:rPr>
          <w:rFonts w:ascii="Times New Roman" w:cs="Times New Roman" w:eastAsia="Times New Roman" w:hAnsi="Times New Roman"/>
          <w:sz w:val="21"/>
          <w:szCs w:val="21"/>
          <w:b w:val="1"/>
          <w:bCs w:val="1"/>
          <w:color w:val="auto"/>
        </w:rPr>
      </w:pPr>
    </w:p>
    <w:p>
      <w:pPr>
        <w:jc w:val="both"/>
        <w:ind w:firstLine="645"/>
        <w:spacing w:after="0" w:line="227" w:lineRule="auto"/>
        <w:tabs>
          <w:tab w:leader="none" w:pos="1273" w:val="left"/>
        </w:tabs>
        <w:numPr>
          <w:ilvl w:val="1"/>
          <w:numId w:val="26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On each Purchase Date during an Offering, each Participant’s accumulated Contributions shall be applied to the purchase of Ordinary Shares up to the maximum number of Ordinary Shares permitted pursuant to the terms of the Plan and the applicable Offering, at the purchase price specified in the Offering. No fractional Ordinary Shares shall be issued upon the exercise of Purchase Rights unless specifically provided for in the Offering.</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590" w:right="339" w:bottom="1440" w:gutter="0" w:footer="0" w:header="0"/>
        </w:sectPr>
      </w:pPr>
    </w:p>
    <w:bookmarkStart w:id="261" w:name="page262"/>
    <w:bookmarkEnd w:id="261"/>
    <w:p>
      <w:pPr>
        <w:jc w:val="right"/>
        <w:spacing w:after="0"/>
        <w:rPr>
          <w:sz w:val="20"/>
          <w:szCs w:val="20"/>
          <w:color w:val="auto"/>
        </w:rPr>
      </w:pPr>
      <w:r>
        <w:rPr>
          <w:rFonts w:ascii="Times New Roman" w:cs="Times New Roman" w:eastAsia="Times New Roman" w:hAnsi="Times New Roman"/>
          <w:sz w:val="16"/>
          <w:szCs w:val="16"/>
          <w:b w:val="1"/>
          <w:bCs w:val="1"/>
          <w:color w:val="auto"/>
        </w:rPr>
        <w:t>Exhibit 10.21C</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firstLine="645"/>
        <w:spacing w:after="0" w:line="224" w:lineRule="auto"/>
        <w:tabs>
          <w:tab w:leader="none" w:pos="1272" w:val="left"/>
        </w:tabs>
        <w:numPr>
          <w:ilvl w:val="0"/>
          <w:numId w:val="26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Except as otherwise determined by the Committee in a manner that complies with Treasury Regulation Section 1.423-2(f)(5), if applicable, if any amount of accumulated Contributions remains in a Participant’s account after the purchase of Ordinary Shares on the Purchase Date and such remaining amount is less than the amount required to purchase one (1) Ordinary Share on the Purchase Date, then such remaining amount shall be distributed in full to such Participant as soon as administratively practicable following the the applicable Purchase Date, without interest (unless otherwise required by applicable law).</w:t>
      </w:r>
    </w:p>
    <w:p>
      <w:pPr>
        <w:spacing w:after="0" w:line="151" w:lineRule="exact"/>
        <w:rPr>
          <w:rFonts w:ascii="Times New Roman" w:cs="Times New Roman" w:eastAsia="Times New Roman" w:hAnsi="Times New Roman"/>
          <w:sz w:val="21"/>
          <w:szCs w:val="21"/>
          <w:b w:val="1"/>
          <w:bCs w:val="1"/>
          <w:color w:val="auto"/>
        </w:rPr>
      </w:pPr>
    </w:p>
    <w:p>
      <w:pPr>
        <w:jc w:val="both"/>
        <w:ind w:firstLine="645"/>
        <w:spacing w:after="0" w:line="217" w:lineRule="auto"/>
        <w:tabs>
          <w:tab w:leader="none" w:pos="1275" w:val="left"/>
        </w:tabs>
        <w:numPr>
          <w:ilvl w:val="0"/>
          <w:numId w:val="26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No Purchase Rights may be exercised to any extent unless the Ordinary Shares to be issued upon such exercise under the Plan are covered by an effective registration statement pursuant to the Securities Act and the Plan is in material compliance with all applicable federal, state, foreign and other securities and other laws applicable to the Plan. If on a Purchase Date during any Offering hereunder the Ordinary Shares are not so registered or the Plan is not in such compliance, no Purchase Rights or any Offering shall be exercised on such Purchase Date, and the Purchase Date shall be delayed until the Ordinary Shares are subject to such an effective registration statement and the Plan is in such compliance, except that the Purchase Date shall not be delayed more than twelve (12) months and the Purchase Date shall in no event be more than twenty-seven (27) months from the Offering Date. If, on the Purchase Date under any Offering hereunder, as delayed to the maximum extent permissible, the Ordinary Shares are not registered and the Plan is not in such compliance, no Purchase Rights or any Offering shall be exercised and all Contributions accumulated during the Offering (reduced to the extent, if any, such Contributions have been used to acquire Ordinary Shares) shall be distributed to the Participants without interest (unless otherwise required by applicable law).</w:t>
      </w:r>
    </w:p>
    <w:p>
      <w:pPr>
        <w:spacing w:after="0" w:line="150" w:lineRule="exact"/>
        <w:rPr>
          <w:sz w:val="20"/>
          <w:szCs w:val="20"/>
          <w:color w:val="auto"/>
        </w:rPr>
      </w:pPr>
    </w:p>
    <w:p>
      <w:pPr>
        <w:ind w:left="640" w:hanging="634"/>
        <w:spacing w:after="0"/>
        <w:tabs>
          <w:tab w:leader="none" w:pos="640" w:val="left"/>
        </w:tabs>
        <w:numPr>
          <w:ilvl w:val="0"/>
          <w:numId w:val="26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w:t>
      </w:r>
      <w:r>
        <w:rPr>
          <w:rFonts w:ascii="Times New Roman" w:cs="Times New Roman" w:eastAsia="Times New Roman" w:hAnsi="Times New Roman"/>
          <w:sz w:val="16"/>
          <w:szCs w:val="16"/>
          <w:b w:val="1"/>
          <w:bCs w:val="1"/>
          <w:color w:val="auto"/>
        </w:rPr>
        <w:t>AXES</w:t>
      </w:r>
      <w:r>
        <w:rPr>
          <w:rFonts w:ascii="Times New Roman" w:cs="Times New Roman" w:eastAsia="Times New Roman" w:hAnsi="Times New Roman"/>
          <w:sz w:val="19"/>
          <w:szCs w:val="19"/>
          <w:color w:val="auto"/>
        </w:rPr>
        <w:t>.</w:t>
      </w:r>
    </w:p>
    <w:p>
      <w:pPr>
        <w:spacing w:after="0" w:line="188" w:lineRule="exact"/>
        <w:rPr>
          <w:sz w:val="20"/>
          <w:szCs w:val="20"/>
          <w:color w:val="auto"/>
        </w:rPr>
      </w:pPr>
    </w:p>
    <w:p>
      <w:pPr>
        <w:jc w:val="both"/>
        <w:ind w:left="120" w:right="100" w:firstLine="639"/>
        <w:spacing w:after="0" w:line="218" w:lineRule="auto"/>
        <w:rPr>
          <w:sz w:val="20"/>
          <w:szCs w:val="20"/>
          <w:color w:val="auto"/>
        </w:rPr>
      </w:pPr>
      <w:r>
        <w:rPr>
          <w:rFonts w:ascii="Times New Roman" w:cs="Times New Roman" w:eastAsia="Times New Roman" w:hAnsi="Times New Roman"/>
          <w:sz w:val="21"/>
          <w:szCs w:val="21"/>
          <w:color w:val="auto"/>
        </w:rPr>
        <w:t>At the time a Participant’s Purchase Right is exercised, in whole or in part, or at the time a Participant disposes of some or all of the Ordinary Shares acquired under the Plan, the Participant will make adequate provision for any Tax-Related Items. In their sole discretion, and except as otherwise determined by the Committee, the Company or the Designated Company that employs the Participant may satisfy their obligations to withhold Tax-Related Items by (a) withholding from the Participant’s wages or other compensation, (b) withholding a sufficient number of Ordinary Shares otherwise issuable following purchase having an aggregate fair market value sufficient to pay the Tax-Related Items required to be withheld with respect to the Ordinary Shares, (c) withholding from proceeds from the sale of Ordinary Shares issued upon purchase, either through a voluntary sale or a mandatory sale arranged by the Company, or (d) any other method deemed acceptable by the Committee and permitted under applicable law.</w:t>
      </w:r>
    </w:p>
    <w:p>
      <w:pPr>
        <w:spacing w:after="0" w:line="152" w:lineRule="exact"/>
        <w:rPr>
          <w:sz w:val="20"/>
          <w:szCs w:val="20"/>
          <w:color w:val="auto"/>
        </w:rPr>
      </w:pPr>
    </w:p>
    <w:p>
      <w:pPr>
        <w:ind w:left="640" w:hanging="634"/>
        <w:spacing w:after="0"/>
        <w:tabs>
          <w:tab w:leader="none" w:pos="640" w:val="left"/>
        </w:tabs>
        <w:numPr>
          <w:ilvl w:val="0"/>
          <w:numId w:val="26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w:t>
      </w:r>
      <w:r>
        <w:rPr>
          <w:rFonts w:ascii="Times New Roman" w:cs="Times New Roman" w:eastAsia="Times New Roman" w:hAnsi="Times New Roman"/>
          <w:sz w:val="16"/>
          <w:szCs w:val="16"/>
          <w:b w:val="1"/>
          <w:bCs w:val="1"/>
          <w:color w:val="auto"/>
        </w:rPr>
        <w:t>OVENANTS OF THE</w:t>
      </w:r>
      <w:r>
        <w:rPr>
          <w:rFonts w:ascii="Times New Roman" w:cs="Times New Roman" w:eastAsia="Times New Roman" w:hAnsi="Times New Roman"/>
          <w:sz w:val="21"/>
          <w:szCs w:val="21"/>
          <w:b w:val="1"/>
          <w:bCs w:val="1"/>
          <w:color w:val="auto"/>
        </w:rPr>
        <w:t xml:space="preserve"> C</w:t>
      </w:r>
      <w:r>
        <w:rPr>
          <w:rFonts w:ascii="Times New Roman" w:cs="Times New Roman" w:eastAsia="Times New Roman" w:hAnsi="Times New Roman"/>
          <w:sz w:val="16"/>
          <w:szCs w:val="16"/>
          <w:b w:val="1"/>
          <w:bCs w:val="1"/>
          <w:color w:val="auto"/>
        </w:rPr>
        <w:t>OMPANY</w:t>
      </w:r>
      <w:r>
        <w:rPr>
          <w:rFonts w:ascii="Times New Roman" w:cs="Times New Roman" w:eastAsia="Times New Roman" w:hAnsi="Times New Roman"/>
          <w:sz w:val="21"/>
          <w:szCs w:val="21"/>
          <w:b w:val="1"/>
          <w:bCs w:val="1"/>
          <w:color w:val="auto"/>
        </w:rPr>
        <w:t>.</w:t>
      </w:r>
    </w:p>
    <w:p>
      <w:pPr>
        <w:spacing w:after="0" w:line="188" w:lineRule="exact"/>
        <w:rPr>
          <w:sz w:val="20"/>
          <w:szCs w:val="20"/>
          <w:color w:val="auto"/>
        </w:rPr>
      </w:pPr>
    </w:p>
    <w:p>
      <w:pPr>
        <w:jc w:val="both"/>
        <w:ind w:left="120" w:right="100" w:firstLine="639"/>
        <w:spacing w:after="0" w:line="222" w:lineRule="auto"/>
        <w:rPr>
          <w:sz w:val="20"/>
          <w:szCs w:val="20"/>
          <w:color w:val="auto"/>
        </w:rPr>
      </w:pPr>
      <w:r>
        <w:rPr>
          <w:rFonts w:ascii="Times New Roman" w:cs="Times New Roman" w:eastAsia="Times New Roman" w:hAnsi="Times New Roman"/>
          <w:sz w:val="21"/>
          <w:szCs w:val="21"/>
          <w:color w:val="auto"/>
        </w:rPr>
        <w:t>The Company shall seek to obtain from each federal, state, foreign or other regulatory commission or agency having jurisdiction over the Plan such authority as may be required to issue and sell Ordinary Shares upon exercise of the Purchase Rights. If, after commercially reasonable efforts, the Company is unable to obtain from any such regulatory commission or agency the authority that counsel for the Company deems necessary for the lawful issuance and sale of Ordinary Shares under the Plan, and at a commercially reasonable cost, the Company shall be relieved from any liability for failure to issue and sell Ordinary Shares upon exercise of such Purchase Rights unless and until such authority is obtained.</w:t>
      </w:r>
    </w:p>
    <w:p>
      <w:pPr>
        <w:spacing w:after="0" w:line="147" w:lineRule="exact"/>
        <w:rPr>
          <w:sz w:val="20"/>
          <w:szCs w:val="20"/>
          <w:color w:val="auto"/>
        </w:rPr>
      </w:pPr>
    </w:p>
    <w:p>
      <w:pPr>
        <w:ind w:left="640" w:hanging="634"/>
        <w:spacing w:after="0"/>
        <w:tabs>
          <w:tab w:leader="none" w:pos="640" w:val="left"/>
        </w:tabs>
        <w:numPr>
          <w:ilvl w:val="0"/>
          <w:numId w:val="27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w:t>
      </w:r>
      <w:r>
        <w:rPr>
          <w:rFonts w:ascii="Times New Roman" w:cs="Times New Roman" w:eastAsia="Times New Roman" w:hAnsi="Times New Roman"/>
          <w:sz w:val="16"/>
          <w:szCs w:val="16"/>
          <w:b w:val="1"/>
          <w:bCs w:val="1"/>
          <w:color w:val="auto"/>
        </w:rPr>
        <w:t>ESIGNATION OF</w:t>
      </w:r>
      <w:r>
        <w:rPr>
          <w:rFonts w:ascii="Times New Roman" w:cs="Times New Roman" w:eastAsia="Times New Roman" w:hAnsi="Times New Roman"/>
          <w:sz w:val="21"/>
          <w:szCs w:val="21"/>
          <w:b w:val="1"/>
          <w:bCs w:val="1"/>
          <w:color w:val="auto"/>
        </w:rPr>
        <w:t xml:space="preserve"> B</w:t>
      </w:r>
      <w:r>
        <w:rPr>
          <w:rFonts w:ascii="Times New Roman" w:cs="Times New Roman" w:eastAsia="Times New Roman" w:hAnsi="Times New Roman"/>
          <w:sz w:val="16"/>
          <w:szCs w:val="16"/>
          <w:b w:val="1"/>
          <w:bCs w:val="1"/>
          <w:color w:val="auto"/>
        </w:rPr>
        <w:t>ENEFICIARY</w:t>
      </w:r>
      <w:r>
        <w:rPr>
          <w:rFonts w:ascii="Times New Roman" w:cs="Times New Roman" w:eastAsia="Times New Roman" w:hAnsi="Times New Roman"/>
          <w:sz w:val="21"/>
          <w:szCs w:val="21"/>
          <w:b w:val="1"/>
          <w:bCs w:val="1"/>
          <w:color w:val="auto"/>
        </w:rPr>
        <w:t>.</w:t>
      </w:r>
    </w:p>
    <w:p>
      <w:pPr>
        <w:spacing w:after="0" w:line="188" w:lineRule="exact"/>
        <w:rPr>
          <w:rFonts w:ascii="Times New Roman" w:cs="Times New Roman" w:eastAsia="Times New Roman" w:hAnsi="Times New Roman"/>
          <w:sz w:val="21"/>
          <w:szCs w:val="21"/>
          <w:b w:val="1"/>
          <w:bCs w:val="1"/>
          <w:color w:val="auto"/>
        </w:rPr>
      </w:pPr>
    </w:p>
    <w:p>
      <w:pPr>
        <w:jc w:val="both"/>
        <w:ind w:firstLine="645"/>
        <w:spacing w:after="0" w:line="233" w:lineRule="auto"/>
        <w:tabs>
          <w:tab w:leader="none" w:pos="1273" w:val="left"/>
        </w:tabs>
        <w:numPr>
          <w:ilvl w:val="1"/>
          <w:numId w:val="27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Unless otherwise determined by the Company, the Participant may file a written designation of a beneficiary who is to receive any Ordinary Shares and/or cash, if any, from the Participant’s account under the Plan in the event of such Participant’s death subsequent to the end of an Offering but prior to delivery to the Participant of such Ordinary Shares or cash. In addition, a</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590" w:right="339" w:bottom="1440" w:gutter="0" w:footer="0" w:header="0"/>
        </w:sectPr>
      </w:pPr>
    </w:p>
    <w:bookmarkStart w:id="262" w:name="page263"/>
    <w:bookmarkEnd w:id="262"/>
    <w:p>
      <w:pPr>
        <w:jc w:val="right"/>
        <w:spacing w:after="0"/>
        <w:rPr>
          <w:sz w:val="20"/>
          <w:szCs w:val="20"/>
          <w:color w:val="auto"/>
        </w:rPr>
      </w:pPr>
      <w:r>
        <w:rPr>
          <w:rFonts w:ascii="Times New Roman" w:cs="Times New Roman" w:eastAsia="Times New Roman" w:hAnsi="Times New Roman"/>
          <w:sz w:val="16"/>
          <w:szCs w:val="16"/>
          <w:b w:val="1"/>
          <w:bCs w:val="1"/>
          <w:color w:val="auto"/>
        </w:rPr>
        <w:t>Exhibit 10.21C</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1"/>
          <w:szCs w:val="21"/>
          <w:color w:val="auto"/>
        </w:rPr>
        <w:t>Participant may file a written designation of a beneficiary who is to receive any cash from the Participant’s account under the Plan in the event of such Participant’s death during an Offering. Any such designation shall be on a form provided by or otherwise acceptable to the Company.</w:t>
      </w:r>
    </w:p>
    <w:p>
      <w:pPr>
        <w:spacing w:after="0" w:line="149" w:lineRule="exact"/>
        <w:rPr>
          <w:sz w:val="20"/>
          <w:szCs w:val="20"/>
          <w:color w:val="auto"/>
        </w:rPr>
      </w:pPr>
    </w:p>
    <w:p>
      <w:pPr>
        <w:jc w:val="both"/>
        <w:ind w:firstLine="645"/>
        <w:spacing w:after="0" w:line="220" w:lineRule="auto"/>
        <w:tabs>
          <w:tab w:leader="none" w:pos="1272" w:val="left"/>
        </w:tabs>
        <w:numPr>
          <w:ilvl w:val="1"/>
          <w:numId w:val="27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Participant may change such designation of beneficiary at any time by written notice to the Company. In the event of the death of a Participant and in the absence of a beneficiary validly designated under the Plan who is living at the time of such Participant’s death, the Company shall deliver such Ordinary Shares and/or cash to the executor or administrator of the estate of the Participant, or if no such executor or administrator has been appointed (to the knowledge of the Company), the Company, in its sole discretion, may deliver such Ordinary Shares and/or cash to the spouse or to any one or more dependents or relatives of the Participant, or if no spouse, dependent or relative is known to the Company, then to such other person as the Company may designate.</w:t>
      </w:r>
    </w:p>
    <w:p>
      <w:pPr>
        <w:spacing w:after="0" w:line="150" w:lineRule="exact"/>
        <w:rPr>
          <w:rFonts w:ascii="Times New Roman" w:cs="Times New Roman" w:eastAsia="Times New Roman" w:hAnsi="Times New Roman"/>
          <w:sz w:val="21"/>
          <w:szCs w:val="21"/>
          <w:b w:val="1"/>
          <w:bCs w:val="1"/>
          <w:color w:val="auto"/>
        </w:rPr>
      </w:pPr>
    </w:p>
    <w:p>
      <w:pPr>
        <w:ind w:left="640" w:hanging="634"/>
        <w:spacing w:after="0"/>
        <w:tabs>
          <w:tab w:leader="none" w:pos="640" w:val="left"/>
        </w:tabs>
        <w:numPr>
          <w:ilvl w:val="0"/>
          <w:numId w:val="27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M</w:t>
      </w:r>
      <w:r>
        <w:rPr>
          <w:rFonts w:ascii="Times New Roman" w:cs="Times New Roman" w:eastAsia="Times New Roman" w:hAnsi="Times New Roman"/>
          <w:sz w:val="16"/>
          <w:szCs w:val="16"/>
          <w:b w:val="1"/>
          <w:bCs w:val="1"/>
          <w:color w:val="auto"/>
        </w:rPr>
        <w:t>ISCELLANEOUS</w:t>
      </w:r>
      <w:r>
        <w:rPr>
          <w:rFonts w:ascii="Times New Roman" w:cs="Times New Roman" w:eastAsia="Times New Roman" w:hAnsi="Times New Roman"/>
          <w:sz w:val="21"/>
          <w:szCs w:val="21"/>
          <w:b w:val="1"/>
          <w:bCs w:val="1"/>
          <w:color w:val="auto"/>
        </w:rPr>
        <w:t xml:space="preserve"> P</w:t>
      </w:r>
      <w:r>
        <w:rPr>
          <w:rFonts w:ascii="Times New Roman" w:cs="Times New Roman" w:eastAsia="Times New Roman" w:hAnsi="Times New Roman"/>
          <w:sz w:val="16"/>
          <w:szCs w:val="16"/>
          <w:b w:val="1"/>
          <w:bCs w:val="1"/>
          <w:color w:val="auto"/>
        </w:rPr>
        <w:t>ROVISIONS</w:t>
      </w:r>
      <w:r>
        <w:rPr>
          <w:rFonts w:ascii="Times New Roman" w:cs="Times New Roman" w:eastAsia="Times New Roman" w:hAnsi="Times New Roman"/>
          <w:sz w:val="21"/>
          <w:szCs w:val="21"/>
          <w:b w:val="1"/>
          <w:bCs w:val="1"/>
          <w:color w:val="auto"/>
        </w:rPr>
        <w:t>.</w:t>
      </w:r>
    </w:p>
    <w:p>
      <w:pPr>
        <w:spacing w:after="0" w:line="188" w:lineRule="exact"/>
        <w:rPr>
          <w:rFonts w:ascii="Times New Roman" w:cs="Times New Roman" w:eastAsia="Times New Roman" w:hAnsi="Times New Roman"/>
          <w:sz w:val="21"/>
          <w:szCs w:val="21"/>
          <w:b w:val="1"/>
          <w:bCs w:val="1"/>
          <w:color w:val="auto"/>
        </w:rPr>
      </w:pPr>
    </w:p>
    <w:p>
      <w:pPr>
        <w:jc w:val="both"/>
        <w:ind w:firstLine="645"/>
        <w:spacing w:after="0" w:line="227" w:lineRule="auto"/>
        <w:tabs>
          <w:tab w:leader="none" w:pos="1273" w:val="left"/>
        </w:tabs>
        <w:numPr>
          <w:ilvl w:val="1"/>
          <w:numId w:val="27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Plan and Offering do not constitute an employment contract. Nothing in the Plan or in the Offering shall in any way alter the at will nature of a Participant’s employment, if applicable, or be deemed to create in any way whatsoever any obligation on the part of any Participant to continue in the employ of the Company, a Related Corporation or an Affiliate, or on the part of the Company, a Related Corporation or an Affiliate to continue the employment of a Participant.</w:t>
      </w:r>
    </w:p>
    <w:p>
      <w:pPr>
        <w:spacing w:after="0" w:line="151" w:lineRule="exact"/>
        <w:rPr>
          <w:rFonts w:ascii="Times New Roman" w:cs="Times New Roman" w:eastAsia="Times New Roman" w:hAnsi="Times New Roman"/>
          <w:sz w:val="21"/>
          <w:szCs w:val="21"/>
          <w:b w:val="1"/>
          <w:bCs w:val="1"/>
          <w:color w:val="auto"/>
        </w:rPr>
      </w:pPr>
    </w:p>
    <w:p>
      <w:pPr>
        <w:ind w:firstLine="645"/>
        <w:spacing w:after="0" w:line="247" w:lineRule="auto"/>
        <w:tabs>
          <w:tab w:leader="none" w:pos="1272" w:val="left"/>
        </w:tabs>
        <w:numPr>
          <w:ilvl w:val="1"/>
          <w:numId w:val="27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provisions of the Plan shall be governed by the laws of the State of Delaware without resort to that state’s conflicts of laws rules.</w:t>
      </w:r>
    </w:p>
    <w:p>
      <w:pPr>
        <w:spacing w:after="0" w:line="137" w:lineRule="exact"/>
        <w:rPr>
          <w:rFonts w:ascii="Times New Roman" w:cs="Times New Roman" w:eastAsia="Times New Roman" w:hAnsi="Times New Roman"/>
          <w:sz w:val="21"/>
          <w:szCs w:val="21"/>
          <w:b w:val="1"/>
          <w:bCs w:val="1"/>
          <w:color w:val="auto"/>
        </w:rPr>
      </w:pPr>
    </w:p>
    <w:p>
      <w:pPr>
        <w:ind w:left="1280" w:hanging="635"/>
        <w:spacing w:after="0"/>
        <w:tabs>
          <w:tab w:leader="none" w:pos="1280" w:val="left"/>
        </w:tabs>
        <w:numPr>
          <w:ilvl w:val="1"/>
          <w:numId w:val="27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Proceeds from the sale of Ordinary Shares pursuant to Purchase Rights shall constitute general funds of the</w:t>
      </w: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Company.</w:t>
      </w:r>
    </w:p>
    <w:p>
      <w:pPr>
        <w:spacing w:after="0" w:line="160" w:lineRule="exact"/>
        <w:rPr>
          <w:rFonts w:ascii="Times New Roman" w:cs="Times New Roman" w:eastAsia="Times New Roman" w:hAnsi="Times New Roman"/>
          <w:sz w:val="21"/>
          <w:szCs w:val="21"/>
          <w:b w:val="1"/>
          <w:bCs w:val="1"/>
          <w:color w:val="auto"/>
        </w:rPr>
      </w:pPr>
    </w:p>
    <w:p>
      <w:pPr>
        <w:jc w:val="both"/>
        <w:ind w:firstLine="645"/>
        <w:spacing w:after="0" w:line="233" w:lineRule="auto"/>
        <w:tabs>
          <w:tab w:leader="none" w:pos="1272" w:val="left"/>
        </w:tabs>
        <w:numPr>
          <w:ilvl w:val="1"/>
          <w:numId w:val="27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 Participant shall not be deemed to be the holder of, or to have any of the rights of a holder with respect to, Ordinary Shares subject to Purchase Rights unless and until the Participant’s Ordinary Shares acquired upon exercise of Purchase Rights are recorded in the books of the Company (or its transfer agent).</w:t>
      </w:r>
    </w:p>
    <w:p>
      <w:pPr>
        <w:spacing w:after="0" w:line="148" w:lineRule="exact"/>
        <w:rPr>
          <w:rFonts w:ascii="Times New Roman" w:cs="Times New Roman" w:eastAsia="Times New Roman" w:hAnsi="Times New Roman"/>
          <w:sz w:val="21"/>
          <w:szCs w:val="21"/>
          <w:b w:val="1"/>
          <w:bCs w:val="1"/>
          <w:color w:val="auto"/>
        </w:rPr>
      </w:pPr>
    </w:p>
    <w:p>
      <w:pPr>
        <w:ind w:firstLine="645"/>
        <w:spacing w:after="0" w:line="247" w:lineRule="auto"/>
        <w:tabs>
          <w:tab w:leader="none" w:pos="1275" w:val="left"/>
        </w:tabs>
        <w:numPr>
          <w:ilvl w:val="1"/>
          <w:numId w:val="27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If any particular provision of the Plan is found to be invalid or otherwise unenforceable, such provision shall not affect the other provisions of the Plan, but the Plan shall be construed in all respects as if such invalid provision were omitted.</w:t>
      </w:r>
    </w:p>
    <w:p>
      <w:pPr>
        <w:spacing w:after="0" w:line="137" w:lineRule="exact"/>
        <w:rPr>
          <w:rFonts w:ascii="Times New Roman" w:cs="Times New Roman" w:eastAsia="Times New Roman" w:hAnsi="Times New Roman"/>
          <w:sz w:val="21"/>
          <w:szCs w:val="21"/>
          <w:b w:val="1"/>
          <w:bCs w:val="1"/>
          <w:color w:val="auto"/>
        </w:rPr>
      </w:pPr>
    </w:p>
    <w:p>
      <w:pPr>
        <w:ind w:left="640" w:hanging="634"/>
        <w:spacing w:after="0"/>
        <w:tabs>
          <w:tab w:leader="none" w:pos="640" w:val="left"/>
        </w:tabs>
        <w:numPr>
          <w:ilvl w:val="0"/>
          <w:numId w:val="27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w:t>
      </w:r>
      <w:r>
        <w:rPr>
          <w:rFonts w:ascii="Times New Roman" w:cs="Times New Roman" w:eastAsia="Times New Roman" w:hAnsi="Times New Roman"/>
          <w:sz w:val="16"/>
          <w:szCs w:val="16"/>
          <w:b w:val="1"/>
          <w:bCs w:val="1"/>
          <w:color w:val="auto"/>
        </w:rPr>
        <w:t>DJUSTMENTS UPON</w:t>
      </w:r>
      <w:r>
        <w:rPr>
          <w:rFonts w:ascii="Times New Roman" w:cs="Times New Roman" w:eastAsia="Times New Roman" w:hAnsi="Times New Roman"/>
          <w:sz w:val="21"/>
          <w:szCs w:val="21"/>
          <w:b w:val="1"/>
          <w:bCs w:val="1"/>
          <w:color w:val="auto"/>
        </w:rPr>
        <w:t xml:space="preserve"> C</w:t>
      </w:r>
      <w:r>
        <w:rPr>
          <w:rFonts w:ascii="Times New Roman" w:cs="Times New Roman" w:eastAsia="Times New Roman" w:hAnsi="Times New Roman"/>
          <w:sz w:val="16"/>
          <w:szCs w:val="16"/>
          <w:b w:val="1"/>
          <w:bCs w:val="1"/>
          <w:color w:val="auto"/>
        </w:rPr>
        <w:t>HANGES IN</w:t>
      </w:r>
      <w:r>
        <w:rPr>
          <w:rFonts w:ascii="Times New Roman" w:cs="Times New Roman" w:eastAsia="Times New Roman" w:hAnsi="Times New Roman"/>
          <w:sz w:val="21"/>
          <w:szCs w:val="21"/>
          <w:b w:val="1"/>
          <w:bCs w:val="1"/>
          <w:color w:val="auto"/>
        </w:rPr>
        <w:t xml:space="preserve"> O</w:t>
      </w:r>
      <w:r>
        <w:rPr>
          <w:rFonts w:ascii="Times New Roman" w:cs="Times New Roman" w:eastAsia="Times New Roman" w:hAnsi="Times New Roman"/>
          <w:sz w:val="16"/>
          <w:szCs w:val="16"/>
          <w:b w:val="1"/>
          <w:bCs w:val="1"/>
          <w:color w:val="auto"/>
        </w:rPr>
        <w:t>RDINARY</w:t>
      </w:r>
      <w:r>
        <w:rPr>
          <w:rFonts w:ascii="Times New Roman" w:cs="Times New Roman" w:eastAsia="Times New Roman" w:hAnsi="Times New Roman"/>
          <w:sz w:val="21"/>
          <w:szCs w:val="21"/>
          <w:b w:val="1"/>
          <w:bCs w:val="1"/>
          <w:color w:val="auto"/>
        </w:rPr>
        <w:t xml:space="preserve"> S</w:t>
      </w:r>
      <w:r>
        <w:rPr>
          <w:rFonts w:ascii="Times New Roman" w:cs="Times New Roman" w:eastAsia="Times New Roman" w:hAnsi="Times New Roman"/>
          <w:sz w:val="16"/>
          <w:szCs w:val="16"/>
          <w:b w:val="1"/>
          <w:bCs w:val="1"/>
          <w:color w:val="auto"/>
        </w:rPr>
        <w:t>HARES</w:t>
      </w:r>
      <w:r>
        <w:rPr>
          <w:rFonts w:ascii="Times New Roman" w:cs="Times New Roman" w:eastAsia="Times New Roman" w:hAnsi="Times New Roman"/>
          <w:sz w:val="21"/>
          <w:szCs w:val="21"/>
          <w:b w:val="1"/>
          <w:bCs w:val="1"/>
          <w:color w:val="auto"/>
        </w:rPr>
        <w:t>; C</w:t>
      </w:r>
      <w:r>
        <w:rPr>
          <w:rFonts w:ascii="Times New Roman" w:cs="Times New Roman" w:eastAsia="Times New Roman" w:hAnsi="Times New Roman"/>
          <w:sz w:val="16"/>
          <w:szCs w:val="16"/>
          <w:b w:val="1"/>
          <w:bCs w:val="1"/>
          <w:color w:val="auto"/>
        </w:rPr>
        <w:t>ORPORATE</w:t>
      </w:r>
      <w:r>
        <w:rPr>
          <w:rFonts w:ascii="Times New Roman" w:cs="Times New Roman" w:eastAsia="Times New Roman" w:hAnsi="Times New Roman"/>
          <w:sz w:val="21"/>
          <w:szCs w:val="21"/>
          <w:b w:val="1"/>
          <w:bCs w:val="1"/>
          <w:color w:val="auto"/>
        </w:rPr>
        <w:t xml:space="preserve"> T</w:t>
      </w:r>
      <w:r>
        <w:rPr>
          <w:rFonts w:ascii="Times New Roman" w:cs="Times New Roman" w:eastAsia="Times New Roman" w:hAnsi="Times New Roman"/>
          <w:sz w:val="16"/>
          <w:szCs w:val="16"/>
          <w:b w:val="1"/>
          <w:bCs w:val="1"/>
          <w:color w:val="auto"/>
        </w:rPr>
        <w:t>RANSACTIONS</w:t>
      </w:r>
      <w:r>
        <w:rPr>
          <w:rFonts w:ascii="Times New Roman" w:cs="Times New Roman" w:eastAsia="Times New Roman" w:hAnsi="Times New Roman"/>
          <w:sz w:val="21"/>
          <w:szCs w:val="21"/>
          <w:b w:val="1"/>
          <w:bCs w:val="1"/>
          <w:color w:val="auto"/>
        </w:rPr>
        <w:t>.</w:t>
      </w:r>
    </w:p>
    <w:p>
      <w:pPr>
        <w:spacing w:after="0" w:line="188" w:lineRule="exact"/>
        <w:rPr>
          <w:rFonts w:ascii="Times New Roman" w:cs="Times New Roman" w:eastAsia="Times New Roman" w:hAnsi="Times New Roman"/>
          <w:sz w:val="21"/>
          <w:szCs w:val="21"/>
          <w:b w:val="1"/>
          <w:bCs w:val="1"/>
          <w:color w:val="auto"/>
        </w:rPr>
      </w:pPr>
    </w:p>
    <w:p>
      <w:pPr>
        <w:jc w:val="both"/>
        <w:ind w:firstLine="645"/>
        <w:spacing w:after="0" w:line="222" w:lineRule="auto"/>
        <w:tabs>
          <w:tab w:leader="none" w:pos="1273" w:val="left"/>
        </w:tabs>
        <w:numPr>
          <w:ilvl w:val="1"/>
          <w:numId w:val="27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In the event of a Capitalization Adjustment, the Board shall appropriately and proportionately adjust: (i) the class(es) and maximum number of securities subject to the Plan pursuant to Section 3(a), (ii) the class(es) and maximum number of securities by which the share reserve is to increase automatically each year pursuant to Section 3(a), (iii) the class(es) and number of securities subject to, and the purchase price applicable to outstanding Offerings and Purchase Rights, and (iv) the class(es) and number of securities imposed by purchase limits under each ongoing Offering. The Board shall make such adjustments, and its determination shall be final, binding and conclusive.</w:t>
      </w:r>
    </w:p>
    <w:p>
      <w:pPr>
        <w:spacing w:after="0" w:line="150" w:lineRule="exact"/>
        <w:rPr>
          <w:rFonts w:ascii="Times New Roman" w:cs="Times New Roman" w:eastAsia="Times New Roman" w:hAnsi="Times New Roman"/>
          <w:sz w:val="21"/>
          <w:szCs w:val="21"/>
          <w:b w:val="1"/>
          <w:bCs w:val="1"/>
          <w:color w:val="auto"/>
        </w:rPr>
      </w:pPr>
    </w:p>
    <w:p>
      <w:pPr>
        <w:jc w:val="both"/>
        <w:ind w:firstLine="645"/>
        <w:spacing w:after="0" w:line="224" w:lineRule="auto"/>
        <w:tabs>
          <w:tab w:leader="none" w:pos="1272" w:val="left"/>
        </w:tabs>
        <w:numPr>
          <w:ilvl w:val="1"/>
          <w:numId w:val="27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In the event of a Corporate Transaction, then: (i) any surviving corporation or acquiring corporation (or the surviving or acquiring corporation’s parent company) may assume or continue Purchase Rights outstanding under the Plan or may substitute similar rights (including a right to acquire the same consideration paid to the shareholders in the Corporate Transaction) for those outstanding under the Plan, or (ii) if any surviving or acquiring corporation (or its parent company) does not assume or continue such Purchase Rights or does not substitute similar rights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590" w:right="339" w:bottom="1440" w:gutter="0" w:footer="0" w:header="0"/>
        </w:sectPr>
      </w:pPr>
    </w:p>
    <w:bookmarkStart w:id="263" w:name="page264"/>
    <w:bookmarkEnd w:id="263"/>
    <w:p>
      <w:pPr>
        <w:jc w:val="right"/>
        <w:spacing w:after="0"/>
        <w:rPr>
          <w:sz w:val="20"/>
          <w:szCs w:val="20"/>
          <w:color w:val="auto"/>
        </w:rPr>
      </w:pPr>
      <w:r>
        <w:rPr>
          <w:rFonts w:ascii="Times New Roman" w:cs="Times New Roman" w:eastAsia="Times New Roman" w:hAnsi="Times New Roman"/>
          <w:sz w:val="16"/>
          <w:szCs w:val="16"/>
          <w:b w:val="1"/>
          <w:bCs w:val="1"/>
          <w:color w:val="auto"/>
        </w:rPr>
        <w:t>Exhibit 10.21C</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1"/>
          <w:szCs w:val="21"/>
          <w:color w:val="auto"/>
        </w:rPr>
        <w:t>for Purchase Rights outstanding under the Plan, then the Participants’ accumulated Contributions shall be used to purchase Ordinary Shares within ten (10) business days prior to the Corporate Transaction under any ongoing Offerings, and the Participants’ Purchase Rights under the ongoing Offerings shall terminate immediately after such purchase.</w:t>
      </w:r>
    </w:p>
    <w:p>
      <w:pPr>
        <w:spacing w:after="0" w:line="145" w:lineRule="exact"/>
        <w:rPr>
          <w:sz w:val="20"/>
          <w:szCs w:val="20"/>
          <w:color w:val="auto"/>
        </w:rPr>
      </w:pPr>
    </w:p>
    <w:p>
      <w:pPr>
        <w:ind w:left="640" w:hanging="634"/>
        <w:spacing w:after="0"/>
        <w:tabs>
          <w:tab w:leader="none" w:pos="640" w:val="left"/>
        </w:tabs>
        <w:numPr>
          <w:ilvl w:val="0"/>
          <w:numId w:val="27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w:t>
      </w:r>
      <w:r>
        <w:rPr>
          <w:rFonts w:ascii="Times New Roman" w:cs="Times New Roman" w:eastAsia="Times New Roman" w:hAnsi="Times New Roman"/>
          <w:sz w:val="16"/>
          <w:szCs w:val="16"/>
          <w:b w:val="1"/>
          <w:bCs w:val="1"/>
          <w:color w:val="auto"/>
        </w:rPr>
        <w:t>MENDMENT</w:t>
      </w:r>
      <w:r>
        <w:rPr>
          <w:rFonts w:ascii="Times New Roman" w:cs="Times New Roman" w:eastAsia="Times New Roman" w:hAnsi="Times New Roman"/>
          <w:sz w:val="21"/>
          <w:szCs w:val="21"/>
          <w:b w:val="1"/>
          <w:bCs w:val="1"/>
          <w:color w:val="auto"/>
        </w:rPr>
        <w:t>, T</w:t>
      </w:r>
      <w:r>
        <w:rPr>
          <w:rFonts w:ascii="Times New Roman" w:cs="Times New Roman" w:eastAsia="Times New Roman" w:hAnsi="Times New Roman"/>
          <w:sz w:val="16"/>
          <w:szCs w:val="16"/>
          <w:b w:val="1"/>
          <w:bCs w:val="1"/>
          <w:color w:val="auto"/>
        </w:rPr>
        <w:t>ERMINATION OR</w:t>
      </w:r>
      <w:r>
        <w:rPr>
          <w:rFonts w:ascii="Times New Roman" w:cs="Times New Roman" w:eastAsia="Times New Roman" w:hAnsi="Times New Roman"/>
          <w:sz w:val="21"/>
          <w:szCs w:val="21"/>
          <w:b w:val="1"/>
          <w:bCs w:val="1"/>
          <w:color w:val="auto"/>
        </w:rPr>
        <w:t xml:space="preserve"> S</w:t>
      </w:r>
      <w:r>
        <w:rPr>
          <w:rFonts w:ascii="Times New Roman" w:cs="Times New Roman" w:eastAsia="Times New Roman" w:hAnsi="Times New Roman"/>
          <w:sz w:val="16"/>
          <w:szCs w:val="16"/>
          <w:b w:val="1"/>
          <w:bCs w:val="1"/>
          <w:color w:val="auto"/>
        </w:rPr>
        <w:t>USPENSION OF THE</w:t>
      </w:r>
      <w:r>
        <w:rPr>
          <w:rFonts w:ascii="Times New Roman" w:cs="Times New Roman" w:eastAsia="Times New Roman" w:hAnsi="Times New Roman"/>
          <w:sz w:val="21"/>
          <w:szCs w:val="21"/>
          <w:b w:val="1"/>
          <w:bCs w:val="1"/>
          <w:color w:val="auto"/>
        </w:rPr>
        <w:t xml:space="preserve"> P</w:t>
      </w:r>
      <w:r>
        <w:rPr>
          <w:rFonts w:ascii="Times New Roman" w:cs="Times New Roman" w:eastAsia="Times New Roman" w:hAnsi="Times New Roman"/>
          <w:sz w:val="16"/>
          <w:szCs w:val="16"/>
          <w:b w:val="1"/>
          <w:bCs w:val="1"/>
          <w:color w:val="auto"/>
        </w:rPr>
        <w:t>LAN</w:t>
      </w:r>
      <w:r>
        <w:rPr>
          <w:rFonts w:ascii="Times New Roman" w:cs="Times New Roman" w:eastAsia="Times New Roman" w:hAnsi="Times New Roman"/>
          <w:sz w:val="21"/>
          <w:szCs w:val="21"/>
          <w:b w:val="1"/>
          <w:bCs w:val="1"/>
          <w:color w:val="auto"/>
        </w:rPr>
        <w:t>.</w:t>
      </w:r>
    </w:p>
    <w:p>
      <w:pPr>
        <w:spacing w:after="0" w:line="188" w:lineRule="exact"/>
        <w:rPr>
          <w:rFonts w:ascii="Times New Roman" w:cs="Times New Roman" w:eastAsia="Times New Roman" w:hAnsi="Times New Roman"/>
          <w:sz w:val="21"/>
          <w:szCs w:val="21"/>
          <w:b w:val="1"/>
          <w:bCs w:val="1"/>
          <w:color w:val="auto"/>
        </w:rPr>
      </w:pPr>
    </w:p>
    <w:p>
      <w:pPr>
        <w:jc w:val="both"/>
        <w:ind w:firstLine="645"/>
        <w:spacing w:after="0" w:line="219" w:lineRule="auto"/>
        <w:tabs>
          <w:tab w:leader="none" w:pos="1273" w:val="left"/>
        </w:tabs>
        <w:numPr>
          <w:ilvl w:val="2"/>
          <w:numId w:val="27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Board may amend the Plan at any time in any respect the Board deems necessary or advisable. However, except as provided in Section 13(a) relating to Capitalization Adjustments, shareholder approval shall be required for any amendment of the Plan for which shareholder approval is required by applicable law or listing requirements, including any amendment that either</w:t>
      </w:r>
    </w:p>
    <w:p>
      <w:pPr>
        <w:spacing w:after="0" w:line="1" w:lineRule="exact"/>
        <w:rPr>
          <w:rFonts w:ascii="Times New Roman" w:cs="Times New Roman" w:eastAsia="Times New Roman" w:hAnsi="Times New Roman"/>
          <w:sz w:val="21"/>
          <w:szCs w:val="21"/>
          <w:b w:val="1"/>
          <w:bCs w:val="1"/>
          <w:color w:val="auto"/>
        </w:rPr>
      </w:pPr>
    </w:p>
    <w:p>
      <w:pPr>
        <w:jc w:val="both"/>
        <w:spacing w:after="0" w:line="211"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 materially increases the number of Ordinary Shares available for issuance under the Plan, (ii) materially expands the class of individuals eligible to become Participants and receive Purchase Rights under the Plan, (iii) materially increases the benefits accruing to Participants under the Plan or materially reduces the price at which Ordinary Shares may be purchased under the Plan, (iv) materially extends the term of the Plan, or (v) expands the types of awards available for issuance under the Plan, but in each of</w:t>
      </w:r>
    </w:p>
    <w:p>
      <w:pPr>
        <w:spacing w:after="0" w:line="2" w:lineRule="exact"/>
        <w:rPr>
          <w:rFonts w:ascii="Times New Roman" w:cs="Times New Roman" w:eastAsia="Times New Roman" w:hAnsi="Times New Roman"/>
          <w:sz w:val="21"/>
          <w:szCs w:val="21"/>
          <w:b w:val="1"/>
          <w:bCs w:val="1"/>
          <w:color w:val="auto"/>
        </w:rPr>
      </w:pP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 through (v) above only to the extent shareholder approval is required by applicable law or listing requirements.</w:t>
      </w:r>
    </w:p>
    <w:p>
      <w:pPr>
        <w:spacing w:after="0" w:line="160" w:lineRule="exact"/>
        <w:rPr>
          <w:rFonts w:ascii="Times New Roman" w:cs="Times New Roman" w:eastAsia="Times New Roman" w:hAnsi="Times New Roman"/>
          <w:sz w:val="21"/>
          <w:szCs w:val="21"/>
          <w:b w:val="1"/>
          <w:bCs w:val="1"/>
          <w:color w:val="auto"/>
        </w:rPr>
      </w:pPr>
    </w:p>
    <w:p>
      <w:pPr>
        <w:jc w:val="both"/>
        <w:ind w:firstLine="645"/>
        <w:spacing w:after="0" w:line="227" w:lineRule="auto"/>
        <w:tabs>
          <w:tab w:leader="none" w:pos="1272" w:val="left"/>
        </w:tabs>
        <w:numPr>
          <w:ilvl w:val="2"/>
          <w:numId w:val="27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Board may suspend or terminate the Plan at any time. Unless sooner terminated, the Plan shall terminate at the time that all of the Ordinary Shares reserved for issuance under the Plan, as increased and/or adjusted from time to time, have been issued under the terms of the Plan. No Purchase Rights may be granted under the Plan while the Plan is suspended or after it is terminated.</w:t>
      </w:r>
    </w:p>
    <w:p>
      <w:pPr>
        <w:spacing w:after="0" w:line="151" w:lineRule="exact"/>
        <w:rPr>
          <w:rFonts w:ascii="Times New Roman" w:cs="Times New Roman" w:eastAsia="Times New Roman" w:hAnsi="Times New Roman"/>
          <w:sz w:val="21"/>
          <w:szCs w:val="21"/>
          <w:b w:val="1"/>
          <w:bCs w:val="1"/>
          <w:color w:val="auto"/>
        </w:rPr>
      </w:pPr>
    </w:p>
    <w:p>
      <w:pPr>
        <w:jc w:val="both"/>
        <w:ind w:firstLine="645"/>
        <w:spacing w:after="0" w:line="223" w:lineRule="auto"/>
        <w:tabs>
          <w:tab w:leader="none" w:pos="1275" w:val="left"/>
        </w:tabs>
        <w:numPr>
          <w:ilvl w:val="2"/>
          <w:numId w:val="27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Any benefits, privileges, entitlements and obligations under any outstanding Purchase Rights granted before an amendment, suspension or termination of the Plan shall not be impaired by any such amendment, suspension or termination except</w:t>
      </w:r>
    </w:p>
    <w:p>
      <w:pPr>
        <w:spacing w:after="0" w:line="1" w:lineRule="exact"/>
        <w:rPr>
          <w:rFonts w:ascii="Times New Roman" w:cs="Times New Roman" w:eastAsia="Times New Roman" w:hAnsi="Times New Roman"/>
          <w:sz w:val="21"/>
          <w:szCs w:val="21"/>
          <w:b w:val="1"/>
          <w:bCs w:val="1"/>
          <w:color w:val="auto"/>
        </w:rPr>
      </w:pPr>
    </w:p>
    <w:p>
      <w:pPr>
        <w:jc w:val="both"/>
        <w:spacing w:after="0" w:line="219"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 with the consent of the person to whom such Purchase Rights were granted, (ii) as necessary to comply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Effective Date of the Plan, or (iii) as necessary to obtain or maintain favorable tax, listing, or regulatory treatment.</w:t>
      </w:r>
    </w:p>
    <w:p>
      <w:pPr>
        <w:spacing w:after="0" w:line="228" w:lineRule="exact"/>
        <w:rPr>
          <w:rFonts w:ascii="Times New Roman" w:cs="Times New Roman" w:eastAsia="Times New Roman" w:hAnsi="Times New Roman"/>
          <w:sz w:val="21"/>
          <w:szCs w:val="21"/>
          <w:b w:val="1"/>
          <w:bCs w:val="1"/>
          <w:color w:val="auto"/>
        </w:rPr>
      </w:pPr>
    </w:p>
    <w:p>
      <w:pPr>
        <w:ind w:left="520" w:hanging="496"/>
        <w:spacing w:after="0"/>
        <w:tabs>
          <w:tab w:leader="none" w:pos="520" w:val="left"/>
        </w:tabs>
        <w:numPr>
          <w:ilvl w:val="1"/>
          <w:numId w:val="27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CODE SECTION 409A; TAX QUALIFICATION.</w:t>
      </w:r>
    </w:p>
    <w:p>
      <w:pPr>
        <w:spacing w:after="0" w:line="308" w:lineRule="exact"/>
        <w:rPr>
          <w:rFonts w:ascii="Times New Roman" w:cs="Times New Roman" w:eastAsia="Times New Roman" w:hAnsi="Times New Roman"/>
          <w:sz w:val="21"/>
          <w:szCs w:val="21"/>
          <w:b w:val="1"/>
          <w:bCs w:val="1"/>
          <w:color w:val="auto"/>
        </w:rPr>
      </w:pPr>
    </w:p>
    <w:p>
      <w:pPr>
        <w:jc w:val="both"/>
        <w:ind w:firstLine="645"/>
        <w:spacing w:after="0" w:line="216" w:lineRule="auto"/>
        <w:tabs>
          <w:tab w:leader="none" w:pos="1273" w:val="left"/>
        </w:tabs>
        <w:numPr>
          <w:ilvl w:val="2"/>
          <w:numId w:val="27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Purchase Rights granted under the 423 Component are exempt from the application of Section 409A of the Code. Purchase Rights granted under the Non-423 Component to U.S. taxpayers are intended to be exempt from the application of Section 409A of the Code under the short-term deferral exception thereunder and any ambiguities shall be construed and interpreted in accordance with such intent. Subject to Section 15(b) hereof, Purchase Rights granted to U.S. taxpayers under the Non-423 Component shall be subject to such terms and conditions that will permit such Purchase Rights to satisfy the requirements of the short-term deferral exception available under Section 409A of the Code, including the requirement that the Ordinary Shares purchased on exercise of a Purchase Right be delivered within the short-term deferral period. Subject to Section 14(b) hereof, in the case of a Participant who would otherwise be subject to Section 409A of the Code, to the extent the Board determines that a Purchase Right or the exercise, payment, settlement or deferral thereof is subject to Section 409A of the Code, the Purchase Right shall be granted, exercised, paid, settled or deferred in a manner that will comply with Section 409A of the Code. Notwithstanding the foregoing, the Company shall have no liability to a Participant or any other party if the Purchase Right that is intended to be exempt from or compliant with Section 409A of the Code is not so exempt or compliant or for any action taken by the Board with respect thereto.</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590" w:right="339" w:bottom="1440" w:gutter="0" w:footer="0" w:header="0"/>
        </w:sectPr>
      </w:pPr>
    </w:p>
    <w:bookmarkStart w:id="264" w:name="page265"/>
    <w:bookmarkEnd w:id="264"/>
    <w:p>
      <w:pPr>
        <w:jc w:val="right"/>
        <w:spacing w:after="0"/>
        <w:rPr>
          <w:sz w:val="20"/>
          <w:szCs w:val="20"/>
          <w:color w:val="auto"/>
        </w:rPr>
      </w:pPr>
      <w:r>
        <w:rPr>
          <w:rFonts w:ascii="Times New Roman" w:cs="Times New Roman" w:eastAsia="Times New Roman" w:hAnsi="Times New Roman"/>
          <w:sz w:val="16"/>
          <w:szCs w:val="16"/>
          <w:b w:val="1"/>
          <w:bCs w:val="1"/>
          <w:color w:val="auto"/>
        </w:rPr>
        <w:t>Exhibit 10.21C</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firstLine="645"/>
        <w:spacing w:after="0" w:line="224" w:lineRule="auto"/>
        <w:tabs>
          <w:tab w:leader="none" w:pos="1272" w:val="left"/>
        </w:tabs>
        <w:numPr>
          <w:ilvl w:val="1"/>
          <w:numId w:val="27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Although the Company may endeavor to (i) qualify a Purchase Right for favorable tax treatment under the laws of the United States or jurisdictions outside of the United States or (ii) avoid adverse tax treatment (e.g., under Section 409A of the Code), the Company makes no representation to that effect and expressly disavows any covenant to maintain favorable or avoid unfavorable tax treatment, notwithstanding anything to the contrary in this Plan, including Section 14(a) hereof. The Company shall be unconstrained in its corporate activities without regard to the potential negative tax impact on Participants under the Plan.</w:t>
      </w:r>
    </w:p>
    <w:p>
      <w:pPr>
        <w:spacing w:after="0" w:line="147" w:lineRule="exact"/>
        <w:rPr>
          <w:rFonts w:ascii="Times New Roman" w:cs="Times New Roman" w:eastAsia="Times New Roman" w:hAnsi="Times New Roman"/>
          <w:sz w:val="21"/>
          <w:szCs w:val="21"/>
          <w:b w:val="1"/>
          <w:bCs w:val="1"/>
          <w:color w:val="auto"/>
        </w:rPr>
      </w:pPr>
    </w:p>
    <w:p>
      <w:pPr>
        <w:ind w:left="640" w:hanging="634"/>
        <w:spacing w:after="0"/>
        <w:tabs>
          <w:tab w:leader="none" w:pos="640" w:val="left"/>
        </w:tabs>
        <w:numPr>
          <w:ilvl w:val="0"/>
          <w:numId w:val="27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w:t>
      </w:r>
      <w:r>
        <w:rPr>
          <w:rFonts w:ascii="Times New Roman" w:cs="Times New Roman" w:eastAsia="Times New Roman" w:hAnsi="Times New Roman"/>
          <w:sz w:val="16"/>
          <w:szCs w:val="16"/>
          <w:b w:val="1"/>
          <w:bCs w:val="1"/>
          <w:color w:val="auto"/>
        </w:rPr>
        <w:t>FFECTIVE</w:t>
      </w:r>
      <w:r>
        <w:rPr>
          <w:rFonts w:ascii="Times New Roman" w:cs="Times New Roman" w:eastAsia="Times New Roman" w:hAnsi="Times New Roman"/>
          <w:sz w:val="21"/>
          <w:szCs w:val="21"/>
          <w:b w:val="1"/>
          <w:bCs w:val="1"/>
          <w:color w:val="auto"/>
        </w:rPr>
        <w:t xml:space="preserve"> D</w:t>
      </w:r>
      <w:r>
        <w:rPr>
          <w:rFonts w:ascii="Times New Roman" w:cs="Times New Roman" w:eastAsia="Times New Roman" w:hAnsi="Times New Roman"/>
          <w:sz w:val="16"/>
          <w:szCs w:val="16"/>
          <w:b w:val="1"/>
          <w:bCs w:val="1"/>
          <w:color w:val="auto"/>
        </w:rPr>
        <w:t>ATE OF</w:t>
      </w:r>
      <w:r>
        <w:rPr>
          <w:rFonts w:ascii="Times New Roman" w:cs="Times New Roman" w:eastAsia="Times New Roman" w:hAnsi="Times New Roman"/>
          <w:sz w:val="21"/>
          <w:szCs w:val="21"/>
          <w:b w:val="1"/>
          <w:bCs w:val="1"/>
          <w:color w:val="auto"/>
        </w:rPr>
        <w:t xml:space="preserve"> P</w:t>
      </w:r>
      <w:r>
        <w:rPr>
          <w:rFonts w:ascii="Times New Roman" w:cs="Times New Roman" w:eastAsia="Times New Roman" w:hAnsi="Times New Roman"/>
          <w:sz w:val="16"/>
          <w:szCs w:val="16"/>
          <w:b w:val="1"/>
          <w:bCs w:val="1"/>
          <w:color w:val="auto"/>
        </w:rPr>
        <w:t>LAN</w:t>
      </w:r>
      <w:r>
        <w:rPr>
          <w:rFonts w:ascii="Times New Roman" w:cs="Times New Roman" w:eastAsia="Times New Roman" w:hAnsi="Times New Roman"/>
          <w:sz w:val="21"/>
          <w:szCs w:val="21"/>
          <w:b w:val="1"/>
          <w:bCs w:val="1"/>
          <w:color w:val="auto"/>
        </w:rPr>
        <w:t>.</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The Plan became effective on May 31, 2007.</w:t>
      </w:r>
    </w:p>
    <w:p>
      <w:pPr>
        <w:spacing w:after="0" w:line="180" w:lineRule="exact"/>
        <w:rPr>
          <w:sz w:val="20"/>
          <w:szCs w:val="20"/>
          <w:color w:val="auto"/>
        </w:rPr>
      </w:pPr>
    </w:p>
    <w:p>
      <w:pPr>
        <w:ind w:left="640" w:hanging="634"/>
        <w:spacing w:after="0"/>
        <w:tabs>
          <w:tab w:leader="none" w:pos="640" w:val="left"/>
        </w:tabs>
        <w:numPr>
          <w:ilvl w:val="0"/>
          <w:numId w:val="27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w:t>
      </w:r>
      <w:r>
        <w:rPr>
          <w:rFonts w:ascii="Times New Roman" w:cs="Times New Roman" w:eastAsia="Times New Roman" w:hAnsi="Times New Roman"/>
          <w:sz w:val="16"/>
          <w:szCs w:val="16"/>
          <w:b w:val="1"/>
          <w:bCs w:val="1"/>
          <w:color w:val="auto"/>
        </w:rPr>
        <w:t>EFINITIONS</w:t>
      </w:r>
      <w:r>
        <w:rPr>
          <w:rFonts w:ascii="Times New Roman" w:cs="Times New Roman" w:eastAsia="Times New Roman" w:hAnsi="Times New Roman"/>
          <w:sz w:val="21"/>
          <w:szCs w:val="21"/>
          <w:b w:val="1"/>
          <w:bCs w:val="1"/>
          <w:color w:val="auto"/>
        </w:rPr>
        <w:t>.</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As used in the Plan, the following definitions shall apply to the capitalized terms indicated below:</w:t>
      </w:r>
    </w:p>
    <w:p>
      <w:pPr>
        <w:spacing w:after="0" w:line="178" w:lineRule="exact"/>
        <w:rPr>
          <w:sz w:val="20"/>
          <w:szCs w:val="20"/>
          <w:color w:val="auto"/>
        </w:rPr>
      </w:pPr>
    </w:p>
    <w:p>
      <w:pPr>
        <w:ind w:firstLine="645"/>
        <w:spacing w:after="0" w:line="253" w:lineRule="auto"/>
        <w:tabs>
          <w:tab w:leader="none" w:pos="1273" w:val="left"/>
        </w:tabs>
        <w:numPr>
          <w:ilvl w:val="0"/>
          <w:numId w:val="27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color w:val="auto"/>
        </w:rPr>
        <w:t xml:space="preserve">“423 Component” </w:t>
      </w:r>
      <w:r>
        <w:rPr>
          <w:rFonts w:ascii="Times New Roman" w:cs="Times New Roman" w:eastAsia="Times New Roman" w:hAnsi="Times New Roman"/>
          <w:sz w:val="21"/>
          <w:szCs w:val="21"/>
          <w:color w:val="auto"/>
        </w:rPr>
        <w:t>means part of the Plan, which excludes the Non-423 Component, pursuant to which Purchase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Rights that are intended to satisfy the requirements for Employee Stock Purchase Plans may be granted to Eligible Employees.</w:t>
      </w:r>
    </w:p>
    <w:p>
      <w:pPr>
        <w:spacing w:after="0" w:line="129" w:lineRule="exact"/>
        <w:rPr>
          <w:rFonts w:ascii="Times New Roman" w:cs="Times New Roman" w:eastAsia="Times New Roman" w:hAnsi="Times New Roman"/>
          <w:sz w:val="21"/>
          <w:szCs w:val="21"/>
          <w:b w:val="1"/>
          <w:bCs w:val="1"/>
          <w:color w:val="auto"/>
        </w:rPr>
      </w:pPr>
    </w:p>
    <w:p>
      <w:pPr>
        <w:ind w:firstLine="645"/>
        <w:spacing w:after="0" w:line="253" w:lineRule="auto"/>
        <w:tabs>
          <w:tab w:leader="none" w:pos="1272" w:val="left"/>
        </w:tabs>
        <w:numPr>
          <w:ilvl w:val="0"/>
          <w:numId w:val="27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color w:val="auto"/>
        </w:rPr>
        <w:t xml:space="preserve">“Affiliate” </w:t>
      </w:r>
      <w:r>
        <w:rPr>
          <w:rFonts w:ascii="Times New Roman" w:cs="Times New Roman" w:eastAsia="Times New Roman" w:hAnsi="Times New Roman"/>
          <w:sz w:val="21"/>
          <w:szCs w:val="21"/>
          <w:color w:val="auto"/>
        </w:rPr>
        <w:t>means any entity that, directly or indirectly, is controlled by or controls the Company, as determined by</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the Board, whether now or hereafter existing.</w:t>
      </w:r>
    </w:p>
    <w:p>
      <w:pPr>
        <w:spacing w:after="0" w:line="129" w:lineRule="exact"/>
        <w:rPr>
          <w:rFonts w:ascii="Times New Roman" w:cs="Times New Roman" w:eastAsia="Times New Roman" w:hAnsi="Times New Roman"/>
          <w:sz w:val="21"/>
          <w:szCs w:val="21"/>
          <w:b w:val="1"/>
          <w:bCs w:val="1"/>
          <w:color w:val="auto"/>
        </w:rPr>
      </w:pPr>
    </w:p>
    <w:p>
      <w:pPr>
        <w:ind w:left="1280" w:hanging="635"/>
        <w:spacing w:after="0"/>
        <w:tabs>
          <w:tab w:leader="none" w:pos="1280" w:val="left"/>
        </w:tabs>
        <w:numPr>
          <w:ilvl w:val="0"/>
          <w:numId w:val="27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Board</w:t>
      </w:r>
      <w:r>
        <w:rPr>
          <w:rFonts w:ascii="Times New Roman" w:cs="Times New Roman" w:eastAsia="Times New Roman" w:hAnsi="Times New Roman"/>
          <w:sz w:val="21"/>
          <w:szCs w:val="21"/>
          <w:color w:val="auto"/>
        </w:rPr>
        <w:t>” means the Board of Directors of the Company.</w:t>
      </w:r>
    </w:p>
    <w:p>
      <w:pPr>
        <w:spacing w:after="0" w:line="184" w:lineRule="exact"/>
        <w:rPr>
          <w:rFonts w:ascii="Times New Roman" w:cs="Times New Roman" w:eastAsia="Times New Roman" w:hAnsi="Times New Roman"/>
          <w:sz w:val="21"/>
          <w:szCs w:val="21"/>
          <w:b w:val="1"/>
          <w:bCs w:val="1"/>
          <w:color w:val="auto"/>
        </w:rPr>
      </w:pPr>
    </w:p>
    <w:p>
      <w:pPr>
        <w:jc w:val="both"/>
        <w:ind w:firstLine="645"/>
        <w:spacing w:after="0" w:line="219" w:lineRule="auto"/>
        <w:tabs>
          <w:tab w:leader="none" w:pos="1272" w:val="left"/>
        </w:tabs>
        <w:numPr>
          <w:ilvl w:val="0"/>
          <w:numId w:val="27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Capitalization Adjustment</w:t>
      </w:r>
      <w:r>
        <w:rPr>
          <w:rFonts w:ascii="Times New Roman" w:cs="Times New Roman" w:eastAsia="Times New Roman" w:hAnsi="Times New Roman"/>
          <w:sz w:val="21"/>
          <w:szCs w:val="21"/>
          <w:color w:val="auto"/>
        </w:rPr>
        <w:t>” means any change that is made in, or other events that occur with respect to, the Ordinary Shares subject to the Plan or subject to any Purchase Right after the effective date of the Plan without the receipt of consideration by the Company through merger, consolidation, reorganization, recapitalization, reincorporation, share dividend, dividend in property other than cash, large nonrecurring cash dividend, share split, liquidating dividend, combination of shares, exchange of shares, change in corporate structure or any similar equity restructuring transaction, as that term is used in Financial Accounting Standards Board Accounting Standards Codification Topic 718 (or any successor thereto), including, for the avoidance of doubt, capitalization of profits or reserves, capital distribution, rights issue, the conversion of one class of share to another or reduction of capital or otherwise. Notwithstanding the foregoing, the conversion of any convertible securities of the Company shall not be treated as a Capitalization Adjustment.</w:t>
      </w:r>
    </w:p>
    <w:p>
      <w:pPr>
        <w:spacing w:after="0" w:line="146" w:lineRule="exact"/>
        <w:rPr>
          <w:rFonts w:ascii="Times New Roman" w:cs="Times New Roman" w:eastAsia="Times New Roman" w:hAnsi="Times New Roman"/>
          <w:sz w:val="21"/>
          <w:szCs w:val="21"/>
          <w:b w:val="1"/>
          <w:bCs w:val="1"/>
          <w:color w:val="auto"/>
        </w:rPr>
      </w:pPr>
    </w:p>
    <w:p>
      <w:pPr>
        <w:ind w:firstLine="645"/>
        <w:spacing w:after="0" w:line="253" w:lineRule="auto"/>
        <w:tabs>
          <w:tab w:leader="none" w:pos="1275" w:val="left"/>
        </w:tabs>
        <w:numPr>
          <w:ilvl w:val="0"/>
          <w:numId w:val="27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Code</w:t>
      </w:r>
      <w:r>
        <w:rPr>
          <w:rFonts w:ascii="Times New Roman" w:cs="Times New Roman" w:eastAsia="Times New Roman" w:hAnsi="Times New Roman"/>
          <w:sz w:val="21"/>
          <w:szCs w:val="21"/>
          <w:color w:val="auto"/>
        </w:rPr>
        <w:t>” means the United States Internal Revenue Code of 1986, as amended, including any applicable regulations and guidance thereunder</w:t>
      </w:r>
      <w:r>
        <w:rPr>
          <w:rFonts w:ascii="Times New Roman" w:cs="Times New Roman" w:eastAsia="Times New Roman" w:hAnsi="Times New Roman"/>
          <w:sz w:val="21"/>
          <w:szCs w:val="21"/>
          <w:i w:val="1"/>
          <w:iCs w:val="1"/>
          <w:color w:val="auto"/>
        </w:rPr>
        <w:t>.</w:t>
      </w:r>
    </w:p>
    <w:p>
      <w:pPr>
        <w:spacing w:after="0" w:line="129" w:lineRule="exact"/>
        <w:rPr>
          <w:rFonts w:ascii="Times New Roman" w:cs="Times New Roman" w:eastAsia="Times New Roman" w:hAnsi="Times New Roman"/>
          <w:sz w:val="21"/>
          <w:szCs w:val="21"/>
          <w:b w:val="1"/>
          <w:bCs w:val="1"/>
          <w:color w:val="auto"/>
        </w:rPr>
      </w:pPr>
    </w:p>
    <w:p>
      <w:pPr>
        <w:ind w:firstLine="645"/>
        <w:spacing w:after="0" w:line="253" w:lineRule="auto"/>
        <w:tabs>
          <w:tab w:leader="none" w:pos="1278" w:val="left"/>
        </w:tabs>
        <w:numPr>
          <w:ilvl w:val="0"/>
          <w:numId w:val="27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Committee</w:t>
      </w:r>
      <w:r>
        <w:rPr>
          <w:rFonts w:ascii="Times New Roman" w:cs="Times New Roman" w:eastAsia="Times New Roman" w:hAnsi="Times New Roman"/>
          <w:sz w:val="21"/>
          <w:szCs w:val="21"/>
          <w:color w:val="auto"/>
        </w:rPr>
        <w:t>” means a committee of one (1) or more members of the Board to whom authority has been delegated by the Board in accordance with Section 2(c).</w:t>
      </w:r>
    </w:p>
    <w:p>
      <w:pPr>
        <w:spacing w:after="0" w:line="129" w:lineRule="exact"/>
        <w:rPr>
          <w:rFonts w:ascii="Times New Roman" w:cs="Times New Roman" w:eastAsia="Times New Roman" w:hAnsi="Times New Roman"/>
          <w:sz w:val="21"/>
          <w:szCs w:val="21"/>
          <w:b w:val="1"/>
          <w:bCs w:val="1"/>
          <w:color w:val="auto"/>
        </w:rPr>
      </w:pPr>
    </w:p>
    <w:p>
      <w:pPr>
        <w:ind w:left="1280" w:hanging="635"/>
        <w:spacing w:after="0"/>
        <w:tabs>
          <w:tab w:leader="none" w:pos="1280" w:val="left"/>
        </w:tabs>
        <w:numPr>
          <w:ilvl w:val="0"/>
          <w:numId w:val="27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means Jazz Pharmaceuticals plc, a company formed under the laws of Ireland.</w:t>
      </w:r>
    </w:p>
    <w:p>
      <w:pPr>
        <w:spacing w:after="0" w:line="184" w:lineRule="exact"/>
        <w:rPr>
          <w:rFonts w:ascii="Times New Roman" w:cs="Times New Roman" w:eastAsia="Times New Roman" w:hAnsi="Times New Roman"/>
          <w:sz w:val="21"/>
          <w:szCs w:val="21"/>
          <w:b w:val="1"/>
          <w:bCs w:val="1"/>
          <w:color w:val="auto"/>
        </w:rPr>
      </w:pPr>
    </w:p>
    <w:p>
      <w:pPr>
        <w:jc w:val="both"/>
        <w:ind w:firstLine="645"/>
        <w:spacing w:after="0" w:line="229" w:lineRule="auto"/>
        <w:tabs>
          <w:tab w:leader="none" w:pos="1272" w:val="left"/>
        </w:tabs>
        <w:numPr>
          <w:ilvl w:val="0"/>
          <w:numId w:val="27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Contributions</w:t>
      </w:r>
      <w:r>
        <w:rPr>
          <w:rFonts w:ascii="Times New Roman" w:cs="Times New Roman" w:eastAsia="Times New Roman" w:hAnsi="Times New Roman"/>
          <w:sz w:val="21"/>
          <w:szCs w:val="21"/>
          <w:color w:val="auto"/>
        </w:rPr>
        <w:t>” means the payroll deductions and other additional payments specifically provided for in the Offering, that a Participant contributes to fund the exercise of a Purchase Right. A Participant may make additional payments into his or her account, if specifically provided for in the Offering, and then only if the Participant has not already had the maximum permitted amount withheld during the Offering through payroll deductions.</w:t>
      </w:r>
    </w:p>
    <w:p>
      <w:pPr>
        <w:spacing w:after="0" w:line="143" w:lineRule="exact"/>
        <w:rPr>
          <w:rFonts w:ascii="Times New Roman" w:cs="Times New Roman" w:eastAsia="Times New Roman" w:hAnsi="Times New Roman"/>
          <w:sz w:val="21"/>
          <w:szCs w:val="21"/>
          <w:b w:val="1"/>
          <w:bCs w:val="1"/>
          <w:color w:val="auto"/>
        </w:rPr>
      </w:pPr>
    </w:p>
    <w:p>
      <w:pPr>
        <w:ind w:firstLine="645"/>
        <w:spacing w:after="0" w:line="253" w:lineRule="auto"/>
        <w:tabs>
          <w:tab w:leader="none" w:pos="1266" w:val="left"/>
        </w:tabs>
        <w:numPr>
          <w:ilvl w:val="0"/>
          <w:numId w:val="27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Corporate Transaction</w:t>
      </w:r>
      <w:r>
        <w:rPr>
          <w:rFonts w:ascii="Times New Roman" w:cs="Times New Roman" w:eastAsia="Times New Roman" w:hAnsi="Times New Roman"/>
          <w:sz w:val="21"/>
          <w:szCs w:val="21"/>
          <w:color w:val="auto"/>
        </w:rPr>
        <w:t>” means the consummation, in a single transaction or in a series of related transactions, of any one or more of the following events: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590" w:right="339" w:bottom="1440" w:gutter="0" w:footer="0" w:header="0"/>
        </w:sectPr>
      </w:pPr>
    </w:p>
    <w:bookmarkStart w:id="265" w:name="page266"/>
    <w:bookmarkEnd w:id="265"/>
    <w:p>
      <w:pPr>
        <w:jc w:val="right"/>
        <w:spacing w:after="0"/>
        <w:rPr>
          <w:sz w:val="20"/>
          <w:szCs w:val="20"/>
          <w:color w:val="auto"/>
        </w:rPr>
      </w:pPr>
      <w:r>
        <w:rPr>
          <w:rFonts w:ascii="Times New Roman" w:cs="Times New Roman" w:eastAsia="Times New Roman" w:hAnsi="Times New Roman"/>
          <w:sz w:val="16"/>
          <w:szCs w:val="16"/>
          <w:b w:val="1"/>
          <w:bCs w:val="1"/>
          <w:color w:val="auto"/>
        </w:rPr>
        <w:t>Exhibit 10.21C</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firstLine="1284"/>
        <w:spacing w:after="0" w:line="247" w:lineRule="auto"/>
        <w:tabs>
          <w:tab w:leader="none" w:pos="1905" w:val="left"/>
        </w:tabs>
        <w:numPr>
          <w:ilvl w:val="0"/>
          <w:numId w:val="27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 sale or other disposition of all or substantially all, as determined by the Board, in its sole discretion, of the consolidated assets of the Company and its Subsidiaries;</w:t>
      </w:r>
    </w:p>
    <w:p>
      <w:pPr>
        <w:spacing w:after="0" w:line="137" w:lineRule="exact"/>
        <w:rPr>
          <w:rFonts w:ascii="Times New Roman" w:cs="Times New Roman" w:eastAsia="Times New Roman" w:hAnsi="Times New Roman"/>
          <w:sz w:val="21"/>
          <w:szCs w:val="21"/>
          <w:b w:val="1"/>
          <w:bCs w:val="1"/>
          <w:color w:val="auto"/>
        </w:rPr>
      </w:pPr>
    </w:p>
    <w:p>
      <w:pPr>
        <w:ind w:left="1920" w:hanging="636"/>
        <w:spacing w:after="0"/>
        <w:tabs>
          <w:tab w:leader="none" w:pos="1920" w:val="left"/>
        </w:tabs>
        <w:numPr>
          <w:ilvl w:val="0"/>
          <w:numId w:val="27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 sale or other disposition of at least ninety percent (90%</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of the outstanding securities of the Company;</w:t>
      </w:r>
    </w:p>
    <w:p>
      <w:pPr>
        <w:spacing w:after="0" w:line="183" w:lineRule="exact"/>
        <w:rPr>
          <w:rFonts w:ascii="Times New Roman" w:cs="Times New Roman" w:eastAsia="Times New Roman" w:hAnsi="Times New Roman"/>
          <w:sz w:val="21"/>
          <w:szCs w:val="21"/>
          <w:b w:val="1"/>
          <w:bCs w:val="1"/>
          <w:color w:val="auto"/>
        </w:rPr>
      </w:pPr>
    </w:p>
    <w:p>
      <w:pPr>
        <w:ind w:left="1920" w:hanging="636"/>
        <w:spacing w:after="0"/>
        <w:tabs>
          <w:tab w:leader="none" w:pos="1920" w:val="left"/>
        </w:tabs>
        <w:numPr>
          <w:ilvl w:val="0"/>
          <w:numId w:val="27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 merger, consolidation or similar transaction following which the Company is not the surviving corporation;</w:t>
      </w: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or</w:t>
      </w:r>
    </w:p>
    <w:p>
      <w:pPr>
        <w:spacing w:after="0" w:line="160" w:lineRule="exact"/>
        <w:rPr>
          <w:rFonts w:ascii="Times New Roman" w:cs="Times New Roman" w:eastAsia="Times New Roman" w:hAnsi="Times New Roman"/>
          <w:sz w:val="21"/>
          <w:szCs w:val="21"/>
          <w:b w:val="1"/>
          <w:bCs w:val="1"/>
          <w:color w:val="auto"/>
        </w:rPr>
      </w:pPr>
    </w:p>
    <w:p>
      <w:pPr>
        <w:jc w:val="both"/>
        <w:ind w:firstLine="1284"/>
        <w:spacing w:after="0"/>
        <w:tabs>
          <w:tab w:leader="none" w:pos="1905" w:val="left"/>
        </w:tabs>
        <w:numPr>
          <w:ilvl w:val="0"/>
          <w:numId w:val="27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 merger, consolidation or similar transaction following which the Company is the surviving corporation but the Ordinary Shares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380" w:lineRule="exact"/>
        <w:rPr>
          <w:sz w:val="20"/>
          <w:szCs w:val="20"/>
          <w:color w:val="auto"/>
        </w:rPr>
      </w:pPr>
    </w:p>
    <w:p>
      <w:pPr>
        <w:jc w:val="both"/>
        <w:ind w:left="120" w:right="100" w:firstLine="639"/>
        <w:spacing w:after="0" w:line="233" w:lineRule="auto"/>
        <w:rPr>
          <w:sz w:val="20"/>
          <w:szCs w:val="20"/>
          <w:color w:val="auto"/>
        </w:rPr>
      </w:pPr>
      <w:r>
        <w:rPr>
          <w:rFonts w:ascii="Times New Roman" w:cs="Times New Roman" w:eastAsia="Times New Roman" w:hAnsi="Times New Roman"/>
          <w:sz w:val="21"/>
          <w:szCs w:val="21"/>
          <w:color w:val="auto"/>
        </w:rPr>
        <w:t>For the avoidance of doubt, any one or more of the above events may be effected pursuant to (A) a compromise or arrangement sanctioned by the court under section 201 of the Companies Act 1963 of the Republic of Ireland or (B) section 204 of the Companies Act 1963 of the Republic of Ireland.</w:t>
      </w:r>
    </w:p>
    <w:p>
      <w:pPr>
        <w:spacing w:after="0" w:line="189" w:lineRule="exact"/>
        <w:rPr>
          <w:sz w:val="20"/>
          <w:szCs w:val="20"/>
          <w:color w:val="auto"/>
        </w:rPr>
      </w:pPr>
    </w:p>
    <w:p>
      <w:pPr>
        <w:jc w:val="both"/>
        <w:ind w:left="120" w:right="100" w:firstLine="639"/>
        <w:spacing w:after="0"/>
        <w:rPr>
          <w:sz w:val="20"/>
          <w:szCs w:val="20"/>
          <w:color w:val="auto"/>
        </w:rPr>
      </w:pPr>
      <w:r>
        <w:rPr>
          <w:rFonts w:ascii="Times New Roman" w:cs="Times New Roman" w:eastAsia="Times New Roman" w:hAnsi="Times New Roman"/>
          <w:sz w:val="21"/>
          <w:szCs w:val="21"/>
          <w:color w:val="auto"/>
        </w:rPr>
        <w:t>Notwithstanding the foregoing or any other provision of this Plan, unless the Board determines otherwise, the term Corporate Transaction shall not include the creation of a new holding company where the Company becomes a wholly-owned subsidiary of that holding company and the holding company will be owned in substantially the same proportions by the persons who held the Company’s issued shares immediately before such transaction (in which case Purchase Rights granted hereunder will be treated as if they were in all respects purchase rights over shares in the holding company but so that (i) the new purchase right shall vest in the same manner as the Purchase Right; (ii) the total market value of the new shares subject to the new purchase right shall, immediately after such reorganization, be equal to the total market value of the Ordinary Shares comprised in the Purchase Right immediately prior to such reorganization; (iii) the new shares shall have the same rights attaching thereto as the Ordinary Shares; and (iv) the new purchase right shall be deemed to have been granted as at the date of grant of the Purchase Right).</w:t>
      </w:r>
    </w:p>
    <w:p>
      <w:pPr>
        <w:spacing w:after="0" w:line="164" w:lineRule="exact"/>
        <w:rPr>
          <w:sz w:val="20"/>
          <w:szCs w:val="20"/>
          <w:color w:val="auto"/>
        </w:rPr>
      </w:pPr>
    </w:p>
    <w:p>
      <w:pPr>
        <w:ind w:left="1280" w:hanging="635"/>
        <w:spacing w:after="0"/>
        <w:tabs>
          <w:tab w:leader="none" w:pos="1280" w:val="left"/>
        </w:tabs>
        <w:numPr>
          <w:ilvl w:val="1"/>
          <w:numId w:val="27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color w:val="auto"/>
        </w:rPr>
        <w:t xml:space="preserve">“Designated Affiliate” </w:t>
      </w:r>
      <w:r>
        <w:rPr>
          <w:rFonts w:ascii="Times New Roman" w:cs="Times New Roman" w:eastAsia="Times New Roman" w:hAnsi="Times New Roman"/>
          <w:sz w:val="21"/>
          <w:szCs w:val="21"/>
          <w:color w:val="auto"/>
        </w:rPr>
        <w:t>means any Affiliate selected by the Board as eligible to participate in the Non-423</w:t>
      </w:r>
    </w:p>
    <w:p>
      <w:pPr>
        <w:spacing w:after="0" w:line="1" w:lineRule="exact"/>
        <w:rPr>
          <w:rFonts w:ascii="Times New Roman" w:cs="Times New Roman" w:eastAsia="Times New Roman" w:hAnsi="Times New Roman"/>
          <w:sz w:val="21"/>
          <w:szCs w:val="21"/>
          <w:b w:val="1"/>
          <w:bCs w:val="1"/>
          <w:color w:val="auto"/>
        </w:rPr>
      </w:pP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Component.</w:t>
      </w:r>
    </w:p>
    <w:p>
      <w:pPr>
        <w:spacing w:after="0" w:line="154" w:lineRule="exact"/>
        <w:rPr>
          <w:rFonts w:ascii="Times New Roman" w:cs="Times New Roman" w:eastAsia="Times New Roman" w:hAnsi="Times New Roman"/>
          <w:sz w:val="21"/>
          <w:szCs w:val="21"/>
          <w:b w:val="1"/>
          <w:bCs w:val="1"/>
          <w:color w:val="auto"/>
        </w:rPr>
      </w:pPr>
    </w:p>
    <w:p>
      <w:pPr>
        <w:ind w:left="1280" w:hanging="635"/>
        <w:spacing w:after="0"/>
        <w:tabs>
          <w:tab w:leader="none" w:pos="1280" w:val="left"/>
        </w:tabs>
        <w:numPr>
          <w:ilvl w:val="1"/>
          <w:numId w:val="27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color w:val="auto"/>
        </w:rPr>
        <w:t xml:space="preserve">“Designated Company” </w:t>
      </w:r>
      <w:r>
        <w:rPr>
          <w:rFonts w:ascii="Times New Roman" w:cs="Times New Roman" w:eastAsia="Times New Roman" w:hAnsi="Times New Roman"/>
          <w:sz w:val="21"/>
          <w:szCs w:val="21"/>
          <w:color w:val="auto"/>
        </w:rPr>
        <w:t>means a Designated Affiliate or Designated Related Corporation.</w:t>
      </w:r>
    </w:p>
    <w:p>
      <w:pPr>
        <w:spacing w:after="0" w:line="184" w:lineRule="exact"/>
        <w:rPr>
          <w:rFonts w:ascii="Times New Roman" w:cs="Times New Roman" w:eastAsia="Times New Roman" w:hAnsi="Times New Roman"/>
          <w:sz w:val="21"/>
          <w:szCs w:val="21"/>
          <w:b w:val="1"/>
          <w:bCs w:val="1"/>
          <w:color w:val="auto"/>
        </w:rPr>
      </w:pPr>
    </w:p>
    <w:p>
      <w:pPr>
        <w:ind w:firstLine="645"/>
        <w:spacing w:after="0" w:line="253" w:lineRule="auto"/>
        <w:tabs>
          <w:tab w:leader="none" w:pos="1266" w:val="left"/>
        </w:tabs>
        <w:numPr>
          <w:ilvl w:val="1"/>
          <w:numId w:val="27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color w:val="auto"/>
        </w:rPr>
        <w:t xml:space="preserve">“Designated Related Corporation” </w:t>
      </w:r>
      <w:r>
        <w:rPr>
          <w:rFonts w:ascii="Times New Roman" w:cs="Times New Roman" w:eastAsia="Times New Roman" w:hAnsi="Times New Roman"/>
          <w:sz w:val="21"/>
          <w:szCs w:val="21"/>
          <w:color w:val="auto"/>
        </w:rPr>
        <w:t>means any Related Corporation selected by the Board as eligible to participate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in the 423 Component.</w:t>
      </w:r>
    </w:p>
    <w:p>
      <w:pPr>
        <w:spacing w:after="0" w:line="129" w:lineRule="exact"/>
        <w:rPr>
          <w:rFonts w:ascii="Times New Roman" w:cs="Times New Roman" w:eastAsia="Times New Roman" w:hAnsi="Times New Roman"/>
          <w:sz w:val="21"/>
          <w:szCs w:val="21"/>
          <w:b w:val="1"/>
          <w:bCs w:val="1"/>
          <w:color w:val="auto"/>
        </w:rPr>
      </w:pPr>
    </w:p>
    <w:p>
      <w:pPr>
        <w:ind w:left="1280" w:hanging="635"/>
        <w:spacing w:after="0"/>
        <w:tabs>
          <w:tab w:leader="none" w:pos="1280" w:val="left"/>
        </w:tabs>
        <w:numPr>
          <w:ilvl w:val="1"/>
          <w:numId w:val="27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Director</w:t>
      </w:r>
      <w:r>
        <w:rPr>
          <w:rFonts w:ascii="Times New Roman" w:cs="Times New Roman" w:eastAsia="Times New Roman" w:hAnsi="Times New Roman"/>
          <w:sz w:val="21"/>
          <w:szCs w:val="21"/>
          <w:color w:val="auto"/>
        </w:rPr>
        <w:t>” means a member of the Board.</w:t>
      </w:r>
    </w:p>
    <w:p>
      <w:pPr>
        <w:spacing w:after="0" w:line="184" w:lineRule="exact"/>
        <w:rPr>
          <w:rFonts w:ascii="Times New Roman" w:cs="Times New Roman" w:eastAsia="Times New Roman" w:hAnsi="Times New Roman"/>
          <w:sz w:val="21"/>
          <w:szCs w:val="21"/>
          <w:b w:val="1"/>
          <w:bCs w:val="1"/>
          <w:color w:val="auto"/>
        </w:rPr>
      </w:pPr>
    </w:p>
    <w:p>
      <w:pPr>
        <w:jc w:val="both"/>
        <w:ind w:firstLine="645"/>
        <w:spacing w:after="0"/>
        <w:tabs>
          <w:tab w:leader="none" w:pos="1272" w:val="left"/>
        </w:tabs>
        <w:numPr>
          <w:ilvl w:val="1"/>
          <w:numId w:val="27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Eligible Employee</w:t>
      </w:r>
      <w:r>
        <w:rPr>
          <w:rFonts w:ascii="Times New Roman" w:cs="Times New Roman" w:eastAsia="Times New Roman" w:hAnsi="Times New Roman"/>
          <w:sz w:val="21"/>
          <w:szCs w:val="21"/>
          <w:color w:val="auto"/>
        </w:rPr>
        <w:t>” means an Employee who meets the requirements set forth in the Offering for eligibility to participate in the Offering, provided that such Employee also meets the requirements for eligibility to participate set forth in the Plan.</w:t>
      </w:r>
    </w:p>
    <w:p>
      <w:pPr>
        <w:spacing w:after="0" w:line="368" w:lineRule="exact"/>
        <w:rPr>
          <w:rFonts w:ascii="Times New Roman" w:cs="Times New Roman" w:eastAsia="Times New Roman" w:hAnsi="Times New Roman"/>
          <w:sz w:val="21"/>
          <w:szCs w:val="21"/>
          <w:b w:val="1"/>
          <w:bCs w:val="1"/>
          <w:color w:val="auto"/>
        </w:rPr>
      </w:pPr>
    </w:p>
    <w:p>
      <w:pPr>
        <w:ind w:left="1280" w:hanging="635"/>
        <w:spacing w:after="0"/>
        <w:tabs>
          <w:tab w:leader="none" w:pos="1280" w:val="left"/>
        </w:tabs>
        <w:numPr>
          <w:ilvl w:val="1"/>
          <w:numId w:val="27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Employee</w:t>
      </w:r>
      <w:r>
        <w:rPr>
          <w:rFonts w:ascii="Times New Roman" w:cs="Times New Roman" w:eastAsia="Times New Roman" w:hAnsi="Times New Roman"/>
          <w:sz w:val="21"/>
          <w:szCs w:val="21"/>
          <w:color w:val="auto"/>
        </w:rPr>
        <w:t>” means any person, including Officers and Directors, who is employed for purposes of Section 423(b)</w:t>
      </w:r>
    </w:p>
    <w:p>
      <w:pPr>
        <w:spacing w:after="0" w:line="1" w:lineRule="exact"/>
        <w:rPr>
          <w:rFonts w:ascii="Times New Roman" w:cs="Times New Roman" w:eastAsia="Times New Roman" w:hAnsi="Times New Roman"/>
          <w:sz w:val="21"/>
          <w:szCs w:val="21"/>
          <w:b w:val="1"/>
          <w:bCs w:val="1"/>
          <w:color w:val="auto"/>
        </w:rPr>
      </w:pPr>
    </w:p>
    <w:p>
      <w:pPr>
        <w:jc w:val="both"/>
        <w:ind w:firstLine="6"/>
        <w:spacing w:after="0" w:line="225" w:lineRule="auto"/>
        <w:tabs>
          <w:tab w:leader="none" w:pos="310" w:val="left"/>
        </w:tabs>
        <w:numPr>
          <w:ilvl w:val="0"/>
          <w:numId w:val="2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Code by the Company, a Related Corporation or an Affiliate. However, service solely as a Director, or payment of a fee for such services, shall not cause a Director to be considered an “Employee” for purposes of the Plan. Consultants, independent contractors or other types of service providers are not “Employees” for purposes of the Plan.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590" w:right="339" w:bottom="1440" w:gutter="0" w:footer="0" w:header="0"/>
        </w:sectPr>
      </w:pPr>
    </w:p>
    <w:bookmarkStart w:id="266" w:name="page267"/>
    <w:bookmarkEnd w:id="266"/>
    <w:p>
      <w:pPr>
        <w:jc w:val="right"/>
        <w:spacing w:after="0"/>
        <w:rPr>
          <w:sz w:val="20"/>
          <w:szCs w:val="20"/>
          <w:color w:val="auto"/>
        </w:rPr>
      </w:pPr>
      <w:r>
        <w:rPr>
          <w:rFonts w:ascii="Times New Roman" w:cs="Times New Roman" w:eastAsia="Times New Roman" w:hAnsi="Times New Roman"/>
          <w:sz w:val="16"/>
          <w:szCs w:val="16"/>
          <w:b w:val="1"/>
          <w:bCs w:val="1"/>
          <w:color w:val="auto"/>
        </w:rPr>
        <w:t>Exhibit 10.21C</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firstLine="645"/>
        <w:spacing w:after="0" w:line="253" w:lineRule="auto"/>
        <w:tabs>
          <w:tab w:leader="none" w:pos="1272" w:val="left"/>
        </w:tabs>
        <w:numPr>
          <w:ilvl w:val="0"/>
          <w:numId w:val="28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Employee Stock Purchase Plan</w:t>
      </w:r>
      <w:r>
        <w:rPr>
          <w:rFonts w:ascii="Times New Roman" w:cs="Times New Roman" w:eastAsia="Times New Roman" w:hAnsi="Times New Roman"/>
          <w:sz w:val="21"/>
          <w:szCs w:val="21"/>
          <w:color w:val="auto"/>
        </w:rPr>
        <w:t>” means a plan that grants Purchase Rights intended to be options issued under an “employee stock purchase plan,” as that term is defined in Section 423(b) of the Code.</w:t>
      </w:r>
    </w:p>
    <w:p>
      <w:pPr>
        <w:spacing w:after="0" w:line="129" w:lineRule="exact"/>
        <w:rPr>
          <w:rFonts w:ascii="Times New Roman" w:cs="Times New Roman" w:eastAsia="Times New Roman" w:hAnsi="Times New Roman"/>
          <w:sz w:val="21"/>
          <w:szCs w:val="21"/>
          <w:b w:val="1"/>
          <w:bCs w:val="1"/>
          <w:color w:val="auto"/>
        </w:rPr>
      </w:pPr>
    </w:p>
    <w:p>
      <w:pPr>
        <w:ind w:left="1280" w:hanging="635"/>
        <w:spacing w:after="0"/>
        <w:tabs>
          <w:tab w:leader="none" w:pos="1280" w:val="left"/>
        </w:tabs>
        <w:numPr>
          <w:ilvl w:val="0"/>
          <w:numId w:val="28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Exchange Act</w:t>
      </w:r>
      <w:r>
        <w:rPr>
          <w:rFonts w:ascii="Times New Roman" w:cs="Times New Roman" w:eastAsia="Times New Roman" w:hAnsi="Times New Roman"/>
          <w:sz w:val="21"/>
          <w:szCs w:val="21"/>
          <w:color w:val="auto"/>
        </w:rPr>
        <w:t>” means the United States Securities Exchange Act of 1934, as amended.</w:t>
      </w:r>
    </w:p>
    <w:p>
      <w:pPr>
        <w:spacing w:after="0" w:line="184" w:lineRule="exact"/>
        <w:rPr>
          <w:rFonts w:ascii="Times New Roman" w:cs="Times New Roman" w:eastAsia="Times New Roman" w:hAnsi="Times New Roman"/>
          <w:sz w:val="21"/>
          <w:szCs w:val="21"/>
          <w:b w:val="1"/>
          <w:bCs w:val="1"/>
          <w:color w:val="auto"/>
        </w:rPr>
      </w:pPr>
    </w:p>
    <w:p>
      <w:pPr>
        <w:ind w:left="1280" w:hanging="635"/>
        <w:spacing w:after="0"/>
        <w:tabs>
          <w:tab w:leader="none" w:pos="1280" w:val="left"/>
        </w:tabs>
        <w:numPr>
          <w:ilvl w:val="0"/>
          <w:numId w:val="28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Fair Market Value</w:t>
      </w:r>
      <w:r>
        <w:rPr>
          <w:rFonts w:ascii="Times New Roman" w:cs="Times New Roman" w:eastAsia="Times New Roman" w:hAnsi="Times New Roman"/>
          <w:sz w:val="21"/>
          <w:szCs w:val="21"/>
          <w:color w:val="auto"/>
        </w:rPr>
        <w:t>” means, as of any date, the value of the Ordinary Shares determined as follows:</w:t>
      </w:r>
    </w:p>
    <w:p>
      <w:pPr>
        <w:spacing w:after="0" w:line="190" w:lineRule="exact"/>
        <w:rPr>
          <w:rFonts w:ascii="Times New Roman" w:cs="Times New Roman" w:eastAsia="Times New Roman" w:hAnsi="Times New Roman"/>
          <w:sz w:val="21"/>
          <w:szCs w:val="21"/>
          <w:b w:val="1"/>
          <w:bCs w:val="1"/>
          <w:color w:val="auto"/>
        </w:rPr>
      </w:pPr>
    </w:p>
    <w:p>
      <w:pPr>
        <w:jc w:val="both"/>
        <w:ind w:firstLine="1284"/>
        <w:spacing w:after="0" w:line="222" w:lineRule="auto"/>
        <w:tabs>
          <w:tab w:leader="none" w:pos="1905" w:val="left"/>
        </w:tabs>
        <w:numPr>
          <w:ilvl w:val="1"/>
          <w:numId w:val="28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If the Ordinary Shares are listed on any established stock exchange or traded on any established market, the Fair Market Value of an Ordinary Share shall be the closing sales price for such Ordinary Share as quoted on such exchange or market (or the exchange or market with the greatest volume of trading in the Ordinary Shares) on the date of determination, as reported in such source as the Board deems reliable. Unless otherwise provided by the Board, if there is no closing sales price for the Ordinary Shares on the date of determination, then the Fair Market Value shall be the closing selling price (or closing bid if no sales were reported) on the last preceding date for which such quotation exists.</w:t>
      </w:r>
    </w:p>
    <w:p>
      <w:pPr>
        <w:spacing w:after="0" w:line="146" w:lineRule="exact"/>
        <w:rPr>
          <w:rFonts w:ascii="Times New Roman" w:cs="Times New Roman" w:eastAsia="Times New Roman" w:hAnsi="Times New Roman"/>
          <w:sz w:val="21"/>
          <w:szCs w:val="21"/>
          <w:b w:val="1"/>
          <w:bCs w:val="1"/>
          <w:color w:val="auto"/>
        </w:rPr>
      </w:pPr>
    </w:p>
    <w:p>
      <w:pPr>
        <w:ind w:left="1920" w:hanging="636"/>
        <w:spacing w:after="0"/>
        <w:tabs>
          <w:tab w:leader="none" w:pos="1920" w:val="left"/>
        </w:tabs>
        <w:numPr>
          <w:ilvl w:val="1"/>
          <w:numId w:val="28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In the absence of such markets for the Ordinary Shares, the Fair Market Value shall be determined by the</w:t>
      </w: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Board in good faith.</w:t>
      </w:r>
    </w:p>
    <w:p>
      <w:pPr>
        <w:spacing w:after="0" w:line="154" w:lineRule="exact"/>
        <w:rPr>
          <w:rFonts w:ascii="Times New Roman" w:cs="Times New Roman" w:eastAsia="Times New Roman" w:hAnsi="Times New Roman"/>
          <w:sz w:val="21"/>
          <w:szCs w:val="21"/>
          <w:b w:val="1"/>
          <w:bCs w:val="1"/>
          <w:color w:val="auto"/>
        </w:rPr>
      </w:pPr>
    </w:p>
    <w:p>
      <w:pPr>
        <w:ind w:firstLine="645"/>
        <w:spacing w:after="0" w:line="253" w:lineRule="auto"/>
        <w:tabs>
          <w:tab w:leader="none" w:pos="1276" w:val="left"/>
        </w:tabs>
        <w:numPr>
          <w:ilvl w:val="0"/>
          <w:numId w:val="28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color w:val="auto"/>
        </w:rPr>
        <w:t xml:space="preserve">“Non-423 Component” </w:t>
      </w:r>
      <w:r>
        <w:rPr>
          <w:rFonts w:ascii="Times New Roman" w:cs="Times New Roman" w:eastAsia="Times New Roman" w:hAnsi="Times New Roman"/>
          <w:sz w:val="21"/>
          <w:szCs w:val="21"/>
          <w:color w:val="auto"/>
        </w:rPr>
        <w:t>means an employee stock purchase plan which is not intended to meet the requirements set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forth in Code Section 423 and the regulations thereunder.</w:t>
      </w:r>
    </w:p>
    <w:p>
      <w:pPr>
        <w:spacing w:after="0" w:line="129" w:lineRule="exact"/>
        <w:rPr>
          <w:rFonts w:ascii="Times New Roman" w:cs="Times New Roman" w:eastAsia="Times New Roman" w:hAnsi="Times New Roman"/>
          <w:sz w:val="21"/>
          <w:szCs w:val="21"/>
          <w:b w:val="1"/>
          <w:bCs w:val="1"/>
          <w:color w:val="auto"/>
        </w:rPr>
      </w:pPr>
    </w:p>
    <w:p>
      <w:pPr>
        <w:jc w:val="both"/>
        <w:ind w:right="200" w:firstLine="645"/>
        <w:spacing w:after="0" w:line="229" w:lineRule="auto"/>
        <w:tabs>
          <w:tab w:leader="none" w:pos="1278" w:val="left"/>
        </w:tabs>
        <w:numPr>
          <w:ilvl w:val="0"/>
          <w:numId w:val="28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Offering</w:t>
      </w:r>
      <w:r>
        <w:rPr>
          <w:rFonts w:ascii="Times New Roman" w:cs="Times New Roman" w:eastAsia="Times New Roman" w:hAnsi="Times New Roman"/>
          <w:sz w:val="21"/>
          <w:szCs w:val="21"/>
          <w:color w:val="auto"/>
        </w:rPr>
        <w:t>” means the grant of Purchase Rights to purchase Ordinary Shares under the Plan to Eligible Employees. Unless otherwise determined by the Board, each Offering under the Plan in which Eligible Employees of one or more Designated Companies may participate will be deemed a separate offering for purposes of Section 423 of the Code, even if the dates of each such Offering are identical, and the provisions of the Plan will separately apply to each Offering.</w:t>
      </w:r>
    </w:p>
    <w:p>
      <w:pPr>
        <w:spacing w:after="0" w:line="143" w:lineRule="exact"/>
        <w:rPr>
          <w:rFonts w:ascii="Times New Roman" w:cs="Times New Roman" w:eastAsia="Times New Roman" w:hAnsi="Times New Roman"/>
          <w:sz w:val="21"/>
          <w:szCs w:val="21"/>
          <w:b w:val="1"/>
          <w:bCs w:val="1"/>
          <w:color w:val="auto"/>
        </w:rPr>
      </w:pPr>
    </w:p>
    <w:p>
      <w:pPr>
        <w:ind w:left="1280" w:hanging="635"/>
        <w:spacing w:after="0"/>
        <w:tabs>
          <w:tab w:leader="none" w:pos="1280" w:val="left"/>
        </w:tabs>
        <w:numPr>
          <w:ilvl w:val="0"/>
          <w:numId w:val="28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Offering Date</w:t>
      </w:r>
      <w:r>
        <w:rPr>
          <w:rFonts w:ascii="Times New Roman" w:cs="Times New Roman" w:eastAsia="Times New Roman" w:hAnsi="Times New Roman"/>
          <w:sz w:val="21"/>
          <w:szCs w:val="21"/>
          <w:color w:val="auto"/>
        </w:rPr>
        <w:t>” means a date selected by the Board for an Offering to commence.</w:t>
      </w:r>
    </w:p>
    <w:p>
      <w:pPr>
        <w:spacing w:after="0" w:line="184" w:lineRule="exact"/>
        <w:rPr>
          <w:rFonts w:ascii="Times New Roman" w:cs="Times New Roman" w:eastAsia="Times New Roman" w:hAnsi="Times New Roman"/>
          <w:sz w:val="21"/>
          <w:szCs w:val="21"/>
          <w:b w:val="1"/>
          <w:bCs w:val="1"/>
          <w:color w:val="auto"/>
        </w:rPr>
      </w:pPr>
    </w:p>
    <w:p>
      <w:pPr>
        <w:ind w:right="20" w:firstLine="645"/>
        <w:spacing w:after="0" w:line="253" w:lineRule="auto"/>
        <w:tabs>
          <w:tab w:leader="none" w:pos="1273" w:val="left"/>
        </w:tabs>
        <w:numPr>
          <w:ilvl w:val="0"/>
          <w:numId w:val="28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Officer</w:t>
      </w:r>
      <w:r>
        <w:rPr>
          <w:rFonts w:ascii="Times New Roman" w:cs="Times New Roman" w:eastAsia="Times New Roman" w:hAnsi="Times New Roman"/>
          <w:sz w:val="21"/>
          <w:szCs w:val="21"/>
          <w:color w:val="auto"/>
        </w:rPr>
        <w:t>” means a person who is an officer of the Company, an Affiliate or a Related Corporation within the meaning of Section 16 of the Exchange Act and the rules and regulations promulgated thereunder.</w:t>
      </w:r>
    </w:p>
    <w:p>
      <w:pPr>
        <w:spacing w:after="0" w:line="129" w:lineRule="exact"/>
        <w:rPr>
          <w:rFonts w:ascii="Times New Roman" w:cs="Times New Roman" w:eastAsia="Times New Roman" w:hAnsi="Times New Roman"/>
          <w:sz w:val="21"/>
          <w:szCs w:val="21"/>
          <w:b w:val="1"/>
          <w:bCs w:val="1"/>
          <w:color w:val="auto"/>
        </w:rPr>
      </w:pPr>
    </w:p>
    <w:p>
      <w:pPr>
        <w:ind w:left="1280" w:hanging="635"/>
        <w:spacing w:after="0"/>
        <w:tabs>
          <w:tab w:leader="none" w:pos="1280" w:val="left"/>
        </w:tabs>
        <w:numPr>
          <w:ilvl w:val="0"/>
          <w:numId w:val="28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Ordinary Share</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i w:val="1"/>
          <w:iCs w:val="1"/>
          <w:color w:val="auto"/>
        </w:rPr>
        <w:t>Ordinary Shares</w:t>
      </w:r>
      <w:r>
        <w:rPr>
          <w:rFonts w:ascii="Times New Roman" w:cs="Times New Roman" w:eastAsia="Times New Roman" w:hAnsi="Times New Roman"/>
          <w:sz w:val="21"/>
          <w:szCs w:val="21"/>
          <w:color w:val="auto"/>
        </w:rPr>
        <w:t>” means the ordinary shares of the Company of nominal value US$0.0001</w:t>
      </w:r>
    </w:p>
    <w:p>
      <w:pPr>
        <w:spacing w:after="0" w:line="1" w:lineRule="exact"/>
        <w:rPr>
          <w:rFonts w:ascii="Times New Roman" w:cs="Times New Roman" w:eastAsia="Times New Roman" w:hAnsi="Times New Roman"/>
          <w:sz w:val="21"/>
          <w:szCs w:val="21"/>
          <w:b w:val="1"/>
          <w:bCs w:val="1"/>
          <w:color w:val="auto"/>
        </w:rPr>
      </w:pP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per share.</w:t>
      </w:r>
    </w:p>
    <w:p>
      <w:pPr>
        <w:spacing w:after="0" w:line="154" w:lineRule="exact"/>
        <w:rPr>
          <w:rFonts w:ascii="Times New Roman" w:cs="Times New Roman" w:eastAsia="Times New Roman" w:hAnsi="Times New Roman"/>
          <w:sz w:val="21"/>
          <w:szCs w:val="21"/>
          <w:b w:val="1"/>
          <w:bCs w:val="1"/>
          <w:color w:val="auto"/>
        </w:rPr>
      </w:pPr>
    </w:p>
    <w:p>
      <w:pPr>
        <w:ind w:left="1280" w:hanging="635"/>
        <w:spacing w:after="0"/>
        <w:tabs>
          <w:tab w:leader="none" w:pos="1280" w:val="left"/>
        </w:tabs>
        <w:numPr>
          <w:ilvl w:val="0"/>
          <w:numId w:val="28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Participant</w:t>
      </w:r>
      <w:r>
        <w:rPr>
          <w:rFonts w:ascii="Times New Roman" w:cs="Times New Roman" w:eastAsia="Times New Roman" w:hAnsi="Times New Roman"/>
          <w:sz w:val="21"/>
          <w:szCs w:val="21"/>
          <w:color w:val="auto"/>
        </w:rPr>
        <w:t>” means an Eligible Employee who holds an outstanding Purchase Right granted pursuant to the Plan.</w:t>
      </w:r>
    </w:p>
    <w:p>
      <w:pPr>
        <w:spacing w:after="0" w:line="184" w:lineRule="exact"/>
        <w:rPr>
          <w:rFonts w:ascii="Times New Roman" w:cs="Times New Roman" w:eastAsia="Times New Roman" w:hAnsi="Times New Roman"/>
          <w:sz w:val="21"/>
          <w:szCs w:val="21"/>
          <w:b w:val="1"/>
          <w:bCs w:val="1"/>
          <w:color w:val="auto"/>
        </w:rPr>
      </w:pPr>
    </w:p>
    <w:p>
      <w:pPr>
        <w:ind w:firstLine="645"/>
        <w:spacing w:after="0" w:line="253" w:lineRule="auto"/>
        <w:tabs>
          <w:tab w:leader="none" w:pos="1273" w:val="left"/>
        </w:tabs>
        <w:numPr>
          <w:ilvl w:val="0"/>
          <w:numId w:val="28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means this Jazz Pharmaceuticals plc 2007 Employee Stock Purchase Plan, including both the 423 and Non-423 Components, as amended from time to time.</w:t>
      </w:r>
    </w:p>
    <w:p>
      <w:pPr>
        <w:spacing w:after="0" w:line="129" w:lineRule="exact"/>
        <w:rPr>
          <w:rFonts w:ascii="Times New Roman" w:cs="Times New Roman" w:eastAsia="Times New Roman" w:hAnsi="Times New Roman"/>
          <w:sz w:val="21"/>
          <w:szCs w:val="21"/>
          <w:b w:val="1"/>
          <w:bCs w:val="1"/>
          <w:color w:val="auto"/>
        </w:rPr>
      </w:pPr>
    </w:p>
    <w:p>
      <w:pPr>
        <w:ind w:firstLine="645"/>
        <w:spacing w:after="0" w:line="253" w:lineRule="auto"/>
        <w:tabs>
          <w:tab w:leader="none" w:pos="1275" w:val="left"/>
        </w:tabs>
        <w:numPr>
          <w:ilvl w:val="0"/>
          <w:numId w:val="28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Purchase Date</w:t>
      </w:r>
      <w:r>
        <w:rPr>
          <w:rFonts w:ascii="Times New Roman" w:cs="Times New Roman" w:eastAsia="Times New Roman" w:hAnsi="Times New Roman"/>
          <w:sz w:val="21"/>
          <w:szCs w:val="21"/>
          <w:color w:val="auto"/>
        </w:rPr>
        <w:t>” means one or more dates during an Offering established by the Board on which Purchase Rights shall be exercised and as of which purchases of Ordinary Shares shall be carried out in accordance with such Offering.</w:t>
      </w:r>
    </w:p>
    <w:p>
      <w:pPr>
        <w:spacing w:after="0" w:line="130" w:lineRule="exact"/>
        <w:rPr>
          <w:sz w:val="20"/>
          <w:szCs w:val="20"/>
          <w:color w:val="auto"/>
        </w:rPr>
      </w:pPr>
    </w:p>
    <w:p>
      <w:pPr>
        <w:jc w:val="both"/>
        <w:ind w:firstLine="645"/>
        <w:spacing w:after="0" w:line="235" w:lineRule="auto"/>
        <w:tabs>
          <w:tab w:leader="none" w:pos="1273" w:val="left"/>
        </w:tabs>
        <w:numPr>
          <w:ilvl w:val="0"/>
          <w:numId w:val="28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Purchase Period</w:t>
      </w:r>
      <w:r>
        <w:rPr>
          <w:rFonts w:ascii="Times New Roman" w:cs="Times New Roman" w:eastAsia="Times New Roman" w:hAnsi="Times New Roman"/>
          <w:sz w:val="21"/>
          <w:szCs w:val="21"/>
          <w:color w:val="auto"/>
        </w:rPr>
        <w:t>” means a period of time specified within an Offering beginning on the Offering Date or on the next day following a Purchase Date within an Offering and ending on a Purchase Date. An Offering may consist of one or more Purchase Periods.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590" w:right="339" w:bottom="1440" w:gutter="0" w:footer="0" w:header="0"/>
        </w:sectPr>
      </w:pPr>
    </w:p>
    <w:bookmarkStart w:id="267" w:name="page268"/>
    <w:bookmarkEnd w:id="267"/>
    <w:p>
      <w:pPr>
        <w:jc w:val="right"/>
        <w:spacing w:after="0"/>
        <w:rPr>
          <w:sz w:val="20"/>
          <w:szCs w:val="20"/>
          <w:color w:val="auto"/>
        </w:rPr>
      </w:pPr>
      <w:r>
        <w:rPr>
          <w:rFonts w:ascii="Times New Roman" w:cs="Times New Roman" w:eastAsia="Times New Roman" w:hAnsi="Times New Roman"/>
          <w:sz w:val="16"/>
          <w:szCs w:val="16"/>
          <w:b w:val="1"/>
          <w:bCs w:val="1"/>
          <w:color w:val="auto"/>
        </w:rPr>
        <w:t>Exhibit 10.21C</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240" w:hanging="595"/>
        <w:spacing w:after="0"/>
        <w:tabs>
          <w:tab w:leader="none" w:pos="1240" w:val="left"/>
        </w:tabs>
        <w:numPr>
          <w:ilvl w:val="0"/>
          <w:numId w:val="28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Purchase Right</w:t>
      </w:r>
      <w:r>
        <w:rPr>
          <w:rFonts w:ascii="Times New Roman" w:cs="Times New Roman" w:eastAsia="Times New Roman" w:hAnsi="Times New Roman"/>
          <w:sz w:val="21"/>
          <w:szCs w:val="21"/>
          <w:color w:val="auto"/>
        </w:rPr>
        <w:t>” means an option to purchase Ordinary Shares granted pursuant to the Plan.</w:t>
      </w:r>
    </w:p>
    <w:p>
      <w:pPr>
        <w:spacing w:after="0" w:line="184" w:lineRule="exact"/>
        <w:rPr>
          <w:rFonts w:ascii="Times New Roman" w:cs="Times New Roman" w:eastAsia="Times New Roman" w:hAnsi="Times New Roman"/>
          <w:sz w:val="21"/>
          <w:szCs w:val="21"/>
          <w:b w:val="1"/>
          <w:bCs w:val="1"/>
          <w:color w:val="auto"/>
        </w:rPr>
      </w:pPr>
    </w:p>
    <w:p>
      <w:pPr>
        <w:ind w:firstLine="645"/>
        <w:spacing w:after="0" w:line="253" w:lineRule="auto"/>
        <w:tabs>
          <w:tab w:leader="none" w:pos="1196" w:val="left"/>
        </w:tabs>
        <w:numPr>
          <w:ilvl w:val="0"/>
          <w:numId w:val="28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Related Corporation</w:t>
      </w:r>
      <w:r>
        <w:rPr>
          <w:rFonts w:ascii="Times New Roman" w:cs="Times New Roman" w:eastAsia="Times New Roman" w:hAnsi="Times New Roman"/>
          <w:sz w:val="21"/>
          <w:szCs w:val="21"/>
          <w:color w:val="auto"/>
        </w:rPr>
        <w:t>” means any “parent corporation” or “subsidiary corporation” of the Company whether now or subsequently established, as those terms are defined in Sections 424(e) and 424(f), respectively, of the Code.</w:t>
      </w:r>
    </w:p>
    <w:p>
      <w:pPr>
        <w:spacing w:after="0" w:line="129" w:lineRule="exact"/>
        <w:rPr>
          <w:rFonts w:ascii="Times New Roman" w:cs="Times New Roman" w:eastAsia="Times New Roman" w:hAnsi="Times New Roman"/>
          <w:sz w:val="21"/>
          <w:szCs w:val="21"/>
          <w:b w:val="1"/>
          <w:bCs w:val="1"/>
          <w:color w:val="auto"/>
        </w:rPr>
      </w:pPr>
    </w:p>
    <w:p>
      <w:pPr>
        <w:ind w:left="1240" w:hanging="595"/>
        <w:spacing w:after="0"/>
        <w:tabs>
          <w:tab w:leader="none" w:pos="1240" w:val="left"/>
        </w:tabs>
        <w:numPr>
          <w:ilvl w:val="0"/>
          <w:numId w:val="28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Securities Act</w:t>
      </w:r>
      <w:r>
        <w:rPr>
          <w:rFonts w:ascii="Times New Roman" w:cs="Times New Roman" w:eastAsia="Times New Roman" w:hAnsi="Times New Roman"/>
          <w:sz w:val="21"/>
          <w:szCs w:val="21"/>
          <w:color w:val="auto"/>
        </w:rPr>
        <w:t>” means the United States Securities Act of 1933, as amended.</w:t>
      </w:r>
    </w:p>
    <w:p>
      <w:pPr>
        <w:spacing w:after="0" w:line="184" w:lineRule="exact"/>
        <w:rPr>
          <w:rFonts w:ascii="Times New Roman" w:cs="Times New Roman" w:eastAsia="Times New Roman" w:hAnsi="Times New Roman"/>
          <w:sz w:val="21"/>
          <w:szCs w:val="21"/>
          <w:b w:val="1"/>
          <w:bCs w:val="1"/>
          <w:color w:val="auto"/>
        </w:rPr>
      </w:pPr>
    </w:p>
    <w:p>
      <w:pPr>
        <w:ind w:firstLine="645"/>
        <w:spacing w:after="0" w:line="253" w:lineRule="auto"/>
        <w:tabs>
          <w:tab w:leader="none" w:pos="1236" w:val="left"/>
        </w:tabs>
        <w:numPr>
          <w:ilvl w:val="0"/>
          <w:numId w:val="28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Tax-Related Items</w:t>
      </w:r>
      <w:r>
        <w:rPr>
          <w:rFonts w:ascii="Times New Roman" w:cs="Times New Roman" w:eastAsia="Times New Roman" w:hAnsi="Times New Roman"/>
          <w:sz w:val="21"/>
          <w:szCs w:val="21"/>
          <w:color w:val="auto"/>
        </w:rPr>
        <w:t>” means any income tax, social insurance, payroll tax, payment on account or other tax-related items arising in relation to the Participant’s participation in the Plan</w:t>
      </w:r>
    </w:p>
    <w:p>
      <w:pPr>
        <w:spacing w:after="0" w:line="129" w:lineRule="exact"/>
        <w:rPr>
          <w:rFonts w:ascii="Times New Roman" w:cs="Times New Roman" w:eastAsia="Times New Roman" w:hAnsi="Times New Roman"/>
          <w:sz w:val="21"/>
          <w:szCs w:val="21"/>
          <w:b w:val="1"/>
          <w:bCs w:val="1"/>
          <w:color w:val="auto"/>
        </w:rPr>
      </w:pPr>
    </w:p>
    <w:p>
      <w:pPr>
        <w:ind w:firstLine="645"/>
        <w:spacing w:after="0" w:line="253" w:lineRule="auto"/>
        <w:tabs>
          <w:tab w:leader="none" w:pos="1256" w:val="left"/>
        </w:tabs>
        <w:numPr>
          <w:ilvl w:val="0"/>
          <w:numId w:val="28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Trading Day</w:t>
      </w:r>
      <w:r>
        <w:rPr>
          <w:rFonts w:ascii="Times New Roman" w:cs="Times New Roman" w:eastAsia="Times New Roman" w:hAnsi="Times New Roman"/>
          <w:sz w:val="21"/>
          <w:szCs w:val="21"/>
          <w:color w:val="auto"/>
        </w:rPr>
        <w:t>” means any day on which the exchange(s) or market(s) on which the Ordinary Shares are listed, including the Nasdaq Global Select Market or the Nasdaq Global Market, is open for trading.</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Adopted by the Board of Directors of Jazz Pharmaceuticals, Inc. on May 1, 2007.</w:t>
      </w:r>
    </w:p>
    <w:p>
      <w:pPr>
        <w:spacing w:after="0" w:line="2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Approved by the stockholders of Jazz Pharmaceuticals, Inc. on May 9, 2007.</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Amended and restated by the Board of Directors of Jazz Pharmaceuticals, Inc. on September 29, 2010.</w:t>
      </w:r>
    </w:p>
    <w:p>
      <w:pPr>
        <w:spacing w:after="0" w:line="2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Amended and restated by the Board of Directors of Jazz Pharmaceuticals, Inc. on October 24, 2011.</w:t>
      </w:r>
    </w:p>
    <w:p>
      <w:pPr>
        <w:spacing w:after="0" w:line="2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Approved by the stockholders of Jazz Pharmaceuticals, Inc. on December 12, 2011.</w:t>
      </w:r>
    </w:p>
    <w:p>
      <w:pPr>
        <w:spacing w:after="0" w:line="2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Adopted by the Board of Directors of Azur Pharma plc on December 21, 2011.</w:t>
      </w:r>
    </w:p>
    <w:p>
      <w:pPr>
        <w:spacing w:after="0" w:line="2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Approved by the shareholders of Azur Pharma plc on January 3, 2012.</w:t>
      </w:r>
    </w:p>
    <w:p>
      <w:pPr>
        <w:spacing w:after="0" w:line="251" w:lineRule="exact"/>
        <w:rPr>
          <w:sz w:val="20"/>
          <w:szCs w:val="20"/>
          <w:color w:val="auto"/>
        </w:rPr>
      </w:pPr>
    </w:p>
    <w:p>
      <w:pPr>
        <w:ind w:left="120"/>
        <w:spacing w:after="0" w:line="270" w:lineRule="auto"/>
        <w:rPr>
          <w:sz w:val="20"/>
          <w:szCs w:val="20"/>
          <w:color w:val="auto"/>
        </w:rPr>
      </w:pPr>
      <w:r>
        <w:rPr>
          <w:rFonts w:ascii="Times New Roman" w:cs="Times New Roman" w:eastAsia="Times New Roman" w:hAnsi="Times New Roman"/>
          <w:sz w:val="21"/>
          <w:szCs w:val="21"/>
          <w:color w:val="auto"/>
        </w:rPr>
        <w:t>Amended and restated by the Compensation Committee of the Board of Directors of Jazz Pharmaceuticals plc on October 26, 2012.</w:t>
      </w:r>
    </w:p>
    <w:p>
      <w:pPr>
        <w:spacing w:after="0" w:line="200" w:lineRule="exact"/>
        <w:rPr>
          <w:sz w:val="20"/>
          <w:szCs w:val="20"/>
          <w:color w:val="auto"/>
        </w:rPr>
      </w:pPr>
    </w:p>
    <w:p>
      <w:pPr>
        <w:spacing w:after="0" w:line="287" w:lineRule="exact"/>
        <w:rPr>
          <w:sz w:val="20"/>
          <w:szCs w:val="20"/>
          <w:color w:val="auto"/>
        </w:rPr>
      </w:pPr>
    </w:p>
    <w:p>
      <w:pPr>
        <w:ind w:left="120"/>
        <w:spacing w:after="0" w:line="287" w:lineRule="auto"/>
        <w:rPr>
          <w:sz w:val="20"/>
          <w:szCs w:val="20"/>
          <w:color w:val="auto"/>
        </w:rPr>
      </w:pPr>
      <w:r>
        <w:rPr>
          <w:rFonts w:ascii="Times New Roman" w:cs="Times New Roman" w:eastAsia="Times New Roman" w:hAnsi="Times New Roman"/>
          <w:sz w:val="21"/>
          <w:szCs w:val="21"/>
          <w:color w:val="auto"/>
        </w:rPr>
        <w:t>Amended and restated by the Compensation Committee of the Board of Directors of Jazz Pharmaceuticals plc on November 2, 2022.</w:t>
      </w:r>
    </w:p>
    <w:p>
      <w:pPr>
        <w:spacing w:after="0" w:line="168" w:lineRule="exact"/>
        <w:rPr>
          <w:sz w:val="20"/>
          <w:szCs w:val="20"/>
          <w:color w:val="auto"/>
        </w:rPr>
      </w:pPr>
    </w:p>
    <w:p>
      <w:pPr>
        <w:ind w:left="120"/>
        <w:spacing w:after="0" w:line="287" w:lineRule="auto"/>
        <w:rPr>
          <w:sz w:val="20"/>
          <w:szCs w:val="20"/>
          <w:color w:val="auto"/>
        </w:rPr>
      </w:pPr>
      <w:r>
        <w:rPr>
          <w:rFonts w:ascii="Times New Roman" w:cs="Times New Roman" w:eastAsia="Times New Roman" w:hAnsi="Times New Roman"/>
          <w:sz w:val="21"/>
          <w:szCs w:val="21"/>
          <w:color w:val="auto"/>
        </w:rPr>
        <w:t>Amended and restated by the Compensation Committee of the Board of Directors of Jazz Pharmaceuticals plc on November 1, 2023.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590" w:right="339" w:bottom="1440" w:gutter="0" w:footer="0" w:header="0"/>
        </w:sectPr>
      </w:pPr>
    </w:p>
    <w:bookmarkStart w:id="268" w:name="page269"/>
    <w:bookmarkEnd w:id="268"/>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Subsidiaries of the Registrant</w:t>
      </w:r>
    </w:p>
    <w:p>
      <w:pPr>
        <w:sectPr>
          <w:pgSz w:w="11900" w:h="16838" w:orient="portrait"/>
          <w:cols w:equalWidth="0" w:num="1">
            <w:col w:w="11220"/>
          </w:cols>
          <w:pgMar w:left="340" w:top="14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State/Jurisdiction of Incorporation</w:t>
      </w:r>
    </w:p>
    <w:p>
      <w:pPr>
        <w:spacing w:after="0" w:line="99" w:lineRule="exact"/>
        <w:rPr>
          <w:sz w:val="20"/>
          <w:szCs w:val="20"/>
          <w:color w:val="auto"/>
        </w:rPr>
      </w:pPr>
    </w:p>
    <w:p>
      <w:pPr>
        <w:sectPr>
          <w:pgSz w:w="11900" w:h="16838" w:orient="portrait"/>
          <w:cols w:equalWidth="0" w:num="2">
            <w:col w:w="4900" w:space="720"/>
            <w:col w:w="5600"/>
          </w:cols>
          <w:pgMar w:left="340" w:top="141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Jazz Pharmaceuticals Ireland Limited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Jazz Financing I DAC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GW Pharma Limited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Jazz Pharmaceuticals, Inc.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Celator Pharmaceuticals Inc.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Jazz Pharmaceuticals Research UK Limited</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Gentium S.r.l.</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Jazz Pharmaceuticals UK Holdings Limited</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Jazz Securities DAC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Jazz Financing Holdings Limited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Jazz Financing Lux S.à.r.l</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Jazz Pharmaceuticals International Limited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Jazz Investments Europe Limited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Jazz Capital Limited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Jazz Pharmaceuticals UK Limited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GW Pharmaceuticals Limited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Cavion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Italy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Bermuda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Malta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ectPr>
          <w:pgSz w:w="11900" w:h="16838" w:orient="portrait"/>
          <w:cols w:equalWidth="0" w:num="2">
            <w:col w:w="4900" w:space="720"/>
            <w:col w:w="5600"/>
          </w:cols>
          <w:pgMar w:left="340" w:top="1411" w:right="339" w:bottom="1440" w:gutter="0" w:footer="0" w:header="0"/>
          <w:type w:val="continuous"/>
        </w:sectPr>
      </w:pPr>
    </w:p>
    <w:bookmarkStart w:id="269" w:name="page270"/>
    <w:bookmarkEnd w:id="26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94" w:lineRule="exact"/>
        <w:rPr>
          <w:sz w:val="20"/>
          <w:szCs w:val="20"/>
          <w:color w:val="auto"/>
        </w:rPr>
      </w:pPr>
    </w:p>
    <w:p>
      <w:pPr>
        <w:ind w:right="140"/>
        <w:spacing w:after="0" w:line="218" w:lineRule="exact"/>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333-179075, No. 333-186886, No. 333-194131, No. 333-202269, No. 333-209767, No. 333-216338, No. 333-224757, No.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229889, No. 333-236636, No. 333-249807, No. 333-253417, No. 333-255895 and No. 333-263195) on Form S-8 of our reports dated February 28, 2024, with respect to the consolidated financial statements of Jazz Pharmaceuticals plc and financial statement schedule at Item 15(a)2 and the effectiveness of internal control over financial reporting.</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Dublin, Ireland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2024</w:t>
      </w:r>
    </w:p>
    <w:p>
      <w:pPr>
        <w:sectPr>
          <w:pgSz w:w="11900" w:h="16838" w:orient="portrait"/>
          <w:cols w:equalWidth="0" w:num="1">
            <w:col w:w="11240"/>
          </w:cols>
          <w:pgMar w:left="320" w:top="1397" w:right="339" w:bottom="1440" w:gutter="0" w:footer="0" w:header="0"/>
        </w:sectPr>
      </w:pPr>
    </w:p>
    <w:bookmarkStart w:id="270" w:name="page271"/>
    <w:bookmarkEnd w:id="27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Bruce C. Cozadd, certify that:</w:t>
      </w:r>
    </w:p>
    <w:p>
      <w:pPr>
        <w:spacing w:after="0" w:line="200" w:lineRule="exact"/>
        <w:rPr>
          <w:sz w:val="20"/>
          <w:szCs w:val="20"/>
          <w:color w:val="auto"/>
        </w:rPr>
      </w:pPr>
    </w:p>
    <w:p>
      <w:pPr>
        <w:spacing w:after="0" w:line="219" w:lineRule="exact"/>
        <w:rPr>
          <w:sz w:val="20"/>
          <w:szCs w:val="20"/>
          <w:color w:val="auto"/>
        </w:rPr>
      </w:pPr>
    </w:p>
    <w:p>
      <w:pPr>
        <w:ind w:left="320" w:hanging="314"/>
        <w:spacing w:after="0"/>
        <w:tabs>
          <w:tab w:leader="none" w:pos="32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Jazz Pharmaceuticals public limited company;</w:t>
      </w:r>
    </w:p>
    <w:p>
      <w:pPr>
        <w:spacing w:after="0" w:line="192" w:lineRule="exact"/>
        <w:rPr>
          <w:rFonts w:ascii="Times New Roman" w:cs="Times New Roman" w:eastAsia="Times New Roman" w:hAnsi="Times New Roman"/>
          <w:sz w:val="18"/>
          <w:szCs w:val="18"/>
          <w:color w:val="auto"/>
        </w:rPr>
      </w:pPr>
    </w:p>
    <w:p>
      <w:pPr>
        <w:ind w:left="320" w:right="100" w:hanging="314"/>
        <w:spacing w:after="0" w:line="306" w:lineRule="auto"/>
        <w:tabs>
          <w:tab w:leader="none" w:pos="320" w:val="left"/>
        </w:tabs>
        <w:numPr>
          <w:ilvl w:val="0"/>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Times New Roman" w:cs="Times New Roman" w:eastAsia="Times New Roman" w:hAnsi="Times New Roman"/>
          <w:sz w:val="17"/>
          <w:szCs w:val="17"/>
          <w:color w:val="auto"/>
        </w:rPr>
      </w:pPr>
    </w:p>
    <w:p>
      <w:pPr>
        <w:ind w:left="320" w:right="560" w:hanging="314"/>
        <w:spacing w:after="0" w:line="276" w:lineRule="auto"/>
        <w:tabs>
          <w:tab w:leader="none" w:pos="32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Times New Roman" w:cs="Times New Roman" w:eastAsia="Times New Roman" w:hAnsi="Times New Roman"/>
          <w:sz w:val="18"/>
          <w:szCs w:val="18"/>
          <w:color w:val="auto"/>
        </w:rPr>
      </w:pPr>
    </w:p>
    <w:p>
      <w:pPr>
        <w:ind w:left="320" w:right="180" w:hanging="314"/>
        <w:spacing w:after="0" w:line="261" w:lineRule="auto"/>
        <w:tabs>
          <w:tab w:leader="none" w:pos="32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Times New Roman" w:cs="Times New Roman" w:eastAsia="Times New Roman" w:hAnsi="Times New Roman"/>
          <w:sz w:val="18"/>
          <w:szCs w:val="18"/>
          <w:color w:val="auto"/>
        </w:rPr>
      </w:pPr>
    </w:p>
    <w:p>
      <w:pPr>
        <w:ind w:left="720" w:right="460" w:hanging="314"/>
        <w:spacing w:after="0" w:line="261" w:lineRule="auto"/>
        <w:tabs>
          <w:tab w:leader="none" w:pos="711"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Times New Roman" w:cs="Times New Roman" w:eastAsia="Times New Roman" w:hAnsi="Times New Roman"/>
          <w:sz w:val="18"/>
          <w:szCs w:val="18"/>
          <w:color w:val="auto"/>
        </w:rPr>
      </w:pPr>
    </w:p>
    <w:p>
      <w:pPr>
        <w:ind w:left="720" w:right="140" w:hanging="314"/>
        <w:spacing w:after="0" w:line="261" w:lineRule="auto"/>
        <w:tabs>
          <w:tab w:leader="none" w:pos="708"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6" w:lineRule="exact"/>
        <w:rPr>
          <w:rFonts w:ascii="Times New Roman" w:cs="Times New Roman" w:eastAsia="Times New Roman" w:hAnsi="Times New Roman"/>
          <w:sz w:val="18"/>
          <w:szCs w:val="18"/>
          <w:color w:val="auto"/>
        </w:rPr>
      </w:pPr>
    </w:p>
    <w:p>
      <w:pPr>
        <w:jc w:val="both"/>
        <w:ind w:left="720" w:right="920" w:hanging="314"/>
        <w:spacing w:after="0" w:line="306" w:lineRule="auto"/>
        <w:tabs>
          <w:tab w:leader="none" w:pos="711" w:val="left"/>
        </w:tabs>
        <w:numPr>
          <w:ilvl w:val="1"/>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Times New Roman" w:cs="Times New Roman" w:eastAsia="Times New Roman" w:hAnsi="Times New Roman"/>
          <w:sz w:val="17"/>
          <w:szCs w:val="17"/>
          <w:color w:val="auto"/>
        </w:rPr>
      </w:pPr>
    </w:p>
    <w:p>
      <w:pPr>
        <w:ind w:left="720" w:right="20" w:hanging="314"/>
        <w:spacing w:after="0" w:line="261" w:lineRule="auto"/>
        <w:tabs>
          <w:tab w:leader="none" w:pos="708"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320" w:right="300" w:hanging="314"/>
        <w:spacing w:after="0" w:line="276" w:lineRule="auto"/>
        <w:tabs>
          <w:tab w:leader="none" w:pos="32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Times New Roman" w:cs="Times New Roman" w:eastAsia="Times New Roman" w:hAnsi="Times New Roman"/>
          <w:sz w:val="18"/>
          <w:szCs w:val="18"/>
          <w:color w:val="auto"/>
        </w:rPr>
      </w:pPr>
    </w:p>
    <w:p>
      <w:pPr>
        <w:ind w:left="720" w:right="360" w:hanging="314"/>
        <w:spacing w:after="0" w:line="276" w:lineRule="auto"/>
        <w:tabs>
          <w:tab w:leader="none" w:pos="711"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Times New Roman" w:cs="Times New Roman" w:eastAsia="Times New Roman" w:hAnsi="Times New Roman"/>
          <w:sz w:val="18"/>
          <w:szCs w:val="18"/>
          <w:color w:val="auto"/>
        </w:rPr>
      </w:pPr>
    </w:p>
    <w:p>
      <w:pPr>
        <w:ind w:left="720" w:right="320" w:hanging="314"/>
        <w:spacing w:after="0" w:line="276" w:lineRule="auto"/>
        <w:tabs>
          <w:tab w:leader="none" w:pos="708"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ind w:left="20"/>
        <w:spacing w:after="0"/>
        <w:tabs>
          <w:tab w:leader="none" w:pos="5620" w:val="left"/>
          <w:tab w:leader="none" w:pos="7920" w:val="left"/>
          <w:tab w:leader="none" w:pos="8260" w:val="left"/>
        </w:tabs>
        <w:rPr>
          <w:sz w:val="20"/>
          <w:szCs w:val="20"/>
          <w:color w:val="auto"/>
        </w:rPr>
      </w:pPr>
      <w:r>
        <w:rPr>
          <w:rFonts w:ascii="Times New Roman" w:cs="Times New Roman" w:eastAsia="Times New Roman" w:hAnsi="Times New Roman"/>
          <w:sz w:val="18"/>
          <w:szCs w:val="18"/>
          <w:color w:val="auto"/>
        </w:rPr>
        <w:t>Date: February 28,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3934460</wp:posOffset>
            </wp:positionH>
            <wp:positionV relativeFrom="paragraph">
              <wp:posOffset>32385</wp:posOffset>
            </wp:positionV>
            <wp:extent cx="320357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70">
                      <a:extLst>
                        <a:ext uri="{28A0092B-C50C-407E-A947-70E740481C1C}"/>
                      </a:extLst>
                    </a:blip>
                    <a:srcRect/>
                    <a:stretch>
                      <a:fillRect/>
                    </a:stretch>
                  </pic:blipFill>
                  <pic:spPr bwMode="auto">
                    <a:xfrm>
                      <a:off x="0" y="0"/>
                      <a:ext cx="3203575" cy="8255"/>
                    </a:xfrm>
                    <a:prstGeom prst="rect">
                      <a:avLst/>
                    </a:prstGeom>
                    <a:noFill/>
                  </pic:spPr>
                </pic:pic>
              </a:graphicData>
            </a:graphic>
          </wp:anchor>
        </w:drawing>
      </w:r>
    </w:p>
    <w:p>
      <w:pPr>
        <w:spacing w:after="0" w:line="23"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Bruce C. Cozadd</w:t>
      </w: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Chairman and Chief Executive Officer and Director</w:t>
      </w:r>
    </w:p>
    <w:p>
      <w:pPr>
        <w:sectPr>
          <w:pgSz w:w="11900" w:h="16838" w:orient="portrait"/>
          <w:cols w:equalWidth="0" w:num="1">
            <w:col w:w="11240"/>
          </w:cols>
          <w:pgMar w:left="320" w:top="998" w:right="339" w:bottom="1440" w:gutter="0" w:footer="0" w:header="0"/>
        </w:sectPr>
      </w:pPr>
    </w:p>
    <w:bookmarkStart w:id="271" w:name="page272"/>
    <w:bookmarkEnd w:id="27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Patricia Carr, certify that:</w:t>
      </w:r>
    </w:p>
    <w:p>
      <w:pPr>
        <w:spacing w:after="0" w:line="286" w:lineRule="exact"/>
        <w:rPr>
          <w:sz w:val="20"/>
          <w:szCs w:val="20"/>
          <w:color w:val="auto"/>
        </w:rPr>
      </w:pPr>
    </w:p>
    <w:p>
      <w:pPr>
        <w:ind w:left="320" w:hanging="314"/>
        <w:spacing w:after="0"/>
        <w:tabs>
          <w:tab w:leader="none" w:pos="32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Jazz Pharmaceuticals public limited company;</w:t>
      </w:r>
    </w:p>
    <w:p>
      <w:pPr>
        <w:spacing w:after="0" w:line="192" w:lineRule="exact"/>
        <w:rPr>
          <w:rFonts w:ascii="Times New Roman" w:cs="Times New Roman" w:eastAsia="Times New Roman" w:hAnsi="Times New Roman"/>
          <w:sz w:val="18"/>
          <w:szCs w:val="18"/>
          <w:color w:val="auto"/>
        </w:rPr>
      </w:pPr>
    </w:p>
    <w:p>
      <w:pPr>
        <w:ind w:left="320" w:right="100" w:hanging="314"/>
        <w:spacing w:after="0" w:line="306" w:lineRule="auto"/>
        <w:tabs>
          <w:tab w:leader="none" w:pos="320" w:val="left"/>
        </w:tabs>
        <w:numPr>
          <w:ilvl w:val="0"/>
          <w:numId w:val="2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Times New Roman" w:cs="Times New Roman" w:eastAsia="Times New Roman" w:hAnsi="Times New Roman"/>
          <w:sz w:val="17"/>
          <w:szCs w:val="17"/>
          <w:color w:val="auto"/>
        </w:rPr>
      </w:pPr>
    </w:p>
    <w:p>
      <w:pPr>
        <w:ind w:left="320" w:right="560" w:hanging="314"/>
        <w:spacing w:after="0" w:line="276" w:lineRule="auto"/>
        <w:tabs>
          <w:tab w:leader="none" w:pos="32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Times New Roman" w:cs="Times New Roman" w:eastAsia="Times New Roman" w:hAnsi="Times New Roman"/>
          <w:sz w:val="18"/>
          <w:szCs w:val="18"/>
          <w:color w:val="auto"/>
        </w:rPr>
      </w:pPr>
    </w:p>
    <w:p>
      <w:pPr>
        <w:ind w:left="320" w:right="180" w:hanging="314"/>
        <w:spacing w:after="0" w:line="261" w:lineRule="auto"/>
        <w:tabs>
          <w:tab w:leader="none" w:pos="32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Times New Roman" w:cs="Times New Roman" w:eastAsia="Times New Roman" w:hAnsi="Times New Roman"/>
          <w:sz w:val="18"/>
          <w:szCs w:val="18"/>
          <w:color w:val="auto"/>
        </w:rPr>
      </w:pPr>
    </w:p>
    <w:p>
      <w:pPr>
        <w:ind w:left="720" w:right="460" w:hanging="314"/>
        <w:spacing w:after="0" w:line="261" w:lineRule="auto"/>
        <w:tabs>
          <w:tab w:leader="none" w:pos="711"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Times New Roman" w:cs="Times New Roman" w:eastAsia="Times New Roman" w:hAnsi="Times New Roman"/>
          <w:sz w:val="18"/>
          <w:szCs w:val="18"/>
          <w:color w:val="auto"/>
        </w:rPr>
      </w:pPr>
    </w:p>
    <w:p>
      <w:pPr>
        <w:ind w:left="720" w:right="140" w:hanging="314"/>
        <w:spacing w:after="0" w:line="261" w:lineRule="auto"/>
        <w:tabs>
          <w:tab w:leader="none" w:pos="708"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6" w:lineRule="exact"/>
        <w:rPr>
          <w:rFonts w:ascii="Times New Roman" w:cs="Times New Roman" w:eastAsia="Times New Roman" w:hAnsi="Times New Roman"/>
          <w:sz w:val="18"/>
          <w:szCs w:val="18"/>
          <w:color w:val="auto"/>
        </w:rPr>
      </w:pPr>
    </w:p>
    <w:p>
      <w:pPr>
        <w:jc w:val="both"/>
        <w:ind w:left="720" w:right="920" w:hanging="314"/>
        <w:spacing w:after="0" w:line="306" w:lineRule="auto"/>
        <w:tabs>
          <w:tab w:leader="none" w:pos="711" w:val="left"/>
        </w:tabs>
        <w:numPr>
          <w:ilvl w:val="1"/>
          <w:numId w:val="2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Times New Roman" w:cs="Times New Roman" w:eastAsia="Times New Roman" w:hAnsi="Times New Roman"/>
          <w:sz w:val="17"/>
          <w:szCs w:val="17"/>
          <w:color w:val="auto"/>
        </w:rPr>
      </w:pPr>
    </w:p>
    <w:p>
      <w:pPr>
        <w:ind w:left="720" w:right="20" w:hanging="314"/>
        <w:spacing w:after="0" w:line="261" w:lineRule="auto"/>
        <w:tabs>
          <w:tab w:leader="none" w:pos="708"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Times New Roman" w:cs="Times New Roman" w:eastAsia="Times New Roman" w:hAnsi="Times New Roman"/>
          <w:sz w:val="18"/>
          <w:szCs w:val="18"/>
          <w:color w:val="auto"/>
        </w:rPr>
      </w:pPr>
    </w:p>
    <w:p>
      <w:pPr>
        <w:ind w:left="320" w:right="300" w:hanging="314"/>
        <w:spacing w:after="0" w:line="276" w:lineRule="auto"/>
        <w:tabs>
          <w:tab w:leader="none" w:pos="32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Times New Roman" w:cs="Times New Roman" w:eastAsia="Times New Roman" w:hAnsi="Times New Roman"/>
          <w:sz w:val="18"/>
          <w:szCs w:val="18"/>
          <w:color w:val="auto"/>
        </w:rPr>
      </w:pPr>
    </w:p>
    <w:p>
      <w:pPr>
        <w:ind w:left="720" w:right="360" w:hanging="314"/>
        <w:spacing w:after="0" w:line="276" w:lineRule="auto"/>
        <w:tabs>
          <w:tab w:leader="none" w:pos="711"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Times New Roman" w:cs="Times New Roman" w:eastAsia="Times New Roman" w:hAnsi="Times New Roman"/>
          <w:sz w:val="18"/>
          <w:szCs w:val="18"/>
          <w:color w:val="auto"/>
        </w:rPr>
      </w:pPr>
    </w:p>
    <w:p>
      <w:pPr>
        <w:ind w:left="720" w:right="320" w:hanging="314"/>
        <w:spacing w:after="0" w:line="276" w:lineRule="auto"/>
        <w:tabs>
          <w:tab w:leader="none" w:pos="708"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9" w:lineRule="exact"/>
        <w:rPr>
          <w:sz w:val="20"/>
          <w:szCs w:val="20"/>
          <w:color w:val="auto"/>
        </w:rPr>
      </w:pPr>
    </w:p>
    <w:p>
      <w:pPr>
        <w:ind w:left="20"/>
        <w:spacing w:after="0"/>
        <w:tabs>
          <w:tab w:leader="none" w:pos="5620" w:val="left"/>
          <w:tab w:leader="none" w:pos="8080" w:val="left"/>
          <w:tab w:leader="none" w:pos="8420" w:val="left"/>
        </w:tabs>
        <w:rPr>
          <w:sz w:val="20"/>
          <w:szCs w:val="20"/>
          <w:color w:val="auto"/>
        </w:rPr>
      </w:pPr>
      <w:r>
        <w:rPr>
          <w:rFonts w:ascii="Times New Roman" w:cs="Times New Roman" w:eastAsia="Times New Roman" w:hAnsi="Times New Roman"/>
          <w:sz w:val="18"/>
          <w:szCs w:val="18"/>
          <w:color w:val="auto"/>
        </w:rPr>
        <w:t>Date: February 28,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Patricia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3934460</wp:posOffset>
            </wp:positionH>
            <wp:positionV relativeFrom="paragraph">
              <wp:posOffset>32385</wp:posOffset>
            </wp:positionV>
            <wp:extent cx="320357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71">
                      <a:extLst>
                        <a:ext uri="{28A0092B-C50C-407E-A947-70E740481C1C}"/>
                      </a:extLst>
                    </a:blip>
                    <a:srcRect/>
                    <a:stretch>
                      <a:fillRect/>
                    </a:stretch>
                  </pic:blipFill>
                  <pic:spPr bwMode="auto">
                    <a:xfrm>
                      <a:off x="0" y="0"/>
                      <a:ext cx="3203575" cy="8255"/>
                    </a:xfrm>
                    <a:prstGeom prst="rect">
                      <a:avLst/>
                    </a:prstGeom>
                    <a:noFill/>
                  </pic:spPr>
                </pic:pic>
              </a:graphicData>
            </a:graphic>
          </wp:anchor>
        </w:drawing>
      </w:r>
    </w:p>
    <w:p>
      <w:pPr>
        <w:spacing w:after="0" w:line="23"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Patricia Carr</w:t>
      </w:r>
    </w:p>
    <w:p>
      <w:pPr>
        <w:jc w:val="center"/>
        <w:ind w:left="6180"/>
        <w:spacing w:after="0" w:line="218" w:lineRule="auto"/>
        <w:rPr>
          <w:sz w:val="20"/>
          <w:szCs w:val="20"/>
          <w:color w:val="auto"/>
        </w:rPr>
      </w:pPr>
      <w:r>
        <w:rPr>
          <w:rFonts w:ascii="Times New Roman" w:cs="Times New Roman" w:eastAsia="Times New Roman" w:hAnsi="Times New Roman"/>
          <w:sz w:val="14"/>
          <w:szCs w:val="14"/>
          <w:b w:val="1"/>
          <w:bCs w:val="1"/>
          <w:color w:val="auto"/>
        </w:rPr>
        <w:t>Senior Vice President, Chief Accounting Officer</w:t>
      </w:r>
    </w:p>
    <w:p>
      <w:pPr>
        <w:ind w:left="6780"/>
        <w:spacing w:after="0"/>
        <w:rPr>
          <w:sz w:val="20"/>
          <w:szCs w:val="20"/>
          <w:color w:val="auto"/>
        </w:rPr>
      </w:pPr>
      <w:r>
        <w:rPr>
          <w:rFonts w:ascii="Times New Roman" w:cs="Times New Roman" w:eastAsia="Times New Roman" w:hAnsi="Times New Roman"/>
          <w:sz w:val="14"/>
          <w:szCs w:val="14"/>
          <w:b w:val="1"/>
          <w:bCs w:val="1"/>
          <w:color w:val="auto"/>
        </w:rPr>
        <w:t>(Principal Accounting Officer and Interim Principal Financial Officer)</w:t>
      </w:r>
    </w:p>
    <w:p>
      <w:pPr>
        <w:sectPr>
          <w:pgSz w:w="11900" w:h="16838" w:orient="portrait"/>
          <w:cols w:equalWidth="0" w:num="1">
            <w:col w:w="11240"/>
          </w:cols>
          <w:pgMar w:left="320" w:top="998" w:right="339" w:bottom="1440" w:gutter="0" w:footer="0" w:header="0"/>
        </w:sectPr>
      </w:pPr>
    </w:p>
    <w:bookmarkStart w:id="272" w:name="page273"/>
    <w:bookmarkEnd w:id="27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r>
        <w:rPr>
          <w:rFonts w:ascii="Times New Roman" w:cs="Times New Roman" w:eastAsia="Times New Roman" w:hAnsi="Times New Roman"/>
          <w:sz w:val="23"/>
          <w:szCs w:val="23"/>
          <w:b w:val="1"/>
          <w:bCs w:val="1"/>
          <w:color w:val="auto"/>
          <w:vertAlign w:val="superscript"/>
        </w:rPr>
        <w:t>(1)</w:t>
      </w:r>
    </w:p>
    <w:p>
      <w:pPr>
        <w:ind w:right="80"/>
        <w:spacing w:after="0" w:line="235"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Section 1350), Bruce C. Cozadd, Chief Executive Officer of Jazz Pharmaceuticals public limited company (the “Company”), and Patricia Carr, Senior Vice President, Chief Accounting Officer and Interim Principal Financial Officer of the Company, each hereby certifies that, to the best of his knowledge:</w:t>
      </w:r>
    </w:p>
    <w:p>
      <w:pPr>
        <w:spacing w:after="0" w:line="261" w:lineRule="exact"/>
        <w:rPr>
          <w:sz w:val="20"/>
          <w:szCs w:val="20"/>
          <w:color w:val="auto"/>
        </w:rPr>
      </w:pPr>
    </w:p>
    <w:p>
      <w:pPr>
        <w:ind w:left="720" w:right="140" w:hanging="314"/>
        <w:spacing w:after="0" w:line="276" w:lineRule="auto"/>
        <w:tabs>
          <w:tab w:leader="none" w:pos="72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period ended December 31, 2023, to which this Certification is attached as Exhibit 32.1 (the “Periodic Report”), fully complies with the requirements of Section 13(a) or Section 15(d) of the Exchange Act; and</w:t>
      </w:r>
    </w:p>
    <w:p>
      <w:pPr>
        <w:spacing w:after="0" w:line="122" w:lineRule="exact"/>
        <w:rPr>
          <w:rFonts w:ascii="Times New Roman" w:cs="Times New Roman" w:eastAsia="Times New Roman" w:hAnsi="Times New Roman"/>
          <w:sz w:val="18"/>
          <w:szCs w:val="18"/>
          <w:color w:val="auto"/>
        </w:rPr>
      </w:pPr>
    </w:p>
    <w:p>
      <w:pPr>
        <w:ind w:left="720" w:right="360" w:hanging="314"/>
        <w:spacing w:after="0" w:line="276" w:lineRule="auto"/>
        <w:tabs>
          <w:tab w:leader="none" w:pos="72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2024</w:t>
      </w:r>
    </w:p>
    <w:p>
      <w:pPr>
        <w:spacing w:after="0" w:line="325" w:lineRule="exact"/>
        <w:rPr>
          <w:sz w:val="20"/>
          <w:szCs w:val="20"/>
          <w:color w:val="auto"/>
        </w:rPr>
      </w:pPr>
    </w:p>
    <w:p>
      <w:pPr>
        <w:jc w:val="center"/>
        <w:ind w:right="6360"/>
        <w:spacing w:after="0"/>
        <w:tabs>
          <w:tab w:leader="none" w:pos="16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30937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72">
                      <a:extLst>
                        <a:ext uri="{28A0092B-C50C-407E-A947-70E740481C1C}"/>
                      </a:extLst>
                    </a:blip>
                    <a:srcRect/>
                    <a:stretch>
                      <a:fillRect/>
                    </a:stretch>
                  </pic:blipFill>
                  <pic:spPr bwMode="auto">
                    <a:xfrm>
                      <a:off x="0" y="0"/>
                      <a:ext cx="3093720" cy="8255"/>
                    </a:xfrm>
                    <a:prstGeom prst="rect">
                      <a:avLst/>
                    </a:prstGeom>
                    <a:noFill/>
                  </pic:spPr>
                </pic:pic>
              </a:graphicData>
            </a:graphic>
          </wp:anchor>
        </w:drawing>
      </w:r>
    </w:p>
    <w:p>
      <w:pPr>
        <w:spacing w:after="0" w:line="33"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4"/>
          <w:szCs w:val="14"/>
          <w:b w:val="1"/>
          <w:bCs w:val="1"/>
          <w:color w:val="auto"/>
        </w:rPr>
        <w:t>Bruce C. Cozadd</w:t>
      </w:r>
    </w:p>
    <w:p>
      <w:pPr>
        <w:spacing w:after="0" w:line="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Chairman and Chief Executive Officer and Director (Principal Executive</w:t>
      </w:r>
    </w:p>
    <w:p>
      <w:pPr>
        <w:ind w:left="2200"/>
        <w:spacing w:after="0"/>
        <w:rPr>
          <w:sz w:val="20"/>
          <w:szCs w:val="20"/>
          <w:color w:val="auto"/>
        </w:rPr>
      </w:pPr>
      <w:r>
        <w:rPr>
          <w:rFonts w:ascii="Times New Roman" w:cs="Times New Roman" w:eastAsia="Times New Roman" w:hAnsi="Times New Roman"/>
          <w:sz w:val="14"/>
          <w:szCs w:val="14"/>
          <w:b w:val="1"/>
          <w:bCs w:val="1"/>
          <w:color w:val="auto"/>
        </w:rPr>
        <w:t>Officer)</w:t>
      </w:r>
    </w:p>
    <w:p>
      <w:pPr>
        <w:spacing w:after="0" w:line="293" w:lineRule="exact"/>
        <w:rPr>
          <w:sz w:val="20"/>
          <w:szCs w:val="20"/>
          <w:color w:val="auto"/>
        </w:rPr>
      </w:pPr>
    </w:p>
    <w:p>
      <w:pPr>
        <w:jc w:val="center"/>
        <w:ind w:right="6360"/>
        <w:spacing w:after="0"/>
        <w:tabs>
          <w:tab w:leader="none" w:pos="16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Patricia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30937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73">
                      <a:extLst>
                        <a:ext uri="{28A0092B-C50C-407E-A947-70E740481C1C}"/>
                      </a:extLst>
                    </a:blip>
                    <a:srcRect/>
                    <a:stretch>
                      <a:fillRect/>
                    </a:stretch>
                  </pic:blipFill>
                  <pic:spPr bwMode="auto">
                    <a:xfrm>
                      <a:off x="0" y="0"/>
                      <a:ext cx="3093720" cy="8255"/>
                    </a:xfrm>
                    <a:prstGeom prst="rect">
                      <a:avLst/>
                    </a:prstGeom>
                    <a:noFill/>
                  </pic:spPr>
                </pic:pic>
              </a:graphicData>
            </a:graphic>
          </wp:anchor>
        </w:drawing>
      </w:r>
    </w:p>
    <w:p>
      <w:pPr>
        <w:spacing w:after="0" w:line="33"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4"/>
          <w:szCs w:val="14"/>
          <w:b w:val="1"/>
          <w:bCs w:val="1"/>
          <w:color w:val="auto"/>
        </w:rPr>
        <w:t>Patricia Carr</w:t>
      </w:r>
    </w:p>
    <w:p>
      <w:pPr>
        <w:spacing w:after="0" w:line="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color w:val="auto"/>
        </w:rPr>
        <w:t>Senior Vice President, Chief Accounting Officer</w:t>
      </w:r>
    </w:p>
    <w:p>
      <w:pPr>
        <w:ind w:left="300"/>
        <w:spacing w:after="0"/>
        <w:rPr>
          <w:sz w:val="20"/>
          <w:szCs w:val="20"/>
          <w:color w:val="auto"/>
        </w:rPr>
      </w:pPr>
      <w:r>
        <w:rPr>
          <w:rFonts w:ascii="Times New Roman" w:cs="Times New Roman" w:eastAsia="Times New Roman" w:hAnsi="Times New Roman"/>
          <w:sz w:val="14"/>
          <w:szCs w:val="14"/>
          <w:b w:val="1"/>
          <w:bCs w:val="1"/>
          <w:color w:val="auto"/>
        </w:rPr>
        <w:t>(Principal Accounting Officer and Interim Principal Financial Officer)</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5" w:lineRule="exact"/>
        <w:rPr>
          <w:sz w:val="20"/>
          <w:szCs w:val="20"/>
          <w:color w:val="auto"/>
        </w:rPr>
      </w:pPr>
    </w:p>
    <w:p>
      <w:pPr>
        <w:ind w:left="400" w:hanging="314"/>
        <w:spacing w:after="0" w:line="248" w:lineRule="auto"/>
        <w:tabs>
          <w:tab w:leader="none" w:pos="394"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accompanies the Annual Report on Form 10-K to which it relates, is not deemed filed with the Securities and Exchange Commission and is not to be incorporated by reference into any filing of Jazz Pharmaceuticals public limited company under the Securities Act of 1933, as amended, or the Exchange Act (whether made before or after the date of the Form 10-K), irrespective of any general incorporation language contained in such filing. A signed original of this written statement required by Section 906 of the Sarbanes-Oxley Act of 2002 has been provided to Jazz Pharmaceuticals public limited company and will be retained by Jazz Pharmaceuticals public limited company and furnished to the Securities and Exchange Commission or its staff upon request.</w:t>
      </w:r>
    </w:p>
    <w:p>
      <w:pPr>
        <w:sectPr>
          <w:pgSz w:w="11900" w:h="16838" w:orient="portrait"/>
          <w:cols w:equalWidth="0" w:num="1">
            <w:col w:w="11240"/>
          </w:cols>
          <w:pgMar w:left="320" w:top="998" w:right="339" w:bottom="1440" w:gutter="0" w:footer="0" w:header="0"/>
        </w:sectPr>
      </w:pPr>
    </w:p>
    <w:bookmarkStart w:id="273" w:name="page274"/>
    <w:bookmarkEnd w:id="273"/>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Jazz Pharmaceuticals plc</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Incentive Compensation Recoupment Policy</w:t>
      </w:r>
    </w:p>
    <w:p>
      <w:pPr>
        <w:spacing w:after="0" w:line="156" w:lineRule="exact"/>
        <w:rPr>
          <w:sz w:val="20"/>
          <w:szCs w:val="20"/>
          <w:color w:val="auto"/>
        </w:rPr>
      </w:pPr>
    </w:p>
    <w:p>
      <w:pPr>
        <w:ind w:left="640" w:hanging="634"/>
        <w:spacing w:after="0"/>
        <w:tabs>
          <w:tab w:leader="none" w:pos="640" w:val="left"/>
        </w:tabs>
        <w:numPr>
          <w:ilvl w:val="0"/>
          <w:numId w:val="2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Introduction</w:t>
      </w:r>
    </w:p>
    <w:p>
      <w:pPr>
        <w:spacing w:after="0" w:line="169" w:lineRule="exact"/>
        <w:rPr>
          <w:sz w:val="20"/>
          <w:szCs w:val="20"/>
          <w:color w:val="auto"/>
        </w:rPr>
      </w:pPr>
    </w:p>
    <w:p>
      <w:pPr>
        <w:ind w:firstLine="639"/>
        <w:spacing w:after="0" w:line="238" w:lineRule="auto"/>
        <w:rPr>
          <w:sz w:val="20"/>
          <w:szCs w:val="20"/>
          <w:color w:val="auto"/>
        </w:rPr>
      </w:pPr>
      <w:r>
        <w:rPr>
          <w:rFonts w:ascii="Times New Roman" w:cs="Times New Roman" w:eastAsia="Times New Roman" w:hAnsi="Times New Roman"/>
          <w:sz w:val="18"/>
          <w:szCs w:val="18"/>
          <w:color w:val="auto"/>
        </w:rPr>
        <w:t>The Compensation &amp; Management Development Committee (the “</w:t>
      </w: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of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Jazz Pharmaceuticals plc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determined that it is in the best interests of the Company and its shareholders to</w:t>
      </w:r>
    </w:p>
    <w:p>
      <w:pPr>
        <w:spacing w:after="0" w:line="209" w:lineRule="auto"/>
        <w:rPr>
          <w:sz w:val="20"/>
          <w:szCs w:val="20"/>
          <w:color w:val="auto"/>
        </w:rPr>
      </w:pPr>
      <w:r>
        <w:rPr>
          <w:rFonts w:ascii="Times New Roman" w:cs="Times New Roman" w:eastAsia="Times New Roman" w:hAnsi="Times New Roman"/>
          <w:sz w:val="20"/>
          <w:szCs w:val="20"/>
          <w:color w:val="auto"/>
        </w:rPr>
        <w:t>adopt this Incentive Compensation Recoupment Policy (this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providing for the Company’s recoupment of Recoverable Incentive</w:t>
      </w:r>
    </w:p>
    <w:p>
      <w:pPr>
        <w:spacing w:after="0" w:line="1"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20"/>
          <w:szCs w:val="20"/>
          <w:color w:val="auto"/>
        </w:rPr>
        <w:t>Compensation that is received by Covered Officers of the Company under certain circumstances. Certain capitalized terms used in this Policy have the meanings given to such terms in Section 3 below.</w:t>
      </w:r>
    </w:p>
    <w:p>
      <w:pPr>
        <w:spacing w:after="0" w:line="146" w:lineRule="exact"/>
        <w:rPr>
          <w:sz w:val="20"/>
          <w:szCs w:val="20"/>
          <w:color w:val="auto"/>
        </w:rPr>
      </w:pPr>
    </w:p>
    <w:p>
      <w:pPr>
        <w:ind w:firstLine="639"/>
        <w:spacing w:after="0" w:line="229" w:lineRule="auto"/>
        <w:rPr>
          <w:sz w:val="20"/>
          <w:szCs w:val="20"/>
          <w:color w:val="auto"/>
        </w:rPr>
      </w:pPr>
      <w:r>
        <w:rPr>
          <w:rFonts w:ascii="Times New Roman" w:cs="Times New Roman" w:eastAsia="Times New Roman" w:hAnsi="Times New Roman"/>
          <w:sz w:val="20"/>
          <w:szCs w:val="20"/>
          <w:color w:val="auto"/>
        </w:rPr>
        <w:t>This Policy is designed to comply with, and shall be interpreted to be consistent with, Section 10D of the Exchange Act, Rule 10D-1 promulgated thereunder (“</w:t>
      </w:r>
      <w:r>
        <w:rPr>
          <w:rFonts w:ascii="Times New Roman" w:cs="Times New Roman" w:eastAsia="Times New Roman" w:hAnsi="Times New Roman"/>
          <w:sz w:val="20"/>
          <w:szCs w:val="20"/>
          <w:b w:val="1"/>
          <w:bCs w:val="1"/>
          <w:i w:val="1"/>
          <w:iCs w:val="1"/>
          <w:color w:val="auto"/>
        </w:rPr>
        <w:t>Rule 10D-1</w:t>
      </w:r>
      <w:r>
        <w:rPr>
          <w:rFonts w:ascii="Times New Roman" w:cs="Times New Roman" w:eastAsia="Times New Roman" w:hAnsi="Times New Roman"/>
          <w:sz w:val="20"/>
          <w:szCs w:val="20"/>
          <w:color w:val="auto"/>
        </w:rPr>
        <w:t>”) and Nasdaq Listing Rule 5608 (the “</w:t>
      </w:r>
      <w:r>
        <w:rPr>
          <w:rFonts w:ascii="Times New Roman" w:cs="Times New Roman" w:eastAsia="Times New Roman" w:hAnsi="Times New Roman"/>
          <w:sz w:val="20"/>
          <w:szCs w:val="20"/>
          <w:b w:val="1"/>
          <w:bCs w:val="1"/>
          <w:i w:val="1"/>
          <w:iCs w:val="1"/>
          <w:color w:val="auto"/>
        </w:rPr>
        <w:t>Listing Standards</w:t>
      </w:r>
      <w:r>
        <w:rPr>
          <w:rFonts w:ascii="Times New Roman" w:cs="Times New Roman" w:eastAsia="Times New Roman" w:hAnsi="Times New Roman"/>
          <w:sz w:val="20"/>
          <w:szCs w:val="20"/>
          <w:color w:val="auto"/>
        </w:rPr>
        <w:t>”).</w:t>
      </w:r>
    </w:p>
    <w:p>
      <w:pPr>
        <w:spacing w:after="0" w:line="143" w:lineRule="exact"/>
        <w:rPr>
          <w:sz w:val="20"/>
          <w:szCs w:val="20"/>
          <w:color w:val="auto"/>
        </w:rPr>
      </w:pPr>
    </w:p>
    <w:p>
      <w:pPr>
        <w:ind w:left="640" w:hanging="634"/>
        <w:spacing w:after="0"/>
        <w:tabs>
          <w:tab w:leader="none" w:pos="640" w:val="left"/>
        </w:tabs>
        <w:numPr>
          <w:ilvl w:val="0"/>
          <w:numId w:val="2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Effective Date</w:t>
      </w:r>
    </w:p>
    <w:p>
      <w:pPr>
        <w:spacing w:after="0" w:line="156" w:lineRule="exact"/>
        <w:rPr>
          <w:sz w:val="20"/>
          <w:szCs w:val="20"/>
          <w:color w:val="auto"/>
        </w:rPr>
      </w:pPr>
    </w:p>
    <w:p>
      <w:pPr>
        <w:ind w:firstLine="639"/>
        <w:spacing w:after="0" w:line="238" w:lineRule="auto"/>
        <w:rPr>
          <w:sz w:val="20"/>
          <w:szCs w:val="20"/>
          <w:color w:val="auto"/>
        </w:rPr>
      </w:pPr>
      <w:r>
        <w:rPr>
          <w:rFonts w:ascii="Times New Roman" w:cs="Times New Roman" w:eastAsia="Times New Roman" w:hAnsi="Times New Roman"/>
          <w:sz w:val="18"/>
          <w:szCs w:val="18"/>
          <w:color w:val="auto"/>
        </w:rPr>
        <w:t>This Policy shall apply to all Incentive Compensation that is received by a Covered Officer on or after October 2, 2023 (the “</w:t>
      </w:r>
      <w:r>
        <w:rPr>
          <w:rFonts w:ascii="Times New Roman" w:cs="Times New Roman" w:eastAsia="Times New Roman" w:hAnsi="Times New Roman"/>
          <w:sz w:val="18"/>
          <w:szCs w:val="18"/>
          <w:b w:val="1"/>
          <w:bCs w:val="1"/>
          <w:i w:val="1"/>
          <w:iCs w:val="1"/>
          <w:color w:val="auto"/>
        </w:rPr>
        <w:t>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Date</w:t>
      </w:r>
      <w:r>
        <w:rPr>
          <w:rFonts w:ascii="Times New Roman" w:cs="Times New Roman" w:eastAsia="Times New Roman" w:hAnsi="Times New Roman"/>
          <w:sz w:val="18"/>
          <w:szCs w:val="18"/>
          <w:color w:val="auto"/>
        </w:rPr>
        <w:t>”). This Policy shall replace and supersede the Company’s Policy for Recoupment of Incentive Compensation that was adopted on</w:t>
      </w:r>
    </w:p>
    <w:p>
      <w:pPr>
        <w:spacing w:after="0" w:line="233" w:lineRule="auto"/>
        <w:rPr>
          <w:sz w:val="20"/>
          <w:szCs w:val="20"/>
          <w:color w:val="auto"/>
        </w:rPr>
      </w:pPr>
      <w:r>
        <w:rPr>
          <w:rFonts w:ascii="Times New Roman" w:cs="Times New Roman" w:eastAsia="Times New Roman" w:hAnsi="Times New Roman"/>
          <w:sz w:val="18"/>
          <w:szCs w:val="18"/>
          <w:color w:val="auto"/>
        </w:rPr>
        <w:t>April 27, 2021 (the “</w:t>
      </w:r>
      <w:r>
        <w:rPr>
          <w:rFonts w:ascii="Times New Roman" w:cs="Times New Roman" w:eastAsia="Times New Roman" w:hAnsi="Times New Roman"/>
          <w:sz w:val="18"/>
          <w:szCs w:val="18"/>
          <w:b w:val="1"/>
          <w:bCs w:val="1"/>
          <w:i w:val="1"/>
          <w:iCs w:val="1"/>
          <w:color w:val="auto"/>
        </w:rPr>
        <w:t>Prior Clawback Policy</w:t>
      </w:r>
      <w:r>
        <w:rPr>
          <w:rFonts w:ascii="Times New Roman" w:cs="Times New Roman" w:eastAsia="Times New Roman" w:hAnsi="Times New Roman"/>
          <w:sz w:val="18"/>
          <w:szCs w:val="18"/>
          <w:color w:val="auto"/>
        </w:rPr>
        <w:t>”) with respect to all Incentive Compensation that is received by a Covered Officer on or after the</w:t>
      </w:r>
    </w:p>
    <w:p>
      <w:pPr>
        <w:spacing w:after="0" w:line="201" w:lineRule="auto"/>
        <w:rPr>
          <w:sz w:val="20"/>
          <w:szCs w:val="20"/>
          <w:color w:val="auto"/>
        </w:rPr>
      </w:pPr>
      <w:r>
        <w:rPr>
          <w:rFonts w:ascii="Times New Roman" w:cs="Times New Roman" w:eastAsia="Times New Roman" w:hAnsi="Times New Roman"/>
          <w:sz w:val="20"/>
          <w:szCs w:val="20"/>
          <w:color w:val="auto"/>
        </w:rPr>
        <w:t>Effective Date; for clarity, the Prior Clawback Policy shall continue to apply to any Incentive Compensation that is received by a Covered Officer prior to the Effective Date. Incentive Compensation is deemed “</w:t>
      </w:r>
      <w:r>
        <w:rPr>
          <w:rFonts w:ascii="Times New Roman" w:cs="Times New Roman" w:eastAsia="Times New Roman" w:hAnsi="Times New Roman"/>
          <w:sz w:val="20"/>
          <w:szCs w:val="20"/>
          <w:b w:val="1"/>
          <w:bCs w:val="1"/>
          <w:i w:val="1"/>
          <w:iCs w:val="1"/>
          <w:color w:val="auto"/>
        </w:rPr>
        <w:t>received</w:t>
      </w:r>
      <w:r>
        <w:rPr>
          <w:rFonts w:ascii="Times New Roman" w:cs="Times New Roman" w:eastAsia="Times New Roman" w:hAnsi="Times New Roman"/>
          <w:sz w:val="20"/>
          <w:szCs w:val="20"/>
          <w:color w:val="auto"/>
        </w:rPr>
        <w:t>” in the Company’s fiscal period in which the Financial</w:t>
      </w:r>
    </w:p>
    <w:p>
      <w:pPr>
        <w:spacing w:after="0" w:line="1"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0"/>
          <w:szCs w:val="20"/>
          <w:color w:val="auto"/>
        </w:rPr>
        <w:t>Reporting Measure specified in the Incentive Compensation award is attained, even if the payment or grant of such Incentive Compensation occurs after the end of that period.</w:t>
      </w:r>
    </w:p>
    <w:p>
      <w:pPr>
        <w:spacing w:after="0" w:line="129" w:lineRule="exact"/>
        <w:rPr>
          <w:sz w:val="20"/>
          <w:szCs w:val="20"/>
          <w:color w:val="auto"/>
        </w:rPr>
      </w:pPr>
    </w:p>
    <w:p>
      <w:pPr>
        <w:ind w:left="640" w:hanging="634"/>
        <w:spacing w:after="0"/>
        <w:tabs>
          <w:tab w:leader="none" w:pos="640" w:val="left"/>
        </w:tabs>
        <w:numPr>
          <w:ilvl w:val="0"/>
          <w:numId w:val="2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w:t>
      </w:r>
    </w:p>
    <w:p>
      <w:pPr>
        <w:spacing w:after="0" w:line="156" w:lineRule="exact"/>
        <w:rPr>
          <w:sz w:val="20"/>
          <w:szCs w:val="20"/>
          <w:color w:val="auto"/>
        </w:rPr>
      </w:pPr>
    </w:p>
    <w:p>
      <w:pPr>
        <w:ind w:firstLine="639"/>
        <w:spacing w:after="0" w:line="22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Accounting Restatement</w:t>
      </w:r>
      <w:r>
        <w:rPr>
          <w:rFonts w:ascii="Times New Roman" w:cs="Times New Roman" w:eastAsia="Times New Roman" w:hAnsi="Times New Roman"/>
          <w:sz w:val="20"/>
          <w:szCs w:val="20"/>
          <w:color w:val="auto"/>
        </w:rPr>
        <w:t xml:space="preserve">” means an </w:t>
      </w:r>
      <w:r>
        <w:rPr>
          <w:rFonts w:ascii="Times New Roman" w:cs="Times New Roman" w:eastAsia="Times New Roman" w:hAnsi="Times New Roman"/>
          <w:sz w:val="20"/>
          <w:szCs w:val="20"/>
          <w:b w:val="1"/>
          <w:bCs w:val="1"/>
          <w:color w:val="auto"/>
        </w:rPr>
        <w:t>accounting</w:t>
      </w:r>
      <w:r>
        <w:rPr>
          <w:rFonts w:ascii="Times New Roman" w:cs="Times New Roman" w:eastAsia="Times New Roman" w:hAnsi="Times New Roman"/>
          <w:sz w:val="20"/>
          <w:szCs w:val="20"/>
          <w:color w:val="auto"/>
        </w:rPr>
        <w:t xml:space="preserve"> restatement that the Company is required to prepare due to the material noncompliance of the Company with any financial reporting requirement under the securities laws, including any required accounting</w:t>
      </w:r>
    </w:p>
    <w:p>
      <w:pPr>
        <w:spacing w:after="0" w:line="2"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20"/>
          <w:szCs w:val="20"/>
          <w:color w:val="auto"/>
        </w:rPr>
        <w:t>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42" w:lineRule="exact"/>
        <w:rPr>
          <w:sz w:val="20"/>
          <w:szCs w:val="20"/>
          <w:color w:val="auto"/>
        </w:rPr>
      </w:pPr>
    </w:p>
    <w:p>
      <w:pPr>
        <w:ind w:firstLine="639"/>
        <w:spacing w:after="0" w:line="23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Accounting Restatement Date</w:t>
      </w:r>
      <w:r>
        <w:rPr>
          <w:rFonts w:ascii="Times New Roman" w:cs="Times New Roman" w:eastAsia="Times New Roman" w:hAnsi="Times New Roman"/>
          <w:sz w:val="18"/>
          <w:szCs w:val="18"/>
          <w:color w:val="auto"/>
        </w:rPr>
        <w:t>” means the earlier to occur of (a) the date that the Board, a committee of the Board authorized to take such action, or the officer or officers of the Company authorized to take such action if Board action is not required, concludes, or reasonably</w:t>
      </w:r>
    </w:p>
    <w:p>
      <w:pPr>
        <w:spacing w:after="0" w:line="2"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0"/>
          <w:szCs w:val="20"/>
          <w:color w:val="auto"/>
        </w:rPr>
        <w:t>should have concluded, that the Company is required to prepare an Accounting Restatement, or (b) the date that a court, regulator or other legally authorized body directs the Company to prepare an Accounting Restatement.</w:t>
      </w:r>
    </w:p>
    <w:p>
      <w:pPr>
        <w:spacing w:after="0" w:line="1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Administrator</w:t>
      </w:r>
      <w:r>
        <w:rPr>
          <w:rFonts w:ascii="Times New Roman" w:cs="Times New Roman" w:eastAsia="Times New Roman" w:hAnsi="Times New Roman"/>
          <w:sz w:val="20"/>
          <w:szCs w:val="20"/>
          <w:color w:val="auto"/>
        </w:rPr>
        <w:t>” means the Compensation Committee or, in the absence of such committee, the Board.</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means the U.S. Internal Revenue Code of 1986, as amended, and the regulations promulgated thereunder.</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Compensation Committee</w:t>
      </w:r>
      <w:r>
        <w:rPr>
          <w:rFonts w:ascii="Times New Roman" w:cs="Times New Roman" w:eastAsia="Times New Roman" w:hAnsi="Times New Roman"/>
          <w:sz w:val="20"/>
          <w:szCs w:val="20"/>
          <w:color w:val="auto"/>
        </w:rPr>
        <w:t>” means the Compensation &amp; Management Development Committee of the Board.</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Covered Officer</w:t>
      </w:r>
      <w:r>
        <w:rPr>
          <w:rFonts w:ascii="Times New Roman" w:cs="Times New Roman" w:eastAsia="Times New Roman" w:hAnsi="Times New Roman"/>
          <w:sz w:val="20"/>
          <w:szCs w:val="20"/>
          <w:color w:val="auto"/>
        </w:rPr>
        <w:t>” means each current and former Executive Officer.</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w:t>
      </w:r>
      <w:r>
        <w:rPr>
          <w:rFonts w:ascii="Times New Roman" w:cs="Times New Roman" w:eastAsia="Times New Roman" w:hAnsi="Times New Roman"/>
          <w:sz w:val="20"/>
          <w:szCs w:val="20"/>
          <w:color w:val="auto"/>
        </w:rPr>
        <w:t>” means the Nasdaq Stock Market.</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means the U.S. Securities Exchange Act of 1934, as amended.</w:t>
      </w:r>
    </w:p>
    <w:p>
      <w:pPr>
        <w:sectPr>
          <w:pgSz w:w="11900" w:h="16838" w:orient="portrait"/>
          <w:cols w:equalWidth="0" w:num="1">
            <w:col w:w="11240"/>
          </w:cols>
          <w:pgMar w:left="320" w:top="106" w:right="339" w:bottom="1440" w:gutter="0" w:footer="0" w:header="0"/>
        </w:sectPr>
      </w:pPr>
    </w:p>
    <w:bookmarkStart w:id="274" w:name="page275"/>
    <w:bookmarkEnd w:id="274"/>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Executive Officer</w:t>
      </w:r>
      <w:r>
        <w:rPr>
          <w:rFonts w:ascii="Times New Roman" w:cs="Times New Roman" w:eastAsia="Times New Roman" w:hAnsi="Times New Roman"/>
          <w:sz w:val="20"/>
          <w:szCs w:val="20"/>
          <w:color w:val="auto"/>
        </w:rPr>
        <w:t>” means the Company’s president, principal financial officer, principal accounting officer (or if there is no such</w:t>
      </w:r>
    </w:p>
    <w:p>
      <w:pPr>
        <w:spacing w:after="0" w:line="223" w:lineRule="auto"/>
        <w:rPr>
          <w:sz w:val="20"/>
          <w:szCs w:val="20"/>
          <w:color w:val="auto"/>
        </w:rPr>
      </w:pPr>
      <w:r>
        <w:rPr>
          <w:rFonts w:ascii="Times New Roman" w:cs="Times New Roman" w:eastAsia="Times New Roman" w:hAnsi="Times New Roman"/>
          <w:sz w:val="18"/>
          <w:szCs w:val="18"/>
          <w:color w:val="auto"/>
        </w:rPr>
        <w:t>accounting officer, the controller), any vice-president of the Company in charge of a principal business unit, division, or function (such as sales, administration, or finance), any other officer who performs a policy-making function, or any other person who performs similar policy-making</w:t>
      </w:r>
    </w:p>
    <w:p>
      <w:pPr>
        <w:spacing w:after="0" w:line="233" w:lineRule="auto"/>
        <w:rPr>
          <w:sz w:val="20"/>
          <w:szCs w:val="20"/>
          <w:color w:val="auto"/>
        </w:rPr>
      </w:pPr>
      <w:r>
        <w:rPr>
          <w:rFonts w:ascii="Times New Roman" w:cs="Times New Roman" w:eastAsia="Times New Roman" w:hAnsi="Times New Roman"/>
          <w:sz w:val="18"/>
          <w:szCs w:val="18"/>
          <w:color w:val="auto"/>
        </w:rPr>
        <w:t>functions for the Company. Executive officers of the Company’s parent(s) or subsidiaries are deemed executive officers of the Company if they</w:t>
      </w:r>
    </w:p>
    <w:p>
      <w:pPr>
        <w:spacing w:after="0" w:line="223" w:lineRule="auto"/>
        <w:rPr>
          <w:sz w:val="20"/>
          <w:szCs w:val="20"/>
          <w:color w:val="auto"/>
        </w:rPr>
      </w:pPr>
      <w:r>
        <w:rPr>
          <w:rFonts w:ascii="Times New Roman" w:cs="Times New Roman" w:eastAsia="Times New Roman" w:hAnsi="Times New Roman"/>
          <w:sz w:val="18"/>
          <w:szCs w:val="18"/>
          <w:color w:val="auto"/>
        </w:rPr>
        <w:t>perform such policy-making functions for the Company. Policy-making function is not intended to include policy-making functions that are not significant. Identification of an executive officer for purposes of this Policy would include at a minimum executive officers identified pursuant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Item 401(b) of Regulation S-K promulgated under the Exchange Act.</w:t>
      </w:r>
    </w:p>
    <w:p>
      <w:pPr>
        <w:spacing w:after="0" w:line="130" w:lineRule="exact"/>
        <w:rPr>
          <w:sz w:val="20"/>
          <w:szCs w:val="20"/>
          <w:color w:val="auto"/>
        </w:rPr>
      </w:pPr>
    </w:p>
    <w:p>
      <w:pPr>
        <w:ind w:firstLine="639"/>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Financial Reporting Measures</w:t>
      </w:r>
      <w:r>
        <w:rPr>
          <w:rFonts w:ascii="Times New Roman" w:cs="Times New Roman" w:eastAsia="Times New Roman" w:hAnsi="Times New Roman"/>
          <w:sz w:val="18"/>
          <w:szCs w:val="18"/>
          <w:color w:val="auto"/>
        </w:rPr>
        <w:t>” means measures that are determined and presented in accordance with the accounting principles used in preparing the Company’s financial statements, and any measures derived wholly or in part from such measures, including Company stock</w:t>
      </w:r>
    </w:p>
    <w:p>
      <w:pPr>
        <w:spacing w:after="0" w:line="1"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20"/>
          <w:szCs w:val="20"/>
          <w:color w:val="auto"/>
        </w:rPr>
        <w:t>price and total shareholder return (“</w:t>
      </w:r>
      <w:r>
        <w:rPr>
          <w:rFonts w:ascii="Times New Roman" w:cs="Times New Roman" w:eastAsia="Times New Roman" w:hAnsi="Times New Roman"/>
          <w:sz w:val="20"/>
          <w:szCs w:val="20"/>
          <w:b w:val="1"/>
          <w:bCs w:val="1"/>
          <w:i w:val="1"/>
          <w:iCs w:val="1"/>
          <w:color w:val="auto"/>
        </w:rPr>
        <w:t>TSR</w:t>
      </w:r>
      <w:r>
        <w:rPr>
          <w:rFonts w:ascii="Times New Roman" w:cs="Times New Roman" w:eastAsia="Times New Roman" w:hAnsi="Times New Roman"/>
          <w:sz w:val="20"/>
          <w:szCs w:val="20"/>
          <w:color w:val="auto"/>
        </w:rPr>
        <w:t>”). A measure need not be presented in the Company’s financial statements or included in a filing with the SEC in order to be a Financial Reporting Measure.</w:t>
      </w:r>
    </w:p>
    <w:p>
      <w:pPr>
        <w:spacing w:after="0" w:line="142" w:lineRule="exact"/>
        <w:rPr>
          <w:sz w:val="20"/>
          <w:szCs w:val="20"/>
          <w:color w:val="auto"/>
        </w:rPr>
      </w:pPr>
    </w:p>
    <w:p>
      <w:pPr>
        <w:ind w:firstLine="639"/>
        <w:spacing w:after="0" w:line="23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Incentive Compensation</w:t>
      </w:r>
      <w:r>
        <w:rPr>
          <w:rFonts w:ascii="Times New Roman" w:cs="Times New Roman" w:eastAsia="Times New Roman" w:hAnsi="Times New Roman"/>
          <w:sz w:val="20"/>
          <w:szCs w:val="20"/>
          <w:color w:val="auto"/>
        </w:rPr>
        <w:t>” means any compensation that is granted, earned or vested based wholly or in part upon the attainment of a Financial Reporting Measure.</w:t>
      </w:r>
    </w:p>
    <w:p>
      <w:pPr>
        <w:spacing w:after="0" w:line="143" w:lineRule="exact"/>
        <w:rPr>
          <w:sz w:val="20"/>
          <w:szCs w:val="20"/>
          <w:color w:val="auto"/>
        </w:rPr>
      </w:pPr>
    </w:p>
    <w:p>
      <w:pPr>
        <w:ind w:firstLine="639"/>
        <w:spacing w:after="0" w:line="21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Lookback Period</w:t>
      </w:r>
      <w:r>
        <w:rPr>
          <w:rFonts w:ascii="Times New Roman" w:cs="Times New Roman" w:eastAsia="Times New Roman" w:hAnsi="Times New Roman"/>
          <w:sz w:val="20"/>
          <w:szCs w:val="20"/>
          <w:color w:val="auto"/>
        </w:rPr>
        <w:t>” means the three completed fiscal years immediately preceding the Accounting Restatement Date, as well as any transition period (resulting from a change in the Company’s fiscal year) within or immediately following those three completed fiscal years</w:t>
      </w:r>
    </w:p>
    <w:p>
      <w:pPr>
        <w:spacing w:after="0" w:line="2"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20"/>
          <w:szCs w:val="20"/>
          <w:color w:val="auto"/>
        </w:rPr>
        <w:t>(except that a transition period of at least nine months shall count as a completed fiscal year). Notwithstanding the foregoing, the Lookback Period shall not include fiscal years completed prior to the Effective Date.</w:t>
      </w:r>
    </w:p>
    <w:p>
      <w:pPr>
        <w:spacing w:after="0" w:line="142" w:lineRule="exact"/>
        <w:rPr>
          <w:sz w:val="20"/>
          <w:szCs w:val="20"/>
          <w:color w:val="auto"/>
        </w:rPr>
      </w:pPr>
    </w:p>
    <w:p>
      <w:pPr>
        <w:ind w:firstLine="639"/>
        <w:spacing w:after="0" w:line="23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Recoverable Incentive Compensation</w:t>
      </w:r>
      <w:r>
        <w:rPr>
          <w:rFonts w:ascii="Times New Roman" w:cs="Times New Roman" w:eastAsia="Times New Roman" w:hAnsi="Times New Roman"/>
          <w:sz w:val="18"/>
          <w:szCs w:val="18"/>
          <w:color w:val="auto"/>
        </w:rPr>
        <w:t>” means Incentive Compensation received by a Covered Officer during the Lookback Period that exceeds the amount of Incentive Compensation that would have been received had such amount been determined based on the Accounting</w:t>
      </w:r>
    </w:p>
    <w:p>
      <w:pPr>
        <w:spacing w:after="0" w:line="233" w:lineRule="auto"/>
        <w:rPr>
          <w:sz w:val="20"/>
          <w:szCs w:val="20"/>
          <w:color w:val="auto"/>
        </w:rPr>
      </w:pPr>
      <w:r>
        <w:rPr>
          <w:rFonts w:ascii="Times New Roman" w:cs="Times New Roman" w:eastAsia="Times New Roman" w:hAnsi="Times New Roman"/>
          <w:sz w:val="18"/>
          <w:szCs w:val="18"/>
          <w:color w:val="auto"/>
        </w:rPr>
        <w:t>Restatement, computed without regard to any taxes paid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on a gross basis without regarding to tax withholdings and other deductions). For</w:t>
      </w:r>
    </w:p>
    <w:p>
      <w:pPr>
        <w:spacing w:after="0" w:line="201" w:lineRule="auto"/>
        <w:rPr>
          <w:sz w:val="20"/>
          <w:szCs w:val="20"/>
          <w:color w:val="auto"/>
        </w:rPr>
      </w:pPr>
      <w:r>
        <w:rPr>
          <w:rFonts w:ascii="Times New Roman" w:cs="Times New Roman" w:eastAsia="Times New Roman" w:hAnsi="Times New Roman"/>
          <w:sz w:val="20"/>
          <w:szCs w:val="20"/>
          <w:color w:val="auto"/>
        </w:rPr>
        <w:t>any compensation plans or programs that take into account Incentive Compensation, the amount of Recoverable Incentive Compensation for purposes of this Policy shall include, without limitation, the amount contributed to any notional account based on Recoverable Incentive</w:t>
      </w:r>
    </w:p>
    <w:p>
      <w:pPr>
        <w:spacing w:after="0" w:line="232" w:lineRule="auto"/>
        <w:rPr>
          <w:sz w:val="20"/>
          <w:szCs w:val="20"/>
          <w:color w:val="auto"/>
        </w:rPr>
      </w:pPr>
      <w:r>
        <w:rPr>
          <w:rFonts w:ascii="Times New Roman" w:cs="Times New Roman" w:eastAsia="Times New Roman" w:hAnsi="Times New Roman"/>
          <w:sz w:val="18"/>
          <w:szCs w:val="18"/>
          <w:color w:val="auto"/>
        </w:rPr>
        <w:t>Compensation and any earnings to date on that notional amount. For any Incentive Compensation that is based on stock price or TSR, where</w:t>
      </w:r>
    </w:p>
    <w:p>
      <w:pPr>
        <w:spacing w:after="0" w:line="223" w:lineRule="auto"/>
        <w:rPr>
          <w:sz w:val="20"/>
          <w:szCs w:val="20"/>
          <w:color w:val="auto"/>
        </w:rPr>
      </w:pPr>
      <w:r>
        <w:rPr>
          <w:rFonts w:ascii="Times New Roman" w:cs="Times New Roman" w:eastAsia="Times New Roman" w:hAnsi="Times New Roman"/>
          <w:sz w:val="18"/>
          <w:szCs w:val="18"/>
          <w:color w:val="auto"/>
        </w:rPr>
        <w:t>the Recoverable Incentive Compensation is not subject to mathematical recalculation directly from the information in an Accounting Restatement, the Administrator will determine the amount of Recoverable Incentive Compensation based on a reasonable estimate of the effect</w:t>
      </w:r>
    </w:p>
    <w:p>
      <w:pPr>
        <w:spacing w:after="0" w:line="233" w:lineRule="auto"/>
        <w:rPr>
          <w:sz w:val="20"/>
          <w:szCs w:val="20"/>
          <w:color w:val="auto"/>
        </w:rPr>
      </w:pPr>
      <w:r>
        <w:rPr>
          <w:rFonts w:ascii="Times New Roman" w:cs="Times New Roman" w:eastAsia="Times New Roman" w:hAnsi="Times New Roman"/>
          <w:sz w:val="18"/>
          <w:szCs w:val="18"/>
          <w:color w:val="auto"/>
        </w:rPr>
        <w:t>of the Accounting Restatement on the stock price or TSR upon which the Incentive Compensation was received. The Company shall maintain</w:t>
      </w:r>
    </w:p>
    <w:p>
      <w:pPr>
        <w:spacing w:after="0" w:line="218" w:lineRule="auto"/>
        <w:rPr>
          <w:sz w:val="20"/>
          <w:szCs w:val="20"/>
          <w:color w:val="auto"/>
        </w:rPr>
      </w:pPr>
      <w:r>
        <w:rPr>
          <w:rFonts w:ascii="Times New Roman" w:cs="Times New Roman" w:eastAsia="Times New Roman" w:hAnsi="Times New Roman"/>
          <w:sz w:val="20"/>
          <w:szCs w:val="20"/>
          <w:color w:val="auto"/>
        </w:rPr>
        <w:t>documentation of the determination of that reasonable estimate and provide such documentation to the Exchange in accordance with the Listing Standards.</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means the U.S. Securities and Exchange Commission.</w:t>
      </w:r>
    </w:p>
    <w:p>
      <w:pPr>
        <w:spacing w:after="0" w:line="156" w:lineRule="exact"/>
        <w:rPr>
          <w:sz w:val="20"/>
          <w:szCs w:val="20"/>
          <w:color w:val="auto"/>
        </w:rPr>
      </w:pPr>
    </w:p>
    <w:p>
      <w:pPr>
        <w:ind w:left="640" w:hanging="634"/>
        <w:spacing w:after="0"/>
        <w:tabs>
          <w:tab w:leader="none" w:pos="640" w:val="left"/>
        </w:tabs>
        <w:numPr>
          <w:ilvl w:val="0"/>
          <w:numId w:val="2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Recoupment</w:t>
      </w:r>
    </w:p>
    <w:p>
      <w:pPr>
        <w:spacing w:after="0" w:line="156" w:lineRule="exact"/>
        <w:rPr>
          <w:rFonts w:ascii="Times New Roman" w:cs="Times New Roman" w:eastAsia="Times New Roman" w:hAnsi="Times New Roman"/>
          <w:sz w:val="20"/>
          <w:szCs w:val="20"/>
          <w:b w:val="1"/>
          <w:bCs w:val="1"/>
          <w:color w:val="auto"/>
        </w:rPr>
      </w:pPr>
    </w:p>
    <w:p>
      <w:pPr>
        <w:jc w:val="both"/>
        <w:ind w:firstLine="645"/>
        <w:spacing w:after="0" w:line="220" w:lineRule="auto"/>
        <w:tabs>
          <w:tab w:leader="none" w:pos="1266" w:val="left"/>
        </w:tabs>
        <w:numPr>
          <w:ilvl w:val="1"/>
          <w:numId w:val="2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Applicability of Policy. </w:t>
      </w:r>
      <w:r>
        <w:rPr>
          <w:rFonts w:ascii="Times New Roman" w:cs="Times New Roman" w:eastAsia="Times New Roman" w:hAnsi="Times New Roman"/>
          <w:sz w:val="20"/>
          <w:szCs w:val="20"/>
          <w:color w:val="auto"/>
        </w:rPr>
        <w:t>This Policy applies to Incentive Compensation received by a Covered Officer (i) after beginning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services as an Executive Officer, (ii) who served as an Executive Officer at any time during the performance period for such Incentive Compensation, (iii) while the Company had a class of securities listed on a national securities exchange or a national securities association, and (iv) during the Lookback Period.</w:t>
      </w:r>
    </w:p>
    <w:p>
      <w:pPr>
        <w:spacing w:after="0" w:line="141" w:lineRule="exact"/>
        <w:rPr>
          <w:rFonts w:ascii="Times New Roman" w:cs="Times New Roman" w:eastAsia="Times New Roman" w:hAnsi="Times New Roman"/>
          <w:sz w:val="20"/>
          <w:szCs w:val="20"/>
          <w:b w:val="1"/>
          <w:bCs w:val="1"/>
          <w:color w:val="auto"/>
        </w:rPr>
      </w:pPr>
    </w:p>
    <w:p>
      <w:pPr>
        <w:jc w:val="both"/>
        <w:ind w:firstLine="645"/>
        <w:spacing w:after="0" w:line="238" w:lineRule="auto"/>
        <w:tabs>
          <w:tab w:leader="none" w:pos="1277" w:val="left"/>
        </w:tabs>
        <w:numPr>
          <w:ilvl w:val="1"/>
          <w:numId w:val="2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Recoupment Generally. </w:t>
      </w:r>
      <w:r>
        <w:rPr>
          <w:rFonts w:ascii="Times New Roman" w:cs="Times New Roman" w:eastAsia="Times New Roman" w:hAnsi="Times New Roman"/>
          <w:sz w:val="18"/>
          <w:szCs w:val="18"/>
          <w:color w:val="auto"/>
        </w:rPr>
        <w:t>Pursuant to the provisions of this Policy, if there is an Accounting Restatement, the Company must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promptly recoup the full amount of the Recoverable Incentive Compensation, unless the conditions of one or more subsections of Section 4(c) of this Policy are met and the Compensation Committee, or, if such committee does not consist solely of independent directors, a majority of the independent directors serving on the Board, has made a determination that recoupment would be impracticable. Recoupment is required regardless of whether the Covered Officer engaged in any misconduct and regardless of fault, and the Company’s obligation to</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240"/>
          </w:cols>
          <w:pgMar w:left="320" w:top="1373" w:right="33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20"/>
          <w:szCs w:val="20"/>
          <w:color w:val="auto"/>
        </w:rPr>
        <w:t>recoup Recoverable Incentive Compensation is not dependent on whether or when any restated financial statements are filed.</w:t>
      </w:r>
    </w:p>
    <w:p>
      <w:pPr>
        <w:spacing w:after="0" w:line="152" w:lineRule="exact"/>
        <w:rPr>
          <w:sz w:val="20"/>
          <w:szCs w:val="20"/>
          <w:color w:val="auto"/>
        </w:rPr>
      </w:pPr>
    </w:p>
    <w:p>
      <w:pPr>
        <w:ind w:left="1280" w:hanging="635"/>
        <w:spacing w:after="0"/>
        <w:tabs>
          <w:tab w:leader="none" w:pos="1280" w:val="left"/>
        </w:tabs>
        <w:numPr>
          <w:ilvl w:val="0"/>
          <w:numId w:val="2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Impracticability of Recovery. </w:t>
      </w:r>
      <w:r>
        <w:rPr>
          <w:rFonts w:ascii="Times New Roman" w:cs="Times New Roman" w:eastAsia="Times New Roman" w:hAnsi="Times New Roman"/>
          <w:sz w:val="20"/>
          <w:szCs w:val="20"/>
          <w:color w:val="auto"/>
        </w:rPr>
        <w:t>Recoupment may be determined to be impracticable if, and only if:</w:t>
      </w:r>
    </w:p>
    <w:p>
      <w:pPr>
        <w:spacing w:after="0" w:line="173" w:lineRule="exact"/>
        <w:rPr>
          <w:rFonts w:ascii="Times New Roman" w:cs="Times New Roman" w:eastAsia="Times New Roman" w:hAnsi="Times New Roman"/>
          <w:sz w:val="20"/>
          <w:szCs w:val="20"/>
          <w:b w:val="1"/>
          <w:bCs w:val="1"/>
          <w:color w:val="auto"/>
        </w:rPr>
      </w:pPr>
    </w:p>
    <w:p>
      <w:pPr>
        <w:jc w:val="both"/>
        <w:ind w:left="640" w:firstLine="644"/>
        <w:spacing w:after="0" w:line="214" w:lineRule="auto"/>
        <w:tabs>
          <w:tab w:leader="none" w:pos="1916" w:val="left"/>
        </w:tabs>
        <w:numPr>
          <w:ilvl w:val="1"/>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 expense paid to a third party to assist in enforcing this Policy would exceed the amount of the applicable Recoverable Incentive Compensation; provided that, before concluding that it would be impracticable to recover any amount of Recoverable Incentive Compensation based on expense of enforcement, the Company shall make a reasonable attempt to recover such Recoverable Incentive Compensation, document such reasonable attempt(s) to recover, and provide that documentation to the Exchange in accordance with the Listing Standards;</w:t>
      </w:r>
    </w:p>
    <w:p>
      <w:pPr>
        <w:spacing w:after="0" w:line="146" w:lineRule="exact"/>
        <w:rPr>
          <w:rFonts w:ascii="Times New Roman" w:cs="Times New Roman" w:eastAsia="Times New Roman" w:hAnsi="Times New Roman"/>
          <w:sz w:val="20"/>
          <w:szCs w:val="20"/>
          <w:color w:val="auto"/>
        </w:rPr>
      </w:pPr>
    </w:p>
    <w:p>
      <w:pPr>
        <w:jc w:val="both"/>
        <w:ind w:left="640" w:firstLine="644"/>
        <w:spacing w:after="0" w:line="214" w:lineRule="auto"/>
        <w:tabs>
          <w:tab w:leader="none" w:pos="1917" w:val="left"/>
        </w:tabs>
        <w:numPr>
          <w:ilvl w:val="1"/>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recoupment of the applicable Recoverable Incentive Compensation would violate home country law where that law was adopted prior to November 28, 2022; provided that, before concluding that it would be impracticable to recover any amount of Recoverable Incentive Compensation based on violation of home country law, the Company shall obtain an opinion of home country counsel, acceptable to the Exchange, that recoupment would result in such a violation, and shall provide such opinion to the Exchange in accordance with the Listing Standards; or</w:t>
      </w:r>
    </w:p>
    <w:p>
      <w:pPr>
        <w:spacing w:after="0" w:line="146" w:lineRule="exact"/>
        <w:rPr>
          <w:rFonts w:ascii="Times New Roman" w:cs="Times New Roman" w:eastAsia="Times New Roman" w:hAnsi="Times New Roman"/>
          <w:sz w:val="20"/>
          <w:szCs w:val="20"/>
          <w:color w:val="auto"/>
        </w:rPr>
      </w:pPr>
    </w:p>
    <w:p>
      <w:pPr>
        <w:jc w:val="both"/>
        <w:ind w:left="640" w:firstLine="644"/>
        <w:spacing w:after="0" w:line="222" w:lineRule="auto"/>
        <w:tabs>
          <w:tab w:leader="none" w:pos="1918" w:val="left"/>
        </w:tabs>
        <w:numPr>
          <w:ilvl w:val="1"/>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recoupment of the applicable Recoverable Incentive Compensation would likely cause an otherwise tax-qualified retirement plan, under which benefits are broadly available to employees of the Company, to fail to meet the requirements of Code Section 401(a)(13) or Code Section 411(a) and regulations thereunder.</w:t>
      </w:r>
    </w:p>
    <w:p>
      <w:pPr>
        <w:spacing w:after="0" w:line="129" w:lineRule="exact"/>
        <w:rPr>
          <w:rFonts w:ascii="Times New Roman" w:cs="Times New Roman" w:eastAsia="Times New Roman" w:hAnsi="Times New Roman"/>
          <w:sz w:val="20"/>
          <w:szCs w:val="20"/>
          <w:color w:val="auto"/>
        </w:rPr>
      </w:pPr>
    </w:p>
    <w:p>
      <w:pPr>
        <w:jc w:val="both"/>
        <w:ind w:firstLine="645"/>
        <w:spacing w:after="0" w:line="208" w:lineRule="auto"/>
        <w:tabs>
          <w:tab w:leader="none" w:pos="1277" w:val="left"/>
        </w:tabs>
        <w:numPr>
          <w:ilvl w:val="0"/>
          <w:numId w:val="2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Sources of Recoupment. </w:t>
      </w:r>
      <w:r>
        <w:rPr>
          <w:rFonts w:ascii="Times New Roman" w:cs="Times New Roman" w:eastAsia="Times New Roman" w:hAnsi="Times New Roman"/>
          <w:sz w:val="20"/>
          <w:szCs w:val="20"/>
          <w:color w:val="auto"/>
        </w:rPr>
        <w:t>To the extent permitted by applicable law, the Administrator shall, in its sole discretion, determine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timing and method for recouping Recoverable Incentive Compensation hereunder, provided that such recoupment is undertaken reasonably promptly. The Administrator may, in its discretion, seek recoupment from a Covered Officer from any of the following sources or a combination thereof, whether the applicable compensation was approved, awarded, granted, payable or paid to the Covered Officer prior to, on or after the Effective Date: (i) direct repayment of Recoverable Incentive Compensation previously paid to the Covered Officer; (ii) cancelling prior cash or equity-based awards (whether vested or unvested and whether paid or unpaid); (iii) cancelling or offsetting against any planned future cash or equity-based awards; (iv) forfeiture of deferred compensation, subject to compliance with Code Section 409A; and (v) any other method authorized by applicable law or contract. Subject to compliance with any applicable law, the Administrator may effectuate recoupment under this Policy from any amount otherwise payable to the Covered Officer, including amounts payable to such individual under any otherwise applicable Company plan or program,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base salary, bonuses or commissions and compensation previously deferred by the Covered Officer. The Administrator need not utilize the same method of recovery for all Covered Officers or with respect to all types of Recoverable Incentive Compensation.</w:t>
      </w:r>
    </w:p>
    <w:p>
      <w:pPr>
        <w:spacing w:after="0" w:line="150" w:lineRule="exact"/>
        <w:rPr>
          <w:rFonts w:ascii="Times New Roman" w:cs="Times New Roman" w:eastAsia="Times New Roman" w:hAnsi="Times New Roman"/>
          <w:sz w:val="20"/>
          <w:szCs w:val="20"/>
          <w:b w:val="1"/>
          <w:bCs w:val="1"/>
          <w:color w:val="auto"/>
        </w:rPr>
      </w:pPr>
    </w:p>
    <w:p>
      <w:pPr>
        <w:jc w:val="both"/>
        <w:ind w:firstLine="645"/>
        <w:spacing w:after="0" w:line="220" w:lineRule="auto"/>
        <w:tabs>
          <w:tab w:leader="none" w:pos="1268" w:val="left"/>
        </w:tabs>
        <w:numPr>
          <w:ilvl w:val="0"/>
          <w:numId w:val="2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 Indemnification of Covered Officers. </w:t>
      </w:r>
      <w:r>
        <w:rPr>
          <w:rFonts w:ascii="Times New Roman" w:cs="Times New Roman" w:eastAsia="Times New Roman" w:hAnsi="Times New Roman"/>
          <w:sz w:val="20"/>
          <w:szCs w:val="20"/>
          <w:color w:val="auto"/>
        </w:rPr>
        <w:t>Notwithstanding any indemnification agreement, applicable insurance policy or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agreement or provision of the Company’s certificate of incorporation or bylaws to the contrary, no Covered Officer shall be entitled to indemnification or advancement of expenses in connection with any enforcement of this Policy by the Company, including paying or reimbursing such Covered Officer for insurance premiums to cover potential obligations to the Company under this Policy.</w:t>
      </w:r>
    </w:p>
    <w:p>
      <w:pPr>
        <w:spacing w:after="0" w:line="128" w:lineRule="exact"/>
        <w:rPr>
          <w:rFonts w:ascii="Times New Roman" w:cs="Times New Roman" w:eastAsia="Times New Roman" w:hAnsi="Times New Roman"/>
          <w:sz w:val="20"/>
          <w:szCs w:val="20"/>
          <w:b w:val="1"/>
          <w:bCs w:val="1"/>
          <w:color w:val="auto"/>
        </w:rPr>
      </w:pPr>
    </w:p>
    <w:p>
      <w:pPr>
        <w:jc w:val="both"/>
        <w:ind w:firstLine="645"/>
        <w:spacing w:after="0" w:line="217" w:lineRule="auto"/>
        <w:tabs>
          <w:tab w:leader="none" w:pos="1273" w:val="left"/>
        </w:tabs>
        <w:numPr>
          <w:ilvl w:val="0"/>
          <w:numId w:val="2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Indemnification of Administrator. </w:t>
      </w:r>
      <w:r>
        <w:rPr>
          <w:rFonts w:ascii="Times New Roman" w:cs="Times New Roman" w:eastAsia="Times New Roman" w:hAnsi="Times New Roman"/>
          <w:sz w:val="20"/>
          <w:szCs w:val="20"/>
          <w:color w:val="auto"/>
        </w:rPr>
        <w:t>Any members of the Administrator, and any other members of the Board who assist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administration of this Policy, shall not be personally liable for any action, determination or interpretation made with respect to this Policy and shall be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240"/>
          </w:cols>
          <w:pgMar w:left="320" w:top="1381" w:right="339" w:bottom="1440" w:gutter="0" w:footer="0" w:header="0"/>
        </w:sectPr>
      </w:pPr>
    </w:p>
    <w:bookmarkStart w:id="276" w:name="page277"/>
    <w:bookmarkEnd w:id="276"/>
    <w:p>
      <w:pPr>
        <w:jc w:val="both"/>
        <w:ind w:firstLine="645"/>
        <w:spacing w:after="0" w:line="220" w:lineRule="auto"/>
        <w:tabs>
          <w:tab w:leader="none" w:pos="1266" w:val="left"/>
        </w:tabs>
        <w:numPr>
          <w:ilvl w:val="1"/>
          <w:numId w:val="2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 “Good Reason” for Covered Officers. </w:t>
      </w:r>
      <w:r>
        <w:rPr>
          <w:rFonts w:ascii="Times New Roman" w:cs="Times New Roman" w:eastAsia="Times New Roman" w:hAnsi="Times New Roman"/>
          <w:sz w:val="20"/>
          <w:szCs w:val="20"/>
          <w:color w:val="auto"/>
        </w:rPr>
        <w:t>Any action by the Company to recoup or any recoupment of Recoverable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Incentive Compensation under this Policy from a Covered Officer shall not be deemed (i) “good reason” for resignation or to serve as a basis for a claim of constructive termination under any benefits or compensation arrangement applicable to such Covered Officer, or (ii) to constitute a breach of a contract or other arrangement to which such Covered Officer is party.</w:t>
      </w:r>
    </w:p>
    <w:p>
      <w:pPr>
        <w:spacing w:after="0" w:line="128" w:lineRule="exact"/>
        <w:rPr>
          <w:rFonts w:ascii="Times New Roman" w:cs="Times New Roman" w:eastAsia="Times New Roman" w:hAnsi="Times New Roman"/>
          <w:sz w:val="20"/>
          <w:szCs w:val="20"/>
          <w:b w:val="1"/>
          <w:bCs w:val="1"/>
          <w:color w:val="auto"/>
        </w:rPr>
      </w:pPr>
    </w:p>
    <w:p>
      <w:pPr>
        <w:ind w:left="640" w:hanging="634"/>
        <w:spacing w:after="0"/>
        <w:tabs>
          <w:tab w:leader="none" w:pos="640" w:val="left"/>
        </w:tabs>
        <w:numPr>
          <w:ilvl w:val="0"/>
          <w:numId w:val="2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Administration</w:t>
      </w:r>
    </w:p>
    <w:p>
      <w:pPr>
        <w:spacing w:after="0" w:line="151" w:lineRule="exact"/>
        <w:rPr>
          <w:rFonts w:ascii="Times New Roman" w:cs="Times New Roman" w:eastAsia="Times New Roman" w:hAnsi="Times New Roman"/>
          <w:sz w:val="20"/>
          <w:szCs w:val="20"/>
          <w:b w:val="1"/>
          <w:bCs w:val="1"/>
          <w:color w:val="auto"/>
        </w:rPr>
      </w:pPr>
    </w:p>
    <w:p>
      <w:pPr>
        <w:ind w:left="6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Except as specifically set forth herein, this Policy shall be administered by the Administrator. The Administrator shall have full and</w:t>
      </w:r>
    </w:p>
    <w:p>
      <w:pPr>
        <w:spacing w:after="0" w:line="231" w:lineRule="auto"/>
        <w:rPr>
          <w:sz w:val="20"/>
          <w:szCs w:val="20"/>
          <w:color w:val="auto"/>
        </w:rPr>
      </w:pPr>
      <w:r>
        <w:rPr>
          <w:rFonts w:ascii="Times New Roman" w:cs="Times New Roman" w:eastAsia="Times New Roman" w:hAnsi="Times New Roman"/>
          <w:sz w:val="18"/>
          <w:szCs w:val="18"/>
          <w:color w:val="auto"/>
        </w:rPr>
        <w:t>final authority to make any and all determinations required under this Policy. Any determination by the Administrator with respect to this Policy shall be final, conclusive and binding on all interested parties and need not be uniform with respect to each individual covered by this</w:t>
      </w:r>
    </w:p>
    <w:p>
      <w:pPr>
        <w:spacing w:after="0" w:line="1"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8"/>
          <w:szCs w:val="18"/>
          <w:color w:val="auto"/>
        </w:rPr>
        <w:t>Policy. In carrying out the administration of this Policy, the Administrator is authorized and directed to consult with the full Board or such other committees of the Board as may be necessary or appropriate as to matters within the scope of such other committee’s responsibility and</w:t>
      </w:r>
    </w:p>
    <w:p>
      <w:pPr>
        <w:spacing w:after="0" w:line="233" w:lineRule="auto"/>
        <w:rPr>
          <w:sz w:val="20"/>
          <w:szCs w:val="20"/>
          <w:color w:val="auto"/>
        </w:rPr>
      </w:pPr>
      <w:r>
        <w:rPr>
          <w:rFonts w:ascii="Times New Roman" w:cs="Times New Roman" w:eastAsia="Times New Roman" w:hAnsi="Times New Roman"/>
          <w:sz w:val="18"/>
          <w:szCs w:val="18"/>
          <w:color w:val="auto"/>
        </w:rPr>
        <w:t>authority. Subject to applicable law, the Administrator may authorize and empower any officer or employee of the Company to take any and all</w:t>
      </w:r>
    </w:p>
    <w:p>
      <w:pPr>
        <w:spacing w:after="0" w:line="218" w:lineRule="auto"/>
        <w:rPr>
          <w:sz w:val="20"/>
          <w:szCs w:val="20"/>
          <w:color w:val="auto"/>
        </w:rPr>
      </w:pPr>
      <w:r>
        <w:rPr>
          <w:rFonts w:ascii="Times New Roman" w:cs="Times New Roman" w:eastAsia="Times New Roman" w:hAnsi="Times New Roman"/>
          <w:sz w:val="20"/>
          <w:szCs w:val="20"/>
          <w:color w:val="auto"/>
        </w:rPr>
        <w:t>actions that the Administrator, in its sole discretion, deems necessary or appropriate to carry out the purpose and intent of this Policy (other than with respect to any recovery under this Policy involving such officer or employee).</w:t>
      </w:r>
    </w:p>
    <w:p>
      <w:pPr>
        <w:spacing w:after="0" w:line="142" w:lineRule="exact"/>
        <w:rPr>
          <w:sz w:val="20"/>
          <w:szCs w:val="20"/>
          <w:color w:val="auto"/>
        </w:rPr>
      </w:pPr>
    </w:p>
    <w:p>
      <w:pPr>
        <w:ind w:left="640" w:hanging="634"/>
        <w:spacing w:after="0"/>
        <w:tabs>
          <w:tab w:leader="none" w:pos="640" w:val="left"/>
        </w:tabs>
        <w:numPr>
          <w:ilvl w:val="0"/>
          <w:numId w:val="29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Severability</w:t>
      </w:r>
    </w:p>
    <w:p>
      <w:pPr>
        <w:spacing w:after="0" w:line="160" w:lineRule="exact"/>
        <w:rPr>
          <w:sz w:val="20"/>
          <w:szCs w:val="20"/>
          <w:color w:val="auto"/>
        </w:rPr>
      </w:pPr>
    </w:p>
    <w:p>
      <w:pPr>
        <w:jc w:val="both"/>
        <w:ind w:firstLine="639"/>
        <w:spacing w:after="0" w:line="236" w:lineRule="auto"/>
        <w:rPr>
          <w:sz w:val="20"/>
          <w:szCs w:val="20"/>
          <w:color w:val="auto"/>
        </w:rPr>
      </w:pPr>
      <w:r>
        <w:rPr>
          <w:rFonts w:ascii="Times New Roman" w:cs="Times New Roman" w:eastAsia="Times New Roman" w:hAnsi="Times New Roman"/>
          <w:sz w:val="18"/>
          <w:szCs w:val="18"/>
          <w:color w:val="auto"/>
        </w:rPr>
        <w:t>If any provision of this Policy or the application of any such provision to a Covered Officer shall be adjudicated to be invalid, illegal or unenforceable in any respect, such invalidity, illegality or unenforceability shall not affect any other provisions of this Policy, and the invalid,</w:t>
      </w:r>
    </w:p>
    <w:p>
      <w:pPr>
        <w:spacing w:after="0" w:line="1"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0"/>
          <w:szCs w:val="20"/>
          <w:color w:val="auto"/>
        </w:rPr>
        <w:t>illegal or unenforceable provisions shall be deemed amended to the minimum extent necessary to render any such provision or application enforceable.</w:t>
      </w:r>
    </w:p>
    <w:p>
      <w:pPr>
        <w:spacing w:after="0" w:line="129" w:lineRule="exact"/>
        <w:rPr>
          <w:sz w:val="20"/>
          <w:szCs w:val="20"/>
          <w:color w:val="auto"/>
        </w:rPr>
      </w:pPr>
    </w:p>
    <w:p>
      <w:pPr>
        <w:ind w:left="640" w:hanging="634"/>
        <w:spacing w:after="0"/>
        <w:tabs>
          <w:tab w:leader="none" w:pos="640" w:val="left"/>
        </w:tabs>
        <w:numPr>
          <w:ilvl w:val="0"/>
          <w:numId w:val="2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Impairment of Other Remedies</w:t>
      </w:r>
    </w:p>
    <w:p>
      <w:pPr>
        <w:spacing w:after="0" w:line="160" w:lineRule="exact"/>
        <w:rPr>
          <w:sz w:val="20"/>
          <w:szCs w:val="20"/>
          <w:color w:val="auto"/>
        </w:rPr>
      </w:pPr>
    </w:p>
    <w:p>
      <w:pPr>
        <w:ind w:firstLine="639"/>
        <w:spacing w:after="0" w:line="244" w:lineRule="auto"/>
        <w:rPr>
          <w:sz w:val="20"/>
          <w:szCs w:val="20"/>
          <w:color w:val="auto"/>
        </w:rPr>
      </w:pPr>
      <w:r>
        <w:rPr>
          <w:rFonts w:ascii="Times New Roman" w:cs="Times New Roman" w:eastAsia="Times New Roman" w:hAnsi="Times New Roman"/>
          <w:sz w:val="18"/>
          <w:szCs w:val="18"/>
          <w:color w:val="auto"/>
        </w:rPr>
        <w:t>Nothing contained in this Policy, and no recoupment or recovery as contemplated herein, shall limit any claims, damages or other legal remedies the Company or any of its affiliates may have against a Covered Officer arising out of or resulting from any actions or omissions by</w:t>
      </w:r>
    </w:p>
    <w:p>
      <w:pPr>
        <w:spacing w:after="0" w:line="223" w:lineRule="auto"/>
        <w:rPr>
          <w:sz w:val="20"/>
          <w:szCs w:val="20"/>
          <w:color w:val="auto"/>
        </w:rPr>
      </w:pPr>
      <w:r>
        <w:rPr>
          <w:rFonts w:ascii="Times New Roman" w:cs="Times New Roman" w:eastAsia="Times New Roman" w:hAnsi="Times New Roman"/>
          <w:sz w:val="18"/>
          <w:szCs w:val="18"/>
          <w:color w:val="auto"/>
        </w:rPr>
        <w:t>the Covered Officer. This Policy does not preclude the Company from taking any other action to enforce a Covered Officer’s obligations to the Company, including, without limitation, termination of employment and/or institution of civil proceedings. This Policy is in addition to the</w:t>
      </w:r>
    </w:p>
    <w:p>
      <w:pPr>
        <w:spacing w:after="0" w:line="233" w:lineRule="auto"/>
        <w:rPr>
          <w:sz w:val="20"/>
          <w:szCs w:val="20"/>
          <w:color w:val="auto"/>
        </w:rPr>
      </w:pPr>
      <w:r>
        <w:rPr>
          <w:rFonts w:ascii="Times New Roman" w:cs="Times New Roman" w:eastAsia="Times New Roman" w:hAnsi="Times New Roman"/>
          <w:sz w:val="18"/>
          <w:szCs w:val="18"/>
          <w:color w:val="auto"/>
        </w:rPr>
        <w:t>requirements of Section 304 of the Sarbanes-Oxley Act of 2002 (“</w:t>
      </w:r>
      <w:r>
        <w:rPr>
          <w:rFonts w:ascii="Times New Roman" w:cs="Times New Roman" w:eastAsia="Times New Roman" w:hAnsi="Times New Roman"/>
          <w:sz w:val="18"/>
          <w:szCs w:val="18"/>
          <w:b w:val="1"/>
          <w:bCs w:val="1"/>
          <w:i w:val="1"/>
          <w:iCs w:val="1"/>
          <w:color w:val="auto"/>
        </w:rPr>
        <w:t>SOX 304</w:t>
      </w:r>
      <w:r>
        <w:rPr>
          <w:rFonts w:ascii="Times New Roman" w:cs="Times New Roman" w:eastAsia="Times New Roman" w:hAnsi="Times New Roman"/>
          <w:sz w:val="18"/>
          <w:szCs w:val="18"/>
          <w:color w:val="auto"/>
        </w:rPr>
        <w:t>”) that are applicable to the Company’s Chief Executive Officer and</w:t>
      </w:r>
    </w:p>
    <w:p>
      <w:pPr>
        <w:spacing w:after="0" w:line="201" w:lineRule="auto"/>
        <w:rPr>
          <w:sz w:val="20"/>
          <w:szCs w:val="20"/>
          <w:color w:val="auto"/>
        </w:rPr>
      </w:pPr>
      <w:r>
        <w:rPr>
          <w:rFonts w:ascii="Times New Roman" w:cs="Times New Roman" w:eastAsia="Times New Roman" w:hAnsi="Times New Roman"/>
          <w:sz w:val="20"/>
          <w:szCs w:val="20"/>
          <w:color w:val="auto"/>
        </w:rPr>
        <w:t>Chief Financial Officer and to any other compensation recoupment policy and/or similar provisions in any employment, equity plan, equity award, or other individual agreement, to which the Company is a party or which the Company has adopted or may adopt and maintain from</w:t>
      </w:r>
    </w:p>
    <w:p>
      <w:pPr>
        <w:spacing w:after="0" w:line="209" w:lineRule="auto"/>
        <w:rPr>
          <w:sz w:val="20"/>
          <w:szCs w:val="20"/>
          <w:color w:val="auto"/>
        </w:rPr>
      </w:pPr>
      <w:r>
        <w:rPr>
          <w:rFonts w:ascii="Times New Roman" w:cs="Times New Roman" w:eastAsia="Times New Roman" w:hAnsi="Times New Roman"/>
          <w:sz w:val="20"/>
          <w:szCs w:val="20"/>
          <w:color w:val="auto"/>
        </w:rPr>
        <w:t>time to time; provided, however, that compensation recouped pursuant to this policy shall not be duplicative of compensation recouped</w:t>
      </w:r>
    </w:p>
    <w:p>
      <w:pPr>
        <w:spacing w:after="0" w:line="218" w:lineRule="auto"/>
        <w:rPr>
          <w:sz w:val="20"/>
          <w:szCs w:val="20"/>
          <w:color w:val="auto"/>
        </w:rPr>
      </w:pPr>
      <w:r>
        <w:rPr>
          <w:rFonts w:ascii="Times New Roman" w:cs="Times New Roman" w:eastAsia="Times New Roman" w:hAnsi="Times New Roman"/>
          <w:sz w:val="20"/>
          <w:szCs w:val="20"/>
          <w:color w:val="auto"/>
        </w:rPr>
        <w:t>pursuant to SOX 304 or any such compensation recoupment policy and/or similar provisions in any such employment, equity plan, equity award, or other individual agreement except as may be required by law.</w:t>
      </w:r>
    </w:p>
    <w:p>
      <w:pPr>
        <w:spacing w:after="0" w:line="142" w:lineRule="exact"/>
        <w:rPr>
          <w:sz w:val="20"/>
          <w:szCs w:val="20"/>
          <w:color w:val="auto"/>
        </w:rPr>
      </w:pPr>
    </w:p>
    <w:p>
      <w:pPr>
        <w:ind w:left="640" w:hanging="634"/>
        <w:spacing w:after="0"/>
        <w:tabs>
          <w:tab w:leader="none" w:pos="640" w:val="left"/>
        </w:tabs>
        <w:numPr>
          <w:ilvl w:val="0"/>
          <w:numId w:val="2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 Termination</w:t>
      </w:r>
    </w:p>
    <w:p>
      <w:pPr>
        <w:spacing w:after="0" w:line="160" w:lineRule="exact"/>
        <w:rPr>
          <w:sz w:val="20"/>
          <w:szCs w:val="20"/>
          <w:color w:val="auto"/>
        </w:rPr>
      </w:pPr>
    </w:p>
    <w:p>
      <w:pPr>
        <w:ind w:right="20" w:firstLine="639"/>
        <w:spacing w:after="0" w:line="236" w:lineRule="auto"/>
        <w:rPr>
          <w:sz w:val="20"/>
          <w:szCs w:val="20"/>
          <w:color w:val="auto"/>
        </w:rPr>
      </w:pPr>
      <w:r>
        <w:rPr>
          <w:rFonts w:ascii="Times New Roman" w:cs="Times New Roman" w:eastAsia="Times New Roman" w:hAnsi="Times New Roman"/>
          <w:sz w:val="20"/>
          <w:szCs w:val="20"/>
          <w:color w:val="auto"/>
        </w:rPr>
        <w:t>The Administrator may amend, terminate or replace this Policy or any portion of this Policy at any time and from time to time in its sole discretion. The Administrator shall amend this Policy as it deems necessary to comply with applicable law or any Listing Standard.</w:t>
      </w:r>
    </w:p>
    <w:p>
      <w:pPr>
        <w:spacing w:after="0" w:line="129" w:lineRule="exact"/>
        <w:rPr>
          <w:sz w:val="20"/>
          <w:szCs w:val="20"/>
          <w:color w:val="auto"/>
        </w:rPr>
      </w:pPr>
    </w:p>
    <w:p>
      <w:pPr>
        <w:ind w:left="640" w:hanging="634"/>
        <w:spacing w:after="0"/>
        <w:tabs>
          <w:tab w:leader="none" w:pos="640" w:val="left"/>
        </w:tabs>
        <w:numPr>
          <w:ilvl w:val="0"/>
          <w:numId w:val="2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Successors</w:t>
      </w:r>
    </w:p>
    <w:p>
      <w:pPr>
        <w:spacing w:after="0" w:line="160" w:lineRule="exact"/>
        <w:rPr>
          <w:sz w:val="20"/>
          <w:szCs w:val="20"/>
          <w:color w:val="auto"/>
        </w:rPr>
      </w:pPr>
    </w:p>
    <w:p>
      <w:pPr>
        <w:ind w:right="20" w:firstLine="639"/>
        <w:spacing w:after="0" w:line="236" w:lineRule="auto"/>
        <w:rPr>
          <w:sz w:val="20"/>
          <w:szCs w:val="20"/>
          <w:color w:val="auto"/>
        </w:rPr>
      </w:pPr>
      <w:r>
        <w:rPr>
          <w:rFonts w:ascii="Times New Roman" w:cs="Times New Roman" w:eastAsia="Times New Roman" w:hAnsi="Times New Roman"/>
          <w:sz w:val="20"/>
          <w:szCs w:val="20"/>
          <w:color w:val="auto"/>
        </w:rPr>
        <w:t>This Policy shall be binding and enforceable against all Covered Officers and, to the extent required by Rule 10D-1 and/or the applicable Listing Standards, their beneficiaries, heirs, executors, administrators or other legal representatives.</w:t>
      </w:r>
    </w:p>
    <w:p>
      <w:pPr>
        <w:spacing w:after="0" w:line="12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color w:val="auto"/>
        </w:rPr>
        <w:t>10.</w:t>
      </w:r>
      <w:r>
        <w:rPr>
          <w:sz w:val="20"/>
          <w:szCs w:val="20"/>
          <w:color w:val="auto"/>
        </w:rPr>
        <w:tab/>
      </w:r>
      <w:r>
        <w:rPr>
          <w:rFonts w:ascii="Times New Roman" w:cs="Times New Roman" w:eastAsia="Times New Roman" w:hAnsi="Times New Roman"/>
          <w:sz w:val="18"/>
          <w:szCs w:val="18"/>
          <w:b w:val="1"/>
          <w:bCs w:val="1"/>
          <w:color w:val="auto"/>
        </w:rPr>
        <w:t>Required Filings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240"/>
          </w:cols>
          <w:pgMar w:left="320" w:top="1377" w:right="339" w:bottom="1440" w:gutter="0" w:footer="0" w:header="0"/>
        </w:sectPr>
      </w:pPr>
    </w:p>
    <w:bookmarkStart w:id="277" w:name="page278"/>
    <w:bookmarkEnd w:id="277"/>
    <w:p>
      <w:pPr>
        <w:jc w:val="center"/>
        <w:ind w:left="520"/>
        <w:spacing w:after="0" w:line="427" w:lineRule="auto"/>
        <w:rPr>
          <w:sz w:val="20"/>
          <w:szCs w:val="20"/>
          <w:color w:val="auto"/>
        </w:rPr>
      </w:pPr>
      <w:r>
        <w:rPr>
          <w:rFonts w:ascii="Times New Roman" w:cs="Times New Roman" w:eastAsia="Times New Roman" w:hAnsi="Times New Roman"/>
          <w:sz w:val="20"/>
          <w:szCs w:val="20"/>
          <w:color w:val="auto"/>
        </w:rPr>
        <w:t>The Company shall make any disclosures and filings with respect to this Policy that are required by law, including as required by the SEC. *  *  *  *  *</w:t>
      </w:r>
    </w:p>
    <w:p>
      <w:pPr>
        <w:spacing w:after="0" w:line="200" w:lineRule="exact"/>
        <w:rPr>
          <w:sz w:val="20"/>
          <w:szCs w:val="20"/>
          <w:color w:val="auto"/>
        </w:rPr>
      </w:pPr>
    </w:p>
    <w:p>
      <w:pPr>
        <w:spacing w:after="0" w:line="26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5</w:t>
      </w:r>
    </w:p>
    <w:p>
      <w:pPr>
        <w:spacing w:after="0" w:line="54" w:lineRule="exact"/>
        <w:rPr>
          <w:sz w:val="20"/>
          <w:szCs w:val="20"/>
          <w:color w:val="auto"/>
        </w:rPr>
      </w:pPr>
    </w:p>
    <w:p>
      <w:pP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000"/>
          </w:cols>
          <w:pgMar w:left="340" w:top="1382" w:right="559" w:bottom="1440" w:gutter="0" w:footer="0" w:header="0"/>
        </w:sectPr>
      </w:pPr>
    </w:p>
    <w:bookmarkStart w:id="278" w:name="page279"/>
    <w:bookmarkEnd w:id="278"/>
    <w:p>
      <w:pPr>
        <w:jc w:val="center"/>
        <w:spacing w:after="0"/>
        <w:rPr>
          <w:sz w:val="20"/>
          <w:szCs w:val="20"/>
          <w:color w:val="auto"/>
        </w:rPr>
      </w:pPr>
      <w:r>
        <w:rPr>
          <w:rFonts w:ascii="Times New Roman" w:cs="Times New Roman" w:eastAsia="Times New Roman" w:hAnsi="Times New Roman"/>
          <w:sz w:val="20"/>
          <w:szCs w:val="20"/>
          <w:b w:val="1"/>
          <w:bCs w:val="1"/>
          <w:color w:val="auto"/>
        </w:rPr>
        <w:t>Jazz Pharmaceuticals plc</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Incentive Compensation Recoupment Policy</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Executive Acknowledgmentl</w:t>
      </w:r>
    </w:p>
    <w:p>
      <w:pPr>
        <w:spacing w:after="0" w:line="200" w:lineRule="exact"/>
        <w:rPr>
          <w:sz w:val="20"/>
          <w:szCs w:val="20"/>
          <w:color w:val="auto"/>
        </w:rPr>
      </w:pPr>
    </w:p>
    <w:p>
      <w:pPr>
        <w:spacing w:after="0" w:line="399" w:lineRule="exact"/>
        <w:rPr>
          <w:sz w:val="20"/>
          <w:szCs w:val="20"/>
          <w:color w:val="auto"/>
        </w:rPr>
      </w:pPr>
    </w:p>
    <w:p>
      <w:pPr>
        <w:spacing w:after="0" w:line="212" w:lineRule="auto"/>
        <w:rPr>
          <w:sz w:val="20"/>
          <w:szCs w:val="20"/>
          <w:color w:val="auto"/>
        </w:rPr>
      </w:pPr>
      <w:r>
        <w:rPr>
          <w:rFonts w:ascii="Times New Roman" w:cs="Times New Roman" w:eastAsia="Times New Roman" w:hAnsi="Times New Roman"/>
          <w:sz w:val="20"/>
          <w:szCs w:val="20"/>
          <w:color w:val="auto"/>
        </w:rPr>
        <w:t>I, the undersigned, agree and acknowledge that I am bound by, and subject to, the Jazz Pharmaceuticals plc Incentive Compensation Recoupment Policy, as may be amended, restated, supplemented or otherwise modified from time to time (the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In the event of any</w:t>
      </w:r>
    </w:p>
    <w:p>
      <w:pPr>
        <w:spacing w:after="0" w:line="210" w:lineRule="auto"/>
        <w:rPr>
          <w:sz w:val="20"/>
          <w:szCs w:val="20"/>
          <w:color w:val="auto"/>
        </w:rPr>
      </w:pPr>
      <w:r>
        <w:rPr>
          <w:rFonts w:ascii="Times New Roman" w:cs="Times New Roman" w:eastAsia="Times New Roman" w:hAnsi="Times New Roman"/>
          <w:sz w:val="20"/>
          <w:szCs w:val="20"/>
          <w:color w:val="auto"/>
        </w:rPr>
        <w:t>inconsistency between the Policy and the terms of any employment agreement, offer letter or other individual agreement with Jazz</w:t>
      </w:r>
    </w:p>
    <w:p>
      <w:pPr>
        <w:spacing w:after="0" w:line="218" w:lineRule="auto"/>
        <w:rPr>
          <w:sz w:val="20"/>
          <w:szCs w:val="20"/>
          <w:color w:val="auto"/>
        </w:rPr>
      </w:pPr>
      <w:r>
        <w:rPr>
          <w:rFonts w:ascii="Times New Roman" w:cs="Times New Roman" w:eastAsia="Times New Roman" w:hAnsi="Times New Roman"/>
          <w:sz w:val="20"/>
          <w:szCs w:val="20"/>
          <w:color w:val="auto"/>
        </w:rPr>
        <w:t>Pharmaceuticals plc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to which I am a party, or the terms of any compensation plan, program or agreement, whether or not written, under which any compensation has been granted, awarded, earned or paid to me, the terms of the Policy shall govern.</w:t>
      </w:r>
    </w:p>
    <w:p>
      <w:pPr>
        <w:spacing w:after="0" w:line="14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In the event that the Administrator (as defined in the Policy) determines that any compensation granted, awarded, earned or paid to me must be forfeited or reimbursed to the Company pursuant to the Policy, I will promptly take any action necessary to effectuate such forfeiture and/or</w:t>
      </w:r>
    </w:p>
    <w:p>
      <w:pPr>
        <w:spacing w:after="0" w:line="1"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0"/>
          <w:szCs w:val="20"/>
          <w:color w:val="auto"/>
        </w:rPr>
        <w:t>reimbursement. I further agree and acknowledge that I am not entitled to indemnification, and hereby waive any right to advancement of expenses, in connection with any enforcement of the Policy by the Company.</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Agreed and Acknowledged: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614680</wp:posOffset>
            </wp:positionV>
            <wp:extent cx="327977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74">
                      <a:extLst>
                        <a:ext uri="{28A0092B-C50C-407E-A947-70E740481C1C}"/>
                      </a:extLst>
                    </a:blip>
                    <a:srcRect/>
                    <a:stretch>
                      <a:fillRect/>
                    </a:stretch>
                  </pic:blipFill>
                  <pic:spPr bwMode="auto">
                    <a:xfrm>
                      <a:off x="0" y="0"/>
                      <a:ext cx="32797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45720</wp:posOffset>
            </wp:positionV>
            <wp:extent cx="274701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75">
                      <a:extLst>
                        <a:ext uri="{28A0092B-C50C-407E-A947-70E740481C1C}"/>
                      </a:extLst>
                    </a:blip>
                    <a:srcRect/>
                    <a:stretch>
                      <a:fillRect/>
                    </a:stretch>
                  </pic:blipFill>
                  <pic:spPr bwMode="auto">
                    <a:xfrm>
                      <a:off x="0" y="0"/>
                      <a:ext cx="2747010" cy="825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45720</wp:posOffset>
            </wp:positionV>
            <wp:extent cx="274701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76">
                      <a:extLst>
                        <a:ext uri="{28A0092B-C50C-407E-A947-70E740481C1C}"/>
                      </a:extLst>
                    </a:blip>
                    <a:srcRect/>
                    <a:stretch>
                      <a:fillRect/>
                    </a:stretch>
                  </pic:blipFill>
                  <pic:spPr bwMode="auto">
                    <a:xfrm>
                      <a:off x="0" y="0"/>
                      <a:ext cx="2747010" cy="825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45720</wp:posOffset>
            </wp:positionV>
            <wp:extent cx="274701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77">
                      <a:extLst>
                        <a:ext uri="{28A0092B-C50C-407E-A947-70E740481C1C}"/>
                      </a:extLst>
                    </a:blip>
                    <a:srcRect/>
                    <a:stretch>
                      <a:fillRect/>
                    </a:stretch>
                  </pic:blipFill>
                  <pic:spPr bwMode="auto">
                    <a:xfrm>
                      <a:off x="0" y="0"/>
                      <a:ext cx="2747010" cy="8255"/>
                    </a:xfrm>
                    <a:prstGeom prst="rect">
                      <a:avLst/>
                    </a:prstGeom>
                    <a:noFill/>
                  </pic:spPr>
                </pic:pic>
              </a:graphicData>
            </a:graphic>
          </wp:anchor>
        </w:drawing>
      </w:r>
    </w:p>
    <w:sectPr>
      <w:pgSz w:w="11900" w:h="16838" w:orient="portrait"/>
      <w:cols w:equalWidth="0" w:num="1">
        <w:col w:w="11240"/>
      </w:cols>
      <w:pgMar w:left="320" w:top="137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5968C1C"/>
    <w:multiLevelType w:val="hybridMultilevel"/>
    <w:lvl w:ilvl="0">
      <w:lvlJc w:val="left"/>
      <w:lvlText w:val="☒"/>
      <w:numFmt w:val="bullet"/>
      <w:start w:val="1"/>
    </w:lvl>
  </w:abstractNum>
  <w:abstractNum w:abstractNumId="1">
    <w:nsid w:val="46263DEC"/>
    <w:multiLevelType w:val="hybridMultilevel"/>
    <w:lvl w:ilvl="0">
      <w:lvlJc w:val="left"/>
      <w:lvlText w:val="☐"/>
      <w:numFmt w:val="bullet"/>
      <w:start w:val="1"/>
    </w:lvl>
  </w:abstractNum>
  <w:abstractNum w:abstractNumId="2">
    <w:nsid w:val="260D8C4A"/>
    <w:multiLevelType w:val="hybridMultilevel"/>
    <w:lvl w:ilvl="0">
      <w:lvlJc w:val="left"/>
      <w:lvlText w:val="•"/>
      <w:numFmt w:val="bullet"/>
      <w:start w:val="1"/>
    </w:lvl>
  </w:abstractNum>
  <w:abstractNum w:abstractNumId="3">
    <w:nsid w:val="73D4D3C4"/>
    <w:multiLevelType w:val="hybridMultilevel"/>
    <w:lvl w:ilvl="0">
      <w:lvlJc w:val="left"/>
      <w:lvlText w:val="•"/>
      <w:numFmt w:val="bullet"/>
      <w:start w:val="1"/>
    </w:lvl>
  </w:abstractNum>
  <w:abstractNum w:abstractNumId="4">
    <w:nsid w:val="746F2E30"/>
    <w:multiLevelType w:val="hybridMultilevel"/>
    <w:lvl w:ilvl="0">
      <w:lvlJc w:val="left"/>
      <w:lvlText w:val="•"/>
      <w:numFmt w:val="bullet"/>
      <w:start w:val="1"/>
    </w:lvl>
  </w:abstractNum>
  <w:abstractNum w:abstractNumId="5">
    <w:nsid w:val="6FDE8AF6"/>
    <w:multiLevelType w:val="hybridMultilevel"/>
    <w:lvl w:ilvl="0">
      <w:lvlJc w:val="left"/>
      <w:lvlText w:val="•"/>
      <w:numFmt w:val="bullet"/>
      <w:start w:val="1"/>
    </w:lvl>
  </w:abstractNum>
  <w:abstractNum w:abstractNumId="6">
    <w:nsid w:val="3FC32E20"/>
    <w:multiLevelType w:val="hybridMultilevel"/>
    <w:lvl w:ilvl="0">
      <w:lvlJc w:val="left"/>
      <w:lvlText w:val="•"/>
      <w:numFmt w:val="bullet"/>
      <w:start w:val="1"/>
    </w:lvl>
  </w:abstractNum>
  <w:abstractNum w:abstractNumId="7">
    <w:nsid w:val="49C0E823"/>
    <w:multiLevelType w:val="hybridMultilevel"/>
    <w:lvl w:ilvl="0">
      <w:lvlJc w:val="left"/>
      <w:lvlText w:val="•"/>
      <w:numFmt w:val="bullet"/>
      <w:start w:val="1"/>
    </w:lvl>
  </w:abstractNum>
  <w:abstractNum w:abstractNumId="8">
    <w:nsid w:val="14D53685"/>
    <w:multiLevelType w:val="hybridMultilevel"/>
    <w:lvl w:ilvl="0">
      <w:lvlJc w:val="left"/>
      <w:lvlText w:val="•"/>
      <w:numFmt w:val="bullet"/>
      <w:start w:val="1"/>
    </w:lvl>
  </w:abstractNum>
  <w:abstractNum w:abstractNumId="9">
    <w:nsid w:val="230F856C"/>
    <w:multiLevelType w:val="hybridMultilevel"/>
    <w:lvl w:ilvl="0">
      <w:lvlJc w:val="left"/>
      <w:lvlText w:val="•"/>
      <w:numFmt w:val="bullet"/>
      <w:start w:val="1"/>
    </w:lvl>
  </w:abstractNum>
  <w:abstractNum w:abstractNumId="10">
    <w:nsid w:val="6EAA85FB"/>
    <w:multiLevelType w:val="hybridMultilevel"/>
    <w:lvl w:ilvl="0">
      <w:lvlJc w:val="left"/>
      <w:lvlText w:val="•"/>
      <w:numFmt w:val="bullet"/>
      <w:start w:val="1"/>
    </w:lvl>
  </w:abstractNum>
  <w:abstractNum w:abstractNumId="11">
    <w:nsid w:val="3F06ECB2"/>
    <w:multiLevelType w:val="hybridMultilevel"/>
    <w:lvl w:ilvl="0">
      <w:lvlJc w:val="left"/>
      <w:lvlText w:val="•"/>
      <w:numFmt w:val="bullet"/>
      <w:start w:val="1"/>
    </w:lvl>
  </w:abstractNum>
  <w:abstractNum w:abstractNumId="12">
    <w:nsid w:val="3B594807"/>
    <w:multiLevelType w:val="hybridMultilevel"/>
    <w:lvl w:ilvl="0">
      <w:lvlJc w:val="left"/>
      <w:lvlText w:val="•"/>
      <w:numFmt w:val="bullet"/>
      <w:start w:val="1"/>
    </w:lvl>
  </w:abstractNum>
  <w:abstractNum w:abstractNumId="13">
    <w:nsid w:val="6CAA2304"/>
    <w:multiLevelType w:val="hybridMultilevel"/>
    <w:lvl w:ilvl="0">
      <w:lvlJc w:val="left"/>
      <w:lvlText w:val="•"/>
      <w:numFmt w:val="bullet"/>
      <w:start w:val="1"/>
    </w:lvl>
  </w:abstractNum>
  <w:abstractNum w:abstractNumId="14">
    <w:nsid w:val="3F7C2FF4"/>
    <w:multiLevelType w:val="hybridMultilevel"/>
    <w:lvl w:ilvl="0">
      <w:lvlJc w:val="left"/>
      <w:lvlText w:val="•"/>
      <w:numFmt w:val="bullet"/>
      <w:start w:val="1"/>
    </w:lvl>
  </w:abstractNum>
  <w:abstractNum w:abstractNumId="15">
    <w:nsid w:val="25413BEC"/>
    <w:multiLevelType w:val="hybridMultilevel"/>
    <w:lvl w:ilvl="0">
      <w:lvlJc w:val="left"/>
      <w:lvlText w:val="•"/>
      <w:numFmt w:val="bullet"/>
      <w:start w:val="1"/>
    </w:lvl>
  </w:abstractNum>
  <w:abstractNum w:abstractNumId="16">
    <w:nsid w:val="17180B0B"/>
    <w:multiLevelType w:val="hybridMultilevel"/>
    <w:lvl w:ilvl="0">
      <w:lvlJc w:val="left"/>
      <w:lvlText w:val="•"/>
      <w:numFmt w:val="bullet"/>
      <w:start w:val="1"/>
    </w:lvl>
  </w:abstractNum>
  <w:abstractNum w:abstractNumId="17">
    <w:nsid w:val="579328B9"/>
    <w:multiLevelType w:val="hybridMultilevel"/>
    <w:lvl w:ilvl="0">
      <w:lvlJc w:val="left"/>
      <w:lvlText w:val="•"/>
      <w:numFmt w:val="bullet"/>
      <w:start w:val="1"/>
    </w:lvl>
    <w:lvl w:ilvl="1">
      <w:lvlJc w:val="left"/>
      <w:lvlText w:val="◦"/>
      <w:numFmt w:val="bullet"/>
      <w:start w:val="1"/>
    </w:lvl>
  </w:abstractNum>
  <w:abstractNum w:abstractNumId="18">
    <w:nsid w:val="5D205E20"/>
    <w:multiLevelType w:val="hybridMultilevel"/>
    <w:lvl w:ilvl="0">
      <w:lvlJc w:val="left"/>
      <w:lvlText w:val="•"/>
      <w:numFmt w:val="bullet"/>
      <w:start w:val="1"/>
    </w:lvl>
  </w:abstractNum>
  <w:abstractNum w:abstractNumId="19">
    <w:nsid w:val="11CCA8BA"/>
    <w:multiLevelType w:val="hybridMultilevel"/>
    <w:lvl w:ilvl="0">
      <w:lvlJc w:val="left"/>
      <w:lvlText w:val="•"/>
      <w:numFmt w:val="bullet"/>
      <w:start w:val="1"/>
    </w:lvl>
  </w:abstractNum>
  <w:abstractNum w:abstractNumId="20">
    <w:nsid w:val="4D32AB86"/>
    <w:multiLevelType w:val="hybridMultilevel"/>
    <w:lvl w:ilvl="0">
      <w:lvlJc w:val="left"/>
      <w:lvlText w:val="•"/>
      <w:numFmt w:val="bullet"/>
      <w:start w:val="1"/>
    </w:lvl>
  </w:abstractNum>
  <w:abstractNum w:abstractNumId="21">
    <w:nsid w:val="3F07ACC3"/>
    <w:multiLevelType w:val="hybridMultilevel"/>
    <w:lvl w:ilvl="0">
      <w:lvlJc w:val="left"/>
      <w:lvlText w:val="•"/>
      <w:numFmt w:val="bullet"/>
      <w:start w:val="1"/>
    </w:lvl>
  </w:abstractNum>
  <w:abstractNum w:abstractNumId="22">
    <w:nsid w:val="6B47F63E"/>
    <w:multiLevelType w:val="hybridMultilevel"/>
    <w:lvl w:ilvl="0">
      <w:lvlJc w:val="left"/>
      <w:lvlText w:val="•"/>
      <w:numFmt w:val="bullet"/>
      <w:start w:val="1"/>
    </w:lvl>
  </w:abstractNum>
  <w:abstractNum w:abstractNumId="23">
    <w:nsid w:val="5CB44A05"/>
    <w:multiLevelType w:val="hybridMultilevel"/>
    <w:lvl w:ilvl="0">
      <w:lvlJc w:val="left"/>
      <w:lvlText w:val="•"/>
      <w:numFmt w:val="bullet"/>
      <w:start w:val="1"/>
    </w:lvl>
  </w:abstractNum>
  <w:abstractNum w:abstractNumId="24">
    <w:nsid w:val="16CF80F1"/>
    <w:multiLevelType w:val="hybridMultilevel"/>
    <w:lvl w:ilvl="0">
      <w:lvlJc w:val="left"/>
      <w:lvlText w:val="•"/>
      <w:numFmt w:val="bullet"/>
      <w:start w:val="1"/>
    </w:lvl>
  </w:abstractNum>
  <w:abstractNum w:abstractNumId="25">
    <w:nsid w:val="1C695DEC"/>
    <w:multiLevelType w:val="hybridMultilevel"/>
    <w:lvl w:ilvl="0">
      <w:lvlJc w:val="left"/>
      <w:lvlText w:val="•"/>
      <w:numFmt w:val="bullet"/>
      <w:start w:val="1"/>
    </w:lvl>
  </w:abstractNum>
  <w:abstractNum w:abstractNumId="26">
    <w:nsid w:val="3FCFAED9"/>
    <w:multiLevelType w:val="hybridMultilevel"/>
    <w:lvl w:ilvl="0">
      <w:lvlJc w:val="left"/>
      <w:lvlText w:val="•"/>
      <w:numFmt w:val="bullet"/>
      <w:start w:val="1"/>
    </w:lvl>
  </w:abstractNum>
  <w:abstractNum w:abstractNumId="27">
    <w:nsid w:val="F856867"/>
    <w:multiLevelType w:val="hybridMultilevel"/>
    <w:lvl w:ilvl="0">
      <w:lvlJc w:val="left"/>
      <w:lvlText w:val="•"/>
      <w:numFmt w:val="bullet"/>
      <w:start w:val="1"/>
    </w:lvl>
  </w:abstractNum>
  <w:abstractNum w:abstractNumId="28">
    <w:nsid w:val="11B1CC33"/>
    <w:multiLevelType w:val="hybridMultilevel"/>
    <w:lvl w:ilvl="0">
      <w:lvlJc w:val="left"/>
      <w:lvlText w:val="•"/>
      <w:numFmt w:val="bullet"/>
      <w:start w:val="1"/>
    </w:lvl>
  </w:abstractNum>
  <w:abstractNum w:abstractNumId="29">
    <w:nsid w:val="2E22FBB7"/>
    <w:multiLevelType w:val="hybridMultilevel"/>
    <w:lvl w:ilvl="0">
      <w:lvlJc w:val="left"/>
      <w:lvlText w:val="(%1)"/>
      <w:numFmt w:val="decimal"/>
      <w:start w:val="1"/>
    </w:lvl>
  </w:abstractNum>
  <w:abstractNum w:abstractNumId="30">
    <w:nsid w:val="29934699"/>
    <w:multiLevelType w:val="hybridMultilevel"/>
    <w:lvl w:ilvl="0">
      <w:lvlJc w:val="left"/>
      <w:lvlText w:val="%1."/>
      <w:numFmt w:val="decimal"/>
      <w:start w:val="1"/>
    </w:lvl>
  </w:abstractNum>
  <w:abstractNum w:abstractNumId="31">
    <w:nsid w:val="77485850"/>
    <w:multiLevelType w:val="hybridMultilevel"/>
    <w:lvl w:ilvl="0">
      <w:lvlJc w:val="left"/>
      <w:lvlText w:val="•"/>
      <w:numFmt w:val="bullet"/>
      <w:start w:val="1"/>
    </w:lvl>
  </w:abstractNum>
  <w:abstractNum w:abstractNumId="32">
    <w:nsid w:val="744939A3"/>
    <w:multiLevelType w:val="hybridMultilevel"/>
    <w:lvl w:ilvl="0">
      <w:lvlJc w:val="left"/>
      <w:lvlText w:val="•"/>
      <w:numFmt w:val="bullet"/>
      <w:start w:val="1"/>
    </w:lvl>
  </w:abstractNum>
  <w:abstractNum w:abstractNumId="33">
    <w:nsid w:val="4FA0D2E3"/>
    <w:multiLevelType w:val="hybridMultilevel"/>
    <w:lvl w:ilvl="0">
      <w:lvlJc w:val="left"/>
      <w:lvlText w:val="•"/>
      <w:numFmt w:val="bullet"/>
      <w:start w:val="1"/>
    </w:lvl>
  </w:abstractNum>
  <w:abstractNum w:abstractNumId="34">
    <w:nsid w:val="6B1D2C14"/>
    <w:multiLevelType w:val="hybridMultilevel"/>
    <w:lvl w:ilvl="0">
      <w:lvlJc w:val="left"/>
      <w:lvlText w:val="(%1)"/>
      <w:numFmt w:val="decimal"/>
      <w:start w:val="1"/>
    </w:lvl>
  </w:abstractNum>
  <w:abstractNum w:abstractNumId="35">
    <w:nsid w:val="68B867D3"/>
    <w:multiLevelType w:val="hybridMultilevel"/>
    <w:lvl w:ilvl="0">
      <w:lvlJc w:val="left"/>
      <w:lvlText w:val="(%1)"/>
      <w:numFmt w:val="decimal"/>
      <w:start w:val="1"/>
    </w:lvl>
  </w:abstractNum>
  <w:abstractNum w:abstractNumId="36">
    <w:nsid w:val="3F7F5DD9"/>
    <w:multiLevelType w:val="hybridMultilevel"/>
    <w:lvl w:ilvl="0">
      <w:lvlJc w:val="left"/>
      <w:lvlText w:val="•"/>
      <w:numFmt w:val="bullet"/>
      <w:start w:val="1"/>
    </w:lvl>
  </w:abstractNum>
  <w:abstractNum w:abstractNumId="37">
    <w:nsid w:val="2AE05A34"/>
    <w:multiLevelType w:val="hybridMultilevel"/>
    <w:lvl w:ilvl="0">
      <w:lvlJc w:val="left"/>
      <w:lvlText w:val="•"/>
      <w:numFmt w:val="bullet"/>
      <w:start w:val="1"/>
    </w:lvl>
  </w:abstractNum>
  <w:abstractNum w:abstractNumId="38">
    <w:nsid w:val="32794FF7"/>
    <w:multiLevelType w:val="hybridMultilevel"/>
    <w:lvl w:ilvl="0">
      <w:lvlJc w:val="left"/>
      <w:lvlText w:val="•"/>
      <w:numFmt w:val="bullet"/>
      <w:start w:val="1"/>
    </w:lvl>
  </w:abstractNum>
  <w:abstractNum w:abstractNumId="39">
    <w:nsid w:val="5454945E"/>
    <w:multiLevelType w:val="hybridMultilevel"/>
    <w:lvl w:ilvl="0">
      <w:lvlJc w:val="left"/>
      <w:lvlText w:val="•"/>
      <w:numFmt w:val="bullet"/>
      <w:start w:val="1"/>
    </w:lvl>
  </w:abstractNum>
  <w:abstractNum w:abstractNumId="40">
    <w:nsid w:val="4DEFDFA0"/>
    <w:multiLevelType w:val="hybridMultilevel"/>
    <w:lvl w:ilvl="0">
      <w:lvlJc w:val="left"/>
      <w:lvlText w:val="(%1)"/>
      <w:numFmt w:val="lowerRoman"/>
      <w:start w:val="3"/>
    </w:lvl>
  </w:abstractNum>
  <w:abstractNum w:abstractNumId="41">
    <w:nsid w:val="2123D5F2"/>
    <w:multiLevelType w:val="hybridMultilevel"/>
    <w:lvl w:ilvl="0">
      <w:lvlJc w:val="left"/>
      <w:lvlText w:val="•"/>
      <w:numFmt w:val="bullet"/>
      <w:start w:val="1"/>
    </w:lvl>
  </w:abstractNum>
  <w:abstractNum w:abstractNumId="42">
    <w:nsid w:val="135B8110"/>
    <w:multiLevelType w:val="hybridMultilevel"/>
    <w:lvl w:ilvl="0">
      <w:lvlJc w:val="left"/>
      <w:lvlText w:val="%1."/>
      <w:numFmt w:val="decimal"/>
      <w:start w:val="1"/>
    </w:lvl>
  </w:abstractNum>
  <w:abstractNum w:abstractNumId="43">
    <w:nsid w:val="94927A8"/>
    <w:multiLevelType w:val="hybridMultilevel"/>
    <w:lvl w:ilvl="0">
      <w:lvlJc w:val="left"/>
      <w:lvlText w:val="•"/>
      <w:numFmt w:val="bullet"/>
      <w:start w:val="1"/>
    </w:lvl>
  </w:abstractNum>
  <w:abstractNum w:abstractNumId="44">
    <w:nsid w:val="DCDF8F6"/>
    <w:multiLevelType w:val="hybridMultilevel"/>
    <w:lvl w:ilvl="0">
      <w:lvlJc w:val="left"/>
      <w:lvlText w:val="%1"/>
      <w:numFmt w:val="decimal"/>
      <w:start w:val="1"/>
    </w:lvl>
    <w:lvl w:ilvl="1">
      <w:lvlJc w:val="left"/>
      <w:lvlText w:val="(%2)"/>
      <w:numFmt w:val="lowerLetter"/>
      <w:start w:val="1"/>
    </w:lvl>
  </w:abstractNum>
  <w:abstractNum w:abstractNumId="45">
    <w:nsid w:val="52D7B105"/>
    <w:multiLevelType w:val="hybridMultilevel"/>
    <w:lvl w:ilvl="0">
      <w:lvlJc w:val="left"/>
      <w:lvlText w:val="%1."/>
      <w:numFmt w:val="decimal"/>
      <w:start w:val="1"/>
    </w:lvl>
    <w:lvl w:ilvl="1">
      <w:lvlJc w:val="left"/>
      <w:lvlText w:val="%2"/>
      <w:numFmt w:val="lowerLetter"/>
      <w:start w:val="1"/>
    </w:lvl>
  </w:abstractNum>
  <w:abstractNum w:abstractNumId="46">
    <w:nsid w:val="2E8A6394"/>
    <w:multiLevelType w:val="hybridMultilevel"/>
    <w:lvl w:ilvl="0">
      <w:lvlJc w:val="left"/>
      <w:lvlText w:val="%1."/>
      <w:numFmt w:val="decimal"/>
      <w:start w:val="2"/>
    </w:lvl>
  </w:abstractNum>
  <w:abstractNum w:abstractNumId="47">
    <w:nsid w:val="24E60401"/>
    <w:multiLevelType w:val="hybridMultilevel"/>
    <w:lvl w:ilvl="0">
      <w:lvlJc w:val="left"/>
      <w:lvlText w:val="†"/>
      <w:numFmt w:val="bullet"/>
      <w:start w:val="1"/>
    </w:lvl>
  </w:abstractNum>
  <w:abstractNum w:abstractNumId="48">
    <w:nsid w:val="2A6AD9BE"/>
    <w:multiLevelType w:val="hybridMultilevel"/>
    <w:lvl w:ilvl="0">
      <w:lvlJc w:val="left"/>
      <w:lvlText w:val="#"/>
      <w:numFmt w:val="bullet"/>
      <w:start w:val="1"/>
    </w:lvl>
  </w:abstractNum>
  <w:abstractNum w:abstractNumId="49">
    <w:nsid w:val="BAAC1B4"/>
    <w:multiLevelType w:val="hybridMultilevel"/>
    <w:lvl w:ilvl="0">
      <w:lvlJc w:val="left"/>
      <w:lvlText w:val="*"/>
      <w:numFmt w:val="bullet"/>
      <w:start w:val="1"/>
    </w:lvl>
  </w:abstractNum>
  <w:abstractNum w:abstractNumId="50">
    <w:nsid w:val="36B2ACBC"/>
    <w:multiLevelType w:val="hybridMultilevel"/>
    <w:lvl w:ilvl="0">
      <w:lvlJc w:val="left"/>
      <w:lvlText w:val="\endash "/>
      <w:numFmt w:val="bullet"/>
      <w:start w:val="1"/>
    </w:lvl>
  </w:abstractNum>
  <w:abstractNum w:abstractNumId="51">
    <w:nsid w:val="779D8544"/>
    <w:multiLevelType w:val="hybridMultilevel"/>
    <w:lvl w:ilvl="0">
      <w:lvlJc w:val="left"/>
      <w:lvlText w:val="\endash "/>
      <w:numFmt w:val="bullet"/>
      <w:start w:val="1"/>
    </w:lvl>
  </w:abstractNum>
  <w:abstractNum w:abstractNumId="52">
    <w:nsid w:val="4AB26E78"/>
    <w:multiLevelType w:val="hybridMultilevel"/>
    <w:lvl w:ilvl="0">
      <w:lvlJc w:val="left"/>
      <w:lvlText w:val="•"/>
      <w:numFmt w:val="bullet"/>
      <w:start w:val="1"/>
    </w:lvl>
  </w:abstractNum>
  <w:abstractNum w:abstractNumId="53">
    <w:nsid w:val="21FAA2FA"/>
    <w:multiLevelType w:val="hybridMultilevel"/>
    <w:lvl w:ilvl="0">
      <w:lvlJc w:val="left"/>
      <w:lvlText w:val="•"/>
      <w:numFmt w:val="bullet"/>
      <w:start w:val="1"/>
    </w:lvl>
  </w:abstractNum>
  <w:abstractNum w:abstractNumId="54">
    <w:nsid w:val="5451CF49"/>
    <w:multiLevelType w:val="hybridMultilevel"/>
    <w:lvl w:ilvl="0">
      <w:lvlJc w:val="left"/>
      <w:lvlText w:val="%1."/>
      <w:numFmt w:val="decimal"/>
      <w:start w:val="3"/>
    </w:lvl>
  </w:abstractNum>
  <w:abstractNum w:abstractNumId="55">
    <w:nsid w:val="6181EF69"/>
    <w:multiLevelType w:val="hybridMultilevel"/>
    <w:lvl w:ilvl="0">
      <w:lvlJc w:val="left"/>
      <w:lvlText w:val="$"/>
      <w:numFmt w:val="bullet"/>
      <w:start w:val="1"/>
    </w:lvl>
  </w:abstractNum>
  <w:abstractNum w:abstractNumId="56">
    <w:nsid w:val="3E6400E6"/>
    <w:multiLevelType w:val="hybridMultilevel"/>
    <w:lvl w:ilvl="0">
      <w:lvlJc w:val="left"/>
      <w:lvlText w:val="(%1)"/>
      <w:numFmt w:val="decimal"/>
      <w:start w:val="1"/>
    </w:lvl>
  </w:abstractNum>
  <w:abstractNum w:abstractNumId="57">
    <w:nsid w:val="14217E23"/>
    <w:multiLevelType w:val="hybridMultilevel"/>
    <w:lvl w:ilvl="0">
      <w:lvlJc w:val="left"/>
      <w:lvlText w:val="(%1)"/>
      <w:numFmt w:val="lowerRoman"/>
      <w:start w:val="3"/>
    </w:lvl>
  </w:abstractNum>
  <w:abstractNum w:abstractNumId="58">
    <w:nsid w:val="710757D0"/>
    <w:multiLevelType w:val="hybridMultilevel"/>
    <w:lvl w:ilvl="0">
      <w:lvlJc w:val="left"/>
      <w:lvlText w:val="(%1)"/>
      <w:numFmt w:val="decimal"/>
      <w:start w:val="1"/>
    </w:lvl>
  </w:abstractNum>
  <w:abstractNum w:abstractNumId="59">
    <w:nsid w:val="5015CD1A"/>
    <w:multiLevelType w:val="hybridMultilevel"/>
    <w:lvl w:ilvl="0">
      <w:lvlJc w:val="left"/>
      <w:lvlText w:val="\emdash "/>
      <w:numFmt w:val="bullet"/>
      <w:start w:val="1"/>
    </w:lvl>
  </w:abstractNum>
  <w:abstractNum w:abstractNumId="60">
    <w:nsid w:val="424479DA"/>
    <w:multiLevelType w:val="hybridMultilevel"/>
    <w:lvl w:ilvl="0">
      <w:lvlJc w:val="left"/>
      <w:lvlText w:val="(%1)"/>
      <w:numFmt w:val="decimal"/>
      <w:start w:val="1"/>
    </w:lvl>
  </w:abstractNum>
  <w:abstractNum w:abstractNumId="61">
    <w:nsid w:val="1A9A9E69"/>
    <w:multiLevelType w:val="hybridMultilevel"/>
    <w:lvl w:ilvl="0">
      <w:lvlJc w:val="left"/>
      <w:lvlText w:val="(%1)"/>
      <w:numFmt w:val="decimal"/>
      <w:start w:val="1"/>
    </w:lvl>
  </w:abstractNum>
  <w:abstractNum w:abstractNumId="62">
    <w:nsid w:val="475E256A"/>
    <w:multiLevelType w:val="hybridMultilevel"/>
    <w:lvl w:ilvl="0">
      <w:lvlJc w:val="left"/>
      <w:lvlText w:val="•"/>
      <w:numFmt w:val="bullet"/>
      <w:start w:val="1"/>
    </w:lvl>
  </w:abstractNum>
  <w:abstractNum w:abstractNumId="63">
    <w:nsid w:val="368DB37E"/>
    <w:multiLevelType w:val="hybridMultilevel"/>
    <w:lvl w:ilvl="0">
      <w:lvlJc w:val="left"/>
      <w:lvlText w:val="(%1)"/>
      <w:numFmt w:val="lowerRoman"/>
      <w:start w:val="4"/>
    </w:lvl>
  </w:abstractNum>
  <w:abstractNum w:abstractNumId="64">
    <w:nsid w:val="6A3B714C"/>
    <w:multiLevelType w:val="hybridMultilevel"/>
    <w:lvl w:ilvl="0">
      <w:lvlJc w:val="left"/>
      <w:lvlText w:val="•"/>
      <w:numFmt w:val="bullet"/>
      <w:start w:val="1"/>
    </w:lvl>
  </w:abstractNum>
  <w:abstractNum w:abstractNumId="65">
    <w:nsid w:val="327B517E"/>
    <w:multiLevelType w:val="hybridMultilevel"/>
    <w:lvl w:ilvl="0">
      <w:lvlJc w:val="left"/>
      <w:lvlText w:val="•"/>
      <w:numFmt w:val="bullet"/>
      <w:start w:val="1"/>
    </w:lvl>
  </w:abstractNum>
  <w:abstractNum w:abstractNumId="66">
    <w:nsid w:val="1F461B51"/>
    <w:multiLevelType w:val="hybridMultilevel"/>
    <w:lvl w:ilvl="0">
      <w:lvlJc w:val="left"/>
      <w:lvlText w:val="•"/>
      <w:numFmt w:val="bullet"/>
      <w:start w:val="1"/>
    </w:lvl>
  </w:abstractNum>
  <w:abstractNum w:abstractNumId="67">
    <w:nsid w:val="29BACF25"/>
    <w:multiLevelType w:val="hybridMultilevel"/>
    <w:lvl w:ilvl="0">
      <w:lvlJc w:val="left"/>
      <w:lvlText w:val="•"/>
      <w:numFmt w:val="bullet"/>
      <w:start w:val="1"/>
    </w:lvl>
  </w:abstractNum>
  <w:abstractNum w:abstractNumId="68">
    <w:nsid w:val="5D5BABB3"/>
    <w:multiLevelType w:val="hybridMultilevel"/>
    <w:lvl w:ilvl="0">
      <w:lvlJc w:val="left"/>
      <w:lvlText w:val="•"/>
      <w:numFmt w:val="bullet"/>
      <w:start w:val="1"/>
    </w:lvl>
  </w:abstractNum>
  <w:abstractNum w:abstractNumId="69">
    <w:nsid w:val="51BF6B48"/>
    <w:multiLevelType w:val="hybridMultilevel"/>
    <w:lvl w:ilvl="0">
      <w:lvlJc w:val="left"/>
      <w:lvlText w:val="•"/>
      <w:numFmt w:val="bullet"/>
      <w:start w:val="1"/>
    </w:lvl>
  </w:abstractNum>
  <w:abstractNum w:abstractNumId="70">
    <w:nsid w:val="7E0F6384"/>
    <w:multiLevelType w:val="hybridMultilevel"/>
    <w:lvl w:ilvl="0">
      <w:lvlJc w:val="left"/>
      <w:lvlText w:val="%1."/>
      <w:numFmt w:val="decimal"/>
      <w:start w:val="1"/>
    </w:lvl>
  </w:abstractNum>
  <w:abstractNum w:abstractNumId="71">
    <w:nsid w:val="2B4B8B53"/>
    <w:multiLevelType w:val="hybridMultilevel"/>
    <w:lvl w:ilvl="0">
      <w:lvlJc w:val="left"/>
      <w:lvlText w:val="%1."/>
      <w:numFmt w:val="decimal"/>
      <w:start w:val="2"/>
    </w:lvl>
  </w:abstractNum>
  <w:abstractNum w:abstractNumId="72">
    <w:nsid w:val="72E3413A"/>
    <w:multiLevelType w:val="hybridMultilevel"/>
    <w:lvl w:ilvl="0">
      <w:lvlJc w:val="left"/>
      <w:lvlText w:val="%1."/>
      <w:numFmt w:val="decimal"/>
      <w:start w:val="3"/>
    </w:lvl>
  </w:abstractNum>
  <w:abstractNum w:abstractNumId="73">
    <w:nsid w:val="116AE494"/>
    <w:multiLevelType w:val="hybridMultilevel"/>
    <w:lvl w:ilvl="0">
      <w:lvlJc w:val="left"/>
      <w:lvlText w:val="%1."/>
      <w:numFmt w:val="decimal"/>
      <w:start w:val="4"/>
    </w:lvl>
  </w:abstractNum>
  <w:abstractNum w:abstractNumId="74">
    <w:nsid w:val="3494B2FB"/>
    <w:multiLevelType w:val="hybridMultilevel"/>
    <w:lvl w:ilvl="0">
      <w:lvlJc w:val="left"/>
      <w:lvlText w:val="%1."/>
      <w:numFmt w:val="decimal"/>
      <w:start w:val="5"/>
    </w:lvl>
  </w:abstractNum>
  <w:abstractNum w:abstractNumId="75">
    <w:nsid w:val="B13A31"/>
    <w:multiLevelType w:val="hybridMultilevel"/>
    <w:lvl w:ilvl="0">
      <w:lvlJc w:val="left"/>
      <w:lvlText w:val="%1."/>
      <w:numFmt w:val="decimal"/>
      <w:start w:val="6"/>
    </w:lvl>
  </w:abstractNum>
  <w:abstractNum w:abstractNumId="76">
    <w:nsid w:val="64429599"/>
    <w:multiLevelType w:val="hybridMultilevel"/>
    <w:lvl w:ilvl="0">
      <w:lvlJc w:val="left"/>
      <w:lvlText w:val="6.%1."/>
      <w:numFmt w:val="decimal"/>
      <w:start w:val="1"/>
    </w:lvl>
  </w:abstractNum>
  <w:abstractNum w:abstractNumId="77">
    <w:nsid w:val="631F1690"/>
    <w:multiLevelType w:val="hybridMultilevel"/>
    <w:lvl w:ilvl="0">
      <w:lvlJc w:val="left"/>
      <w:lvlText w:val="(%1)"/>
      <w:numFmt w:val="lowerRoman"/>
      <w:start w:val="1"/>
    </w:lvl>
  </w:abstractNum>
  <w:abstractNum w:abstractNumId="78">
    <w:nsid w:val="25973E32"/>
    <w:multiLevelType w:val="hybridMultilevel"/>
    <w:lvl w:ilvl="0">
      <w:lvlJc w:val="left"/>
      <w:lvlText w:val="%1."/>
      <w:numFmt w:val="decimal"/>
      <w:start w:val="7"/>
    </w:lvl>
  </w:abstractNum>
  <w:abstractNum w:abstractNumId="79">
    <w:nsid w:val="EAD6F57"/>
    <w:multiLevelType w:val="hybridMultilevel"/>
    <w:lvl w:ilvl="0">
      <w:lvlJc w:val="left"/>
      <w:lvlText w:val="%1."/>
      <w:numFmt w:val="decimal"/>
      <w:start w:val="8"/>
    </w:lvl>
  </w:abstractNum>
  <w:abstractNum w:abstractNumId="80">
    <w:nsid w:val="6EC9D844"/>
    <w:multiLevelType w:val="hybridMultilevel"/>
    <w:lvl w:ilvl="0">
      <w:lvlJc w:val="left"/>
      <w:lvlText w:val="%1."/>
      <w:numFmt w:val="decimal"/>
      <w:start w:val="9"/>
    </w:lvl>
  </w:abstractNum>
  <w:abstractNum w:abstractNumId="81">
    <w:nsid w:val="5C49EAEE"/>
    <w:multiLevelType w:val="hybridMultilevel"/>
    <w:lvl w:ilvl="0">
      <w:lvlJc w:val="left"/>
      <w:lvlText w:val="%1."/>
      <w:numFmt w:val="decimal"/>
      <w:start w:val="10"/>
    </w:lvl>
  </w:abstractNum>
  <w:abstractNum w:abstractNumId="82">
    <w:nsid w:val="64AF49B"/>
    <w:multiLevelType w:val="hybridMultilevel"/>
    <w:lvl w:ilvl="0">
      <w:lvlJc w:val="left"/>
      <w:lvlText w:val="%1."/>
      <w:numFmt w:val="decimal"/>
      <w:start w:val="11"/>
    </w:lvl>
  </w:abstractNum>
  <w:abstractNum w:abstractNumId="83">
    <w:nsid w:val="397C46BC"/>
    <w:multiLevelType w:val="hybridMultilevel"/>
    <w:lvl w:ilvl="0">
      <w:lvlJc w:val="left"/>
      <w:lvlText w:val="%1."/>
      <w:numFmt w:val="decimal"/>
      <w:start w:val="12"/>
    </w:lvl>
  </w:abstractNum>
  <w:abstractNum w:abstractNumId="84">
    <w:nsid w:val="7E448DE9"/>
    <w:multiLevelType w:val="hybridMultilevel"/>
    <w:lvl w:ilvl="0">
      <w:lvlJc w:val="left"/>
      <w:lvlText w:val="%1."/>
      <w:numFmt w:val="decimal"/>
      <w:start w:val="13"/>
    </w:lvl>
  </w:abstractNum>
  <w:abstractNum w:abstractNumId="85">
    <w:nsid w:val="5A9CC3E5"/>
    <w:multiLevelType w:val="hybridMultilevel"/>
    <w:lvl w:ilvl="0">
      <w:lvlJc w:val="left"/>
      <w:lvlText w:val="%1."/>
      <w:numFmt w:val="decimal"/>
      <w:start w:val="14"/>
    </w:lvl>
  </w:abstractNum>
  <w:abstractNum w:abstractNumId="86">
    <w:nsid w:val="1AFE3625"/>
    <w:multiLevelType w:val="hybridMultilevel"/>
    <w:lvl w:ilvl="0">
      <w:lvlJc w:val="left"/>
      <w:lvlText w:val="%1."/>
      <w:numFmt w:val="decimal"/>
      <w:start w:val="15"/>
    </w:lvl>
  </w:abstractNum>
  <w:abstractNum w:abstractNumId="87">
    <w:nsid w:val="3CA88ECF"/>
    <w:multiLevelType w:val="hybridMultilevel"/>
    <w:lvl w:ilvl="0">
      <w:lvlJc w:val="left"/>
      <w:lvlText w:val="%1."/>
      <w:numFmt w:val="decimal"/>
      <w:start w:val="16"/>
    </w:lvl>
  </w:abstractNum>
  <w:abstractNum w:abstractNumId="88">
    <w:nsid w:val="6EBE4208"/>
    <w:multiLevelType w:val="hybridMultilevel"/>
    <w:lvl w:ilvl="0">
      <w:lvlJc w:val="left"/>
      <w:lvlText w:val="%1."/>
      <w:numFmt w:val="decimal"/>
      <w:start w:val="17"/>
    </w:lvl>
  </w:abstractNum>
  <w:abstractNum w:abstractNumId="89">
    <w:nsid w:val="C058DF5"/>
    <w:multiLevelType w:val="hybridMultilevel"/>
    <w:lvl w:ilvl="0">
      <w:lvlJc w:val="left"/>
      <w:lvlText w:val="%1."/>
      <w:numFmt w:val="decimal"/>
      <w:start w:val="18"/>
    </w:lvl>
  </w:abstractNum>
  <w:abstractNum w:abstractNumId="90">
    <w:nsid w:val="CBE5BE9"/>
    <w:multiLevelType w:val="hybridMultilevel"/>
    <w:lvl w:ilvl="0">
      <w:lvlJc w:val="left"/>
      <w:lvlText w:val="%1."/>
      <w:numFmt w:val="decimal"/>
      <w:start w:val="19"/>
    </w:lvl>
  </w:abstractNum>
  <w:abstractNum w:abstractNumId="91">
    <w:nsid w:val="3102BBE2"/>
    <w:multiLevelType w:val="hybridMultilevel"/>
    <w:lvl w:ilvl="0">
      <w:lvlJc w:val="left"/>
      <w:lvlText w:val="%1."/>
      <w:numFmt w:val="decimal"/>
      <w:start w:val="20"/>
    </w:lvl>
  </w:abstractNum>
  <w:abstractNum w:abstractNumId="92">
    <w:nsid w:val="26A02C5E"/>
    <w:multiLevelType w:val="hybridMultilevel"/>
    <w:lvl w:ilvl="0">
      <w:lvlJc w:val="left"/>
      <w:lvlText w:val="%1."/>
      <w:numFmt w:val="decimal"/>
      <w:start w:val="21"/>
    </w:lvl>
  </w:abstractNum>
  <w:abstractNum w:abstractNumId="93">
    <w:nsid w:val="541C8153"/>
    <w:multiLevelType w:val="hybridMultilevel"/>
    <w:lvl w:ilvl="0">
      <w:lvlJc w:val="left"/>
      <w:lvlText w:val="%1."/>
      <w:numFmt w:val="decimal"/>
      <w:start w:val="22"/>
    </w:lvl>
  </w:abstractNum>
  <w:abstractNum w:abstractNumId="94">
    <w:nsid w:val="67906F60"/>
    <w:multiLevelType w:val="hybridMultilevel"/>
    <w:lvl w:ilvl="0">
      <w:lvlJc w:val="left"/>
      <w:lvlText w:val="%1."/>
      <w:numFmt w:val="decimal"/>
      <w:start w:val="23"/>
    </w:lvl>
  </w:abstractNum>
  <w:abstractNum w:abstractNumId="95">
    <w:nsid w:val="10DB9DAA"/>
    <w:multiLevelType w:val="hybridMultilevel"/>
    <w:lvl w:ilvl="0">
      <w:lvlJc w:val="left"/>
      <w:lvlText w:val="•"/>
      <w:numFmt w:val="bullet"/>
      <w:start w:val="1"/>
    </w:lvl>
  </w:abstractNum>
  <w:abstractNum w:abstractNumId="96">
    <w:nsid w:val="697D2D2"/>
    <w:multiLevelType w:val="hybridMultilevel"/>
    <w:lvl w:ilvl="0">
      <w:lvlJc w:val="left"/>
      <w:lvlText w:val="(%1)"/>
      <w:numFmt w:val="lowerRoman"/>
      <w:start w:val="1"/>
    </w:lvl>
  </w:abstractNum>
  <w:abstractNum w:abstractNumId="97">
    <w:nsid w:val="6D68AB2"/>
    <w:multiLevelType w:val="hybridMultilevel"/>
    <w:lvl w:ilvl="0">
      <w:lvlJc w:val="left"/>
      <w:lvlText w:val="(%1)"/>
      <w:numFmt w:val="lowerRoman"/>
      <w:start w:val="1"/>
    </w:lvl>
  </w:abstractNum>
  <w:abstractNum w:abstractNumId="98">
    <w:nsid w:val="3A966CD0"/>
    <w:multiLevelType w:val="hybridMultilevel"/>
    <w:lvl w:ilvl="0">
      <w:lvlJc w:val="left"/>
      <w:lvlText w:val="(%1)"/>
      <w:numFmt w:val="lowerRoman"/>
      <w:start w:val="1"/>
    </w:lvl>
  </w:abstractNum>
  <w:abstractNum w:abstractNumId="99">
    <w:nsid w:val="63F37E85"/>
    <w:multiLevelType w:val="hybridMultilevel"/>
    <w:lvl w:ilvl="0">
      <w:lvlJc w:val="left"/>
      <w:lvlText w:val="(%1)"/>
      <w:numFmt w:val="lowerRoman"/>
      <w:start w:val="1"/>
    </w:lvl>
  </w:abstractNum>
  <w:abstractNum w:abstractNumId="100">
    <w:nsid w:val="5895F5FA"/>
    <w:multiLevelType w:val="hybridMultilevel"/>
    <w:lvl w:ilvl="0">
      <w:lvlJc w:val="left"/>
      <w:lvlText w:val="%1."/>
      <w:numFmt w:val="decimal"/>
      <w:start w:val="24"/>
    </w:lvl>
  </w:abstractNum>
  <w:abstractNum w:abstractNumId="101">
    <w:nsid w:val="38A5D054"/>
    <w:multiLevelType w:val="hybridMultilevel"/>
    <w:lvl w:ilvl="0">
      <w:lvlJc w:val="left"/>
      <w:lvlText w:val="%1."/>
      <w:numFmt w:val="decimal"/>
      <w:start w:val="25"/>
    </w:lvl>
  </w:abstractNum>
  <w:abstractNum w:abstractNumId="102">
    <w:nsid w:val="F3F09D8"/>
    <w:multiLevelType w:val="hybridMultilevel"/>
    <w:lvl w:ilvl="0">
      <w:lvlJc w:val="left"/>
      <w:lvlText w:val="%1."/>
      <w:numFmt w:val="decimal"/>
      <w:start w:val="26"/>
    </w:lvl>
  </w:abstractNum>
  <w:abstractNum w:abstractNumId="103">
    <w:nsid w:val="4B793735"/>
    <w:multiLevelType w:val="hybridMultilevel"/>
    <w:lvl w:ilvl="0">
      <w:lvlJc w:val="left"/>
      <w:lvlText w:val="%1."/>
      <w:numFmt w:val="decimal"/>
      <w:start w:val="27"/>
    </w:lvl>
  </w:abstractNum>
  <w:abstractNum w:abstractNumId="104">
    <w:nsid w:val="4A10B4E8"/>
    <w:multiLevelType w:val="hybridMultilevel"/>
    <w:lvl w:ilvl="0">
      <w:lvlJc w:val="left"/>
      <w:lvlText w:val="%1."/>
      <w:numFmt w:val="decimal"/>
      <w:start w:val="28"/>
    </w:lvl>
  </w:abstractNum>
  <w:abstractNum w:abstractNumId="105">
    <w:nsid w:val="43D3BCD4"/>
    <w:multiLevelType w:val="hybridMultilevel"/>
    <w:lvl w:ilvl="0">
      <w:lvlJc w:val="left"/>
      <w:lvlText w:val="%1."/>
      <w:numFmt w:val="decimal"/>
      <w:start w:val="29"/>
    </w:lvl>
  </w:abstractNum>
  <w:abstractNum w:abstractNumId="106">
    <w:nsid w:val="4C2A7166"/>
    <w:multiLevelType w:val="hybridMultilevel"/>
    <w:lvl w:ilvl="0">
      <w:lvlJc w:val="left"/>
      <w:lvlText w:val="%1."/>
      <w:numFmt w:val="decimal"/>
      <w:start w:val="30"/>
    </w:lvl>
  </w:abstractNum>
  <w:abstractNum w:abstractNumId="107">
    <w:nsid w:val="2E534A82"/>
    <w:multiLevelType w:val="hybridMultilevel"/>
    <w:lvl w:ilvl="0">
      <w:lvlJc w:val="left"/>
      <w:lvlText w:val="%1."/>
      <w:numFmt w:val="decimal"/>
      <w:start w:val="1"/>
    </w:lvl>
  </w:abstractNum>
  <w:abstractNum w:abstractNumId="108">
    <w:nsid w:val="26F2D364"/>
    <w:multiLevelType w:val="hybridMultilevel"/>
    <w:lvl w:ilvl="0">
      <w:lvlJc w:val="left"/>
      <w:lvlText w:val="%1."/>
      <w:numFmt w:val="decimal"/>
      <w:start w:val="6"/>
    </w:lvl>
  </w:abstractNum>
  <w:abstractNum w:abstractNumId="109">
    <w:nsid w:val="71C1AF98"/>
    <w:multiLevelType w:val="hybridMultilevel"/>
    <w:lvl w:ilvl="0">
      <w:lvlJc w:val="left"/>
      <w:lvlText w:val="%1."/>
      <w:numFmt w:val="decimal"/>
      <w:start w:val="1"/>
    </w:lvl>
  </w:abstractNum>
  <w:abstractNum w:abstractNumId="110">
    <w:nsid w:val="3D00B9D9"/>
    <w:multiLevelType w:val="hybridMultilevel"/>
    <w:lvl w:ilvl="0">
      <w:lvlJc w:val="left"/>
      <w:lvlText w:val="(%1)"/>
      <w:numFmt w:val="lowerLetter"/>
      <w:start w:val="1"/>
    </w:lvl>
  </w:abstractNum>
  <w:abstractNum w:abstractNumId="111">
    <w:nsid w:val="15BCABA8"/>
    <w:multiLevelType w:val="hybridMultilevel"/>
    <w:lvl w:ilvl="0">
      <w:lvlJc w:val="left"/>
      <w:lvlText w:val="%1."/>
      <w:numFmt w:val="decimal"/>
      <w:start w:val="2"/>
    </w:lvl>
  </w:abstractNum>
  <w:abstractNum w:abstractNumId="112">
    <w:nsid w:val="4E0B9A87"/>
    <w:multiLevelType w:val="hybridMultilevel"/>
    <w:lvl w:ilvl="0">
      <w:lvlJc w:val="left"/>
      <w:lvlText w:val="(%1)"/>
      <w:numFmt w:val="lowerLetter"/>
      <w:start w:val="1"/>
    </w:lvl>
  </w:abstractNum>
  <w:abstractNum w:abstractNumId="113">
    <w:nsid w:val="434BAE75"/>
    <w:multiLevelType w:val="hybridMultilevel"/>
    <w:lvl w:ilvl="0">
      <w:lvlJc w:val="left"/>
      <w:lvlText w:val="(%1)"/>
      <w:numFmt w:val="lowerRoman"/>
      <w:start w:val="1"/>
    </w:lvl>
  </w:abstractNum>
  <w:abstractNum w:abstractNumId="114">
    <w:nsid w:val="4F38F265"/>
    <w:multiLevelType w:val="hybridMultilevel"/>
    <w:lvl w:ilvl="0">
      <w:lvlJc w:val="left"/>
      <w:lvlText w:val="(%1)"/>
      <w:numFmt w:val="lowerRoman"/>
      <w:start w:val="3"/>
    </w:lvl>
  </w:abstractNum>
  <w:abstractNum w:abstractNumId="115">
    <w:nsid w:val="4C502870"/>
    <w:multiLevelType w:val="hybridMultilevel"/>
    <w:lvl w:ilvl="0">
      <w:lvlJc w:val="left"/>
      <w:lvlText w:val="(%1)"/>
      <w:numFmt w:val="lowerRoman"/>
      <w:start w:val="10"/>
    </w:lvl>
  </w:abstractNum>
  <w:abstractNum w:abstractNumId="116">
    <w:nsid w:val="1DE8725A"/>
    <w:multiLevelType w:val="hybridMultilevel"/>
    <w:lvl w:ilvl="0">
      <w:lvlJc w:val="left"/>
      <w:lvlText w:val="(%1)"/>
      <w:numFmt w:val="lowerLetter"/>
      <w:start w:val="3"/>
    </w:lvl>
  </w:abstractNum>
  <w:abstractNum w:abstractNumId="117">
    <w:nsid w:val="6A37288A"/>
    <w:multiLevelType w:val="hybridMultilevel"/>
    <w:lvl w:ilvl="0">
      <w:lvlJc w:val="left"/>
      <w:lvlText w:val="(%1)"/>
      <w:numFmt w:val="lowerRoman"/>
      <w:start w:val="1"/>
    </w:lvl>
  </w:abstractNum>
  <w:abstractNum w:abstractNumId="118">
    <w:nsid w:val="8F8B73F"/>
    <w:multiLevelType w:val="hybridMultilevel"/>
    <w:lvl w:ilvl="0">
      <w:lvlJc w:val="left"/>
      <w:lvlText w:val="(%1)"/>
      <w:numFmt w:val="lowerLetter"/>
      <w:start w:val="4"/>
    </w:lvl>
  </w:abstractNum>
  <w:abstractNum w:abstractNumId="119">
    <w:nsid w:val="CA6B462"/>
    <w:multiLevelType w:val="hybridMultilevel"/>
    <w:lvl w:ilvl="0">
      <w:lvlJc w:val="left"/>
      <w:lvlText w:val="%1."/>
      <w:numFmt w:val="decimal"/>
      <w:start w:val="3"/>
    </w:lvl>
  </w:abstractNum>
  <w:abstractNum w:abstractNumId="120">
    <w:nsid w:val="763CB680"/>
    <w:multiLevelType w:val="hybridMultilevel"/>
    <w:lvl w:ilvl="0">
      <w:lvlJc w:val="left"/>
      <w:lvlText w:val="(%1)"/>
      <w:numFmt w:val="lowerLetter"/>
      <w:start w:val="1"/>
    </w:lvl>
  </w:abstractNum>
  <w:abstractNum w:abstractNumId="121">
    <w:nsid w:val="15B71329"/>
    <w:multiLevelType w:val="hybridMultilevel"/>
    <w:lvl w:ilvl="0">
      <w:lvlJc w:val="left"/>
      <w:lvlText w:val="(%1)"/>
      <w:numFmt w:val="lowerLetter"/>
      <w:start w:val="35"/>
    </w:lvl>
  </w:abstractNum>
  <w:abstractNum w:abstractNumId="122">
    <w:nsid w:val="3DA97044"/>
    <w:multiLevelType w:val="hybridMultilevel"/>
    <w:lvl w:ilvl="0">
      <w:lvlJc w:val="left"/>
      <w:lvlText w:val="(%1)"/>
      <w:numFmt w:val="lowerLetter"/>
      <w:start w:val="2"/>
    </w:lvl>
  </w:abstractNum>
  <w:abstractNum w:abstractNumId="123">
    <w:nsid w:val="1CDCE2DE"/>
    <w:multiLevelType w:val="hybridMultilevel"/>
    <w:lvl w:ilvl="0">
      <w:lvlJc w:val="left"/>
      <w:lvlText w:val="(%1)"/>
      <w:numFmt w:val="lowerLetter"/>
      <w:start w:val="5"/>
    </w:lvl>
  </w:abstractNum>
  <w:abstractNum w:abstractNumId="124">
    <w:nsid w:val="69D3947C"/>
    <w:multiLevelType w:val="hybridMultilevel"/>
    <w:lvl w:ilvl="0">
      <w:lvlJc w:val="left"/>
      <w:lvlText w:val="%1."/>
      <w:numFmt w:val="decimal"/>
      <w:start w:val="4"/>
    </w:lvl>
  </w:abstractNum>
  <w:abstractNum w:abstractNumId="125">
    <w:nsid w:val="2539DFA5"/>
    <w:multiLevelType w:val="hybridMultilevel"/>
    <w:lvl w:ilvl="0">
      <w:lvlJc w:val="left"/>
      <w:lvlText w:val="(%1)"/>
      <w:numFmt w:val="lowerLetter"/>
      <w:start w:val="1"/>
    </w:lvl>
  </w:abstractNum>
  <w:abstractNum w:abstractNumId="126">
    <w:nsid w:val="2DB88089"/>
    <w:multiLevelType w:val="hybridMultilevel"/>
    <w:lvl w:ilvl="0">
      <w:lvlJc w:val="left"/>
      <w:lvlText w:val="%1."/>
      <w:numFmt w:val="decimal"/>
      <w:start w:val="5"/>
    </w:lvl>
  </w:abstractNum>
  <w:abstractNum w:abstractNumId="127">
    <w:nsid w:val="706B674E"/>
    <w:multiLevelType w:val="hybridMultilevel"/>
    <w:lvl w:ilvl="0">
      <w:lvlJc w:val="left"/>
      <w:lvlText w:val="(%1)"/>
      <w:numFmt w:val="lowerLetter"/>
      <w:start w:val="1"/>
    </w:lvl>
  </w:abstractNum>
  <w:abstractNum w:abstractNumId="128">
    <w:nsid w:val="2C106A57"/>
    <w:multiLevelType w:val="hybridMultilevel"/>
    <w:lvl w:ilvl="0">
      <w:lvlJc w:val="left"/>
      <w:lvlText w:val="(%1)"/>
      <w:numFmt w:val="lowerLetter"/>
      <w:start w:val="3"/>
    </w:lvl>
  </w:abstractNum>
  <w:abstractNum w:abstractNumId="129">
    <w:nsid w:val="684EED59"/>
    <w:multiLevelType w:val="hybridMultilevel"/>
    <w:lvl w:ilvl="0">
      <w:lvlJc w:val="left"/>
      <w:lvlText w:val="(%1)"/>
      <w:numFmt w:val="lowerRoman"/>
      <w:start w:val="1"/>
    </w:lvl>
  </w:abstractNum>
  <w:abstractNum w:abstractNumId="130">
    <w:nsid w:val="545EE5D3"/>
    <w:multiLevelType w:val="hybridMultilevel"/>
    <w:lvl w:ilvl="0">
      <w:lvlJc w:val="left"/>
      <w:lvlText w:val="(%1)"/>
      <w:numFmt w:val="lowerLetter"/>
      <w:start w:val="4"/>
    </w:lvl>
  </w:abstractNum>
  <w:abstractNum w:abstractNumId="131">
    <w:nsid w:val="4A66051"/>
    <w:multiLevelType w:val="hybridMultilevel"/>
    <w:lvl w:ilvl="0">
      <w:lvlJc w:val="left"/>
      <w:lvlText w:val="(%1)"/>
      <w:numFmt w:val="lowerLetter"/>
      <w:start w:val="5"/>
    </w:lvl>
  </w:abstractNum>
  <w:abstractNum w:abstractNumId="132">
    <w:nsid w:val="20F4BDAD"/>
    <w:multiLevelType w:val="hybridMultilevel"/>
    <w:lvl w:ilvl="0">
      <w:lvlJc w:val="left"/>
      <w:lvlText w:val="(%1)"/>
      <w:numFmt w:val="lowerRoman"/>
      <w:start w:val="1"/>
    </w:lvl>
  </w:abstractNum>
  <w:abstractNum w:abstractNumId="133">
    <w:nsid w:val="639DEFAC"/>
    <w:multiLevelType w:val="hybridMultilevel"/>
    <w:lvl w:ilvl="0">
      <w:lvlJc w:val="left"/>
      <w:lvlText w:val="(%1)"/>
      <w:numFmt w:val="lowerLetter"/>
      <w:start w:val="6"/>
    </w:lvl>
  </w:abstractNum>
  <w:abstractNum w:abstractNumId="134">
    <w:nsid w:val="501F9786"/>
    <w:multiLevelType w:val="hybridMultilevel"/>
    <w:lvl w:ilvl="0">
      <w:lvlJc w:val="left"/>
      <w:lvlText w:val="(%1)"/>
      <w:numFmt w:val="lowerLetter"/>
      <w:start w:val="8"/>
    </w:lvl>
  </w:abstractNum>
  <w:abstractNum w:abstractNumId="135">
    <w:nsid w:val="6B057295"/>
    <w:multiLevelType w:val="hybridMultilevel"/>
    <w:lvl w:ilvl="0">
      <w:lvlJc w:val="left"/>
      <w:lvlText w:val="(%1)"/>
      <w:numFmt w:val="lowerLetter"/>
      <w:start w:val="9"/>
    </w:lvl>
  </w:abstractNum>
  <w:abstractNum w:abstractNumId="136">
    <w:nsid w:val="2771AC80"/>
    <w:multiLevelType w:val="hybridMultilevel"/>
    <w:lvl w:ilvl="0">
      <w:lvlJc w:val="left"/>
      <w:lvlText w:val="(%1)"/>
      <w:numFmt w:val="lowerLetter"/>
      <w:start w:val="12"/>
    </w:lvl>
  </w:abstractNum>
  <w:abstractNum w:abstractNumId="137">
    <w:nsid w:val="1C4A08EC"/>
    <w:multiLevelType w:val="hybridMultilevel"/>
    <w:lvl w:ilvl="0">
      <w:lvlJc w:val="left"/>
      <w:lvlText w:val="%1."/>
      <w:numFmt w:val="decimal"/>
      <w:start w:val="6"/>
    </w:lvl>
  </w:abstractNum>
  <w:abstractNum w:abstractNumId="138">
    <w:nsid w:val="1958BD17"/>
    <w:multiLevelType w:val="hybridMultilevel"/>
    <w:lvl w:ilvl="0">
      <w:lvlJc w:val="left"/>
      <w:lvlText w:val="(%1)"/>
      <w:numFmt w:val="lowerLetter"/>
      <w:start w:val="1"/>
    </w:lvl>
  </w:abstractNum>
  <w:abstractNum w:abstractNumId="139">
    <w:nsid w:val="4E647FE4"/>
    <w:multiLevelType w:val="hybridMultilevel"/>
    <w:lvl w:ilvl="0">
      <w:lvlJc w:val="left"/>
      <w:lvlText w:val="(%1)"/>
      <w:numFmt w:val="lowerRoman"/>
      <w:start w:val="1"/>
    </w:lvl>
  </w:abstractNum>
  <w:abstractNum w:abstractNumId="140">
    <w:nsid w:val="E0BB885"/>
    <w:multiLevelType w:val="hybridMultilevel"/>
    <w:lvl w:ilvl="0">
      <w:lvlJc w:val="left"/>
      <w:lvlText w:val="(%1)"/>
      <w:numFmt w:val="lowerRoman"/>
      <w:start w:val="5"/>
    </w:lvl>
  </w:abstractNum>
  <w:abstractNum w:abstractNumId="141">
    <w:nsid w:val="565976F1"/>
    <w:multiLevelType w:val="hybridMultilevel"/>
    <w:lvl w:ilvl="0">
      <w:lvlJc w:val="left"/>
      <w:lvlText w:val="(%1)"/>
      <w:numFmt w:val="lowerLetter"/>
      <w:start w:val="2"/>
    </w:lvl>
  </w:abstractNum>
  <w:abstractNum w:abstractNumId="142">
    <w:nsid w:val="64212B8C"/>
    <w:multiLevelType w:val="hybridMultilevel"/>
    <w:lvl w:ilvl="0">
      <w:lvlJc w:val="left"/>
      <w:lvlText w:val="(%1)"/>
      <w:numFmt w:val="lowerRoman"/>
      <w:start w:val="1"/>
    </w:lvl>
  </w:abstractNum>
  <w:abstractNum w:abstractNumId="143">
    <w:nsid w:val="5C17530C"/>
    <w:multiLevelType w:val="hybridMultilevel"/>
    <w:lvl w:ilvl="0">
      <w:lvlJc w:val="left"/>
      <w:lvlText w:val="(%1)"/>
      <w:numFmt w:val="lowerLetter"/>
      <w:start w:val="3"/>
    </w:lvl>
  </w:abstractNum>
  <w:abstractNum w:abstractNumId="144">
    <w:nsid w:val="19A52566"/>
    <w:multiLevelType w:val="hybridMultilevel"/>
    <w:lvl w:ilvl="0">
      <w:lvlJc w:val="left"/>
      <w:lvlText w:val="(%1)"/>
      <w:numFmt w:val="lowerRoman"/>
      <w:start w:val="1"/>
    </w:lvl>
  </w:abstractNum>
  <w:abstractNum w:abstractNumId="145">
    <w:nsid w:val="335A1DF1"/>
    <w:multiLevelType w:val="hybridMultilevel"/>
    <w:lvl w:ilvl="0">
      <w:lvlJc w:val="left"/>
      <w:lvlText w:val="(%1)"/>
      <w:numFmt w:val="lowerLetter"/>
      <w:start w:val="4"/>
    </w:lvl>
  </w:abstractNum>
  <w:abstractNum w:abstractNumId="146">
    <w:nsid w:val="28677B7C"/>
    <w:multiLevelType w:val="hybridMultilevel"/>
    <w:lvl w:ilvl="0">
      <w:lvlJc w:val="left"/>
      <w:lvlText w:val="%1."/>
      <w:numFmt w:val="decimal"/>
      <w:start w:val="7"/>
    </w:lvl>
  </w:abstractNum>
  <w:abstractNum w:abstractNumId="147">
    <w:nsid w:val="378D97C0"/>
    <w:multiLevelType w:val="hybridMultilevel"/>
    <w:lvl w:ilvl="0">
      <w:lvlJc w:val="left"/>
      <w:lvlText w:val="(%1)"/>
      <w:numFmt w:val="lowerLetter"/>
      <w:start w:val="1"/>
    </w:lvl>
  </w:abstractNum>
  <w:abstractNum w:abstractNumId="148">
    <w:nsid w:val="1D91467C"/>
    <w:multiLevelType w:val="hybridMultilevel"/>
    <w:lvl w:ilvl="0">
      <w:lvlJc w:val="left"/>
      <w:lvlText w:val="%1."/>
      <w:numFmt w:val="decimal"/>
      <w:start w:val="8"/>
    </w:lvl>
  </w:abstractNum>
  <w:abstractNum w:abstractNumId="149">
    <w:nsid w:val="316032BB"/>
    <w:multiLevelType w:val="hybridMultilevel"/>
    <w:lvl w:ilvl="0">
      <w:lvlJc w:val="left"/>
      <w:lvlText w:val="(%1)"/>
      <w:numFmt w:val="lowerLetter"/>
      <w:start w:val="1"/>
    </w:lvl>
  </w:abstractNum>
  <w:abstractNum w:abstractNumId="150">
    <w:nsid w:val="44344C22"/>
    <w:multiLevelType w:val="hybridMultilevel"/>
    <w:lvl w:ilvl="0">
      <w:lvlJc w:val="left"/>
      <w:lvlText w:val="(%1)"/>
      <w:numFmt w:val="lowerLetter"/>
      <w:start w:val="2"/>
    </w:lvl>
  </w:abstractNum>
  <w:abstractNum w:abstractNumId="151">
    <w:nsid w:val="13CDFCFC"/>
    <w:multiLevelType w:val="hybridMultilevel"/>
    <w:lvl w:ilvl="0">
      <w:lvlJc w:val="left"/>
      <w:lvlText w:val="(%1)"/>
      <w:numFmt w:val="lowerLetter"/>
      <w:start w:val="8"/>
    </w:lvl>
  </w:abstractNum>
  <w:abstractNum w:abstractNumId="152">
    <w:nsid w:val="471745E4"/>
    <w:multiLevelType w:val="hybridMultilevel"/>
    <w:lvl w:ilvl="0">
      <w:lvlJc w:val="left"/>
      <w:lvlText w:val="%1."/>
      <w:numFmt w:val="decimal"/>
      <w:start w:val="9"/>
    </w:lvl>
  </w:abstractNum>
  <w:abstractNum w:abstractNumId="153">
    <w:nsid w:val="1DDBC66"/>
    <w:multiLevelType w:val="hybridMultilevel"/>
    <w:lvl w:ilvl="0">
      <w:lvlJc w:val="left"/>
      <w:lvlText w:val="(%1)"/>
      <w:numFmt w:val="lowerLetter"/>
      <w:start w:val="1"/>
    </w:lvl>
  </w:abstractNum>
  <w:abstractNum w:abstractNumId="154">
    <w:nsid w:val="30AADFDA"/>
    <w:multiLevelType w:val="hybridMultilevel"/>
    <w:lvl w:ilvl="0">
      <w:lvlJc w:val="left"/>
      <w:lvlText w:val="(%1)"/>
      <w:numFmt w:val="lowerLetter"/>
      <w:start w:val="2"/>
    </w:lvl>
  </w:abstractNum>
  <w:abstractNum w:abstractNumId="155">
    <w:nsid w:val="30EADA61"/>
    <w:multiLevelType w:val="hybridMultilevel"/>
    <w:lvl w:ilvl="0">
      <w:lvlJc w:val="left"/>
      <w:lvlText w:val="(%1)"/>
      <w:numFmt w:val="lowerRoman"/>
      <w:start w:val="1"/>
    </w:lvl>
  </w:abstractNum>
  <w:abstractNum w:abstractNumId="156">
    <w:nsid w:val="27179C0B"/>
    <w:multiLevelType w:val="hybridMultilevel"/>
    <w:lvl w:ilvl="0">
      <w:lvlJc w:val="left"/>
      <w:lvlText w:val="(%1)"/>
      <w:numFmt w:val="lowerLetter"/>
      <w:start w:val="4"/>
    </w:lvl>
  </w:abstractNum>
  <w:abstractNum w:abstractNumId="157">
    <w:nsid w:val="5E636063"/>
    <w:multiLevelType w:val="hybridMultilevel"/>
    <w:lvl w:ilvl="0">
      <w:lvlJc w:val="left"/>
      <w:lvlText w:val="%1."/>
      <w:numFmt w:val="decimal"/>
      <w:start w:val="10"/>
    </w:lvl>
  </w:abstractNum>
  <w:abstractNum w:abstractNumId="158">
    <w:nsid w:val="215641AF"/>
    <w:multiLevelType w:val="hybridMultilevel"/>
    <w:lvl w:ilvl="0">
      <w:lvlJc w:val="left"/>
      <w:lvlText w:val="(%1)"/>
      <w:numFmt w:val="lowerLetter"/>
      <w:start w:val="1"/>
    </w:lvl>
  </w:abstractNum>
  <w:abstractNum w:abstractNumId="159">
    <w:nsid w:val="53280662"/>
    <w:multiLevelType w:val="hybridMultilevel"/>
    <w:lvl w:ilvl="0">
      <w:lvlJc w:val="left"/>
      <w:lvlText w:val="%1."/>
      <w:numFmt w:val="decimal"/>
      <w:start w:val="11"/>
    </w:lvl>
  </w:abstractNum>
  <w:abstractNum w:abstractNumId="160">
    <w:nsid w:val="46B24DBC"/>
    <w:multiLevelType w:val="hybridMultilevel"/>
    <w:lvl w:ilvl="0">
      <w:lvlJc w:val="left"/>
      <w:lvlText w:val="%1."/>
      <w:numFmt w:val="decimal"/>
      <w:start w:val="13"/>
    </w:lvl>
  </w:abstractNum>
  <w:abstractNum w:abstractNumId="161">
    <w:nsid w:val="75B52783"/>
    <w:multiLevelType w:val="hybridMultilevel"/>
    <w:lvl w:ilvl="0">
      <w:lvlJc w:val="left"/>
      <w:lvlText w:val="(%1)"/>
      <w:numFmt w:val="lowerLetter"/>
      <w:start w:val="1"/>
    </w:lvl>
  </w:abstractNum>
  <w:abstractNum w:abstractNumId="162">
    <w:nsid w:val="57CE66B4"/>
    <w:multiLevelType w:val="hybridMultilevel"/>
    <w:lvl w:ilvl="0">
      <w:lvlJc w:val="left"/>
      <w:lvlText w:val="(%1)"/>
      <w:numFmt w:val="lowerLetter"/>
      <w:start w:val="6"/>
    </w:lvl>
  </w:abstractNum>
  <w:abstractNum w:abstractNumId="163">
    <w:nsid w:val="67A70B69"/>
    <w:multiLevelType w:val="hybridMultilevel"/>
    <w:lvl w:ilvl="0">
      <w:lvlJc w:val="left"/>
      <w:lvlText w:val="(%1)"/>
      <w:numFmt w:val="lowerRoman"/>
      <w:start w:val="1"/>
    </w:lvl>
  </w:abstractNum>
  <w:abstractNum w:abstractNumId="164">
    <w:nsid w:val="5953172F"/>
    <w:multiLevelType w:val="hybridMultilevel"/>
    <w:lvl w:ilvl="0">
      <w:lvlJc w:val="left"/>
      <w:lvlText w:val="(%1)"/>
      <w:numFmt w:val="lowerRoman"/>
      <w:start w:val="4"/>
    </w:lvl>
  </w:abstractNum>
  <w:abstractNum w:abstractNumId="165">
    <w:nsid w:val="27EDFE3A"/>
    <w:multiLevelType w:val="hybridMultilevel"/>
    <w:lvl w:ilvl="0">
      <w:lvlJc w:val="left"/>
      <w:lvlText w:val="(%1)"/>
      <w:numFmt w:val="lowerLetter"/>
      <w:start w:val="8"/>
    </w:lvl>
  </w:abstractNum>
  <w:abstractNum w:abstractNumId="166">
    <w:nsid w:val="52AC7DFF"/>
    <w:multiLevelType w:val="hybridMultilevel"/>
    <w:lvl w:ilvl="0">
      <w:lvlJc w:val="left"/>
      <w:lvlText w:val="(%1)"/>
      <w:numFmt w:val="lowerRoman"/>
      <w:start w:val="1"/>
    </w:lvl>
  </w:abstractNum>
  <w:abstractNum w:abstractNumId="167">
    <w:nsid w:val="C4C3AF"/>
    <w:multiLevelType w:val="hybridMultilevel"/>
    <w:lvl w:ilvl="0">
      <w:lvlJc w:val="left"/>
      <w:lvlText w:val="(%1)"/>
      <w:numFmt w:val="lowerLetter"/>
      <w:start w:val="12"/>
    </w:lvl>
  </w:abstractNum>
  <w:abstractNum w:abstractNumId="168">
    <w:nsid w:val="44380727"/>
    <w:multiLevelType w:val="hybridMultilevel"/>
    <w:lvl w:ilvl="0">
      <w:lvlJc w:val="left"/>
      <w:lvlText w:val="(%1)"/>
      <w:numFmt w:val="lowerRoman"/>
      <w:start w:val="1"/>
    </w:lvl>
  </w:abstractNum>
  <w:abstractNum w:abstractNumId="169">
    <w:nsid w:val="6C053B16"/>
    <w:multiLevelType w:val="hybridMultilevel"/>
    <w:lvl w:ilvl="0">
      <w:lvlJc w:val="left"/>
      <w:lvlText w:val="(%1)"/>
      <w:numFmt w:val="lowerLetter"/>
      <w:start w:val="15"/>
    </w:lvl>
  </w:abstractNum>
  <w:abstractNum w:abstractNumId="170">
    <w:nsid w:val="4F294393"/>
    <w:multiLevelType w:val="hybridMultilevel"/>
    <w:lvl w:ilvl="0">
      <w:lvlJc w:val="left"/>
      <w:lvlText w:val="(%1)"/>
      <w:numFmt w:val="lowerRoman"/>
      <w:start w:val="1"/>
    </w:lvl>
  </w:abstractNum>
  <w:abstractNum w:abstractNumId="171">
    <w:nsid w:val="5243BFAC"/>
    <w:multiLevelType w:val="hybridMultilevel"/>
    <w:lvl w:ilvl="0">
      <w:lvlJc w:val="left"/>
      <w:lvlText w:val="(%1)"/>
      <w:numFmt w:val="lowerRoman"/>
      <w:start w:val="2"/>
    </w:lvl>
  </w:abstractNum>
  <w:abstractNum w:abstractNumId="172">
    <w:nsid w:val="425EB207"/>
    <w:multiLevelType w:val="hybridMultilevel"/>
    <w:lvl w:ilvl="0">
      <w:lvlJc w:val="left"/>
      <w:lvlText w:val="(%1)"/>
      <w:numFmt w:val="lowerLetter"/>
      <w:start w:val="24"/>
    </w:lvl>
  </w:abstractNum>
  <w:abstractNum w:abstractNumId="173">
    <w:nsid w:val="334A6F1F"/>
    <w:multiLevelType w:val="hybridMultilevel"/>
    <w:lvl w:ilvl="0">
      <w:lvlJc w:val="left"/>
      <w:lvlText w:val="(%1)"/>
      <w:numFmt w:val="lowerLetter"/>
      <w:start w:val="27"/>
    </w:lvl>
  </w:abstractNum>
  <w:abstractNum w:abstractNumId="174">
    <w:nsid w:val="2E5B12B8"/>
    <w:multiLevelType w:val="hybridMultilevel"/>
    <w:lvl w:ilvl="0">
      <w:lvlJc w:val="left"/>
      <w:lvlText w:val="(%1)"/>
      <w:numFmt w:val="lowerLetter"/>
      <w:start w:val="35"/>
    </w:lvl>
  </w:abstractNum>
  <w:abstractNum w:abstractNumId="175">
    <w:nsid w:val="5C03D76D"/>
    <w:multiLevelType w:val="hybridMultilevel"/>
    <w:lvl w:ilvl="0">
      <w:lvlJc w:val="left"/>
      <w:lvlText w:val="(%1)"/>
      <w:numFmt w:val="decimal"/>
      <w:start w:val="4"/>
    </w:lvl>
  </w:abstractNum>
  <w:abstractNum w:abstractNumId="176">
    <w:nsid w:val="66A48D11"/>
    <w:multiLevelType w:val="hybridMultilevel"/>
    <w:lvl w:ilvl="0">
      <w:lvlJc w:val="left"/>
      <w:lvlText w:val="(%1)"/>
      <w:numFmt w:val="lowerLetter"/>
      <w:start w:val="40"/>
    </w:lvl>
  </w:abstractNum>
  <w:abstractNum w:abstractNumId="177">
    <w:nsid w:val="56C28E34"/>
    <w:multiLevelType w:val="hybridMultilevel"/>
    <w:lvl w:ilvl="0">
      <w:lvlJc w:val="left"/>
      <w:lvlText w:val="(%1)"/>
      <w:numFmt w:val="lowerLetter"/>
      <w:start w:val="52"/>
    </w:lvl>
  </w:abstractNum>
  <w:abstractNum w:abstractNumId="178">
    <w:nsid w:val="13916F2D"/>
    <w:multiLevelType w:val="hybridMultilevel"/>
    <w:lvl w:ilvl="0">
      <w:lvlJc w:val="left"/>
      <w:lvlText w:val="(%1)"/>
      <w:numFmt w:val="lowerLetter"/>
      <w:start w:val="53"/>
    </w:lvl>
  </w:abstractNum>
  <w:abstractNum w:abstractNumId="179">
    <w:nsid w:val="435D38D"/>
    <w:multiLevelType w:val="hybridMultilevel"/>
    <w:lvl w:ilvl="0">
      <w:lvlJc w:val="left"/>
      <w:lvlText w:val="%1."/>
      <w:numFmt w:val="decimal"/>
      <w:start w:val="1"/>
    </w:lvl>
  </w:abstractNum>
  <w:abstractNum w:abstractNumId="180">
    <w:nsid w:val="822C0EF"/>
    <w:multiLevelType w:val="hybridMultilevel"/>
    <w:lvl w:ilvl="0">
      <w:lvlJc w:val="left"/>
      <w:lvlText w:val="(%1)"/>
      <w:numFmt w:val="lowerLetter"/>
      <w:start w:val="1"/>
    </w:lvl>
  </w:abstractNum>
  <w:abstractNum w:abstractNumId="181">
    <w:nsid w:val="57C5BB4F"/>
    <w:multiLevelType w:val="hybridMultilevel"/>
    <w:lvl w:ilvl="0">
      <w:lvlJc w:val="left"/>
      <w:lvlText w:val="%1."/>
      <w:numFmt w:val="decimal"/>
      <w:start w:val="2"/>
    </w:lvl>
  </w:abstractNum>
  <w:abstractNum w:abstractNumId="182">
    <w:nsid w:val="1803D089"/>
    <w:multiLevelType w:val="hybridMultilevel"/>
    <w:lvl w:ilvl="0">
      <w:lvlJc w:val="left"/>
      <w:lvlText w:val="(%1)"/>
      <w:numFmt w:val="lowerLetter"/>
      <w:start w:val="1"/>
    </w:lvl>
  </w:abstractNum>
  <w:abstractNum w:abstractNumId="183">
    <w:nsid w:val="4F3A06D4"/>
    <w:multiLevelType w:val="hybridMultilevel"/>
    <w:lvl w:ilvl="0">
      <w:lvlJc w:val="left"/>
      <w:lvlText w:val="(%1)"/>
      <w:numFmt w:val="lowerLetter"/>
      <w:start w:val="1"/>
    </w:lvl>
  </w:abstractNum>
  <w:abstractNum w:abstractNumId="184">
    <w:nsid w:val="59A377B6"/>
    <w:multiLevelType w:val="hybridMultilevel"/>
    <w:lvl w:ilvl="0">
      <w:lvlJc w:val="left"/>
      <w:lvlText w:val="(%1)"/>
      <w:numFmt w:val="lowerLetter"/>
      <w:start w:val="1"/>
    </w:lvl>
  </w:abstractNum>
  <w:abstractNum w:abstractNumId="185">
    <w:nsid w:val="48AEB063"/>
    <w:multiLevelType w:val="hybridMultilevel"/>
    <w:lvl w:ilvl="0">
      <w:lvlJc w:val="left"/>
      <w:lvlText w:val="%1."/>
      <w:numFmt w:val="decimal"/>
      <w:start w:val="3"/>
    </w:lvl>
  </w:abstractNum>
  <w:abstractNum w:abstractNumId="186">
    <w:nsid w:val="24E135"/>
    <w:multiLevelType w:val="hybridMultilevel"/>
    <w:lvl w:ilvl="0">
      <w:lvlJc w:val="left"/>
      <w:lvlText w:val="(%1)"/>
      <w:numFmt w:val="lowerLetter"/>
      <w:start w:val="1"/>
    </w:lvl>
  </w:abstractNum>
  <w:abstractNum w:abstractNumId="187">
    <w:nsid w:val="BB13C1"/>
    <w:multiLevelType w:val="hybridMultilevel"/>
    <w:lvl w:ilvl="0">
      <w:lvlJc w:val="left"/>
      <w:lvlText w:val="(%1)"/>
      <w:numFmt w:val="lowerLetter"/>
      <w:start w:val="1"/>
    </w:lvl>
  </w:abstractNum>
  <w:abstractNum w:abstractNumId="188">
    <w:nsid w:val="271210C7"/>
    <w:multiLevelType w:val="hybridMultilevel"/>
    <w:lvl w:ilvl="0">
      <w:lvlJc w:val="left"/>
      <w:lvlText w:val="(%1)"/>
      <w:numFmt w:val="lowerLetter"/>
      <w:start w:val="1"/>
    </w:lvl>
  </w:abstractNum>
  <w:abstractNum w:abstractNumId="189">
    <w:nsid w:val="217B22E4"/>
    <w:multiLevelType w:val="hybridMultilevel"/>
    <w:lvl w:ilvl="0">
      <w:lvlJc w:val="left"/>
      <w:lvlText w:val="(%1)"/>
      <w:numFmt w:val="lowerLetter"/>
      <w:start w:val="2"/>
    </w:lvl>
  </w:abstractNum>
  <w:abstractNum w:abstractNumId="190">
    <w:nsid w:val="53E31A24"/>
    <w:multiLevelType w:val="hybridMultilevel"/>
    <w:lvl w:ilvl="0">
      <w:lvlJc w:val="left"/>
      <w:lvlText w:val="(%1)"/>
      <w:numFmt w:val="lowerLetter"/>
      <w:start w:val="1"/>
    </w:lvl>
  </w:abstractNum>
  <w:abstractNum w:abstractNumId="191">
    <w:nsid w:val="6DC45E83"/>
    <w:multiLevelType w:val="hybridMultilevel"/>
    <w:lvl w:ilvl="0">
      <w:lvlJc w:val="left"/>
      <w:lvlText w:val="(%1)"/>
      <w:numFmt w:val="lowerLetter"/>
      <w:start w:val="1"/>
    </w:lvl>
  </w:abstractNum>
  <w:abstractNum w:abstractNumId="192">
    <w:nsid w:val="17304A67"/>
    <w:multiLevelType w:val="hybridMultilevel"/>
    <w:lvl w:ilvl="0">
      <w:lvlJc w:val="left"/>
      <w:lvlText w:val="%1."/>
      <w:numFmt w:val="decimal"/>
      <w:start w:val="4"/>
    </w:lvl>
  </w:abstractNum>
  <w:abstractNum w:abstractNumId="193">
    <w:nsid w:val="2BB180D8"/>
    <w:multiLevelType w:val="hybridMultilevel"/>
    <w:lvl w:ilvl="0">
      <w:lvlJc w:val="left"/>
      <w:lvlText w:val="(%1)"/>
      <w:numFmt w:val="lowerLetter"/>
      <w:start w:val="1"/>
    </w:lvl>
  </w:abstractNum>
  <w:abstractNum w:abstractNumId="194">
    <w:nsid w:val="556B69ED"/>
    <w:multiLevelType w:val="hybridMultilevel"/>
    <w:lvl w:ilvl="0">
      <w:lvlJc w:val="left"/>
      <w:lvlText w:val="(%1)"/>
      <w:numFmt w:val="lowerLetter"/>
      <w:start w:val="1"/>
    </w:lvl>
  </w:abstractNum>
  <w:abstractNum w:abstractNumId="195">
    <w:nsid w:val="70836196"/>
    <w:multiLevelType w:val="hybridMultilevel"/>
    <w:lvl w:ilvl="0">
      <w:lvlJc w:val="left"/>
      <w:lvlText w:val="(%1)"/>
      <w:numFmt w:val="lowerLetter"/>
      <w:start w:val="1"/>
    </w:lvl>
  </w:abstractNum>
  <w:abstractNum w:abstractNumId="196">
    <w:nsid w:val="539F7F12"/>
    <w:multiLevelType w:val="hybridMultilevel"/>
    <w:lvl w:ilvl="0">
      <w:lvlJc w:val="left"/>
      <w:lvlText w:val="(%1)"/>
      <w:numFmt w:val="lowerLetter"/>
      <w:start w:val="1"/>
    </w:lvl>
  </w:abstractNum>
  <w:abstractNum w:abstractNumId="197">
    <w:nsid w:val="2817E7EC"/>
    <w:multiLevelType w:val="hybridMultilevel"/>
    <w:lvl w:ilvl="0">
      <w:lvlJc w:val="left"/>
      <w:lvlText w:val="(%1)"/>
      <w:numFmt w:val="lowerLetter"/>
      <w:start w:val="1"/>
    </w:lvl>
  </w:abstractNum>
  <w:abstractNum w:abstractNumId="198">
    <w:nsid w:val="71482545"/>
    <w:multiLevelType w:val="hybridMultilevel"/>
    <w:lvl w:ilvl="0">
      <w:lvlJc w:val="left"/>
      <w:lvlText w:val="(%1)"/>
      <w:numFmt w:val="lowerLetter"/>
      <w:start w:val="1"/>
    </w:lvl>
  </w:abstractNum>
  <w:abstractNum w:abstractNumId="199">
    <w:nsid w:val="17D78639"/>
    <w:multiLevelType w:val="hybridMultilevel"/>
    <w:lvl w:ilvl="0">
      <w:lvlJc w:val="left"/>
      <w:lvlText w:val="%1."/>
      <w:numFmt w:val="decimal"/>
      <w:start w:val="5"/>
    </w:lvl>
  </w:abstractNum>
  <w:abstractNum w:abstractNumId="200">
    <w:nsid w:val="141D2302"/>
    <w:multiLevelType w:val="hybridMultilevel"/>
    <w:lvl w:ilvl="0">
      <w:lvlJc w:val="left"/>
      <w:lvlText w:val="(%1)"/>
      <w:numFmt w:val="lowerLetter"/>
      <w:start w:val="1"/>
    </w:lvl>
  </w:abstractNum>
  <w:abstractNum w:abstractNumId="201">
    <w:nsid w:val="407168D8"/>
    <w:multiLevelType w:val="hybridMultilevel"/>
    <w:lvl w:ilvl="0">
      <w:lvlJc w:val="left"/>
      <w:lvlText w:val="(%1)"/>
      <w:numFmt w:val="lowerLetter"/>
      <w:start w:val="1"/>
    </w:lvl>
    <w:lvl w:ilvl="1">
      <w:lvlJc w:val="left"/>
      <w:lvlText w:val="(%2)"/>
      <w:numFmt w:val="lowerRoman"/>
      <w:start w:val="1"/>
    </w:lvl>
  </w:abstractNum>
  <w:abstractNum w:abstractNumId="202">
    <w:nsid w:val="6A1B45E5"/>
    <w:multiLevelType w:val="hybridMultilevel"/>
    <w:lvl w:ilvl="0">
      <w:lvlJc w:val="left"/>
      <w:lvlText w:val="(%1)"/>
      <w:numFmt w:val="lowerLetter"/>
      <w:start w:val="1"/>
    </w:lvl>
    <w:lvl w:ilvl="1">
      <w:lvlJc w:val="left"/>
      <w:lvlText w:val="(%2)"/>
      <w:numFmt w:val="lowerRoman"/>
      <w:start w:val="1"/>
    </w:lvl>
  </w:abstractNum>
  <w:abstractNum w:abstractNumId="203">
    <w:nsid w:val="567BD50A"/>
    <w:multiLevelType w:val="hybridMultilevel"/>
    <w:lvl w:ilvl="0">
      <w:lvlJc w:val="left"/>
      <w:lvlText w:val="(%1)"/>
      <w:numFmt w:val="lowerLetter"/>
      <w:start w:val="2"/>
    </w:lvl>
  </w:abstractNum>
  <w:abstractNum w:abstractNumId="204">
    <w:nsid w:val="73BBD7F8"/>
    <w:multiLevelType w:val="hybridMultilevel"/>
    <w:lvl w:ilvl="0">
      <w:lvlJc w:val="left"/>
      <w:lvlText w:val="%1."/>
      <w:numFmt w:val="decimal"/>
      <w:start w:val="6"/>
    </w:lvl>
  </w:abstractNum>
  <w:abstractNum w:abstractNumId="205">
    <w:nsid w:val="1876589D"/>
    <w:multiLevelType w:val="hybridMultilevel"/>
    <w:lvl w:ilvl="0">
      <w:lvlJc w:val="left"/>
      <w:lvlText w:val="(%1)"/>
      <w:numFmt w:val="lowerLetter"/>
      <w:start w:val="1"/>
    </w:lvl>
  </w:abstractNum>
  <w:abstractNum w:abstractNumId="206">
    <w:nsid w:val="327FAC77"/>
    <w:multiLevelType w:val="hybridMultilevel"/>
    <w:lvl w:ilvl="0">
      <w:lvlJc w:val="left"/>
      <w:lvlText w:val="(%1)"/>
      <w:numFmt w:val="lowerLetter"/>
      <w:start w:val="1"/>
    </w:lvl>
  </w:abstractNum>
  <w:abstractNum w:abstractNumId="207">
    <w:nsid w:val="5A606509"/>
    <w:multiLevelType w:val="hybridMultilevel"/>
    <w:lvl w:ilvl="0">
      <w:lvlJc w:val="left"/>
      <w:lvlText w:val="(%1)"/>
      <w:numFmt w:val="lowerLetter"/>
      <w:start w:val="1"/>
    </w:lvl>
  </w:abstractNum>
  <w:abstractNum w:abstractNumId="208">
    <w:nsid w:val="6F38E6D1"/>
    <w:multiLevelType w:val="hybridMultilevel"/>
    <w:lvl w:ilvl="0">
      <w:lvlJc w:val="left"/>
      <w:lvlText w:val="(%1)"/>
      <w:numFmt w:val="lowerLetter"/>
      <w:start w:val="1"/>
    </w:lvl>
  </w:abstractNum>
  <w:abstractNum w:abstractNumId="209">
    <w:nsid w:val="46111BA5"/>
    <w:multiLevelType w:val="hybridMultilevel"/>
    <w:lvl w:ilvl="0">
      <w:lvlJc w:val="left"/>
      <w:lvlText w:val="%1."/>
      <w:numFmt w:val="decimal"/>
      <w:start w:val="7"/>
    </w:lvl>
  </w:abstractNum>
  <w:abstractNum w:abstractNumId="210">
    <w:nsid w:val="5E963896"/>
    <w:multiLevelType w:val="hybridMultilevel"/>
    <w:lvl w:ilvl="0">
      <w:lvlJc w:val="left"/>
      <w:lvlText w:val="(%1)"/>
      <w:numFmt w:val="lowerLetter"/>
      <w:start w:val="1"/>
    </w:lvl>
  </w:abstractNum>
  <w:abstractNum w:abstractNumId="211">
    <w:nsid w:val="775BA7C1"/>
    <w:multiLevelType w:val="hybridMultilevel"/>
    <w:lvl w:ilvl="0">
      <w:lvlJc w:val="left"/>
      <w:lvlText w:val="%1"/>
      <w:numFmt w:val="decimal"/>
      <w:start w:val="1"/>
    </w:lvl>
    <w:lvl w:ilvl="1">
      <w:lvlJc w:val="left"/>
      <w:lvlText w:val="(%2)"/>
      <w:numFmt w:val="lowerLetter"/>
      <w:start w:val="1"/>
    </w:lvl>
  </w:abstractNum>
  <w:abstractNum w:abstractNumId="212">
    <w:nsid w:val="1DD6D6F4"/>
    <w:multiLevelType w:val="hybridMultilevel"/>
    <w:lvl w:ilvl="0">
      <w:lvlJc w:val="left"/>
      <w:lvlText w:val="%1."/>
      <w:numFmt w:val="decimal"/>
      <w:start w:val="8"/>
    </w:lvl>
    <w:lvl w:ilvl="1">
      <w:lvlJc w:val="left"/>
      <w:lvlText w:val="%2"/>
      <w:numFmt w:val="lowerLetter"/>
      <w:start w:val="1"/>
    </w:lvl>
  </w:abstractNum>
  <w:abstractNum w:abstractNumId="213">
    <w:nsid w:val="769A091F"/>
    <w:multiLevelType w:val="hybridMultilevel"/>
    <w:lvl w:ilvl="0">
      <w:lvlJc w:val="left"/>
      <w:lvlText w:val="(%1)"/>
      <w:numFmt w:val="lowerLetter"/>
      <w:start w:val="1"/>
    </w:lvl>
  </w:abstractNum>
  <w:abstractNum w:abstractNumId="214">
    <w:nsid w:val="4695AE95"/>
    <w:multiLevelType w:val="hybridMultilevel"/>
    <w:lvl w:ilvl="0">
      <w:lvlJc w:val="left"/>
      <w:lvlText w:val="(%1)"/>
      <w:numFmt w:val="lowerLetter"/>
      <w:start w:val="1"/>
    </w:lvl>
  </w:abstractNum>
  <w:abstractNum w:abstractNumId="215">
    <w:nsid w:val="777A4EAA"/>
    <w:multiLevelType w:val="hybridMultilevel"/>
    <w:lvl w:ilvl="0">
      <w:lvlJc w:val="left"/>
      <w:lvlText w:val="(%1)"/>
      <w:numFmt w:val="lowerLetter"/>
      <w:start w:val="1"/>
    </w:lvl>
  </w:abstractNum>
  <w:abstractNum w:abstractNumId="216">
    <w:nsid w:val="3F48B982"/>
    <w:multiLevelType w:val="hybridMultilevel"/>
    <w:lvl w:ilvl="0">
      <w:lvlJc w:val="left"/>
      <w:lvlText w:val="%1."/>
      <w:numFmt w:val="decimal"/>
      <w:start w:val="9"/>
    </w:lvl>
  </w:abstractNum>
  <w:abstractNum w:abstractNumId="217">
    <w:nsid w:val="46BA8FCA"/>
    <w:multiLevelType w:val="hybridMultilevel"/>
    <w:lvl w:ilvl="0">
      <w:lvlJc w:val="left"/>
      <w:lvlText w:val="(%1)"/>
      <w:numFmt w:val="lowerLetter"/>
      <w:start w:val="1"/>
    </w:lvl>
  </w:abstractNum>
  <w:abstractNum w:abstractNumId="218">
    <w:nsid w:val="7835626C"/>
    <w:multiLevelType w:val="hybridMultilevel"/>
    <w:lvl w:ilvl="0">
      <w:lvlJc w:val="left"/>
      <w:lvlText w:val="(%1)"/>
      <w:numFmt w:val="lowerLetter"/>
      <w:start w:val="1"/>
    </w:lvl>
  </w:abstractNum>
  <w:abstractNum w:abstractNumId="219">
    <w:nsid w:val="665ACA49"/>
    <w:multiLevelType w:val="hybridMultilevel"/>
    <w:lvl w:ilvl="0">
      <w:lvlJc w:val="left"/>
      <w:lvlText w:val="(%1)"/>
      <w:numFmt w:val="lowerLetter"/>
      <w:start w:val="1"/>
    </w:lvl>
  </w:abstractNum>
  <w:abstractNum w:abstractNumId="220">
    <w:nsid w:val="6835B2AE"/>
    <w:multiLevelType w:val="hybridMultilevel"/>
    <w:lvl w:ilvl="0">
      <w:lvlJc w:val="left"/>
      <w:lvlText w:val="(%1)"/>
      <w:numFmt w:val="lowerLetter"/>
      <w:start w:val="1"/>
    </w:lvl>
  </w:abstractNum>
  <w:abstractNum w:abstractNumId="221">
    <w:nsid w:val="4C187C90"/>
    <w:multiLevelType w:val="hybridMultilevel"/>
    <w:lvl w:ilvl="0">
      <w:lvlJc w:val="left"/>
      <w:lvlText w:val="%1."/>
      <w:numFmt w:val="decimal"/>
      <w:start w:val="10"/>
    </w:lvl>
  </w:abstractNum>
  <w:abstractNum w:abstractNumId="222">
    <w:nsid w:val="541F28CD"/>
    <w:multiLevelType w:val="hybridMultilevel"/>
    <w:lvl w:ilvl="0">
      <w:lvlJc w:val="left"/>
      <w:lvlText w:val="(%1)"/>
      <w:numFmt w:val="lowerLetter"/>
      <w:start w:val="1"/>
    </w:lvl>
  </w:abstractNum>
  <w:abstractNum w:abstractNumId="223">
    <w:nsid w:val="7F65FD16"/>
    <w:multiLevelType w:val="hybridMultilevel"/>
    <w:lvl w:ilvl="0">
      <w:lvlJc w:val="left"/>
      <w:lvlText w:val="(%1)"/>
      <w:numFmt w:val="lowerLetter"/>
      <w:start w:val="1"/>
    </w:lvl>
  </w:abstractNum>
  <w:abstractNum w:abstractNumId="224">
    <w:nsid w:val="77C9FD68"/>
    <w:multiLevelType w:val="hybridMultilevel"/>
    <w:lvl w:ilvl="0">
      <w:lvlJc w:val="left"/>
      <w:lvlText w:val="%1."/>
      <w:numFmt w:val="decimal"/>
      <w:start w:val="11"/>
    </w:lvl>
  </w:abstractNum>
  <w:abstractNum w:abstractNumId="225">
    <w:nsid w:val="298A92BA"/>
    <w:multiLevelType w:val="hybridMultilevel"/>
    <w:lvl w:ilvl="0">
      <w:lvlJc w:val="left"/>
      <w:lvlText w:val="(%1)"/>
      <w:numFmt w:val="lowerLetter"/>
      <w:start w:val="1"/>
    </w:lvl>
  </w:abstractNum>
  <w:abstractNum w:abstractNumId="226">
    <w:nsid w:val="6FE95EAC"/>
    <w:multiLevelType w:val="hybridMultilevel"/>
    <w:lvl w:ilvl="0">
      <w:lvlJc w:val="left"/>
      <w:lvlText w:val="%1."/>
      <w:numFmt w:val="decimal"/>
      <w:start w:val="12"/>
    </w:lvl>
  </w:abstractNum>
  <w:abstractNum w:abstractNumId="227">
    <w:nsid w:val="4B697C7A"/>
    <w:multiLevelType w:val="hybridMultilevel"/>
    <w:lvl w:ilvl="0">
      <w:lvlJc w:val="left"/>
      <w:lvlText w:val="(%1)"/>
      <w:numFmt w:val="lowerLetter"/>
      <w:start w:val="1"/>
    </w:lvl>
  </w:abstractNum>
  <w:abstractNum w:abstractNumId="228">
    <w:nsid w:val="51A27AA6"/>
    <w:multiLevelType w:val="hybridMultilevel"/>
    <w:lvl w:ilvl="0">
      <w:lvlJc w:val="left"/>
      <w:lvlText w:val="(%1)"/>
      <w:numFmt w:val="lowerRoman"/>
      <w:start w:val="1"/>
    </w:lvl>
  </w:abstractNum>
  <w:abstractNum w:abstractNumId="229">
    <w:nsid w:val="613183F2"/>
    <w:multiLevelType w:val="hybridMultilevel"/>
    <w:lvl w:ilvl="0">
      <w:lvlJc w:val="left"/>
      <w:lvlText w:val="(%1)"/>
      <w:numFmt w:val="lowerLetter"/>
      <w:start w:val="1"/>
    </w:lvl>
  </w:abstractNum>
  <w:abstractNum w:abstractNumId="230">
    <w:nsid w:val="634102B4"/>
    <w:multiLevelType w:val="hybridMultilevel"/>
    <w:lvl w:ilvl="0">
      <w:lvlJc w:val="left"/>
      <w:lvlText w:val="(%1)"/>
      <w:numFmt w:val="lowerLetter"/>
      <w:start w:val="1"/>
    </w:lvl>
  </w:abstractNum>
  <w:abstractNum w:abstractNumId="231">
    <w:nsid w:val="65BF9DA8"/>
    <w:multiLevelType w:val="hybridMultilevel"/>
    <w:lvl w:ilvl="0">
      <w:lvlJc w:val="left"/>
      <w:lvlText w:val="(%1)"/>
      <w:numFmt w:val="lowerLetter"/>
      <w:start w:val="1"/>
    </w:lvl>
  </w:abstractNum>
  <w:abstractNum w:abstractNumId="232">
    <w:nsid w:val="21A2ECCA"/>
    <w:multiLevelType w:val="hybridMultilevel"/>
    <w:lvl w:ilvl="0">
      <w:lvlJc w:val="left"/>
      <w:lvlText w:val="(%1)"/>
      <w:numFmt w:val="lowerLetter"/>
      <w:start w:val="1"/>
    </w:lvl>
  </w:abstractNum>
  <w:abstractNum w:abstractNumId="233">
    <w:nsid w:val="4D5C4899"/>
    <w:multiLevelType w:val="hybridMultilevel"/>
    <w:lvl w:ilvl="0">
      <w:lvlJc w:val="left"/>
      <w:lvlText w:val="%1."/>
      <w:numFmt w:val="decimal"/>
      <w:start w:val="13"/>
    </w:lvl>
  </w:abstractNum>
  <w:abstractNum w:abstractNumId="234">
    <w:nsid w:val="3C3B72B2"/>
    <w:multiLevelType w:val="hybridMultilevel"/>
    <w:lvl w:ilvl="0">
      <w:lvlJc w:val="left"/>
      <w:lvlText w:val="(%1)"/>
      <w:numFmt w:val="lowerLetter"/>
      <w:start w:val="1"/>
    </w:lvl>
  </w:abstractNum>
  <w:abstractNum w:abstractNumId="235">
    <w:nsid w:val="155EC4C2"/>
    <w:multiLevelType w:val="hybridMultilevel"/>
    <w:lvl w:ilvl="0">
      <w:lvlJc w:val="left"/>
      <w:lvlText w:val="(%1)"/>
      <w:numFmt w:val="lowerLetter"/>
      <w:start w:val="1"/>
    </w:lvl>
  </w:abstractNum>
  <w:abstractNum w:abstractNumId="236">
    <w:nsid w:val="65D2A137"/>
    <w:multiLevelType w:val="hybridMultilevel"/>
    <w:lvl w:ilvl="0">
      <w:lvlJc w:val="left"/>
      <w:lvlText w:val="(%1)"/>
      <w:numFmt w:val="lowerLetter"/>
      <w:start w:val="1"/>
    </w:lvl>
  </w:abstractNum>
  <w:abstractNum w:abstractNumId="237">
    <w:nsid w:val="6EBB1F2A"/>
    <w:multiLevelType w:val="hybridMultilevel"/>
    <w:lvl w:ilvl="0">
      <w:lvlJc w:val="left"/>
      <w:lvlText w:val="%1."/>
      <w:numFmt w:val="decimal"/>
      <w:start w:val="14"/>
    </w:lvl>
  </w:abstractNum>
  <w:abstractNum w:abstractNumId="238">
    <w:nsid w:val="6FBF29CB"/>
    <w:multiLevelType w:val="hybridMultilevel"/>
    <w:lvl w:ilvl="0">
      <w:lvlJc w:val="left"/>
      <w:lvlText w:val="(%1)"/>
      <w:numFmt w:val="lowerLetter"/>
      <w:start w:val="1"/>
    </w:lvl>
  </w:abstractNum>
  <w:abstractNum w:abstractNumId="239">
    <w:nsid w:val="550B8808"/>
    <w:multiLevelType w:val="hybridMultilevel"/>
    <w:lvl w:ilvl="0">
      <w:lvlJc w:val="left"/>
      <w:lvlText w:val="(%1)"/>
      <w:numFmt w:val="lowerLetter"/>
      <w:start w:val="1"/>
    </w:lvl>
  </w:abstractNum>
  <w:abstractNum w:abstractNumId="240">
    <w:nsid w:val="34CC3ACF"/>
    <w:multiLevelType w:val="hybridMultilevel"/>
    <w:lvl w:ilvl="0">
      <w:lvlJc w:val="left"/>
      <w:lvlText w:val="(%1)"/>
      <w:numFmt w:val="lowerLetter"/>
      <w:start w:val="3"/>
    </w:lvl>
  </w:abstractNum>
  <w:abstractNum w:abstractNumId="241">
    <w:nsid w:val="4E556261"/>
    <w:multiLevelType w:val="hybridMultilevel"/>
    <w:lvl w:ilvl="0">
      <w:lvlJc w:val="left"/>
      <w:lvlText w:val="(%1)"/>
      <w:numFmt w:val="lowerLetter"/>
      <w:start w:val="1"/>
    </w:lvl>
  </w:abstractNum>
  <w:abstractNum w:abstractNumId="242">
    <w:nsid w:val="4C672FC9"/>
    <w:multiLevelType w:val="hybridMultilevel"/>
    <w:lvl w:ilvl="0">
      <w:lvlJc w:val="left"/>
      <w:lvlText w:val="%1"/>
      <w:numFmt w:val="decimal"/>
      <w:start w:val="1"/>
    </w:lvl>
    <w:lvl w:ilvl="1">
      <w:lvlJc w:val="left"/>
      <w:lvlText w:val="(%2)"/>
      <w:numFmt w:val="lowerLetter"/>
      <w:start w:val="1"/>
    </w:lvl>
  </w:abstractNum>
  <w:abstractNum w:abstractNumId="243">
    <w:nsid w:val="52A311C3"/>
    <w:multiLevelType w:val="hybridMultilevel"/>
    <w:lvl w:ilvl="0">
      <w:lvlJc w:val="left"/>
      <w:lvlText w:val="%1."/>
      <w:numFmt w:val="decimal"/>
      <w:start w:val="15"/>
    </w:lvl>
    <w:lvl w:ilvl="1">
      <w:lvlJc w:val="left"/>
      <w:lvlText w:val="%2"/>
      <w:numFmt w:val="lowerLetter"/>
      <w:start w:val="1"/>
    </w:lvl>
  </w:abstractNum>
  <w:abstractNum w:abstractNumId="244">
    <w:nsid w:val="44EF6B80"/>
    <w:multiLevelType w:val="hybridMultilevel"/>
    <w:lvl w:ilvl="0">
      <w:lvlJc w:val="left"/>
      <w:lvlText w:val="(%1)"/>
      <w:numFmt w:val="lowerLetter"/>
      <w:start w:val="1"/>
    </w:lvl>
    <w:lvl w:ilvl="1">
      <w:lvlJc w:val="left"/>
      <w:lvlText w:val="(%2)"/>
      <w:numFmt w:val="lowerRoman"/>
      <w:start w:val="1"/>
    </w:lvl>
  </w:abstractNum>
  <w:abstractNum w:abstractNumId="245">
    <w:nsid w:val="12FCDE5E"/>
    <w:multiLevelType w:val="hybridMultilevel"/>
    <w:lvl w:ilvl="0">
      <w:lvlJc w:val="left"/>
      <w:lvlText w:val="(%1)"/>
      <w:numFmt w:val="lowerLetter"/>
      <w:start w:val="3"/>
    </w:lvl>
  </w:abstractNum>
  <w:abstractNum w:abstractNumId="246">
    <w:nsid w:val="4A1D606E"/>
    <w:multiLevelType w:val="hybridMultilevel"/>
    <w:lvl w:ilvl="0">
      <w:lvlJc w:val="left"/>
      <w:lvlText w:val="(%1)"/>
      <w:numFmt w:val="lowerLetter"/>
      <w:start w:val="1"/>
    </w:lvl>
  </w:abstractNum>
  <w:abstractNum w:abstractNumId="247">
    <w:nsid w:val="4382503"/>
    <w:multiLevelType w:val="hybridMultilevel"/>
    <w:lvl w:ilvl="0">
      <w:lvlJc w:val="left"/>
      <w:lvlText w:val="(%1)"/>
      <w:numFmt w:val="lowerLetter"/>
      <w:start w:val="1"/>
    </w:lvl>
  </w:abstractNum>
  <w:abstractNum w:abstractNumId="248">
    <w:nsid w:val="59B76E28"/>
    <w:multiLevelType w:val="hybridMultilevel"/>
    <w:lvl w:ilvl="0">
      <w:lvlJc w:val="left"/>
      <w:lvlText w:val="(%1)"/>
      <w:numFmt w:val="lowerLetter"/>
      <w:start w:val="1"/>
    </w:lvl>
  </w:abstractNum>
  <w:abstractNum w:abstractNumId="249">
    <w:nsid w:val="4252C2DA"/>
    <w:multiLevelType w:val="hybridMultilevel"/>
    <w:lvl w:ilvl="0">
      <w:lvlJc w:val="left"/>
      <w:lvlText w:val="(%1)"/>
      <w:numFmt w:val="lowerLetter"/>
      <w:start w:val="3"/>
    </w:lvl>
  </w:abstractNum>
  <w:abstractNum w:abstractNumId="250">
    <w:nsid w:val="6A92EF4C"/>
    <w:multiLevelType w:val="hybridMultilevel"/>
    <w:lvl w:ilvl="0">
      <w:lvlJc w:val="left"/>
      <w:lvlText w:val="%1."/>
      <w:numFmt w:val="decimal"/>
      <w:start w:val="1"/>
    </w:lvl>
  </w:abstractNum>
  <w:abstractNum w:abstractNumId="251">
    <w:nsid w:val="41ED20D7"/>
    <w:multiLevelType w:val="hybridMultilevel"/>
    <w:lvl w:ilvl="0">
      <w:lvlJc w:val="left"/>
      <w:lvlText w:val="%1."/>
      <w:numFmt w:val="decimal"/>
      <w:start w:val="1"/>
    </w:lvl>
  </w:abstractNum>
  <w:abstractNum w:abstractNumId="252">
    <w:nsid w:val="E6B3F6A"/>
    <w:multiLevelType w:val="hybridMultilevel"/>
    <w:lvl w:ilvl="0">
      <w:lvlJc w:val="left"/>
      <w:lvlText w:val="%1."/>
      <w:numFmt w:val="decimal"/>
      <w:start w:val="2"/>
    </w:lvl>
  </w:abstractNum>
  <w:abstractNum w:abstractNumId="253">
    <w:nsid w:val="3EB21819"/>
    <w:multiLevelType w:val="hybridMultilevel"/>
    <w:lvl w:ilvl="0">
      <w:lvlJc w:val="left"/>
      <w:lvlText w:val="•"/>
      <w:numFmt w:val="bullet"/>
      <w:start w:val="1"/>
    </w:lvl>
  </w:abstractNum>
  <w:abstractNum w:abstractNumId="254">
    <w:nsid w:val="41531DE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55">
    <w:nsid w:val="6353CD2"/>
    <w:multiLevelType w:val="hybridMultilevel"/>
    <w:lvl w:ilvl="0">
      <w:lvlJc w:val="left"/>
      <w:lvlText w:val="(%1)"/>
      <w:numFmt w:val="lowerRoman"/>
      <w:start w:val="5"/>
    </w:lvl>
  </w:abstractNum>
  <w:abstractNum w:abstractNumId="256">
    <w:nsid w:val="683CAAD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8"/>
    </w:lvl>
  </w:abstractNum>
  <w:abstractNum w:abstractNumId="257">
    <w:nsid w:val="313C7C9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58">
    <w:nsid w:val="519EB94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59">
    <w:nsid w:val="39DF257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4"/>
      <w:numFmt w:val="lowerLetter"/>
      <w:start w:val="1"/>
    </w:lvl>
  </w:abstractNum>
  <w:abstractNum w:abstractNumId="260">
    <w:nsid w:val="126E008B"/>
    <w:multiLevelType w:val="hybridMultilevel"/>
    <w:lvl w:ilvl="0">
      <w:lvlJc w:val="left"/>
      <w:lvlText w:val="%1."/>
      <w:numFmt w:val="decimal"/>
      <w:start w:val="4"/>
    </w:lvl>
    <w:lvl w:ilvl="1">
      <w:lvlJc w:val="left"/>
      <w:lvlText w:val="(%2)"/>
      <w:numFmt w:val="lowerLetter"/>
      <w:start w:val="8"/>
    </w:lvl>
    <w:lvl w:ilvl="2">
      <w:lvlJc w:val="left"/>
      <w:lvlText w:val="(%3)"/>
      <w:numFmt w:val="lowerLetter"/>
      <w:start w:val="1"/>
    </w:lvl>
    <w:lvl w:ilvl="3">
      <w:lvlJc w:val="left"/>
      <w:lvlText w:val="(%4)"/>
      <w:numFmt w:val="lowerLetter"/>
      <w:start w:val="1"/>
    </w:lvl>
  </w:abstractNum>
  <w:abstractNum w:abstractNumId="261">
    <w:nsid w:val="34DFBC00"/>
    <w:multiLevelType w:val="hybridMultilevel"/>
    <w:lvl w:ilvl="0">
      <w:lvlJc w:val="left"/>
      <w:lvlText w:val="(%1)"/>
      <w:numFmt w:val="lowerLetter"/>
      <w:start w:val="2"/>
    </w:lvl>
    <w:lvl w:ilvl="1">
      <w:lvlJc w:val="left"/>
      <w:lvlText w:val="(%2)"/>
      <w:numFmt w:val="lowerRoman"/>
      <w:start w:val="1"/>
    </w:lvl>
  </w:abstractNum>
  <w:abstractNum w:abstractNumId="262">
    <w:nsid w:val="1F9EC322"/>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63">
    <w:nsid w:val="3410ED56"/>
    <w:multiLevelType w:val="hybridMultilevel"/>
    <w:lvl w:ilvl="0">
      <w:lvlJc w:val="left"/>
      <w:lvlText w:val="%1."/>
      <w:numFmt w:val="decimal"/>
      <w:start w:val="7"/>
    </w:lvl>
    <w:lvl w:ilvl="1">
      <w:lvlJc w:val="left"/>
      <w:lvlText w:val="(%2)"/>
      <w:numFmt w:val="lowerLetter"/>
      <w:start w:val="1"/>
    </w:lvl>
  </w:abstractNum>
  <w:abstractNum w:abstractNumId="264">
    <w:nsid w:val="23C049A"/>
    <w:multiLevelType w:val="hybridMultilevel"/>
    <w:lvl w:ilvl="0">
      <w:lvlJc w:val="left"/>
      <w:lvlText w:val="%1"/>
      <w:numFmt w:val="decimal"/>
      <w:start w:val="1"/>
    </w:lvl>
    <w:lvl w:ilvl="1">
      <w:lvlJc w:val="left"/>
      <w:lvlText w:val="(%2)"/>
      <w:numFmt w:val="lowerLetter"/>
      <w:start w:val="2"/>
    </w:lvl>
  </w:abstractNum>
  <w:abstractNum w:abstractNumId="265">
    <w:nsid w:val="5BDA35D4"/>
    <w:multiLevelType w:val="hybridMultilevel"/>
    <w:lvl w:ilvl="0">
      <w:lvlJc w:val="left"/>
      <w:lvlText w:val="%1."/>
      <w:numFmt w:val="decimal"/>
      <w:start w:val="8"/>
    </w:lvl>
    <w:lvl w:ilvl="1">
      <w:lvlJc w:val="left"/>
      <w:lvlText w:val="(%2)"/>
      <w:numFmt w:val="lowerLetter"/>
      <w:start w:val="1"/>
    </w:lvl>
  </w:abstractNum>
  <w:abstractNum w:abstractNumId="266">
    <w:nsid w:val="496FB218"/>
    <w:multiLevelType w:val="hybridMultilevel"/>
    <w:lvl w:ilvl="0">
      <w:lvlJc w:val="left"/>
      <w:lvlText w:val="(%1)"/>
      <w:numFmt w:val="lowerLetter"/>
      <w:start w:val="2"/>
    </w:lvl>
  </w:abstractNum>
  <w:abstractNum w:abstractNumId="267">
    <w:nsid w:val="680EA5D1"/>
    <w:multiLevelType w:val="hybridMultilevel"/>
    <w:lvl w:ilvl="0">
      <w:lvlJc w:val="left"/>
      <w:lvlText w:val="%1."/>
      <w:numFmt w:val="decimal"/>
      <w:start w:val="9"/>
    </w:lvl>
  </w:abstractNum>
  <w:abstractNum w:abstractNumId="268">
    <w:nsid w:val="4A9554FE"/>
    <w:multiLevelType w:val="hybridMultilevel"/>
    <w:lvl w:ilvl="0">
      <w:lvlJc w:val="left"/>
      <w:lvlText w:val="%1."/>
      <w:numFmt w:val="decimal"/>
      <w:start w:val="10"/>
    </w:lvl>
  </w:abstractNum>
  <w:abstractNum w:abstractNumId="269">
    <w:nsid w:val="392EDBE4"/>
    <w:multiLevelType w:val="hybridMultilevel"/>
    <w:lvl w:ilvl="0">
      <w:lvlJc w:val="left"/>
      <w:lvlText w:val="%1."/>
      <w:numFmt w:val="decimal"/>
      <w:start w:val="11"/>
    </w:lvl>
    <w:lvl w:ilvl="1">
      <w:lvlJc w:val="left"/>
      <w:lvlText w:val="(%2)"/>
      <w:numFmt w:val="lowerLetter"/>
      <w:start w:val="1"/>
    </w:lvl>
  </w:abstractNum>
  <w:abstractNum w:abstractNumId="270">
    <w:nsid w:val="3D1A2DD9"/>
    <w:multiLevelType w:val="hybridMultilevel"/>
    <w:lvl w:ilvl="0">
      <w:lvlJc w:val="left"/>
      <w:lvlText w:val="%1"/>
      <w:numFmt w:val="decimal"/>
      <w:start w:val="1"/>
    </w:lvl>
    <w:lvl w:ilvl="1">
      <w:lvlJc w:val="left"/>
      <w:lvlText w:val="(%2)"/>
      <w:numFmt w:val="lowerLetter"/>
      <w:start w:val="2"/>
    </w:lvl>
  </w:abstractNum>
  <w:abstractNum w:abstractNumId="271">
    <w:nsid w:val="7F618FCD"/>
    <w:multiLevelType w:val="hybridMultilevel"/>
    <w:lvl w:ilvl="0">
      <w:lvlJc w:val="left"/>
      <w:lvlText w:val="%1."/>
      <w:numFmt w:val="decimal"/>
      <w:start w:val="12"/>
    </w:lvl>
    <w:lvl w:ilvl="1">
      <w:lvlJc w:val="left"/>
      <w:lvlText w:val="(%2)"/>
      <w:numFmt w:val="lowerLetter"/>
      <w:start w:val="1"/>
    </w:lvl>
  </w:abstractNum>
  <w:abstractNum w:abstractNumId="272">
    <w:nsid w:val="7843E45"/>
    <w:multiLevelType w:val="hybridMultilevel"/>
    <w:lvl w:ilvl="0">
      <w:lvlJc w:val="left"/>
      <w:lvlText w:val="%1."/>
      <w:numFmt w:val="decimal"/>
      <w:start w:val="14"/>
    </w:lvl>
    <w:lvl w:ilvl="1">
      <w:lvlJc w:val="left"/>
      <w:lvlText w:val="%2."/>
      <w:numFmt w:val="decimal"/>
      <w:start w:val="14"/>
    </w:lvl>
    <w:lvl w:ilvl="2">
      <w:lvlJc w:val="left"/>
      <w:lvlText w:val="(%3)"/>
      <w:numFmt w:val="lowerLetter"/>
      <w:start w:val="1"/>
    </w:lvl>
  </w:abstractNum>
  <w:abstractNum w:abstractNumId="273">
    <w:nsid w:val="9815DA3"/>
    <w:multiLevelType w:val="hybridMultilevel"/>
    <w:lvl w:ilvl="0">
      <w:lvlJc w:val="left"/>
      <w:lvlText w:val="%1"/>
      <w:numFmt w:val="decimal"/>
      <w:start w:val="1"/>
    </w:lvl>
    <w:lvl w:ilvl="1">
      <w:lvlJc w:val="left"/>
      <w:lvlText w:val="(%2)"/>
      <w:numFmt w:val="lowerLetter"/>
      <w:start w:val="2"/>
    </w:lvl>
  </w:abstractNum>
  <w:abstractNum w:abstractNumId="274">
    <w:nsid w:val="5204A191"/>
    <w:multiLevelType w:val="hybridMultilevel"/>
    <w:lvl w:ilvl="0">
      <w:lvlJc w:val="left"/>
      <w:lvlText w:val="%1."/>
      <w:numFmt w:val="decimal"/>
      <w:start w:val="15"/>
    </w:lvl>
    <w:lvl w:ilvl="1">
      <w:lvlJc w:val="left"/>
      <w:lvlText w:val="%2"/>
      <w:numFmt w:val="lowerLetter"/>
      <w:start w:val="1"/>
    </w:lvl>
  </w:abstractNum>
  <w:abstractNum w:abstractNumId="275">
    <w:nsid w:val="4C73A9C6"/>
    <w:multiLevelType w:val="hybridMultilevel"/>
    <w:lvl w:ilvl="0">
      <w:lvlJc w:val="left"/>
      <w:lvlText w:val="%1."/>
      <w:numFmt w:val="decimal"/>
      <w:start w:val="16"/>
    </w:lvl>
  </w:abstractNum>
  <w:abstractNum w:abstractNumId="276">
    <w:nsid w:val="1C7E3C01"/>
    <w:multiLevelType w:val="hybridMultilevel"/>
    <w:lvl w:ilvl="0">
      <w:lvlJc w:val="left"/>
      <w:lvlText w:val="(%1)"/>
      <w:numFmt w:val="lowerLetter"/>
      <w:start w:val="1"/>
    </w:lvl>
  </w:abstractNum>
  <w:abstractNum w:abstractNumId="277">
    <w:nsid w:val="1C2201FF"/>
    <w:multiLevelType w:val="hybridMultilevel"/>
    <w:lvl w:ilvl="0">
      <w:lvlJc w:val="left"/>
      <w:lvlText w:val="(%1)"/>
      <w:numFmt w:val="lowerRoman"/>
      <w:start w:val="1"/>
    </w:lvl>
  </w:abstractNum>
  <w:abstractNum w:abstractNumId="278">
    <w:nsid w:val="50ABCEC9"/>
    <w:multiLevelType w:val="hybridMultilevel"/>
    <w:lvl w:ilvl="0">
      <w:lvlJc w:val="left"/>
      <w:lvlText w:val="%1"/>
      <w:numFmt w:val="decimal"/>
      <w:start w:val="1"/>
    </w:lvl>
    <w:lvl w:ilvl="1">
      <w:lvlJc w:val="left"/>
      <w:lvlText w:val="(%2)"/>
      <w:numFmt w:val="lowerLetter"/>
      <w:start w:val="10"/>
    </w:lvl>
  </w:abstractNum>
  <w:abstractNum w:abstractNumId="279">
    <w:nsid w:val="7635AA2A"/>
    <w:multiLevelType w:val="hybridMultilevel"/>
    <w:lvl w:ilvl="0">
      <w:lvlJc w:val="left"/>
      <w:lvlText w:val="(%1)"/>
      <w:numFmt w:val="decimal"/>
      <w:start w:val="4"/>
    </w:lvl>
    <w:lvl w:ilvl="1">
      <w:lvlJc w:val="left"/>
      <w:lvlText w:val="%2"/>
      <w:numFmt w:val="lowerLetter"/>
      <w:start w:val="1"/>
    </w:lvl>
  </w:abstractNum>
  <w:abstractNum w:abstractNumId="280">
    <w:nsid w:val="5E74C4D9"/>
    <w:multiLevelType w:val="hybridMultilevel"/>
    <w:lvl w:ilvl="0">
      <w:lvlJc w:val="left"/>
      <w:lvlText w:val="(%1)"/>
      <w:numFmt w:val="lowerLetter"/>
      <w:start w:val="16"/>
    </w:lvl>
    <w:lvl w:ilvl="1">
      <w:lvlJc w:val="left"/>
      <w:lvlText w:val="(%2)"/>
      <w:numFmt w:val="lowerRoman"/>
      <w:start w:val="1"/>
    </w:lvl>
  </w:abstractNum>
  <w:abstractNum w:abstractNumId="281">
    <w:nsid w:val="3B3EBE15"/>
    <w:multiLevelType w:val="hybridMultilevel"/>
    <w:lvl w:ilvl="0">
      <w:lvlJc w:val="left"/>
      <w:lvlText w:val="(%1)"/>
      <w:numFmt w:val="lowerLetter"/>
      <w:start w:val="27"/>
    </w:lvl>
  </w:abstractNum>
  <w:abstractNum w:abstractNumId="282">
    <w:nsid w:val="3822CB01"/>
    <w:multiLevelType w:val="hybridMultilevel"/>
    <w:lvl w:ilvl="0">
      <w:lvlJc w:val="left"/>
      <w:lvlText w:val="(%1)"/>
      <w:numFmt w:val="lowerLetter"/>
      <w:start w:val="28"/>
    </w:lvl>
  </w:abstractNum>
  <w:abstractNum w:abstractNumId="283">
    <w:nsid w:val="6CE00443"/>
    <w:multiLevelType w:val="hybridMultilevel"/>
    <w:lvl w:ilvl="0">
      <w:lvlJc w:val="left"/>
      <w:lvlText w:val="%1."/>
      <w:numFmt w:val="decimal"/>
      <w:start w:val="1"/>
    </w:lvl>
    <w:lvl w:ilvl="1">
      <w:lvlJc w:val="left"/>
      <w:lvlText w:val="%2)"/>
      <w:numFmt w:val="lowerLetter"/>
      <w:start w:val="1"/>
    </w:lvl>
  </w:abstractNum>
  <w:abstractNum w:abstractNumId="284">
    <w:nsid w:val="79F0D62F"/>
    <w:multiLevelType w:val="hybridMultilevel"/>
    <w:lvl w:ilvl="0">
      <w:lvlJc w:val="left"/>
      <w:lvlText w:val="%1."/>
      <w:numFmt w:val="decimal"/>
      <w:start w:val="1"/>
    </w:lvl>
    <w:lvl w:ilvl="1">
      <w:lvlJc w:val="left"/>
      <w:lvlText w:val="%2)"/>
      <w:numFmt w:val="lowerLetter"/>
      <w:start w:val="1"/>
    </w:lvl>
  </w:abstractNum>
  <w:abstractNum w:abstractNumId="285">
    <w:nsid w:val="7975E8EE"/>
    <w:multiLevelType w:val="hybridMultilevel"/>
    <w:lvl w:ilvl="0">
      <w:lvlJc w:val="left"/>
      <w:lvlText w:val="%1."/>
      <w:numFmt w:val="decimal"/>
      <w:start w:val="1"/>
    </w:lvl>
  </w:abstractNum>
  <w:abstractNum w:abstractNumId="286">
    <w:nsid w:val="73154115"/>
    <w:multiLevelType w:val="hybridMultilevel"/>
    <w:lvl w:ilvl="0">
      <w:lvlJc w:val="left"/>
      <w:lvlText w:val="(%1)"/>
      <w:numFmt w:val="decimal"/>
      <w:start w:val="1"/>
    </w:lvl>
  </w:abstractNum>
  <w:abstractNum w:abstractNumId="287">
    <w:nsid w:val="622D8102"/>
    <w:multiLevelType w:val="hybridMultilevel"/>
    <w:lvl w:ilvl="0">
      <w:lvlJc w:val="left"/>
      <w:lvlText w:val="%1."/>
      <w:numFmt w:val="decimal"/>
      <w:start w:val="1"/>
    </w:lvl>
  </w:abstractNum>
  <w:abstractNum w:abstractNumId="288">
    <w:nsid w:val="2AB26587"/>
    <w:multiLevelType w:val="hybridMultilevel"/>
    <w:lvl w:ilvl="0">
      <w:lvlJc w:val="left"/>
      <w:lvlText w:val="%1."/>
      <w:numFmt w:val="decimal"/>
      <w:start w:val="2"/>
    </w:lvl>
  </w:abstractNum>
  <w:abstractNum w:abstractNumId="289">
    <w:nsid w:val="44B3FA61"/>
    <w:multiLevelType w:val="hybridMultilevel"/>
    <w:lvl w:ilvl="0">
      <w:lvlJc w:val="left"/>
      <w:lvlText w:val="%1."/>
      <w:numFmt w:val="decimal"/>
      <w:start w:val="3"/>
    </w:lvl>
  </w:abstractNum>
  <w:abstractNum w:abstractNumId="290">
    <w:nsid w:val="1C0CA67C"/>
    <w:multiLevelType w:val="hybridMultilevel"/>
    <w:lvl w:ilvl="0">
      <w:lvlJc w:val="left"/>
      <w:lvlText w:val="%1."/>
      <w:numFmt w:val="decimal"/>
      <w:start w:val="4"/>
    </w:lvl>
    <w:lvl w:ilvl="1">
      <w:lvlJc w:val="left"/>
      <w:lvlText w:val="(%2)"/>
      <w:numFmt w:val="lowerLetter"/>
      <w:start w:val="1"/>
    </w:lvl>
  </w:abstractNum>
  <w:abstractNum w:abstractNumId="291">
    <w:nsid w:val="3D206613"/>
    <w:multiLevelType w:val="hybridMultilevel"/>
    <w:lvl w:ilvl="0">
      <w:lvlJc w:val="left"/>
      <w:lvlText w:val="(%1)"/>
      <w:numFmt w:val="lowerLetter"/>
      <w:start w:val="3"/>
    </w:lvl>
    <w:lvl w:ilvl="1">
      <w:lvlJc w:val="left"/>
      <w:lvlText w:val="(%2)"/>
      <w:numFmt w:val="lowerRoman"/>
      <w:start w:val="1"/>
    </w:lvl>
  </w:abstractNum>
  <w:abstractNum w:abstractNumId="292">
    <w:nsid w:val="7993B662"/>
    <w:multiLevelType w:val="hybridMultilevel"/>
    <w:lvl w:ilvl="0">
      <w:lvlJc w:val="left"/>
      <w:lvlText w:val="%1"/>
      <w:numFmt w:val="decimal"/>
      <w:start w:val="1"/>
    </w:lvl>
    <w:lvl w:ilvl="1">
      <w:lvlJc w:val="left"/>
      <w:lvlText w:val="(%2)"/>
      <w:numFmt w:val="lowerLetter"/>
      <w:start w:val="7"/>
    </w:lvl>
  </w:abstractNum>
  <w:abstractNum w:abstractNumId="293">
    <w:nsid w:val="3BAB699E"/>
    <w:multiLevelType w:val="hybridMultilevel"/>
    <w:lvl w:ilvl="0">
      <w:lvlJc w:val="left"/>
      <w:lvlText w:val="%1."/>
      <w:numFmt w:val="decimal"/>
      <w:start w:val="5"/>
    </w:lvl>
    <w:lvl w:ilvl="1">
      <w:lvlJc w:val="left"/>
      <w:lvlText w:val="%2"/>
      <w:numFmt w:val="lowerLetter"/>
      <w:start w:val="1"/>
    </w:lvl>
  </w:abstractNum>
  <w:abstractNum w:abstractNumId="294">
    <w:nsid w:val="71315369"/>
    <w:multiLevelType w:val="hybridMultilevel"/>
    <w:lvl w:ilvl="0">
      <w:lvlJc w:val="left"/>
      <w:lvlText w:val="%1."/>
      <w:numFmt w:val="decimal"/>
      <w:start w:val="6"/>
    </w:lvl>
  </w:abstractNum>
  <w:abstractNum w:abstractNumId="295">
    <w:nsid w:val="7BCFBAFC"/>
    <w:multiLevelType w:val="hybridMultilevel"/>
    <w:lvl w:ilvl="0">
      <w:lvlJc w:val="left"/>
      <w:lvlText w:val="%1."/>
      <w:numFmt w:val="decimal"/>
      <w:start w:val="7"/>
    </w:lvl>
  </w:abstractNum>
  <w:abstractNum w:abstractNumId="296">
    <w:nsid w:val="17859F72"/>
    <w:multiLevelType w:val="hybridMultilevel"/>
    <w:lvl w:ilvl="0">
      <w:lvlJc w:val="left"/>
      <w:lvlText w:val="%1."/>
      <w:numFmt w:val="decimal"/>
      <w:start w:val="8"/>
    </w:lvl>
  </w:abstractNum>
  <w:abstractNum w:abstractNumId="297">
    <w:nsid w:val="3AA10581"/>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6" Type="http://schemas.openxmlformats.org/officeDocument/2006/relationships/image" Target="media/image108.png"/><Relationship Id="rId118" Type="http://schemas.openxmlformats.org/officeDocument/2006/relationships/image" Target="media/image109.png"/><Relationship Id="rId129" Type="http://schemas.openxmlformats.org/officeDocument/2006/relationships/image" Target="media/image110.png"/><Relationship Id="rId130" Type="http://schemas.openxmlformats.org/officeDocument/2006/relationships/image" Target="media/image111.png"/><Relationship Id="rId145" Type="http://schemas.openxmlformats.org/officeDocument/2006/relationships/image" Target="media/image112.png"/><Relationship Id="rId160" Type="http://schemas.openxmlformats.org/officeDocument/2006/relationships/image" Target="media/image113.png"/><Relationship Id="rId175" Type="http://schemas.openxmlformats.org/officeDocument/2006/relationships/image" Target="media/image114.png"/><Relationship Id="rId176" Type="http://schemas.openxmlformats.org/officeDocument/2006/relationships/image" Target="media/image115.png"/><Relationship Id="rId190" Type="http://schemas.openxmlformats.org/officeDocument/2006/relationships/image" Target="media/image116.png"/><Relationship Id="rId191" Type="http://schemas.openxmlformats.org/officeDocument/2006/relationships/image" Target="media/image117.png"/><Relationship Id="rId205" Type="http://schemas.openxmlformats.org/officeDocument/2006/relationships/image" Target="media/image118.png"/><Relationship Id="rId206" Type="http://schemas.openxmlformats.org/officeDocument/2006/relationships/image" Target="media/image119.png"/><Relationship Id="rId207" Type="http://schemas.openxmlformats.org/officeDocument/2006/relationships/image" Target="media/image120.png"/><Relationship Id="rId208" Type="http://schemas.openxmlformats.org/officeDocument/2006/relationships/image" Target="media/image121.png"/><Relationship Id="rId209" Type="http://schemas.openxmlformats.org/officeDocument/2006/relationships/image" Target="media/image122.png"/><Relationship Id="rId210" Type="http://schemas.openxmlformats.org/officeDocument/2006/relationships/image" Target="media/image123.png"/><Relationship Id="rId211" Type="http://schemas.openxmlformats.org/officeDocument/2006/relationships/image" Target="media/image124.png"/><Relationship Id="rId212" Type="http://schemas.openxmlformats.org/officeDocument/2006/relationships/image" Target="media/image125.png"/><Relationship Id="rId213" Type="http://schemas.openxmlformats.org/officeDocument/2006/relationships/image" Target="media/image126.png"/><Relationship Id="rId214" Type="http://schemas.openxmlformats.org/officeDocument/2006/relationships/image" Target="media/image127.png"/><Relationship Id="rId215" Type="http://schemas.openxmlformats.org/officeDocument/2006/relationships/image" Target="media/image128.png"/><Relationship Id="rId216" Type="http://schemas.openxmlformats.org/officeDocument/2006/relationships/image" Target="media/image129.png"/><Relationship Id="rId217" Type="http://schemas.openxmlformats.org/officeDocument/2006/relationships/image" Target="media/image130.png"/><Relationship Id="rId218" Type="http://schemas.openxmlformats.org/officeDocument/2006/relationships/image" Target="media/image131.png"/><Relationship Id="rId219" Type="http://schemas.openxmlformats.org/officeDocument/2006/relationships/image" Target="media/image132.png"/><Relationship Id="rId220" Type="http://schemas.openxmlformats.org/officeDocument/2006/relationships/image" Target="media/image133.png"/><Relationship Id="rId221" Type="http://schemas.openxmlformats.org/officeDocument/2006/relationships/image" Target="media/image134.png"/><Relationship Id="rId222" Type="http://schemas.openxmlformats.org/officeDocument/2006/relationships/image" Target="media/image135.png"/><Relationship Id="rId223" Type="http://schemas.openxmlformats.org/officeDocument/2006/relationships/image" Target="media/image136.png"/><Relationship Id="rId224" Type="http://schemas.openxmlformats.org/officeDocument/2006/relationships/image" Target="media/image137.png"/><Relationship Id="rId225" Type="http://schemas.openxmlformats.org/officeDocument/2006/relationships/image" Target="media/image138.png"/><Relationship Id="rId226" Type="http://schemas.openxmlformats.org/officeDocument/2006/relationships/image" Target="media/image139.png"/><Relationship Id="rId227" Type="http://schemas.openxmlformats.org/officeDocument/2006/relationships/image" Target="media/image140.png"/><Relationship Id="rId228" Type="http://schemas.openxmlformats.org/officeDocument/2006/relationships/image" Target="media/image141.png"/><Relationship Id="rId229" Type="http://schemas.openxmlformats.org/officeDocument/2006/relationships/image" Target="media/image142.png"/><Relationship Id="rId230" Type="http://schemas.openxmlformats.org/officeDocument/2006/relationships/image" Target="media/image143.png"/><Relationship Id="rId231" Type="http://schemas.openxmlformats.org/officeDocument/2006/relationships/image" Target="media/image144.png"/><Relationship Id="rId232" Type="http://schemas.openxmlformats.org/officeDocument/2006/relationships/image" Target="media/image145.png"/><Relationship Id="rId233" Type="http://schemas.openxmlformats.org/officeDocument/2006/relationships/image" Target="media/image146.png"/><Relationship Id="rId234" Type="http://schemas.openxmlformats.org/officeDocument/2006/relationships/image" Target="media/image147.png"/><Relationship Id="rId235" Type="http://schemas.openxmlformats.org/officeDocument/2006/relationships/image" Target="media/image148.png"/><Relationship Id="rId236" Type="http://schemas.openxmlformats.org/officeDocument/2006/relationships/image" Target="media/image149.png"/><Relationship Id="rId237" Type="http://schemas.openxmlformats.org/officeDocument/2006/relationships/image" Target="media/image150.png"/><Relationship Id="rId238" Type="http://schemas.openxmlformats.org/officeDocument/2006/relationships/image" Target="media/image151.png"/><Relationship Id="rId239" Type="http://schemas.openxmlformats.org/officeDocument/2006/relationships/image" Target="media/image152.png"/><Relationship Id="rId240" Type="http://schemas.openxmlformats.org/officeDocument/2006/relationships/image" Target="media/image153.png"/><Relationship Id="rId241" Type="http://schemas.openxmlformats.org/officeDocument/2006/relationships/image" Target="media/image154.png"/><Relationship Id="rId242" Type="http://schemas.openxmlformats.org/officeDocument/2006/relationships/image" Target="media/image155.png"/><Relationship Id="rId243" Type="http://schemas.openxmlformats.org/officeDocument/2006/relationships/image" Target="media/image156.png"/><Relationship Id="rId244" Type="http://schemas.openxmlformats.org/officeDocument/2006/relationships/image" Target="media/image157.png"/><Relationship Id="rId245" Type="http://schemas.openxmlformats.org/officeDocument/2006/relationships/image" Target="media/image158.png"/><Relationship Id="rId246" Type="http://schemas.openxmlformats.org/officeDocument/2006/relationships/image" Target="media/image159.png"/><Relationship Id="rId247" Type="http://schemas.openxmlformats.org/officeDocument/2006/relationships/image" Target="media/image160.png"/><Relationship Id="rId248" Type="http://schemas.openxmlformats.org/officeDocument/2006/relationships/image" Target="media/image161.png"/><Relationship Id="rId249" Type="http://schemas.openxmlformats.org/officeDocument/2006/relationships/image" Target="media/image162.png"/><Relationship Id="rId250" Type="http://schemas.openxmlformats.org/officeDocument/2006/relationships/image" Target="media/image163.png"/><Relationship Id="rId251" Type="http://schemas.openxmlformats.org/officeDocument/2006/relationships/image" Target="media/image164.png"/><Relationship Id="rId252" Type="http://schemas.openxmlformats.org/officeDocument/2006/relationships/image" Target="media/image165.png"/><Relationship Id="rId253" Type="http://schemas.openxmlformats.org/officeDocument/2006/relationships/image" Target="media/image166.png"/><Relationship Id="rId254" Type="http://schemas.openxmlformats.org/officeDocument/2006/relationships/image" Target="media/image167.png"/><Relationship Id="rId255" Type="http://schemas.openxmlformats.org/officeDocument/2006/relationships/image" Target="media/image168.png"/><Relationship Id="rId256" Type="http://schemas.openxmlformats.org/officeDocument/2006/relationships/image" Target="media/image169.png"/><Relationship Id="rId257" Type="http://schemas.openxmlformats.org/officeDocument/2006/relationships/image" Target="media/image170.png"/><Relationship Id="rId258" Type="http://schemas.openxmlformats.org/officeDocument/2006/relationships/image" Target="media/image171.png"/><Relationship Id="rId259" Type="http://schemas.openxmlformats.org/officeDocument/2006/relationships/image" Target="media/image172.png"/><Relationship Id="rId260" Type="http://schemas.openxmlformats.org/officeDocument/2006/relationships/image" Target="media/image173.png"/><Relationship Id="rId261" Type="http://schemas.openxmlformats.org/officeDocument/2006/relationships/image" Target="media/image174.png"/><Relationship Id="rId262" Type="http://schemas.openxmlformats.org/officeDocument/2006/relationships/image" Target="media/image175.png"/><Relationship Id="rId263" Type="http://schemas.openxmlformats.org/officeDocument/2006/relationships/image" Target="media/image176.png"/><Relationship Id="rId264" Type="http://schemas.openxmlformats.org/officeDocument/2006/relationships/image" Target="media/image177.png"/><Relationship Id="rId265" Type="http://schemas.openxmlformats.org/officeDocument/2006/relationships/image" Target="media/image178.png"/><Relationship Id="rId266" Type="http://schemas.openxmlformats.org/officeDocument/2006/relationships/image" Target="media/image179.png"/><Relationship Id="rId267" Type="http://schemas.openxmlformats.org/officeDocument/2006/relationships/image" Target="media/image180.png"/><Relationship Id="rId268" Type="http://schemas.openxmlformats.org/officeDocument/2006/relationships/image" Target="media/image181.png"/><Relationship Id="rId269" Type="http://schemas.openxmlformats.org/officeDocument/2006/relationships/image" Target="media/image182.png"/><Relationship Id="rId270" Type="http://schemas.openxmlformats.org/officeDocument/2006/relationships/image" Target="media/image183.png"/><Relationship Id="rId271" Type="http://schemas.openxmlformats.org/officeDocument/2006/relationships/image" Target="media/image184.png"/><Relationship Id="rId272" Type="http://schemas.openxmlformats.org/officeDocument/2006/relationships/image" Target="media/image185.png"/><Relationship Id="rId273" Type="http://schemas.openxmlformats.org/officeDocument/2006/relationships/image" Target="media/image186.png"/><Relationship Id="rId274" Type="http://schemas.openxmlformats.org/officeDocument/2006/relationships/image" Target="media/image187.png"/><Relationship Id="rId275" Type="http://schemas.openxmlformats.org/officeDocument/2006/relationships/image" Target="media/image188.png"/><Relationship Id="rId276" Type="http://schemas.openxmlformats.org/officeDocument/2006/relationships/image" Target="media/image189.png"/><Relationship Id="rId277" Type="http://schemas.openxmlformats.org/officeDocument/2006/relationships/image" Target="media/image190.png"/><Relationship Id="rId115" Type="http://schemas.openxmlformats.org/officeDocument/2006/relationships/hyperlink" Target="http://www.sec.gov/Archives/edgar/data/1232524/000119312511251468/d233902dex21.htm" TargetMode="External"/><Relationship Id="rId117" Type="http://schemas.openxmlformats.org/officeDocument/2006/relationships/hyperlink" Target="http://www.sec.gov/Archives/edgar/data/1232524/000119312516607097/d203835dex21.htm" TargetMode="External"/><Relationship Id="rId119" Type="http://schemas.openxmlformats.org/officeDocument/2006/relationships/hyperlink" Target="https://www.sec.gov/Archives/edgar/data/1232524/000119312521027577/d117870dex21.htm" TargetMode="External"/><Relationship Id="rId120" Type="http://schemas.openxmlformats.org/officeDocument/2006/relationships/hyperlink" Target="https://www.sec.gov/Archives/edgar/data/1232524/000119312522298441/d428448dex21.htm" TargetMode="External"/><Relationship Id="rId121" Type="http://schemas.openxmlformats.org/officeDocument/2006/relationships/hyperlink" Target="http://www.sec.gov/Archives/edgar/data/1232524/000123252416000303/jazzq22016ex31.htm" TargetMode="External"/><Relationship Id="rId122" Type="http://schemas.openxmlformats.org/officeDocument/2006/relationships/hyperlink" Target="http://www.sec.gov/Archives/edgar/data/1232524/000119312509144891/dex1088.htm" TargetMode="External"/><Relationship Id="rId123" Type="http://schemas.openxmlformats.org/officeDocument/2006/relationships/hyperlink" Target="http://www.sec.gov/Archives/edgar/data/1232524/000119312512085849/d234872dex47b.htm" TargetMode="External"/><Relationship Id="rId124" Type="http://schemas.openxmlformats.org/officeDocument/2006/relationships/hyperlink" Target="http://www.sec.gov/Archives/edgar/data/1232524/000119312517265654/d641007dex41.htm" TargetMode="External"/><Relationship Id="rId125" Type="http://schemas.openxmlformats.org/officeDocument/2006/relationships/hyperlink" Target="https://www.sec.gov/Archives/edgar/data/1232524/000119312520166658/d945191dex41.htm" TargetMode="External"/><Relationship Id="rId126" Type="http://schemas.openxmlformats.org/officeDocument/2006/relationships/hyperlink" Target="https://www.sec.gov/Archives/edgar/data/0001232524/000119312521140517/d191392dex41.htm" TargetMode="External"/><Relationship Id="rId127" Type="http://schemas.openxmlformats.org/officeDocument/2006/relationships/hyperlink" Target="https://www.sec.gov/Archives/edgar/data/1232524/000123252421000045/jazzq22021ex45c.htm" TargetMode="External"/><Relationship Id="rId128" Type="http://schemas.openxmlformats.org/officeDocument/2006/relationships/hyperlink" Target="https://www.sec.gov/Archives/edgar/data/1232524/000119312521151714/d186026dex101.htm" TargetMode="External"/><Relationship Id="rId131" Type="http://schemas.openxmlformats.org/officeDocument/2006/relationships/hyperlink" Target="https://www.sec.gov/Archives/edgar/data/1232524/000123252423000037/jazzq22023ex101.htm" TargetMode="External"/><Relationship Id="rId132" Type="http://schemas.openxmlformats.org/officeDocument/2006/relationships/hyperlink" Target="https://www.sec.gov/Archives/edgar/data/1232524/000119312524015517/d707707dex101.htm" TargetMode="External"/><Relationship Id="rId133" Type="http://schemas.openxmlformats.org/officeDocument/2006/relationships/hyperlink" Target="https://www.sec.gov/Archives/edgar/data/1232524/000123252422000046/jazzq32022ex101.htm" TargetMode="External"/><Relationship Id="rId134" Type="http://schemas.openxmlformats.org/officeDocument/2006/relationships/hyperlink" Target="http://www.sec.gov/Archives/edgar/data/1232524/000123252419000026/jazzq12019ex107.htm" TargetMode="External"/><Relationship Id="rId135" Type="http://schemas.openxmlformats.org/officeDocument/2006/relationships/hyperlink" Target="http://www.sec.gov/Archives/edgar/data/1232524/000123252419000026/jazzq12019ex106.htm" TargetMode="External"/><Relationship Id="rId136" Type="http://schemas.openxmlformats.org/officeDocument/2006/relationships/hyperlink" Target="http://www.sec.gov/Archives/edgar/data/1232524/000119312510109426/dex1054.htm" TargetMode="External"/><Relationship Id="rId137" Type="http://schemas.openxmlformats.org/officeDocument/2006/relationships/hyperlink" Target="https://www.sec.gov/Archives/edgar/data/1232524/000123252421000016/jazzq42020ex108.htm" TargetMode="External"/><Relationship Id="rId138" Type="http://schemas.openxmlformats.org/officeDocument/2006/relationships/hyperlink" Target="https://www.sec.gov/Archives/edgar/data/1232524/000123252420000016/jazzq42019ex1010.htm" TargetMode="External"/><Relationship Id="rId139" Type="http://schemas.openxmlformats.org/officeDocument/2006/relationships/hyperlink" Target="https://www.sec.gov/Archives/edgar/data/1232524/000123252423000015/jazzq42022ex108.htm" TargetMode="External"/><Relationship Id="rId140" Type="http://schemas.openxmlformats.org/officeDocument/2006/relationships/hyperlink" Target="https://www.sec.gov/Archives/edgar/data/1232524/000123252421000016/jazzq42020ex1012.htm" TargetMode="External"/><Relationship Id="rId141" Type="http://schemas.openxmlformats.org/officeDocument/2006/relationships/hyperlink" Target="https://www.sec.gov/Archives/edgar/data/1232524/000123252421000045/jazzq22021ex102.htm" TargetMode="External"/><Relationship Id="rId142" Type="http://schemas.openxmlformats.org/officeDocument/2006/relationships/hyperlink" Target="https://www.sec.gov/Archives/edgar/data/1232524/000123252421000045/jazzq22021ex101a.htm" TargetMode="External"/><Relationship Id="rId143" Type="http://schemas.openxmlformats.org/officeDocument/2006/relationships/hyperlink" Target="http://www.sec.gov/Archives/edgar/data/1232524/000119312512341236/d369113dex102.htm" TargetMode="External"/><Relationship Id="rId144" Type="http://schemas.openxmlformats.org/officeDocument/2006/relationships/hyperlink" Target="http://www.sec.gov/Archives/edgar/data/1232524/000123252415000030/jazzq42014ex1010.htm" TargetMode="External"/><Relationship Id="rId146" Type="http://schemas.openxmlformats.org/officeDocument/2006/relationships/hyperlink" Target="http://www.sec.gov/Archives/edgar/data/1232524/000123252418000133/jazzq22018ex105.htm" TargetMode="External"/><Relationship Id="rId147" Type="http://schemas.openxmlformats.org/officeDocument/2006/relationships/hyperlink" Target="http://www.sec.gov/Archives/edgar/data/1232524/000123252418000192/jazzq32018ex101.htm" TargetMode="External"/><Relationship Id="rId148" Type="http://schemas.openxmlformats.org/officeDocument/2006/relationships/hyperlink" Target="http://www.sec.gov/Archives/edgar/data/1232524/000119312512015521/d282897dex101.htm" TargetMode="External"/><Relationship Id="rId149" Type="http://schemas.openxmlformats.org/officeDocument/2006/relationships/hyperlink" Target="http://www.sec.gov/Archives/edgar/data/1232524/000123252419000044/jazzq22019ex104offeriannone.htm" TargetMode="External"/><Relationship Id="rId150" Type="http://schemas.openxmlformats.org/officeDocument/2006/relationships/hyperlink" Target="http://www.sec.gov/Archives/edgar/data/1232524/000123252419000060/jazzq32019ex101.htm" TargetMode="External"/><Relationship Id="rId151" Type="http://schemas.openxmlformats.org/officeDocument/2006/relationships/hyperlink" Target="http://www.sec.gov/Archives/edgar/data/1232524/000123252419000060/jazzq32019ex102.htm" TargetMode="External"/><Relationship Id="rId152" Type="http://schemas.openxmlformats.org/officeDocument/2006/relationships/hyperlink" Target="http://www.sec.gov/Archives/edgar/data/1232524/000123252419000060/jazzq32019ex103.htm" TargetMode="External"/><Relationship Id="rId153" Type="http://schemas.openxmlformats.org/officeDocument/2006/relationships/hyperlink" Target="http://www.sec.gov/Archives/edgar/data/1232524/000123252419000060/jazzq32019ex104.htm" TargetMode="External"/><Relationship Id="rId154" Type="http://schemas.openxmlformats.org/officeDocument/2006/relationships/hyperlink" Target="https://www.sec.gov/Archives/edgar/data/1232524/000123252420000016/jazzq42019ex1028a.htm" TargetMode="External"/><Relationship Id="rId155" Type="http://schemas.openxmlformats.org/officeDocument/2006/relationships/hyperlink" Target="https://www.sec.gov/Archives/edgar/data/1232524/000123252420000034/jazzq12020ex104.htm" TargetMode="External"/><Relationship Id="rId156" Type="http://schemas.openxmlformats.org/officeDocument/2006/relationships/hyperlink" Target="https://www.sec.gov/Archives/edgar/data/1232524/000123252420000016/jazzq42019ex1028b.htm" TargetMode="External"/><Relationship Id="rId157" Type="http://schemas.openxmlformats.org/officeDocument/2006/relationships/hyperlink" Target="https://www.sec.gov/Archives/edgar/data/1232524/000123252420000034/jazzq12020ex101.htm" TargetMode="External"/><Relationship Id="rId158" Type="http://schemas.openxmlformats.org/officeDocument/2006/relationships/hyperlink" Target="http://www.sec.gov/Archives/edgar/data/1232524/000119312512015710/d283614dex991.htm" TargetMode="External"/><Relationship Id="rId159" Type="http://schemas.openxmlformats.org/officeDocument/2006/relationships/hyperlink" Target="http://www.sec.gov/Archives/edgar/data/1232524/000119312512085849/d234872dex1039b.htm" TargetMode="External"/><Relationship Id="rId161" Type="http://schemas.openxmlformats.org/officeDocument/2006/relationships/hyperlink" Target="http://www.sec.gov/Archives/edgar/data/1232524/000123252413000112/jazzq32013ex103.htm" TargetMode="External"/><Relationship Id="rId162" Type="http://schemas.openxmlformats.org/officeDocument/2006/relationships/hyperlink" Target="http://www.sec.gov/Archives/edgar/data/1232524/000123252413000112/jazzq32013ex105.htm" TargetMode="External"/><Relationship Id="rId163" Type="http://schemas.openxmlformats.org/officeDocument/2006/relationships/hyperlink" Target="http://www.sec.gov/Archives/edgar/data/1232524/000123252416000271/jazzq12016ex101.htm" TargetMode="External"/><Relationship Id="rId164" Type="http://schemas.openxmlformats.org/officeDocument/2006/relationships/hyperlink" Target="http://www.sec.gov/Archives/edgar/data/1232524/000123252416000303/jazzq22016ex108.htm" TargetMode="External"/><Relationship Id="rId165" Type="http://schemas.openxmlformats.org/officeDocument/2006/relationships/hyperlink" Target="http://www.sec.gov/Archives/edgar/data/1232524/000123252416000384/jazzq32016ex102.htm" TargetMode="External"/><Relationship Id="rId166" Type="http://schemas.openxmlformats.org/officeDocument/2006/relationships/hyperlink" Target="https://www.sec.gov/Archives/edgar/data/1232524/000123252423000015/jazzq42022ex1026q.htm" TargetMode="External"/><Relationship Id="rId167" Type="http://schemas.openxmlformats.org/officeDocument/2006/relationships/hyperlink" Target="http://www.sec.gov/Archives/edgar/data/1232524/000123252416000384/jazzq32016ex107.htm" TargetMode="External"/><Relationship Id="rId168" Type="http://schemas.openxmlformats.org/officeDocument/2006/relationships/hyperlink" Target="https://www.sec.gov/Archives/edgar/data/1232524/000123252416000384/jazzq32016ex106.htm" TargetMode="External"/><Relationship Id="rId169" Type="http://schemas.openxmlformats.org/officeDocument/2006/relationships/hyperlink" Target="http://www.sec.gov/Archives/edgar/data/1232524/000123252418000133/jazzq22018ex102.htm" TargetMode="External"/><Relationship Id="rId170" Type="http://schemas.openxmlformats.org/officeDocument/2006/relationships/hyperlink" Target="http://www.sec.gov/Archives/edgar/data/1232524/000123252419000026/jazzq12019ex104.htm" TargetMode="External"/><Relationship Id="rId171" Type="http://schemas.openxmlformats.org/officeDocument/2006/relationships/hyperlink" Target="http://www.sec.gov/Archives/edgar/data/1232524/000123252419000026/jazzq12019ex105.htm" TargetMode="External"/><Relationship Id="rId172" Type="http://schemas.openxmlformats.org/officeDocument/2006/relationships/hyperlink" Target="https://www.sec.gov/Archives/edgar/data/1232524/000123252421000045/jazzq22021ex108.htm" TargetMode="External"/><Relationship Id="rId173" Type="http://schemas.openxmlformats.org/officeDocument/2006/relationships/hyperlink" Target="https://www.sec.gov/Archives/edgar/data/1232524/000123252421000045/jazzq22021ex109.htm" TargetMode="External"/><Relationship Id="rId174" Type="http://schemas.openxmlformats.org/officeDocument/2006/relationships/hyperlink" Target="https://www.sec.gov/Archives/edgar/data/1232524/000123252421000061/jazzq32021ex101.htm" TargetMode="External"/><Relationship Id="rId177" Type="http://schemas.openxmlformats.org/officeDocument/2006/relationships/hyperlink" Target="https://www.sec.gov/Archives/edgar/data/1232524/000123252421000045/jazzq22021ex106.htm" TargetMode="External"/><Relationship Id="rId178" Type="http://schemas.openxmlformats.org/officeDocument/2006/relationships/hyperlink" Target="https://www.sec.gov/Archives/edgar/data/1232524/000123252421000045/jazzq22021ex107.htm" TargetMode="External"/><Relationship Id="rId179" Type="http://schemas.openxmlformats.org/officeDocument/2006/relationships/hyperlink" Target="http://www.sec.gov/Archives/edgar/data/1232524/000119312512015710/d283614dex994.htm" TargetMode="External"/><Relationship Id="rId180" Type="http://schemas.openxmlformats.org/officeDocument/2006/relationships/hyperlink" Target="http://www.sec.gov/Archives/edgar/data/1232524/000123252413000010/jazzq42012ex1030b.htm" TargetMode="External"/><Relationship Id="rId181" Type="http://schemas.openxmlformats.org/officeDocument/2006/relationships/hyperlink" Target="http://www.sec.gov/Archives/edgar/data/1232524/000123252413000112/jazzq32013ex107.htm" TargetMode="External"/><Relationship Id="rId182" Type="http://schemas.openxmlformats.org/officeDocument/2006/relationships/hyperlink" Target="http://www.sec.gov/Archives/edgar/data/1232524/000123252416000303/jazzq22016ex109.htm" TargetMode="External"/><Relationship Id="rId183" Type="http://schemas.openxmlformats.org/officeDocument/2006/relationships/hyperlink" Target="http://www.sec.gov/Archives/edgar/data/1232524/000123252416000384/jazzq32016ex103.htm" TargetMode="External"/><Relationship Id="rId184" Type="http://schemas.openxmlformats.org/officeDocument/2006/relationships/hyperlink" Target="https://www.sec.gov/Archives/edgar/data/1232524/000123252420000054/jazzq22020ex103.htm" TargetMode="External"/><Relationship Id="rId185" Type="http://schemas.openxmlformats.org/officeDocument/2006/relationships/hyperlink" Target="http://www.sec.gov/Archives/edgar/data/1232524/000123252416000384/jazzq32016ex105.htm" TargetMode="External"/><Relationship Id="rId186" Type="http://schemas.openxmlformats.org/officeDocument/2006/relationships/hyperlink" Target="http://www.sec.gov/Archives/edgar/data/1232524/000123252418000192/jazzq32018ex102.htm" TargetMode="External"/><Relationship Id="rId187" Type="http://schemas.openxmlformats.org/officeDocument/2006/relationships/hyperlink" Target="http://www.sec.gov/Archives/edgar/data/1232524/000123252419000026/jazzq12019ex102.htm" TargetMode="External"/><Relationship Id="rId188" Type="http://schemas.openxmlformats.org/officeDocument/2006/relationships/hyperlink" Target="https://www.sec.gov/Archives/edgar/data/1232524/000123252420000071/jazzq32020ex102.htm" TargetMode="External"/><Relationship Id="rId189" Type="http://schemas.openxmlformats.org/officeDocument/2006/relationships/hyperlink" Target="https://www.sec.gov/Archives/edgar/data/1232524/000123252420000071/jazzq32020ex103.htm" TargetMode="External"/><Relationship Id="rId192" Type="http://schemas.openxmlformats.org/officeDocument/2006/relationships/hyperlink" Target="https://www.sec.gov/Archives/edgar/data/1232524/000123252421000045/jazzq22021ex1010b.htm" TargetMode="External"/><Relationship Id="rId193" Type="http://schemas.openxmlformats.org/officeDocument/2006/relationships/hyperlink" Target="https://www.sec.gov/Archives/edgar/data/1232524/000123252421000045/jazzq22021ex1010c.htm" TargetMode="External"/><Relationship Id="rId194" Type="http://schemas.openxmlformats.org/officeDocument/2006/relationships/hyperlink" Target="https://www.sec.gov/Archives/edgar/data/1232524/000123252421000045/jazzq22021ex1010d.htm" TargetMode="External"/><Relationship Id="rId195" Type="http://schemas.openxmlformats.org/officeDocument/2006/relationships/hyperlink" Target="http://www.sec.gov/Archives/edgar/data/1232524/000123252413000010/jazzq42012ex1031a.htm" TargetMode="External"/><Relationship Id="rId196" Type="http://schemas.openxmlformats.org/officeDocument/2006/relationships/hyperlink" Target="https://www.sec.gov/Archives/edgar/data/1232524/000123252423000015/jazzq42022ex1030b.htm" TargetMode="External"/><Relationship Id="rId197" Type="http://schemas.openxmlformats.org/officeDocument/2006/relationships/hyperlink" Target="http://www.sec.gov/Archives/edgar/data/1232524/000119312512218929/d315595dex1014c.htm" TargetMode="External"/><Relationship Id="rId198" Type="http://schemas.openxmlformats.org/officeDocument/2006/relationships/hyperlink" Target="https://www.sec.gov/Archives/edgar/data/1232524/000123252420000016/jazzq42019ex1034c.htm" TargetMode="External"/><Relationship Id="rId199" Type="http://schemas.openxmlformats.org/officeDocument/2006/relationships/hyperlink" Target="https://www.sec.gov/Archives/edgar/data/1232524/000123252420000016/jazzq42019ex1034d.htm" TargetMode="External"/><Relationship Id="rId200" Type="http://schemas.openxmlformats.org/officeDocument/2006/relationships/hyperlink" Target="https://www.sec.gov/Archives/edgar/data/1232524/000123252421000016/jazzq42020ex1033c.htm" TargetMode="External"/><Relationship Id="rId201" Type="http://schemas.openxmlformats.org/officeDocument/2006/relationships/hyperlink" Target="https://www.sec.gov/Archives/edgar/data/1232524/000123252421000016/jazzq42020ex1033d.htm" TargetMode="External"/><Relationship Id="rId202" Type="http://schemas.openxmlformats.org/officeDocument/2006/relationships/hyperlink" Target="https://www.sec.gov/Archives/edgar/data/1232524/000123252422000012/jazzq42021ex1034e.htm" TargetMode="External"/><Relationship Id="rId203" Type="http://schemas.openxmlformats.org/officeDocument/2006/relationships/hyperlink" Target="https://www.sec.gov/Archives/edgar/data/1232524/000123252423000037/jazzq22023ex102.htm" TargetMode="External"/><Relationship Id="rId204" Type="http://schemas.openxmlformats.org/officeDocument/2006/relationships/hyperlink" Target="https://www.sec.gov/Archives/edgar/data/1232524/000123252423000037/jazzq22023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2024-02-28T17:43:22Z</dcterms:created>
  <dcterms:modified xsi:type="dcterms:W3CDTF">2024-02-28T17:43:22Z</dcterms:modified>
</cp:coreProperties>
</file>