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37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6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November 2, 2026</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200" w:lineRule="exact"/>
        <w:rPr>
          <w:sz w:val="24"/>
          <w:szCs w:val="24"/>
          <w:color w:val="auto"/>
        </w:rPr>
      </w:pPr>
    </w:p>
    <w:p>
      <w:pPr>
        <w:spacing w:after="0" w:line="36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0"/>
          <w:szCs w:val="30"/>
          <w:b w:val="1"/>
          <w:bCs w:val="1"/>
          <w:color w:val="auto"/>
        </w:rPr>
        <w:t>JAZZ PHARMACEUTICALS PUBLIC LIMITED COMPANY</w:t>
      </w:r>
    </w:p>
    <w:p>
      <w:pPr>
        <w:spacing w:after="0" w:line="5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ectPr>
          <w:pgSz w:w="11900" w:h="16838" w:orient="portrait"/>
          <w:cols w:equalWidth="0" w:num="1">
            <w:col w:w="11220"/>
          </w:cols>
          <w:pgMar w:left="320" w:top="1258" w:right="359" w:bottom="1440" w:gutter="0" w:footer="0" w:header="0"/>
        </w:sectPr>
      </w:pPr>
    </w:p>
    <w:p>
      <w:pPr>
        <w:spacing w:after="0" w:line="377"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Ireland</w:t>
      </w:r>
    </w:p>
    <w:p>
      <w:pPr>
        <w:spacing w:after="0" w:line="15"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ind w:left="124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357"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8"/>
          <w:szCs w:val="18"/>
          <w:b w:val="1"/>
          <w:bCs w:val="1"/>
          <w:color w:val="auto"/>
        </w:rPr>
        <w:t>001-33500</w:t>
      </w:r>
    </w:p>
    <w:p>
      <w:pPr>
        <w:spacing w:after="0" w:line="27"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7"/>
          <w:szCs w:val="17"/>
          <w:b w:val="1"/>
          <w:bCs w:val="1"/>
          <w:color w:val="auto"/>
        </w:rPr>
        <w:t>(Commission</w:t>
      </w:r>
    </w:p>
    <w:p>
      <w:pPr>
        <w:jc w:val="center"/>
        <w:ind w:right="1780"/>
        <w:spacing w:after="0"/>
        <w:rPr>
          <w:sz w:val="20"/>
          <w:szCs w:val="20"/>
          <w:color w:val="auto"/>
        </w:rPr>
      </w:pPr>
      <w:r>
        <w:rPr>
          <w:rFonts w:ascii="Times New Roman" w:cs="Times New Roman" w:eastAsia="Times New Roman" w:hAnsi="Times New Roman"/>
          <w:sz w:val="18"/>
          <w:szCs w:val="18"/>
          <w:b w:val="1"/>
          <w:bCs w:val="1"/>
          <w:color w:val="auto"/>
        </w:rPr>
        <w:t>File No.)</w:t>
      </w:r>
    </w:p>
    <w:p>
      <w:pPr>
        <w:spacing w:after="0" w:line="20" w:lineRule="exact"/>
        <w:rPr>
          <w:sz w:val="24"/>
          <w:szCs w:val="24"/>
          <w:color w:val="auto"/>
        </w:rPr>
      </w:pPr>
      <w:r>
        <w:rPr>
          <w:sz w:val="24"/>
          <w:szCs w:val="24"/>
          <w:color w:val="auto"/>
        </w:rPr>
        <w:br w:type="column"/>
      </w:r>
    </w:p>
    <w:p>
      <w:pPr>
        <w:spacing w:after="0" w:line="357"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98-1032470</w:t>
      </w:r>
    </w:p>
    <w:p>
      <w:pPr>
        <w:spacing w:after="0" w:line="15"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161" w:lineRule="exact"/>
        <w:rPr>
          <w:sz w:val="24"/>
          <w:szCs w:val="24"/>
          <w:color w:val="auto"/>
        </w:rPr>
      </w:pPr>
    </w:p>
    <w:p>
      <w:pPr>
        <w:sectPr>
          <w:pgSz w:w="11900" w:h="16838" w:orient="portrait"/>
          <w:cols w:equalWidth="0" w:num="3">
            <w:col w:w="4520" w:space="720"/>
            <w:col w:w="2780" w:space="720"/>
            <w:col w:w="2480"/>
          </w:cols>
          <w:pgMar w:left="320" w:top="1258" w:right="35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Fifth Floor, Waterloo Exchange,</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Waterloo Road, Dublin 4, Ireland D04 E5W7</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 including zip code)</w:t>
      </w:r>
    </w:p>
    <w:p>
      <w:pPr>
        <w:spacing w:after="0" w:line="24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011-353-1-634-7800</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ectPr>
          <w:pgSz w:w="11900" w:h="16838" w:orient="portrait"/>
          <w:cols w:equalWidth="0" w:num="1">
            <w:col w:w="11220"/>
          </w:cols>
          <w:pgMar w:left="320" w:top="1258" w:right="359" w:bottom="1440" w:gutter="0" w:footer="0" w:header="0"/>
          <w:type w:val="continuous"/>
        </w:sectPr>
      </w:pPr>
    </w:p>
    <w:p>
      <w:pPr>
        <w:spacing w:after="0" w:line="207"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83"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2"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8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7"/>
        </w:trPr>
        <w:tc>
          <w:tcPr>
            <w:tcW w:w="20" w:type="dxa"/>
            <w:vAlign w:val="bottom"/>
          </w:tcPr>
          <w:p>
            <w:pPr>
              <w:spacing w:after="0"/>
              <w:rPr>
                <w:sz w:val="20"/>
                <w:szCs w:val="20"/>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Ordinary shares, nominal value $0.0001 per share</w:t>
            </w:r>
          </w:p>
        </w:tc>
        <w:tc>
          <w:tcPr>
            <w:tcW w:w="22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JAZZ</w:t>
            </w:r>
          </w:p>
        </w:tc>
        <w:tc>
          <w:tcPr>
            <w:tcW w:w="44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90"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8"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89"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On November 2, 2026, Jazz Pharmaceuticals plc (the “Company”) issued a press release (the “Press Release”) announcing financial results for the Company for the quarter ended September 30, 2026. A copy of the Press Release is furnished as Exhibit 99.1 to this current report.</w:t>
      </w:r>
    </w:p>
    <w:p>
      <w:pPr>
        <w:spacing w:after="0" w:line="12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information in this Item 2.02 and in the Press Release furnished as Exhibit 99.1 to this current report shall not be deemed to be “filed” for purposes of Section 18 of the Securities Exchange Act of 1934, as amended, or otherwise subject to the liabilities of that Section or Sections 11 and 12(a)(2) of the Securities Act of 1933, as amended. The information contained in this Item 2.02 and in the Press Release furnished as Exhibit 99.1 to this current report shall not be incorporated by reference into any filing with the U.S. Securities and Exchange Commission made by the Company whether made before or after the date hereof, regardless of any general incorporation language in such filing.</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48" w:lineRule="exact"/>
        <w:rPr>
          <w:sz w:val="20"/>
          <w:szCs w:val="20"/>
          <w:color w:val="auto"/>
        </w:rPr>
      </w:pPr>
    </w:p>
    <w:p>
      <w:pPr>
        <w:ind w:left="480" w:hanging="454"/>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ind w:left="20"/>
        <w:spacing w:after="0"/>
        <w:tabs>
          <w:tab w:leader="none" w:pos="118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111" w:lineRule="exact"/>
        <w:rPr>
          <w:sz w:val="20"/>
          <w:szCs w:val="20"/>
          <w:color w:val="auto"/>
        </w:rPr>
      </w:pPr>
    </w:p>
    <w:p>
      <w:pPr>
        <w:ind w:left="20"/>
        <w:spacing w:after="0"/>
        <w:tabs>
          <w:tab w:leader="none" w:pos="11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3051F2"/>
        </w:rPr>
        <w:t>Press Release dated November 2, 2026.</w:t>
      </w:r>
    </w:p>
    <w:p>
      <w:pPr>
        <w:spacing w:after="0" w:line="27" w:lineRule="exact"/>
        <w:rPr>
          <w:sz w:val="20"/>
          <w:szCs w:val="20"/>
          <w:color w:val="auto"/>
        </w:rPr>
      </w:pPr>
    </w:p>
    <w:p>
      <w:pPr>
        <w:ind w:left="1200" w:hanging="1174"/>
        <w:spacing w:after="0"/>
        <w:tabs>
          <w:tab w:leader="none" w:pos="1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333333"/>
        </w:rPr>
        <w:t>104 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5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JAZZ PHARMACEUTICALS PUBLIC LIMITED COMPANY</w:t>
      </w:r>
    </w:p>
    <w:p>
      <w:pPr>
        <w:spacing w:after="0" w:line="72" w:lineRule="exact"/>
        <w:rPr>
          <w:sz w:val="20"/>
          <w:szCs w:val="20"/>
          <w:color w:val="auto"/>
        </w:rPr>
      </w:pPr>
    </w:p>
    <w:tbl>
      <w:tblPr>
        <w:tblLayout w:type="fixed"/>
        <w:tblInd w:w="4860" w:type="dxa"/>
        <w:tblCellMar>
          <w:top w:w="0" w:type="dxa"/>
          <w:left w:w="0" w:type="dxa"/>
          <w:bottom w:w="0" w:type="dxa"/>
          <w:right w:w="0" w:type="dxa"/>
        </w:tblCellMar>
      </w:tblPr>
      <w:tr>
        <w:trPr>
          <w:trHeight w:val="25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Philip L. Johnson</w:t>
            </w:r>
          </w:p>
        </w:tc>
      </w:tr>
      <w:tr>
        <w:trPr>
          <w:trHeight w:val="221"/>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Philip L. Johnson</w:t>
            </w:r>
          </w:p>
        </w:tc>
      </w:t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Vice President and Chief Financial Officer</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 2026</w:t>
      </w:r>
    </w:p>
    <w:p>
      <w:pPr>
        <w:sectPr>
          <w:pgSz w:w="11900" w:h="16838" w:orient="portrait"/>
          <w:cols w:equalWidth="0" w:num="1">
            <w:col w:w="11040"/>
          </w:cols>
          <w:pgMar w:left="320" w:top="1130" w:right="5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903095" cy="3175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0309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Jazz Pharmaceuticals Announces Third Quarter 2026 Financial Results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Broad commercial execution drives record quarterly revenues of $1.2 billion (+10% YoY) –</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Company raises full year 2026 total revenue guidance –</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Ziihera</w:t>
      </w:r>
      <w:r>
        <w:rPr>
          <w:rFonts w:ascii="Arial" w:cs="Arial" w:eastAsia="Arial" w:hAnsi="Arial"/>
          <w:sz w:val="25"/>
          <w:szCs w:val="25"/>
          <w:color w:val="auto"/>
          <w:vertAlign w:val="superscript"/>
        </w:rPr>
        <w:t>®</w:t>
      </w:r>
      <w:r>
        <w:rPr>
          <w:rFonts w:ascii="Arial" w:cs="Arial" w:eastAsia="Arial" w:hAnsi="Arial"/>
          <w:sz w:val="20"/>
          <w:szCs w:val="20"/>
          <w:color w:val="auto"/>
        </w:rPr>
        <w:t xml:space="preserve"> launched in HER2+ 1L mGEA –</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Xywav</w:t>
      </w:r>
      <w:r>
        <w:rPr>
          <w:rFonts w:ascii="Arial" w:cs="Arial" w:eastAsia="Arial" w:hAnsi="Arial"/>
          <w:sz w:val="25"/>
          <w:szCs w:val="25"/>
          <w:color w:val="auto"/>
          <w:vertAlign w:val="superscript"/>
        </w:rPr>
        <w:t>®</w:t>
      </w:r>
      <w:r>
        <w:rPr>
          <w:rFonts w:ascii="Arial" w:cs="Arial" w:eastAsia="Arial" w:hAnsi="Arial"/>
          <w:sz w:val="20"/>
          <w:szCs w:val="20"/>
          <w:color w:val="auto"/>
        </w:rPr>
        <w:t xml:space="preserve"> revenues grew 12% YoY with 425 net patient adds in 3Q26 –</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Closed Actio acquisition, adding ABS-1230 (JZP6979) to rare epilepsy portfolio –</w:t>
      </w:r>
    </w:p>
    <w:p>
      <w:pPr>
        <w:spacing w:after="0" w:line="200" w:lineRule="exact"/>
        <w:rPr>
          <w:sz w:val="20"/>
          <w:szCs w:val="20"/>
          <w:color w:val="auto"/>
        </w:rPr>
      </w:pPr>
    </w:p>
    <w:p>
      <w:pPr>
        <w:spacing w:after="0" w:line="299" w:lineRule="exact"/>
        <w:rPr>
          <w:sz w:val="20"/>
          <w:szCs w:val="20"/>
          <w:color w:val="auto"/>
        </w:rPr>
      </w:pPr>
    </w:p>
    <w:p>
      <w:pPr>
        <w:ind w:right="120"/>
        <w:spacing w:after="0" w:line="271" w:lineRule="auto"/>
        <w:rPr>
          <w:sz w:val="20"/>
          <w:szCs w:val="20"/>
          <w:color w:val="auto"/>
        </w:rPr>
      </w:pPr>
      <w:r>
        <w:rPr>
          <w:rFonts w:ascii="Arial" w:cs="Arial" w:eastAsia="Arial" w:hAnsi="Arial"/>
          <w:sz w:val="20"/>
          <w:szCs w:val="20"/>
          <w:color w:val="auto"/>
        </w:rPr>
        <w:t>DUBLIN, November 2, 2026 -- Jazz Pharmaceuticals plc (Nasdaq: JAZZ) today announced financial results for the third quarter of 2026 (3Q26).</w:t>
      </w:r>
    </w:p>
    <w:p>
      <w:pPr>
        <w:spacing w:after="0" w:line="196"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auto"/>
        </w:rPr>
        <w:t xml:space="preserve">"Our third-quarter performance reflects sustained execution across the business and gives us confidence to raise our full-year total revenue guidance," said Renee Gala, president and chief executive officer of Jazz Pharmaceuticals. "At the same time, we continue to strengthen the drivers of our future growth, with the approval and rapid launch of </w:t>
      </w:r>
      <w:r>
        <w:rPr>
          <w:rFonts w:ascii="Arial" w:cs="Arial" w:eastAsia="Arial" w:hAnsi="Arial"/>
          <w:sz w:val="20"/>
          <w:szCs w:val="20"/>
          <w:i w:val="1"/>
          <w:iCs w:val="1"/>
          <w:color w:val="auto"/>
        </w:rPr>
        <w:t>Ziihera</w:t>
      </w:r>
      <w:r>
        <w:rPr>
          <w:rFonts w:ascii="Arial" w:cs="Arial" w:eastAsia="Arial" w:hAnsi="Arial"/>
          <w:sz w:val="20"/>
          <w:szCs w:val="20"/>
          <w:color w:val="auto"/>
        </w:rPr>
        <w:t xml:space="preserve"> in first-line HER2-positive GEA and the acquisition of Actio, which adds ABS-1230 and deepens our pipeline in rare, refractory epilepsies. Jazz is moving with momentum and urgency to advance practice-changing medicines that deliver meaningful benefit for patients and durable value for shareholders."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Recent Key Highlights</w:t>
      </w:r>
    </w:p>
    <w:p>
      <w:pPr>
        <w:spacing w:after="0" w:line="245" w:lineRule="exact"/>
        <w:rPr>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Achieved total revenues of $1.2 billion in 3Q26, reflecting 10% year-over-year (YoY) growth.</w:t>
      </w:r>
    </w:p>
    <w:p>
      <w:pPr>
        <w:spacing w:after="0" w:line="31" w:lineRule="exact"/>
        <w:rPr>
          <w:rFonts w:ascii="Arial" w:cs="Arial" w:eastAsia="Arial" w:hAnsi="Arial"/>
          <w:sz w:val="20"/>
          <w:szCs w:val="20"/>
          <w:color w:val="auto"/>
        </w:rPr>
      </w:pPr>
    </w:p>
    <w:p>
      <w:pPr>
        <w:ind w:left="660" w:right="240" w:hanging="328"/>
        <w:spacing w:after="0" w:line="246"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Received U.S. Food and Drug Administration (FDA) approval and rapidly launched </w:t>
      </w:r>
      <w:r>
        <w:rPr>
          <w:rFonts w:ascii="Arial" w:cs="Arial" w:eastAsia="Arial" w:hAnsi="Arial"/>
          <w:sz w:val="20"/>
          <w:szCs w:val="20"/>
          <w:i w:val="1"/>
          <w:iCs w:val="1"/>
          <w:color w:val="auto"/>
        </w:rPr>
        <w:t>Ziihera</w:t>
      </w:r>
      <w:r>
        <w:rPr>
          <w:rFonts w:ascii="Arial" w:cs="Arial" w:eastAsia="Arial" w:hAnsi="Arial"/>
          <w:sz w:val="20"/>
          <w:szCs w:val="20"/>
          <w:color w:val="auto"/>
        </w:rPr>
        <w:t>-based combinations in first-line (1L) gastroesophageal adenocarcinoma (GEA).</w:t>
      </w:r>
    </w:p>
    <w:p>
      <w:pPr>
        <w:spacing w:after="0" w:line="1" w:lineRule="exact"/>
        <w:rPr>
          <w:rFonts w:ascii="Arial" w:cs="Arial" w:eastAsia="Arial" w:hAnsi="Arial"/>
          <w:sz w:val="20"/>
          <w:szCs w:val="20"/>
          <w:color w:val="auto"/>
        </w:rPr>
      </w:pPr>
    </w:p>
    <w:p>
      <w:pPr>
        <w:ind w:left="660" w:right="480" w:hanging="328"/>
        <w:spacing w:after="0" w:line="246"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Presented final analysis from the HERIZON-GEA-01 trial at European Society for Medical Oncology Congress 2026 (ESMO), demonstrating sustained survival benefit at three years. Longer follow up of </w:t>
      </w:r>
      <w:r>
        <w:rPr>
          <w:rFonts w:ascii="Arial" w:cs="Arial" w:eastAsia="Arial" w:hAnsi="Arial"/>
          <w:sz w:val="20"/>
          <w:szCs w:val="20"/>
          <w:i w:val="1"/>
          <w:iCs w:val="1"/>
          <w:color w:val="auto"/>
        </w:rPr>
        <w:t>Ziihera</w:t>
      </w:r>
      <w:r>
        <w:rPr>
          <w:rFonts w:ascii="Arial" w:cs="Arial" w:eastAsia="Arial" w:hAnsi="Arial"/>
          <w:sz w:val="20"/>
          <w:szCs w:val="20"/>
          <w:color w:val="auto"/>
        </w:rPr>
        <w:t xml:space="preserve"> plus tislelizumab and chemotherapy showed an improved overall survival (OS) hazard ratio of 0.65, further supporting </w:t>
      </w:r>
      <w:r>
        <w:rPr>
          <w:rFonts w:ascii="Arial" w:cs="Arial" w:eastAsia="Arial" w:hAnsi="Arial"/>
          <w:sz w:val="20"/>
          <w:szCs w:val="20"/>
          <w:i w:val="1"/>
          <w:iCs w:val="1"/>
          <w:color w:val="auto"/>
        </w:rPr>
        <w:t>Ziihera</w:t>
      </w:r>
      <w:r>
        <w:rPr>
          <w:rFonts w:ascii="Arial" w:cs="Arial" w:eastAsia="Arial" w:hAnsi="Arial"/>
          <w:sz w:val="20"/>
          <w:szCs w:val="20"/>
          <w:color w:val="auto"/>
        </w:rPr>
        <w:t>-based combinations as standard-of-care.</w:t>
      </w:r>
    </w:p>
    <w:p>
      <w:pPr>
        <w:spacing w:after="0" w:line="2"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Closed acquisition of Actio Biosciences, Inc. (Actio), adding ABS-1230 (JZP6979) to rare epilepsy portfolio.</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Generated $1.3 billion in cash from operations in the first nine months of 2026.</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Raised 2026 total revenue guidance to a range of $4.775 - $4.85 billion.</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Business Updates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 xml:space="preserve">Xywav </w:t>
      </w:r>
      <w:r>
        <w:rPr>
          <w:rFonts w:ascii="Arial" w:cs="Arial" w:eastAsia="Arial" w:hAnsi="Arial"/>
          <w:sz w:val="20"/>
          <w:szCs w:val="20"/>
          <w:color w:val="auto"/>
        </w:rPr>
        <w:t>(calcium, magnesium, potassium, and sodium oxybates) oral solution:</w:t>
      </w:r>
    </w:p>
    <w:p>
      <w:pPr>
        <w:spacing w:after="0" w:line="20" w:lineRule="exact"/>
        <w:rPr>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i w:val="1"/>
          <w:iCs w:val="1"/>
          <w:color w:val="auto"/>
        </w:rPr>
        <w:t xml:space="preserve">Xywav </w:t>
      </w:r>
      <w:r>
        <w:rPr>
          <w:rFonts w:ascii="Arial" w:cs="Arial" w:eastAsia="Arial" w:hAnsi="Arial"/>
          <w:sz w:val="20"/>
          <w:szCs w:val="20"/>
          <w:color w:val="auto"/>
        </w:rPr>
        <w:t>net product sales increased 12% YoY to $483 million in 3Q26.</w:t>
      </w:r>
    </w:p>
    <w:p>
      <w:pPr>
        <w:spacing w:after="0" w:line="13" w:lineRule="exact"/>
        <w:rPr>
          <w:rFonts w:ascii="Arial" w:cs="Arial" w:eastAsia="Arial" w:hAnsi="Arial"/>
          <w:sz w:val="20"/>
          <w:szCs w:val="20"/>
          <w:color w:val="auto"/>
        </w:rPr>
      </w:pPr>
    </w:p>
    <w:p>
      <w:pPr>
        <w:ind w:left="660" w:right="200" w:hanging="328"/>
        <w:spacing w:after="0" w:line="248"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Robust new patient growth drove revenue, with approximately 425 net patient adds in 3Q26. There were approximately 17,550 active patients exiting the quarter, comprised of approximately 11,375 narcolepsy patients and approximately 6,175 idiopathic hypersomnia patients.</w:t>
      </w:r>
    </w:p>
    <w:p>
      <w:pPr>
        <w:spacing w:after="0" w:line="2"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Continued physician and patient demand for the differentiated benefits of low-sodium </w:t>
      </w:r>
      <w:r>
        <w:rPr>
          <w:rFonts w:ascii="Arial" w:cs="Arial" w:eastAsia="Arial" w:hAnsi="Arial"/>
          <w:sz w:val="20"/>
          <w:szCs w:val="20"/>
          <w:i w:val="1"/>
          <w:iCs w:val="1"/>
          <w:color w:val="auto"/>
        </w:rPr>
        <w:t>Xywav</w:t>
      </w:r>
      <w:r>
        <w:rPr>
          <w:rFonts w:ascii="Arial" w:cs="Arial" w:eastAsia="Arial" w:hAnsi="Arial"/>
          <w:sz w:val="20"/>
          <w:szCs w:val="20"/>
          <w:color w:val="auto"/>
        </w:rPr>
        <w:t>.</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85"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Epidiolex</w:t>
      </w:r>
      <w:r>
        <w:rPr>
          <w:rFonts w:ascii="Arial" w:cs="Arial" w:eastAsia="Arial" w:hAnsi="Arial"/>
          <w:sz w:val="20"/>
          <w:szCs w:val="20"/>
          <w:color w:val="auto"/>
        </w:rPr>
        <w:t>/</w:t>
      </w:r>
      <w:r>
        <w:rPr>
          <w:rFonts w:ascii="Arial" w:cs="Arial" w:eastAsia="Arial" w:hAnsi="Arial"/>
          <w:sz w:val="20"/>
          <w:szCs w:val="20"/>
          <w:b w:val="1"/>
          <w:bCs w:val="1"/>
          <w:color w:val="auto"/>
        </w:rPr>
        <w:t>Epidyolex</w:t>
      </w:r>
      <w:r>
        <w:rPr>
          <w:rFonts w:ascii="Arial" w:cs="Arial" w:eastAsia="Arial" w:hAnsi="Arial"/>
          <w:sz w:val="25"/>
          <w:szCs w:val="25"/>
          <w:b w:val="1"/>
          <w:bCs w:val="1"/>
          <w:color w:val="auto"/>
          <w:vertAlign w:val="superscript"/>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(cannabidiol):</w:t>
      </w:r>
    </w:p>
    <w:p>
      <w:pPr>
        <w:ind w:left="400" w:right="80" w:hanging="328"/>
        <w:spacing w:after="0" w:line="244" w:lineRule="auto"/>
        <w:tabs>
          <w:tab w:leader="none" w:pos="388" w:val="left"/>
        </w:tabs>
        <w:numPr>
          <w:ilvl w:val="0"/>
          <w:numId w:val="6"/>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Epidiolex/Epidyolex </w:t>
      </w:r>
      <w:r>
        <w:rPr>
          <w:rFonts w:ascii="Arial" w:cs="Arial" w:eastAsia="Arial" w:hAnsi="Arial"/>
          <w:sz w:val="20"/>
          <w:szCs w:val="20"/>
          <w:color w:val="auto"/>
        </w:rPr>
        <w:t>net product sales decreased 2% YoY to $295 million in 3Q26. The 3Q26 growth rate was negatively</w:t>
      </w:r>
      <w:r>
        <w:rPr>
          <w:rFonts w:ascii="Arial" w:cs="Arial" w:eastAsia="Arial" w:hAnsi="Arial"/>
          <w:sz w:val="20"/>
          <w:szCs w:val="20"/>
          <w:i w:val="1"/>
          <w:iCs w:val="1"/>
          <w:color w:val="auto"/>
        </w:rPr>
        <w:t xml:space="preserve"> </w:t>
      </w:r>
      <w:r>
        <w:rPr>
          <w:rFonts w:ascii="Arial" w:cs="Arial" w:eastAsia="Arial" w:hAnsi="Arial"/>
          <w:sz w:val="20"/>
          <w:szCs w:val="20"/>
          <w:color w:val="auto"/>
        </w:rPr>
        <w:t>affected by lower U.S. gross-to-net deductions in 3Q25 and lower levels of inventory build in 3Q26 due to wholesaler buying patterns.</w:t>
      </w:r>
    </w:p>
    <w:p>
      <w:pPr>
        <w:ind w:left="400" w:right="260" w:hanging="328"/>
        <w:spacing w:after="0" w:line="267" w:lineRule="auto"/>
        <w:tabs>
          <w:tab w:leader="none" w:pos="388"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PDUFA target action date for our New Drug Application (NDA) for the oral cannabidiol capsule formulation is April 16, 2027.</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Ziihera </w:t>
      </w:r>
      <w:r>
        <w:rPr>
          <w:rFonts w:ascii="Arial" w:cs="Arial" w:eastAsia="Arial" w:hAnsi="Arial"/>
          <w:sz w:val="20"/>
          <w:szCs w:val="20"/>
          <w:color w:val="auto"/>
        </w:rPr>
        <w:t>(zanidatamab-hrii):</w:t>
      </w:r>
    </w:p>
    <w:p>
      <w:pPr>
        <w:spacing w:after="0" w:line="20" w:lineRule="exact"/>
        <w:rPr>
          <w:sz w:val="20"/>
          <w:szCs w:val="20"/>
          <w:color w:val="auto"/>
        </w:rPr>
      </w:pPr>
    </w:p>
    <w:p>
      <w:pPr>
        <w:ind w:left="380" w:hanging="308"/>
        <w:spacing w:after="0"/>
        <w:tabs>
          <w:tab w:leader="none" w:pos="380" w:val="left"/>
        </w:tabs>
        <w:numPr>
          <w:ilvl w:val="0"/>
          <w:numId w:val="7"/>
        </w:numPr>
        <w:rPr>
          <w:rFonts w:ascii="Arial" w:cs="Arial" w:eastAsia="Arial" w:hAnsi="Arial"/>
          <w:sz w:val="20"/>
          <w:szCs w:val="20"/>
          <w:color w:val="auto"/>
        </w:rPr>
      </w:pPr>
      <w:r>
        <w:rPr>
          <w:rFonts w:ascii="Arial" w:cs="Arial" w:eastAsia="Arial" w:hAnsi="Arial"/>
          <w:sz w:val="20"/>
          <w:szCs w:val="20"/>
          <w:i w:val="1"/>
          <w:iCs w:val="1"/>
          <w:color w:val="auto"/>
        </w:rPr>
        <w:t xml:space="preserve">Ziihera </w:t>
      </w:r>
      <w:r>
        <w:rPr>
          <w:rFonts w:ascii="Arial" w:cs="Arial" w:eastAsia="Arial" w:hAnsi="Arial"/>
          <w:sz w:val="20"/>
          <w:szCs w:val="20"/>
          <w:color w:val="auto"/>
        </w:rPr>
        <w:t>net product sales were $21 million in 3Q26.</w:t>
      </w:r>
    </w:p>
    <w:p>
      <w:pPr>
        <w:spacing w:after="0" w:line="13" w:lineRule="exact"/>
        <w:rPr>
          <w:rFonts w:ascii="Arial" w:cs="Arial" w:eastAsia="Arial" w:hAnsi="Arial"/>
          <w:sz w:val="20"/>
          <w:szCs w:val="20"/>
          <w:color w:val="auto"/>
        </w:rPr>
      </w:pPr>
    </w:p>
    <w:p>
      <w:pPr>
        <w:ind w:left="400" w:right="640" w:hanging="328"/>
        <w:spacing w:after="0" w:line="246" w:lineRule="auto"/>
        <w:tabs>
          <w:tab w:leader="none" w:pos="388" w:val="left"/>
        </w:tabs>
        <w:numPr>
          <w:ilvl w:val="0"/>
          <w:numId w:val="7"/>
        </w:numPr>
        <w:rPr>
          <w:rFonts w:ascii="Arial" w:cs="Arial" w:eastAsia="Arial" w:hAnsi="Arial"/>
          <w:sz w:val="20"/>
          <w:szCs w:val="20"/>
          <w:color w:val="auto"/>
        </w:rPr>
      </w:pPr>
      <w:r>
        <w:rPr>
          <w:rFonts w:ascii="Arial" w:cs="Arial" w:eastAsia="Arial" w:hAnsi="Arial"/>
          <w:sz w:val="20"/>
          <w:szCs w:val="20"/>
          <w:i w:val="1"/>
          <w:iCs w:val="1"/>
          <w:color w:val="auto"/>
        </w:rPr>
        <w:t xml:space="preserve">Ziihera </w:t>
      </w:r>
      <w:r>
        <w:rPr>
          <w:rFonts w:ascii="Arial" w:cs="Arial" w:eastAsia="Arial" w:hAnsi="Arial"/>
          <w:sz w:val="20"/>
          <w:szCs w:val="20"/>
          <w:color w:val="auto"/>
        </w:rPr>
        <w:t>received FDA approval on August 25, 2026, and was launched promptly for the first-line treatment of adult</w:t>
      </w:r>
      <w:r>
        <w:rPr>
          <w:rFonts w:ascii="Arial" w:cs="Arial" w:eastAsia="Arial" w:hAnsi="Arial"/>
          <w:sz w:val="20"/>
          <w:szCs w:val="20"/>
          <w:i w:val="1"/>
          <w:iCs w:val="1"/>
          <w:color w:val="auto"/>
        </w:rPr>
        <w:t xml:space="preserve"> </w:t>
      </w:r>
      <w:r>
        <w:rPr>
          <w:rFonts w:ascii="Arial" w:cs="Arial" w:eastAsia="Arial" w:hAnsi="Arial"/>
          <w:sz w:val="20"/>
          <w:szCs w:val="20"/>
          <w:color w:val="auto"/>
        </w:rPr>
        <w:t>patients with HER2-positive (HER2+) unresectable locally advanced or metastatic GEA.</w:t>
      </w:r>
    </w:p>
    <w:p>
      <w:pPr>
        <w:spacing w:after="0" w:line="1" w:lineRule="exact"/>
        <w:rPr>
          <w:rFonts w:ascii="Arial" w:cs="Arial" w:eastAsia="Arial" w:hAnsi="Arial"/>
          <w:sz w:val="20"/>
          <w:szCs w:val="20"/>
          <w:color w:val="auto"/>
        </w:rPr>
      </w:pPr>
    </w:p>
    <w:p>
      <w:pPr>
        <w:ind w:left="400" w:right="140" w:hanging="328"/>
        <w:spacing w:after="0" w:line="246" w:lineRule="auto"/>
        <w:tabs>
          <w:tab w:leader="none" w:pos="388" w:val="left"/>
        </w:tabs>
        <w:numPr>
          <w:ilvl w:val="0"/>
          <w:numId w:val="7"/>
        </w:numPr>
        <w:rPr>
          <w:rFonts w:ascii="Arial" w:cs="Arial" w:eastAsia="Arial" w:hAnsi="Arial"/>
          <w:sz w:val="20"/>
          <w:szCs w:val="20"/>
          <w:color w:val="auto"/>
        </w:rPr>
      </w:pPr>
      <w:r>
        <w:rPr>
          <w:rFonts w:ascii="Arial" w:cs="Arial" w:eastAsia="Arial" w:hAnsi="Arial"/>
          <w:sz w:val="20"/>
          <w:szCs w:val="20"/>
          <w:color w:val="auto"/>
        </w:rPr>
        <w:t>Promising early demand from first full month of 1L GEA launch with ~40% increase in average demand vials per selling day and a threefold increase in new ordering accounts, 80% of which are community based.</w:t>
      </w:r>
    </w:p>
    <w:p>
      <w:pPr>
        <w:spacing w:after="0" w:line="1" w:lineRule="exact"/>
        <w:rPr>
          <w:rFonts w:ascii="Arial" w:cs="Arial" w:eastAsia="Arial" w:hAnsi="Arial"/>
          <w:sz w:val="20"/>
          <w:szCs w:val="20"/>
          <w:color w:val="auto"/>
        </w:rPr>
      </w:pPr>
    </w:p>
    <w:p>
      <w:pPr>
        <w:ind w:left="400" w:right="120" w:hanging="328"/>
        <w:spacing w:after="0" w:line="250" w:lineRule="auto"/>
        <w:tabs>
          <w:tab w:leader="none" w:pos="388"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Positive results from the second and final OS analysis for the HERIZON-GEA-01 trial were presented at ESMO. Mature HERIZON-GEA-01 results showed </w:t>
      </w:r>
      <w:r>
        <w:rPr>
          <w:rFonts w:ascii="Arial" w:cs="Arial" w:eastAsia="Arial" w:hAnsi="Arial"/>
          <w:sz w:val="20"/>
          <w:szCs w:val="20"/>
          <w:i w:val="1"/>
          <w:iCs w:val="1"/>
          <w:color w:val="auto"/>
        </w:rPr>
        <w:t>Ziihera</w:t>
      </w:r>
      <w:r>
        <w:rPr>
          <w:rFonts w:ascii="Arial" w:cs="Arial" w:eastAsia="Arial" w:hAnsi="Arial"/>
          <w:sz w:val="20"/>
          <w:szCs w:val="20"/>
          <w:color w:val="auto"/>
        </w:rPr>
        <w:t xml:space="preserve"> plus chemotherapy delivered statistically significant and clinically meaningful OS benefit. Nearly 40% of patients were alive at three years with </w:t>
      </w:r>
      <w:r>
        <w:rPr>
          <w:rFonts w:ascii="Arial" w:cs="Arial" w:eastAsia="Arial" w:hAnsi="Arial"/>
          <w:sz w:val="20"/>
          <w:szCs w:val="20"/>
          <w:i w:val="1"/>
          <w:iCs w:val="1"/>
          <w:color w:val="auto"/>
        </w:rPr>
        <w:t>Ziihera</w:t>
      </w:r>
      <w:r>
        <w:rPr>
          <w:rFonts w:ascii="Arial" w:cs="Arial" w:eastAsia="Arial" w:hAnsi="Arial"/>
          <w:sz w:val="20"/>
          <w:szCs w:val="20"/>
          <w:color w:val="auto"/>
        </w:rPr>
        <w:t xml:space="preserve"> plus tislelizumab and chemotherapy, irrespective of PD-L1 status, achieving a median OS of 27 months.</w:t>
      </w:r>
    </w:p>
    <w:p>
      <w:pPr>
        <w:ind w:left="400" w:right="500" w:hanging="328"/>
        <w:spacing w:after="0" w:line="219" w:lineRule="auto"/>
        <w:tabs>
          <w:tab w:leader="none" w:pos="388" w:val="left"/>
        </w:tabs>
        <w:numPr>
          <w:ilvl w:val="0"/>
          <w:numId w:val="7"/>
        </w:numPr>
        <w:rPr>
          <w:rFonts w:ascii="Arial" w:cs="Arial" w:eastAsia="Arial" w:hAnsi="Arial"/>
          <w:sz w:val="20"/>
          <w:szCs w:val="20"/>
          <w:color w:val="auto"/>
        </w:rPr>
      </w:pPr>
      <w:r>
        <w:rPr>
          <w:rFonts w:ascii="Arial" w:cs="Arial" w:eastAsia="Arial" w:hAnsi="Arial"/>
          <w:sz w:val="20"/>
          <w:szCs w:val="20"/>
          <w:color w:val="auto"/>
        </w:rPr>
        <w:t>NCCN Clinical Practice Guidelines in Oncology</w:t>
      </w:r>
      <w:r>
        <w:rPr>
          <w:rFonts w:ascii="Arial" w:cs="Arial" w:eastAsia="Arial" w:hAnsi="Arial"/>
          <w:sz w:val="25"/>
          <w:szCs w:val="25"/>
          <w:color w:val="auto"/>
          <w:vertAlign w:val="superscript"/>
        </w:rPr>
        <w:t>®</w:t>
      </w:r>
      <w:r>
        <w:rPr>
          <w:rFonts w:ascii="Arial" w:cs="Arial" w:eastAsia="Arial" w:hAnsi="Arial"/>
          <w:sz w:val="20"/>
          <w:szCs w:val="20"/>
          <w:color w:val="auto"/>
        </w:rPr>
        <w:t xml:space="preserve"> (NCCN Guidelines</w:t>
      </w:r>
      <w:r>
        <w:rPr>
          <w:rFonts w:ascii="Arial" w:cs="Arial" w:eastAsia="Arial" w:hAnsi="Arial"/>
          <w:sz w:val="25"/>
          <w:szCs w:val="25"/>
          <w:color w:val="auto"/>
          <w:vertAlign w:val="superscript"/>
        </w:rPr>
        <w:t>®</w:t>
      </w:r>
      <w:r>
        <w:rPr>
          <w:rFonts w:ascii="Arial" w:cs="Arial" w:eastAsia="Arial" w:hAnsi="Arial"/>
          <w:sz w:val="20"/>
          <w:szCs w:val="20"/>
          <w:color w:val="auto"/>
        </w:rPr>
        <w:t xml:space="preserve">) for Gastric Cancer, and Esophageal and Esophagogastric Junction Cancers, were updated to include </w:t>
      </w:r>
      <w:r>
        <w:rPr>
          <w:rFonts w:ascii="Arial" w:cs="Arial" w:eastAsia="Arial" w:hAnsi="Arial"/>
          <w:sz w:val="20"/>
          <w:szCs w:val="20"/>
          <w:i w:val="1"/>
          <w:iCs w:val="1"/>
          <w:color w:val="auto"/>
        </w:rPr>
        <w:t>Ziihera</w:t>
      </w:r>
      <w:r>
        <w:rPr>
          <w:rFonts w:ascii="Arial" w:cs="Arial" w:eastAsia="Arial" w:hAnsi="Arial"/>
          <w:sz w:val="20"/>
          <w:szCs w:val="20"/>
          <w:color w:val="auto"/>
        </w:rPr>
        <w:t xml:space="preserve"> (zanidatamab-hrii) in combination with chemotherapy, with and without Tevimbra</w:t>
      </w:r>
      <w:r>
        <w:rPr>
          <w:rFonts w:ascii="Arial" w:cs="Arial" w:eastAsia="Arial" w:hAnsi="Arial"/>
          <w:sz w:val="25"/>
          <w:szCs w:val="25"/>
          <w:color w:val="auto"/>
          <w:vertAlign w:val="superscript"/>
        </w:rPr>
        <w:t>®</w:t>
      </w:r>
      <w:r>
        <w:rPr>
          <w:rFonts w:ascii="Arial" w:cs="Arial" w:eastAsia="Arial" w:hAnsi="Arial"/>
          <w:sz w:val="20"/>
          <w:szCs w:val="20"/>
          <w:color w:val="auto"/>
        </w:rPr>
        <w:t xml:space="preserve"> (tislelizumab-jsgr), as a preferred regimen for first-line treatment of adult patients with HER2+ unresectable locally advanced or metastatic GEA.</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Modeyso</w:t>
      </w:r>
      <w:r>
        <w:rPr>
          <w:rFonts w:ascii="Arial" w:cs="Arial" w:eastAsia="Arial" w:hAnsi="Arial"/>
          <w:sz w:val="20"/>
          <w:szCs w:val="20"/>
          <w:color w:val="auto"/>
        </w:rPr>
        <w:t>™ (dordaviprone):</w:t>
      </w:r>
    </w:p>
    <w:p>
      <w:pPr>
        <w:spacing w:after="0" w:line="20" w:lineRule="exact"/>
        <w:rPr>
          <w:sz w:val="20"/>
          <w:szCs w:val="20"/>
          <w:color w:val="auto"/>
        </w:rPr>
      </w:pPr>
    </w:p>
    <w:p>
      <w:pPr>
        <w:ind w:left="400" w:right="380" w:hanging="328"/>
        <w:spacing w:after="0" w:line="253" w:lineRule="auto"/>
        <w:tabs>
          <w:tab w:leader="none" w:pos="388" w:val="left"/>
        </w:tabs>
        <w:numPr>
          <w:ilvl w:val="0"/>
          <w:numId w:val="8"/>
        </w:numPr>
        <w:rPr>
          <w:rFonts w:ascii="Arial" w:cs="Arial" w:eastAsia="Arial" w:hAnsi="Arial"/>
          <w:sz w:val="20"/>
          <w:szCs w:val="20"/>
          <w:color w:val="auto"/>
        </w:rPr>
      </w:pPr>
      <w:r>
        <w:rPr>
          <w:rFonts w:ascii="Arial" w:cs="Arial" w:eastAsia="Arial" w:hAnsi="Arial"/>
          <w:sz w:val="20"/>
          <w:szCs w:val="20"/>
          <w:i w:val="1"/>
          <w:iCs w:val="1"/>
          <w:color w:val="auto"/>
        </w:rPr>
        <w:t xml:space="preserve">Modeyso </w:t>
      </w:r>
      <w:r>
        <w:rPr>
          <w:rFonts w:ascii="Arial" w:cs="Arial" w:eastAsia="Arial" w:hAnsi="Arial"/>
          <w:sz w:val="20"/>
          <w:szCs w:val="20"/>
          <w:color w:val="auto"/>
        </w:rPr>
        <w:t>net product sales were $61 million in 3Q26 with approximately 725 patients having received</w:t>
      </w:r>
      <w:r>
        <w:rPr>
          <w:rFonts w:ascii="Arial" w:cs="Arial" w:eastAsia="Arial" w:hAnsi="Arial"/>
          <w:sz w:val="20"/>
          <w:szCs w:val="20"/>
          <w:i w:val="1"/>
          <w:iCs w:val="1"/>
          <w:color w:val="auto"/>
        </w:rPr>
        <w:t xml:space="preserve"> Modeyso </w:t>
      </w:r>
      <w:r>
        <w:rPr>
          <w:rFonts w:ascii="Arial" w:cs="Arial" w:eastAsia="Arial" w:hAnsi="Arial"/>
          <w:sz w:val="20"/>
          <w:szCs w:val="20"/>
          <w:color w:val="auto"/>
        </w:rPr>
        <w:t>from</w:t>
      </w:r>
      <w:r>
        <w:rPr>
          <w:rFonts w:ascii="Arial" w:cs="Arial" w:eastAsia="Arial" w:hAnsi="Arial"/>
          <w:sz w:val="20"/>
          <w:szCs w:val="20"/>
          <w:i w:val="1"/>
          <w:iCs w:val="1"/>
          <w:color w:val="auto"/>
        </w:rPr>
        <w:t xml:space="preserve"> </w:t>
      </w:r>
      <w:r>
        <w:rPr>
          <w:rFonts w:ascii="Arial" w:cs="Arial" w:eastAsia="Arial" w:hAnsi="Arial"/>
          <w:sz w:val="20"/>
          <w:szCs w:val="20"/>
          <w:color w:val="auto"/>
        </w:rPr>
        <w:t>product launch in August 2025 through the end of 3Q26.</w:t>
      </w:r>
    </w:p>
    <w:p>
      <w:pPr>
        <w:spacing w:after="0" w:line="1" w:lineRule="exact"/>
        <w:rPr>
          <w:rFonts w:ascii="Arial" w:cs="Arial" w:eastAsia="Arial" w:hAnsi="Arial"/>
          <w:sz w:val="20"/>
          <w:szCs w:val="20"/>
          <w:color w:val="auto"/>
        </w:rPr>
      </w:pPr>
    </w:p>
    <w:p>
      <w:pPr>
        <w:ind w:left="400" w:right="560" w:hanging="328"/>
        <w:spacing w:after="0" w:line="253" w:lineRule="auto"/>
        <w:tabs>
          <w:tab w:leader="none" w:pos="388"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company anticipates the OS interim analysis for the event-driven Phase 3 ACTION trial in 1H27, based on the current pace of event accrual.</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Zepzelca</w:t>
      </w:r>
      <w:r>
        <w:rPr>
          <w:rFonts w:ascii="Arial" w:cs="Arial" w:eastAsia="Arial" w:hAnsi="Arial"/>
          <w:sz w:val="25"/>
          <w:szCs w:val="25"/>
          <w:color w:val="auto"/>
          <w:vertAlign w:val="superscript"/>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(lurbinectedin):</w:t>
      </w:r>
    </w:p>
    <w:p>
      <w:pPr>
        <w:ind w:left="400" w:right="60" w:hanging="328"/>
        <w:spacing w:after="0" w:line="248" w:lineRule="auto"/>
        <w:tabs>
          <w:tab w:leader="none" w:pos="388" w:val="left"/>
        </w:tabs>
        <w:numPr>
          <w:ilvl w:val="0"/>
          <w:numId w:val="9"/>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Zepzelca </w:t>
      </w:r>
      <w:r>
        <w:rPr>
          <w:rFonts w:ascii="Arial" w:cs="Arial" w:eastAsia="Arial" w:hAnsi="Arial"/>
          <w:sz w:val="20"/>
          <w:szCs w:val="20"/>
          <w:color w:val="auto"/>
        </w:rPr>
        <w:t>net product sales increased 32% YoY to $104 million in 3Q26, driven by continued uptake of the</w:t>
      </w:r>
      <w:r>
        <w:rPr>
          <w:rFonts w:ascii="Arial" w:cs="Arial" w:eastAsia="Arial" w:hAnsi="Arial"/>
          <w:sz w:val="20"/>
          <w:szCs w:val="20"/>
          <w:i w:val="1"/>
          <w:iCs w:val="1"/>
          <w:color w:val="auto"/>
        </w:rPr>
        <w:t xml:space="preserve"> Zepzelca </w:t>
      </w:r>
      <w:r>
        <w:rPr>
          <w:rFonts w:ascii="Arial" w:cs="Arial" w:eastAsia="Arial" w:hAnsi="Arial"/>
          <w:sz w:val="20"/>
          <w:szCs w:val="20"/>
          <w:color w:val="auto"/>
        </w:rPr>
        <w:t>and</w:t>
      </w:r>
      <w:r>
        <w:rPr>
          <w:rFonts w:ascii="Arial" w:cs="Arial" w:eastAsia="Arial" w:hAnsi="Arial"/>
          <w:sz w:val="20"/>
          <w:szCs w:val="20"/>
          <w:i w:val="1"/>
          <w:iCs w:val="1"/>
          <w:color w:val="auto"/>
        </w:rPr>
        <w:t xml:space="preserve"> </w:t>
      </w:r>
      <w:r>
        <w:rPr>
          <w:rFonts w:ascii="Arial" w:cs="Arial" w:eastAsia="Arial" w:hAnsi="Arial"/>
          <w:sz w:val="20"/>
          <w:szCs w:val="20"/>
          <w:color w:val="auto"/>
        </w:rPr>
        <w:t>atezolizumab combination in the 1L maintenance extensive-stage small-cell lung cancer setting, partially offset by a decline in second-line use.</w:t>
      </w:r>
    </w:p>
    <w:p>
      <w:pPr>
        <w:spacing w:after="0" w:line="2" w:lineRule="exact"/>
        <w:rPr>
          <w:rFonts w:ascii="Arial" w:cs="Arial" w:eastAsia="Arial" w:hAnsi="Arial"/>
          <w:sz w:val="20"/>
          <w:szCs w:val="20"/>
          <w:i w:val="1"/>
          <w:iCs w:val="1"/>
          <w:color w:val="auto"/>
        </w:rPr>
      </w:pPr>
    </w:p>
    <w:p>
      <w:pPr>
        <w:ind w:left="380" w:hanging="308"/>
        <w:spacing w:after="0"/>
        <w:tabs>
          <w:tab w:leader="none" w:pos="380" w:val="left"/>
        </w:tabs>
        <w:numPr>
          <w:ilvl w:val="0"/>
          <w:numId w:val="9"/>
        </w:numPr>
        <w:rPr>
          <w:rFonts w:ascii="Arial" w:cs="Arial" w:eastAsia="Arial" w:hAnsi="Arial"/>
          <w:sz w:val="20"/>
          <w:szCs w:val="20"/>
          <w:color w:val="auto"/>
        </w:rPr>
      </w:pPr>
      <w:r>
        <w:rPr>
          <w:rFonts w:ascii="Arial" w:cs="Arial" w:eastAsia="Arial" w:hAnsi="Arial"/>
          <w:sz w:val="20"/>
          <w:szCs w:val="20"/>
          <w:color w:val="auto"/>
        </w:rPr>
        <w:t>On September 30, 2026, the FDA approved the label supplement removing the second-line indication.</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Actio Acquisition</w:t>
      </w:r>
      <w:r>
        <w:rPr>
          <w:rFonts w:ascii="Arial" w:cs="Arial" w:eastAsia="Arial" w:hAnsi="Arial"/>
          <w:sz w:val="20"/>
          <w:szCs w:val="20"/>
          <w:i w:val="1"/>
          <w:iCs w:val="1"/>
          <w:color w:val="auto"/>
        </w:rPr>
        <w:t>:</w:t>
      </w:r>
    </w:p>
    <w:p>
      <w:pPr>
        <w:spacing w:after="0" w:line="20" w:lineRule="exact"/>
        <w:rPr>
          <w:sz w:val="20"/>
          <w:szCs w:val="20"/>
          <w:color w:val="auto"/>
        </w:rPr>
      </w:pPr>
    </w:p>
    <w:p>
      <w:pPr>
        <w:ind w:left="380" w:hanging="308"/>
        <w:spacing w:after="0"/>
        <w:tabs>
          <w:tab w:leader="none" w:pos="380" w:val="left"/>
        </w:tabs>
        <w:numPr>
          <w:ilvl w:val="0"/>
          <w:numId w:val="10"/>
        </w:numPr>
        <w:rPr>
          <w:rFonts w:ascii="Arial" w:cs="Arial" w:eastAsia="Arial" w:hAnsi="Arial"/>
          <w:sz w:val="20"/>
          <w:szCs w:val="20"/>
          <w:i w:val="1"/>
          <w:iCs w:val="1"/>
          <w:color w:val="auto"/>
        </w:rPr>
      </w:pPr>
      <w:r>
        <w:rPr>
          <w:rFonts w:ascii="Arial" w:cs="Arial" w:eastAsia="Arial" w:hAnsi="Arial"/>
          <w:sz w:val="20"/>
          <w:szCs w:val="20"/>
          <w:color w:val="auto"/>
        </w:rPr>
        <w:t>Completed the Actio acquisition in September 2026, adding ABS-1230 (JZP6979) to rare epilepsy portfolio.</w:t>
      </w:r>
    </w:p>
    <w:p>
      <w:pPr>
        <w:spacing w:after="0" w:line="13" w:lineRule="exact"/>
        <w:rPr>
          <w:rFonts w:ascii="Arial" w:cs="Arial" w:eastAsia="Arial" w:hAnsi="Arial"/>
          <w:sz w:val="20"/>
          <w:szCs w:val="20"/>
          <w:i w:val="1"/>
          <w:iCs w:val="1"/>
          <w:color w:val="auto"/>
        </w:rPr>
      </w:pPr>
    </w:p>
    <w:p>
      <w:pPr>
        <w:ind w:left="400" w:right="760" w:hanging="328"/>
        <w:spacing w:after="0" w:line="246" w:lineRule="auto"/>
        <w:tabs>
          <w:tab w:leader="none" w:pos="388" w:val="left"/>
        </w:tabs>
        <w:numPr>
          <w:ilvl w:val="0"/>
          <w:numId w:val="10"/>
        </w:numPr>
        <w:rPr>
          <w:rFonts w:ascii="Arial" w:cs="Arial" w:eastAsia="Arial" w:hAnsi="Arial"/>
          <w:sz w:val="20"/>
          <w:szCs w:val="20"/>
          <w:i w:val="1"/>
          <w:iCs w:val="1"/>
          <w:color w:val="auto"/>
        </w:rPr>
      </w:pPr>
      <w:r>
        <w:rPr>
          <w:rFonts w:ascii="Arial" w:cs="Arial" w:eastAsia="Arial" w:hAnsi="Arial"/>
          <w:sz w:val="20"/>
          <w:szCs w:val="20"/>
          <w:color w:val="auto"/>
        </w:rPr>
        <w:t>Potential first-in-class precision therapy for KCNT1-related epilepsy which has demonstrated meaningful seizure reductions in an early clinical proof-of-concept trial in children with KCNT1 epilepsy.</w:t>
      </w:r>
    </w:p>
    <w:p>
      <w:pPr>
        <w:spacing w:after="0" w:line="1" w:lineRule="exact"/>
        <w:rPr>
          <w:rFonts w:ascii="Arial" w:cs="Arial" w:eastAsia="Arial" w:hAnsi="Arial"/>
          <w:sz w:val="20"/>
          <w:szCs w:val="20"/>
          <w:i w:val="1"/>
          <w:iCs w:val="1"/>
          <w:color w:val="auto"/>
        </w:rPr>
      </w:pPr>
    </w:p>
    <w:p>
      <w:pPr>
        <w:ind w:left="400" w:hanging="328"/>
        <w:spacing w:after="0" w:line="246" w:lineRule="auto"/>
        <w:tabs>
          <w:tab w:leader="none" w:pos="388" w:val="left"/>
        </w:tabs>
        <w:numPr>
          <w:ilvl w:val="0"/>
          <w:numId w:val="10"/>
        </w:numPr>
        <w:rPr>
          <w:rFonts w:ascii="Arial" w:cs="Arial" w:eastAsia="Arial" w:hAnsi="Arial"/>
          <w:sz w:val="20"/>
          <w:szCs w:val="20"/>
          <w:color w:val="auto"/>
        </w:rPr>
      </w:pPr>
      <w:r>
        <w:rPr>
          <w:rFonts w:ascii="Arial" w:cs="Arial" w:eastAsia="Arial" w:hAnsi="Arial"/>
          <w:sz w:val="20"/>
          <w:szCs w:val="20"/>
          <w:color w:val="auto"/>
        </w:rPr>
        <w:t>Currently being evaluated in the ongoing Phase 1b/2a KYRON trial designed to serve as a registrational study to support an NDA submission in the U.S.</w:t>
      </w:r>
    </w:p>
    <w:p>
      <w:pPr>
        <w:spacing w:after="0" w:line="1" w:lineRule="exact"/>
        <w:rPr>
          <w:rFonts w:ascii="Arial" w:cs="Arial" w:eastAsia="Arial" w:hAnsi="Arial"/>
          <w:sz w:val="20"/>
          <w:szCs w:val="20"/>
          <w:color w:val="auto"/>
        </w:rPr>
      </w:pPr>
    </w:p>
    <w:p>
      <w:pPr>
        <w:ind w:left="380" w:hanging="308"/>
        <w:spacing w:after="0"/>
        <w:tabs>
          <w:tab w:leader="none" w:pos="3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Expect to present initial patient data at a medical meeting in 4Q26.</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580" w:top="1104" w:right="37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u w:val="single" w:color="auto"/>
          <w:color w:val="auto"/>
        </w:rPr>
        <w:t>Capital Structure</w:t>
      </w:r>
    </w:p>
    <w:p>
      <w:pPr>
        <w:spacing w:after="0" w:line="33" w:lineRule="exact"/>
        <w:rPr>
          <w:sz w:val="20"/>
          <w:szCs w:val="20"/>
          <w:color w:val="auto"/>
        </w:rPr>
      </w:pPr>
    </w:p>
    <w:p>
      <w:pPr>
        <w:ind w:right="40"/>
        <w:spacing w:after="0" w:line="266" w:lineRule="auto"/>
        <w:rPr>
          <w:sz w:val="20"/>
          <w:szCs w:val="20"/>
          <w:color w:val="auto"/>
        </w:rPr>
      </w:pPr>
      <w:r>
        <w:rPr>
          <w:rFonts w:ascii="Arial" w:cs="Arial" w:eastAsia="Arial" w:hAnsi="Arial"/>
          <w:sz w:val="19"/>
          <w:szCs w:val="19"/>
          <w:color w:val="auto"/>
        </w:rPr>
        <w:t>In the third quarter of 2026, the company completed a private placement of $1.25 billion aggregate principal amount of 1.875% exchangeable senior notes due 2032 (2032 notes). Concurrent with this transaction, the company repurchased $225 million of its ordinary shares. The company paid for the repurchases with existing cash on hand, and the share repurchases were effected under, and completely exhausted, the company’s share repurchase program announced in July 2024. In October 2026, the board of directors approved a new share repurchase program with no expiration date pursuant to which the company may repurchase its ordinary shares for up to an aggregate purchase price of $500 million, exclusive of any brokerage commissions.</w:t>
      </w:r>
    </w:p>
    <w:p>
      <w:pPr>
        <w:spacing w:after="0" w:line="55" w:lineRule="exact"/>
        <w:rPr>
          <w:sz w:val="20"/>
          <w:szCs w:val="20"/>
          <w:color w:val="auto"/>
        </w:rPr>
      </w:pPr>
    </w:p>
    <w:p>
      <w:pPr>
        <w:ind w:right="380"/>
        <w:spacing w:after="0" w:line="262" w:lineRule="auto"/>
        <w:rPr>
          <w:sz w:val="20"/>
          <w:szCs w:val="20"/>
          <w:color w:val="auto"/>
        </w:rPr>
      </w:pPr>
      <w:r>
        <w:rPr>
          <w:rFonts w:ascii="Arial" w:cs="Arial" w:eastAsia="Arial" w:hAnsi="Arial"/>
          <w:sz w:val="20"/>
          <w:szCs w:val="20"/>
          <w:color w:val="auto"/>
        </w:rPr>
        <w:t>Additionally, in the third quarter, the company amended and extended the company's Term Loan B, reducing the applicable margin by 50 basis points and extending the maturity by five years to May 2033, which is expected to generate cash interest savings and maintain cash reserves.</w:t>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Financial Highlights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640" w:type="dxa"/>
            <w:vAlign w:val="bottom"/>
            <w:gridSpan w:val="4"/>
          </w:tcPr>
          <w:p>
            <w:pPr>
              <w:jc w:val="right"/>
              <w:ind w:right="733"/>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5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95"/>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per share amounts)</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2025</w:t>
            </w:r>
          </w:p>
        </w:tc>
      </w:tr>
      <w:tr>
        <w:trPr>
          <w:trHeight w:val="224"/>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3,069.6</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GAAP net income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(483.4)</w:t>
            </w:r>
          </w:p>
        </w:tc>
        <w:tc>
          <w:tcPr>
            <w:tcW w:w="12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251.4</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(559.6)</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adjusted net income (loss)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GAAP earnings (loss) per share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(7.48)</w:t>
            </w:r>
          </w:p>
        </w:tc>
        <w:tc>
          <w:tcPr>
            <w:tcW w:w="12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(9.18)</w:t>
            </w: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adjusted earnings (loss) per share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r>
    </w:tbl>
    <w:p>
      <w:pPr>
        <w:spacing w:after="0" w:line="167" w:lineRule="exact"/>
        <w:rPr>
          <w:sz w:val="20"/>
          <w:szCs w:val="20"/>
          <w:color w:val="auto"/>
        </w:rPr>
      </w:pPr>
    </w:p>
    <w:p>
      <w:pPr>
        <w:ind w:right="300"/>
        <w:spacing w:after="0" w:line="262" w:lineRule="auto"/>
        <w:rPr>
          <w:sz w:val="20"/>
          <w:szCs w:val="20"/>
          <w:color w:val="auto"/>
        </w:rPr>
      </w:pPr>
      <w:r>
        <w:rPr>
          <w:rFonts w:ascii="Arial" w:cs="Arial" w:eastAsia="Arial" w:hAnsi="Arial"/>
          <w:sz w:val="20"/>
          <w:szCs w:val="20"/>
          <w:color w:val="auto"/>
        </w:rPr>
        <w:t>GAAP net loss and non-GAAP adjusted net loss in 3Q26 included acquired in-process research and development (IPR&amp;D) expense of $754 million representing the value allocated to ABS-1230 (JZP6979) in the Actio acquisition, which impacted our results by $11.32 per share and $11.03 per share on a GAAP and non-GAAP adjusted basis,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Reconciliations of applicable GAAP reported to non-GAAP adjusted information are included at the end of this press release.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885"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u w:val="single" w:color="auto"/>
          <w:color w:val="auto"/>
        </w:rPr>
        <w:t>Total Revenues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4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640" w:type="dxa"/>
            <w:vAlign w:val="bottom"/>
            <w:gridSpan w:val="4"/>
          </w:tcPr>
          <w:p>
            <w:pPr>
              <w:jc w:val="right"/>
              <w:ind w:right="731"/>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5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95"/>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2025</w:t>
            </w: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Xywav</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1,191.5</w:t>
            </w:r>
          </w:p>
        </w:tc>
      </w:tr>
      <w:tr>
        <w:trPr>
          <w:trHeight w:val="22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Xyrem</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w:t>
            </w:r>
          </w:p>
        </w:tc>
      </w:tr>
      <w:tr>
        <w:trPr>
          <w:trHeight w:val="223"/>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Sleep</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1,299.8</w:t>
            </w:r>
          </w:p>
        </w:tc>
      </w:tr>
      <w:tr>
        <w:trPr>
          <w:trHeight w:val="22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Epidiolex/Epidyolex</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295.4</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772.0</w:t>
            </w:r>
          </w:p>
        </w:tc>
      </w:tr>
      <w:tr>
        <w:trPr>
          <w:trHeight w:val="223"/>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Epilepsy</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772.0</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Zepzelca</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311.2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216.8</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Rylaze/Enrylaze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Defitelio/defibrotide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170.1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140.5</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Modeyso</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Vyxeos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112.0</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Ziihera</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23"/>
        </w:trPr>
        <w:tc>
          <w:tcPr>
            <w:tcW w:w="5200" w:type="dxa"/>
            <w:vAlign w:val="bottom"/>
          </w:tcPr>
          <w:p>
            <w:pPr>
              <w:ind w:left="140"/>
              <w:spacing w:after="0"/>
              <w:rPr>
                <w:sz w:val="20"/>
                <w:szCs w:val="20"/>
                <w:color w:val="auto"/>
              </w:rPr>
            </w:pPr>
            <w:r>
              <w:rPr>
                <w:rFonts w:ascii="Arial" w:cs="Arial" w:eastAsia="Arial" w:hAnsi="Arial"/>
                <w:sz w:val="18"/>
                <w:szCs w:val="18"/>
                <w:color w:val="auto"/>
              </w:rPr>
              <w:t>Oncology</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387.1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1,082.8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791.9</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23"/>
        </w:trPr>
        <w:tc>
          <w:tcPr>
            <w:tcW w:w="5200" w:type="dxa"/>
            <w:vAlign w:val="bottom"/>
          </w:tcPr>
          <w:p>
            <w:pPr>
              <w:ind w:left="140"/>
              <w:spacing w:after="0"/>
              <w:rPr>
                <w:sz w:val="20"/>
                <w:szCs w:val="20"/>
                <w:color w:val="auto"/>
              </w:rPr>
            </w:pPr>
            <w:r>
              <w:rPr>
                <w:rFonts w:ascii="Arial" w:cs="Arial" w:eastAsia="Arial" w:hAnsi="Arial"/>
                <w:sz w:val="18"/>
                <w:szCs w:val="18"/>
                <w:color w:val="auto"/>
              </w:rPr>
              <w:t>Product sales, net</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1,196.5</w:t>
            </w: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1,064.4</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3,377.9</w:t>
            </w: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2,889.4</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High-sodium oxybate AG royalty revenue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w:t>
            </w: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royalty and contract revenues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3,520.2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3,069.6</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560"/>
        <w:spacing w:after="0" w:line="286" w:lineRule="auto"/>
        <w:rPr>
          <w:sz w:val="20"/>
          <w:szCs w:val="20"/>
          <w:color w:val="auto"/>
        </w:rPr>
      </w:pPr>
      <w:r>
        <w:rPr>
          <w:rFonts w:ascii="Arial" w:cs="Arial" w:eastAsia="Arial" w:hAnsi="Arial"/>
          <w:sz w:val="20"/>
          <w:szCs w:val="20"/>
          <w:color w:val="auto"/>
        </w:rPr>
        <w:t xml:space="preserve">Total revenues increased 10% YoY in 3Q26 primarily due to higher </w:t>
      </w:r>
      <w:r>
        <w:rPr>
          <w:rFonts w:ascii="Arial" w:cs="Arial" w:eastAsia="Arial" w:hAnsi="Arial"/>
          <w:sz w:val="20"/>
          <w:szCs w:val="20"/>
          <w:i w:val="1"/>
          <w:iCs w:val="1"/>
          <w:color w:val="auto"/>
        </w:rPr>
        <w:t>Xywav, Zepzelca</w:t>
      </w:r>
      <w:r>
        <w:rPr>
          <w:rFonts w:ascii="Arial" w:cs="Arial" w:eastAsia="Arial" w:hAnsi="Arial"/>
          <w:sz w:val="20"/>
          <w:szCs w:val="20"/>
          <w:color w:val="auto"/>
        </w:rPr>
        <w:t xml:space="preserve"> and </w:t>
      </w:r>
      <w:r>
        <w:rPr>
          <w:rFonts w:ascii="Arial" w:cs="Arial" w:eastAsia="Arial" w:hAnsi="Arial"/>
          <w:sz w:val="20"/>
          <w:szCs w:val="20"/>
          <w:i w:val="1"/>
          <w:iCs w:val="1"/>
          <w:color w:val="auto"/>
        </w:rPr>
        <w:t>Ziihera</w:t>
      </w:r>
      <w:r>
        <w:rPr>
          <w:rFonts w:ascii="Arial" w:cs="Arial" w:eastAsia="Arial" w:hAnsi="Arial"/>
          <w:sz w:val="20"/>
          <w:szCs w:val="20"/>
          <w:color w:val="auto"/>
        </w:rPr>
        <w:t xml:space="preserve"> net product sales and the inclusion of </w:t>
      </w:r>
      <w:r>
        <w:rPr>
          <w:rFonts w:ascii="Arial" w:cs="Arial" w:eastAsia="Arial" w:hAnsi="Arial"/>
          <w:sz w:val="20"/>
          <w:szCs w:val="20"/>
          <w:i w:val="1"/>
          <w:iCs w:val="1"/>
          <w:color w:val="auto"/>
        </w:rPr>
        <w:t>Modeyso</w:t>
      </w:r>
      <w:r>
        <w:rPr>
          <w:rFonts w:ascii="Arial" w:cs="Arial" w:eastAsia="Arial" w:hAnsi="Arial"/>
          <w:sz w:val="20"/>
          <w:szCs w:val="20"/>
          <w:color w:val="auto"/>
        </w:rPr>
        <w:t xml:space="preserve"> net product sales, following FDA approval in August 2025.</w:t>
      </w: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Operating Expenses and Income Tax Expense (Benefit)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640" w:type="dxa"/>
            <w:vAlign w:val="bottom"/>
            <w:gridSpan w:val="4"/>
          </w:tcPr>
          <w:p>
            <w:pPr>
              <w:jc w:val="right"/>
              <w:ind w:right="732"/>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5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95"/>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percentages)</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2025</w:t>
            </w:r>
          </w:p>
        </w:tc>
      </w:tr>
      <w:tr>
        <w:trPr>
          <w:trHeight w:val="21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Cost of product sales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110.6</w:t>
            </w:r>
          </w:p>
        </w:tc>
        <w:tc>
          <w:tcPr>
            <w:tcW w:w="12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128.9</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361.1</w:t>
            </w:r>
          </w:p>
        </w:tc>
        <w:tc>
          <w:tcPr>
            <w:tcW w:w="12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349.8</w:t>
            </w:r>
          </w:p>
        </w:tc>
      </w:tr>
      <w:tr>
        <w:trPr>
          <w:trHeight w:val="230"/>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Gross margin on total revenues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i w:val="1"/>
                <w:iCs w:val="1"/>
                <w:color w:val="auto"/>
              </w:rPr>
              <w:t>91.1%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i w:val="1"/>
                <w:iCs w:val="1"/>
                <w:color w:val="auto"/>
              </w:rPr>
              <w:t>88.6%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i w:val="1"/>
                <w:iCs w:val="1"/>
                <w:color w:val="auto"/>
              </w:rPr>
              <w:t>89.7%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i w:val="1"/>
                <w:iCs w:val="1"/>
                <w:color w:val="auto"/>
              </w:rPr>
              <w:t>88.6%</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407.9</w:t>
            </w:r>
          </w:p>
        </w:tc>
        <w:tc>
          <w:tcPr>
            <w:tcW w:w="12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530.6</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1,149.8</w:t>
            </w:r>
          </w:p>
        </w:tc>
        <w:tc>
          <w:tcPr>
            <w:tcW w:w="12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1,403.0</w:t>
            </w:r>
          </w:p>
        </w:tc>
      </w:tr>
      <w:tr>
        <w:trPr>
          <w:trHeight w:val="230"/>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 of total revenues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i w:val="1"/>
                <w:iCs w:val="1"/>
                <w:color w:val="auto"/>
              </w:rPr>
              <w:t>32.8%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i w:val="1"/>
                <w:iCs w:val="1"/>
                <w:color w:val="auto"/>
              </w:rPr>
              <w:t>47.1%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i w:val="1"/>
                <w:iCs w:val="1"/>
                <w:color w:val="auto"/>
              </w:rPr>
              <w:t>32.7%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i w:val="1"/>
                <w:iCs w:val="1"/>
                <w:color w:val="auto"/>
              </w:rPr>
              <w:t>45.7%</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211.9</w:t>
            </w:r>
          </w:p>
        </w:tc>
        <w:tc>
          <w:tcPr>
            <w:tcW w:w="12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198.2</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615.4</w:t>
            </w:r>
          </w:p>
        </w:tc>
        <w:tc>
          <w:tcPr>
            <w:tcW w:w="12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568.8</w:t>
            </w:r>
          </w:p>
        </w:tc>
      </w:tr>
      <w:tr>
        <w:trPr>
          <w:trHeight w:val="230"/>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 of total revenues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i w:val="1"/>
                <w:iCs w:val="1"/>
                <w:color w:val="auto"/>
              </w:rPr>
              <w:t>17.0%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i w:val="1"/>
                <w:iCs w:val="1"/>
                <w:color w:val="auto"/>
              </w:rPr>
              <w:t>17.6%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i w:val="1"/>
                <w:iCs w:val="1"/>
                <w:color w:val="auto"/>
              </w:rPr>
              <w:t>17.5%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i w:val="1"/>
                <w:iCs w:val="1"/>
                <w:color w:val="auto"/>
              </w:rPr>
              <w:t>18.5%</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Acquired in-process research and development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754.2</w:t>
            </w:r>
          </w:p>
        </w:tc>
        <w:tc>
          <w:tcPr>
            <w:tcW w:w="12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831.2</w:t>
            </w:r>
          </w:p>
        </w:tc>
        <w:tc>
          <w:tcPr>
            <w:tcW w:w="12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947.9</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priority review voucher</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(122.8)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(242.4)</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(277.4)</w:t>
            </w:r>
          </w:p>
        </w:tc>
      </w:tr>
      <w:tr>
        <w:trPr>
          <w:trHeight w:val="230"/>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Effective tax rate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i w:val="1"/>
                <w:iCs w:val="1"/>
                <w:color w:val="auto"/>
              </w:rPr>
              <w:t>(5.3)%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i w:val="1"/>
                <w:iCs w:val="1"/>
                <w:color w:val="auto"/>
              </w:rPr>
              <w:t>N/A(1)</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i w:val="1"/>
                <w:iCs w:val="1"/>
                <w:color w:val="auto"/>
              </w:rPr>
              <w:t>94.9%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i w:val="1"/>
                <w:iCs w:val="1"/>
                <w:color w:val="auto"/>
              </w:rPr>
              <w:t>33.2%</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113"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Not a meaningful metric due to minimal profit before tax in this period.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885" w:right="339" w:bottom="1440" w:gutter="0" w:footer="0" w:header="0"/>
        </w:sectPr>
      </w:pPr>
    </w:p>
    <w:bookmarkStart w:id="7" w:name="page8"/>
    <w:bookmarkEnd w:id="7"/>
    <w:p>
      <w:pPr>
        <w:spacing w:after="0" w:line="363"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 except percentages)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Non-GAAP adjusted:</w:t>
      </w:r>
    </w:p>
    <w:p>
      <w:pPr>
        <w:spacing w:after="0" w:line="32" w:lineRule="exact"/>
        <w:rPr>
          <w:sz w:val="20"/>
          <w:szCs w:val="20"/>
          <w:color w:val="auto"/>
        </w:rPr>
      </w:pPr>
    </w:p>
    <w:p>
      <w:pPr>
        <w:ind w:left="20"/>
        <w:spacing w:after="0"/>
        <w:tabs>
          <w:tab w:leader="none" w:pos="5180" w:val="left"/>
        </w:tabs>
        <w:rPr>
          <w:sz w:val="20"/>
          <w:szCs w:val="20"/>
          <w:color w:val="auto"/>
        </w:rPr>
      </w:pPr>
      <w:r>
        <w:rPr>
          <w:rFonts w:ascii="Arial" w:cs="Arial" w:eastAsia="Arial" w:hAnsi="Arial"/>
          <w:sz w:val="18"/>
          <w:szCs w:val="18"/>
          <w:color w:val="auto"/>
        </w:rPr>
        <w:t>Cost of product sales</w:t>
      </w:r>
      <w:r>
        <w:rPr>
          <w:sz w:val="20"/>
          <w:szCs w:val="20"/>
          <w:color w:val="auto"/>
        </w:rPr>
        <w:tab/>
      </w:r>
      <w:r>
        <w:rPr>
          <w:rFonts w:ascii="Arial" w:cs="Arial" w:eastAsia="Arial" w:hAnsi="Arial"/>
          <w:sz w:val="17"/>
          <w:szCs w:val="17"/>
          <w:color w:val="auto"/>
        </w:rPr>
        <w:t>$</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Gross margin on total revenues</w:t>
      </w:r>
    </w:p>
    <w:p>
      <w:pPr>
        <w:spacing w:after="0" w:line="23" w:lineRule="exact"/>
        <w:rPr>
          <w:sz w:val="20"/>
          <w:szCs w:val="20"/>
          <w:color w:val="auto"/>
        </w:rPr>
      </w:pPr>
    </w:p>
    <w:p>
      <w:pPr>
        <w:ind w:left="20"/>
        <w:spacing w:after="0"/>
        <w:tabs>
          <w:tab w:leader="none" w:pos="5180" w:val="left"/>
        </w:tabs>
        <w:rPr>
          <w:sz w:val="20"/>
          <w:szCs w:val="20"/>
          <w:color w:val="auto"/>
        </w:rPr>
      </w:pPr>
      <w:r>
        <w:rPr>
          <w:rFonts w:ascii="Arial" w:cs="Arial" w:eastAsia="Arial" w:hAnsi="Arial"/>
          <w:sz w:val="18"/>
          <w:szCs w:val="18"/>
          <w:color w:val="auto"/>
        </w:rPr>
        <w:t>Selling, general and administrative</w:t>
      </w:r>
      <w:r>
        <w:rPr>
          <w:sz w:val="20"/>
          <w:szCs w:val="20"/>
          <w:color w:val="auto"/>
        </w:rPr>
        <w:tab/>
      </w:r>
      <w:r>
        <w:rPr>
          <w:rFonts w:ascii="Arial" w:cs="Arial" w:eastAsia="Arial" w:hAnsi="Arial"/>
          <w:sz w:val="17"/>
          <w:szCs w:val="17"/>
          <w:color w:val="auto"/>
        </w:rPr>
        <w:t>$</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 of total revenues</w:t>
      </w:r>
    </w:p>
    <w:p>
      <w:pPr>
        <w:spacing w:after="0" w:line="23" w:lineRule="exact"/>
        <w:rPr>
          <w:sz w:val="20"/>
          <w:szCs w:val="20"/>
          <w:color w:val="auto"/>
        </w:rPr>
      </w:pPr>
    </w:p>
    <w:p>
      <w:pPr>
        <w:ind w:left="20"/>
        <w:spacing w:after="0"/>
        <w:tabs>
          <w:tab w:leader="none" w:pos="5180" w:val="left"/>
        </w:tabs>
        <w:rPr>
          <w:sz w:val="20"/>
          <w:szCs w:val="20"/>
          <w:color w:val="auto"/>
        </w:rPr>
      </w:pPr>
      <w:r>
        <w:rPr>
          <w:rFonts w:ascii="Arial" w:cs="Arial" w:eastAsia="Arial" w:hAnsi="Arial"/>
          <w:sz w:val="18"/>
          <w:szCs w:val="18"/>
          <w:color w:val="auto"/>
        </w:rPr>
        <w:t>Research and development</w:t>
      </w:r>
      <w:r>
        <w:rPr>
          <w:sz w:val="20"/>
          <w:szCs w:val="20"/>
          <w:color w:val="auto"/>
        </w:rPr>
        <w:tab/>
      </w:r>
      <w:r>
        <w:rPr>
          <w:rFonts w:ascii="Arial" w:cs="Arial" w:eastAsia="Arial" w:hAnsi="Arial"/>
          <w:sz w:val="17"/>
          <w:szCs w:val="17"/>
          <w:color w:val="auto"/>
        </w:rPr>
        <w:t>$</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 of total revenues</w:t>
      </w:r>
    </w:p>
    <w:p>
      <w:pPr>
        <w:spacing w:after="0" w:line="23" w:lineRule="exact"/>
        <w:rPr>
          <w:sz w:val="20"/>
          <w:szCs w:val="20"/>
          <w:color w:val="auto"/>
        </w:rPr>
      </w:pPr>
    </w:p>
    <w:p>
      <w:pPr>
        <w:ind w:left="20"/>
        <w:spacing w:after="0"/>
        <w:tabs>
          <w:tab w:leader="none" w:pos="5180" w:val="left"/>
        </w:tabs>
        <w:rPr>
          <w:sz w:val="20"/>
          <w:szCs w:val="20"/>
          <w:color w:val="auto"/>
        </w:rPr>
      </w:pPr>
      <w:r>
        <w:rPr>
          <w:rFonts w:ascii="Arial" w:cs="Arial" w:eastAsia="Arial" w:hAnsi="Arial"/>
          <w:sz w:val="18"/>
          <w:szCs w:val="18"/>
          <w:color w:val="auto"/>
        </w:rPr>
        <w:t>Acquired in-process research and development</w:t>
      </w:r>
      <w:r>
        <w:rPr>
          <w:sz w:val="20"/>
          <w:szCs w:val="20"/>
          <w:color w:val="auto"/>
        </w:rPr>
        <w:tab/>
      </w:r>
      <w:r>
        <w:rPr>
          <w:rFonts w:ascii="Arial" w:cs="Arial" w:eastAsia="Arial" w:hAnsi="Arial"/>
          <w:sz w:val="17"/>
          <w:szCs w:val="17"/>
          <w:color w:val="auto"/>
        </w:rPr>
        <w:t>$</w:t>
      </w:r>
    </w:p>
    <w:p>
      <w:pPr>
        <w:spacing w:after="0" w:line="23" w:lineRule="exact"/>
        <w:rPr>
          <w:sz w:val="20"/>
          <w:szCs w:val="20"/>
          <w:color w:val="auto"/>
        </w:rPr>
      </w:pPr>
    </w:p>
    <w:p>
      <w:pPr>
        <w:ind w:left="20"/>
        <w:spacing w:after="0"/>
        <w:tabs>
          <w:tab w:leader="none" w:pos="5180" w:val="left"/>
        </w:tabs>
        <w:rPr>
          <w:sz w:val="20"/>
          <w:szCs w:val="20"/>
          <w:color w:val="auto"/>
        </w:rPr>
      </w:pPr>
      <w:r>
        <w:rPr>
          <w:rFonts w:ascii="Arial" w:cs="Arial" w:eastAsia="Arial" w:hAnsi="Arial"/>
          <w:sz w:val="18"/>
          <w:szCs w:val="18"/>
          <w:color w:val="auto"/>
        </w:rPr>
        <w:t>Income tax expense (benefit)</w:t>
      </w:r>
      <w:r>
        <w:rPr>
          <w:sz w:val="20"/>
          <w:szCs w:val="20"/>
          <w:color w:val="auto"/>
        </w:rPr>
        <w:tab/>
      </w:r>
      <w:r>
        <w:rPr>
          <w:rFonts w:ascii="Arial" w:cs="Arial" w:eastAsia="Arial" w:hAnsi="Arial"/>
          <w:sz w:val="17"/>
          <w:szCs w:val="17"/>
          <w:color w:val="auto"/>
        </w:rPr>
        <w:t>$</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Effective tax rate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113"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Not a meaningful metric due to minimal profit before tax in this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52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640" w:type="dxa"/>
            <w:vAlign w:val="bottom"/>
            <w:gridSpan w:val="4"/>
          </w:tcPr>
          <w:p>
            <w:pPr>
              <w:jc w:val="right"/>
              <w:ind w:right="732"/>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95"/>
        </w:trPr>
        <w:tc>
          <w:tcPr>
            <w:tcW w:w="980" w:type="dxa"/>
            <w:vAlign w:val="bottom"/>
          </w:tcPr>
          <w:p>
            <w:pPr>
              <w:jc w:val="right"/>
              <w:ind w:right="575"/>
              <w:spacing w:after="0"/>
              <w:rPr>
                <w:sz w:val="20"/>
                <w:szCs w:val="20"/>
                <w:color w:val="auto"/>
              </w:rPr>
            </w:pPr>
            <w:r>
              <w:rPr>
                <w:rFonts w:ascii="Arial" w:cs="Arial" w:eastAsia="Arial" w:hAnsi="Arial"/>
                <w:sz w:val="14"/>
                <w:szCs w:val="14"/>
                <w:b w:val="1"/>
                <w:bCs w:val="1"/>
                <w:color w:val="auto"/>
                <w:w w:val="96"/>
              </w:rPr>
              <w:t>2026</w:t>
            </w: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2025</w:t>
            </w:r>
          </w:p>
        </w:tc>
      </w:tr>
      <w:tr>
        <w:trPr>
          <w:trHeight w:val="437"/>
        </w:trPr>
        <w:tc>
          <w:tcPr>
            <w:tcW w:w="980" w:type="dxa"/>
            <w:vAlign w:val="bottom"/>
          </w:tcPr>
          <w:p>
            <w:pPr>
              <w:jc w:val="right"/>
              <w:ind w:right="155"/>
              <w:spacing w:after="0"/>
              <w:rPr>
                <w:sz w:val="20"/>
                <w:szCs w:val="20"/>
                <w:color w:val="auto"/>
              </w:rPr>
            </w:pPr>
            <w:r>
              <w:rPr>
                <w:rFonts w:ascii="Arial" w:cs="Arial" w:eastAsia="Arial" w:hAnsi="Arial"/>
                <w:sz w:val="18"/>
                <w:szCs w:val="18"/>
                <w:color w:val="auto"/>
              </w:rPr>
              <w:t>105.1</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83.2</w:t>
            </w:r>
          </w:p>
        </w:tc>
        <w:tc>
          <w:tcPr>
            <w:tcW w:w="12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290.2</w:t>
            </w:r>
          </w:p>
        </w:tc>
        <w:tc>
          <w:tcPr>
            <w:tcW w:w="120" w:type="dxa"/>
            <w:vAlign w:val="bottom"/>
          </w:tcPr>
          <w:p>
            <w:pPr>
              <w:spacing w:after="0"/>
              <w:rPr>
                <w:sz w:val="24"/>
                <w:szCs w:val="24"/>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229.2</w:t>
            </w:r>
          </w:p>
        </w:tc>
      </w:tr>
      <w:tr>
        <w:trPr>
          <w:trHeight w:val="228"/>
        </w:trPr>
        <w:tc>
          <w:tcPr>
            <w:tcW w:w="980" w:type="dxa"/>
            <w:vAlign w:val="bottom"/>
          </w:tcPr>
          <w:p>
            <w:pPr>
              <w:jc w:val="right"/>
              <w:ind w:right="155"/>
              <w:spacing w:after="0"/>
              <w:rPr>
                <w:sz w:val="20"/>
                <w:szCs w:val="20"/>
                <w:color w:val="auto"/>
              </w:rPr>
            </w:pPr>
            <w:r>
              <w:rPr>
                <w:rFonts w:ascii="Arial" w:cs="Arial" w:eastAsia="Arial" w:hAnsi="Arial"/>
                <w:sz w:val="18"/>
                <w:szCs w:val="18"/>
                <w:i w:val="1"/>
                <w:iCs w:val="1"/>
                <w:color w:val="auto"/>
              </w:rPr>
              <w:t>91.5%</w:t>
            </w:r>
          </w:p>
        </w:tc>
        <w:tc>
          <w:tcPr>
            <w:tcW w:w="50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i w:val="1"/>
                <w:iCs w:val="1"/>
                <w:color w:val="auto"/>
              </w:rPr>
              <w:t>92.6%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i w:val="1"/>
                <w:iCs w:val="1"/>
                <w:color w:val="auto"/>
              </w:rPr>
              <w:t>91.8%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i w:val="1"/>
                <w:iCs w:val="1"/>
                <w:color w:val="auto"/>
              </w:rPr>
              <w:t>92.5%</w:t>
            </w:r>
          </w:p>
        </w:tc>
      </w:tr>
      <w:tr>
        <w:trPr>
          <w:trHeight w:val="232"/>
        </w:trPr>
        <w:tc>
          <w:tcPr>
            <w:tcW w:w="980" w:type="dxa"/>
            <w:vAlign w:val="bottom"/>
          </w:tcPr>
          <w:p>
            <w:pPr>
              <w:jc w:val="right"/>
              <w:ind w:right="155"/>
              <w:spacing w:after="0"/>
              <w:rPr>
                <w:sz w:val="20"/>
                <w:szCs w:val="20"/>
                <w:color w:val="auto"/>
              </w:rPr>
            </w:pPr>
            <w:r>
              <w:rPr>
                <w:rFonts w:ascii="Arial" w:cs="Arial" w:eastAsia="Arial" w:hAnsi="Arial"/>
                <w:sz w:val="18"/>
                <w:szCs w:val="18"/>
                <w:color w:val="auto"/>
              </w:rPr>
              <w:t>328.0</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460.1</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979.7</w:t>
            </w:r>
          </w:p>
        </w:tc>
        <w:tc>
          <w:tcPr>
            <w:tcW w:w="12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1,242.7</w:t>
            </w:r>
          </w:p>
        </w:tc>
      </w:tr>
      <w:tr>
        <w:trPr>
          <w:trHeight w:val="228"/>
        </w:trPr>
        <w:tc>
          <w:tcPr>
            <w:tcW w:w="980" w:type="dxa"/>
            <w:vAlign w:val="bottom"/>
          </w:tcPr>
          <w:p>
            <w:pPr>
              <w:jc w:val="right"/>
              <w:ind w:right="155"/>
              <w:spacing w:after="0"/>
              <w:rPr>
                <w:sz w:val="20"/>
                <w:szCs w:val="20"/>
                <w:color w:val="auto"/>
              </w:rPr>
            </w:pPr>
            <w:r>
              <w:rPr>
                <w:rFonts w:ascii="Arial" w:cs="Arial" w:eastAsia="Arial" w:hAnsi="Arial"/>
                <w:sz w:val="18"/>
                <w:szCs w:val="18"/>
                <w:i w:val="1"/>
                <w:iCs w:val="1"/>
                <w:color w:val="auto"/>
              </w:rPr>
              <w:t>26.4%</w:t>
            </w:r>
          </w:p>
        </w:tc>
        <w:tc>
          <w:tcPr>
            <w:tcW w:w="50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i w:val="1"/>
                <w:iCs w:val="1"/>
                <w:color w:val="auto"/>
              </w:rPr>
              <w:t>40.9%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i w:val="1"/>
                <w:iCs w:val="1"/>
                <w:color w:val="auto"/>
              </w:rPr>
              <w:t>27.8%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i w:val="1"/>
                <w:iCs w:val="1"/>
                <w:color w:val="auto"/>
              </w:rPr>
              <w:t>40.5%</w:t>
            </w:r>
          </w:p>
        </w:tc>
      </w:tr>
      <w:tr>
        <w:trPr>
          <w:trHeight w:val="232"/>
        </w:trPr>
        <w:tc>
          <w:tcPr>
            <w:tcW w:w="980" w:type="dxa"/>
            <w:vAlign w:val="bottom"/>
          </w:tcPr>
          <w:p>
            <w:pPr>
              <w:jc w:val="right"/>
              <w:ind w:right="155"/>
              <w:spacing w:after="0"/>
              <w:rPr>
                <w:sz w:val="20"/>
                <w:szCs w:val="20"/>
                <w:color w:val="auto"/>
              </w:rPr>
            </w:pPr>
            <w:r>
              <w:rPr>
                <w:rFonts w:ascii="Arial" w:cs="Arial" w:eastAsia="Arial" w:hAnsi="Arial"/>
                <w:sz w:val="18"/>
                <w:szCs w:val="18"/>
                <w:color w:val="auto"/>
              </w:rPr>
              <w:t>188.9</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169.9</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546.1</w:t>
            </w:r>
          </w:p>
        </w:tc>
        <w:tc>
          <w:tcPr>
            <w:tcW w:w="12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496.7</w:t>
            </w:r>
          </w:p>
        </w:tc>
      </w:tr>
      <w:tr>
        <w:trPr>
          <w:trHeight w:val="227"/>
        </w:trPr>
        <w:tc>
          <w:tcPr>
            <w:tcW w:w="980" w:type="dxa"/>
            <w:vAlign w:val="bottom"/>
          </w:tcPr>
          <w:p>
            <w:pPr>
              <w:jc w:val="right"/>
              <w:ind w:right="155"/>
              <w:spacing w:after="0"/>
              <w:rPr>
                <w:sz w:val="20"/>
                <w:szCs w:val="20"/>
                <w:color w:val="auto"/>
              </w:rPr>
            </w:pPr>
            <w:r>
              <w:rPr>
                <w:rFonts w:ascii="Arial" w:cs="Arial" w:eastAsia="Arial" w:hAnsi="Arial"/>
                <w:sz w:val="18"/>
                <w:szCs w:val="18"/>
                <w:i w:val="1"/>
                <w:iCs w:val="1"/>
                <w:color w:val="auto"/>
              </w:rPr>
              <w:t>15.2%</w:t>
            </w:r>
          </w:p>
        </w:tc>
        <w:tc>
          <w:tcPr>
            <w:tcW w:w="50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i w:val="1"/>
                <w:iCs w:val="1"/>
                <w:color w:val="auto"/>
              </w:rPr>
              <w:t>15.1%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i w:val="1"/>
                <w:iCs w:val="1"/>
                <w:color w:val="auto"/>
              </w:rPr>
              <w:t>15.5%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i w:val="1"/>
                <w:iCs w:val="1"/>
                <w:color w:val="auto"/>
              </w:rPr>
              <w:t>16.2%</w:t>
            </w:r>
          </w:p>
        </w:tc>
      </w:tr>
      <w:tr>
        <w:trPr>
          <w:trHeight w:val="230"/>
        </w:trPr>
        <w:tc>
          <w:tcPr>
            <w:tcW w:w="980" w:type="dxa"/>
            <w:vAlign w:val="bottom"/>
          </w:tcPr>
          <w:p>
            <w:pPr>
              <w:jc w:val="right"/>
              <w:ind w:right="155"/>
              <w:spacing w:after="0"/>
              <w:rPr>
                <w:sz w:val="20"/>
                <w:szCs w:val="20"/>
                <w:color w:val="auto"/>
              </w:rPr>
            </w:pPr>
            <w:r>
              <w:rPr>
                <w:rFonts w:ascii="Arial" w:cs="Arial" w:eastAsia="Arial" w:hAnsi="Arial"/>
                <w:sz w:val="18"/>
                <w:szCs w:val="18"/>
                <w:color w:val="auto"/>
              </w:rPr>
              <w:t>754.2</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831.2</w:t>
            </w:r>
          </w:p>
        </w:tc>
        <w:tc>
          <w:tcPr>
            <w:tcW w:w="12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947.9</w:t>
            </w:r>
          </w:p>
        </w:tc>
      </w:tr>
      <w:tr>
        <w:trPr>
          <w:trHeight w:val="232"/>
        </w:trPr>
        <w:tc>
          <w:tcPr>
            <w:tcW w:w="980" w:type="dxa"/>
            <w:vAlign w:val="bottom"/>
          </w:tcPr>
          <w:p>
            <w:pPr>
              <w:jc w:val="right"/>
              <w:ind w:right="155"/>
              <w:spacing w:after="0"/>
              <w:rPr>
                <w:sz w:val="20"/>
                <w:szCs w:val="20"/>
                <w:color w:val="auto"/>
              </w:rPr>
            </w:pPr>
            <w:r>
              <w:rPr>
                <w:rFonts w:ascii="Arial" w:cs="Arial" w:eastAsia="Arial" w:hAnsi="Arial"/>
                <w:sz w:val="18"/>
                <w:szCs w:val="18"/>
                <w:color w:val="auto"/>
              </w:rPr>
              <w:t>72.1</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(178.8)</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187.7</w:t>
            </w:r>
          </w:p>
        </w:tc>
        <w:tc>
          <w:tcPr>
            <w:tcW w:w="12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(100.1)</w:t>
            </w:r>
          </w:p>
        </w:tc>
      </w:tr>
      <w:tr>
        <w:trPr>
          <w:trHeight w:val="237"/>
        </w:trPr>
        <w:tc>
          <w:tcPr>
            <w:tcW w:w="980" w:type="dxa"/>
            <w:vAlign w:val="bottom"/>
          </w:tcPr>
          <w:p>
            <w:pPr>
              <w:jc w:val="right"/>
              <w:ind w:right="155"/>
              <w:spacing w:after="0"/>
              <w:rPr>
                <w:sz w:val="20"/>
                <w:szCs w:val="20"/>
                <w:color w:val="auto"/>
              </w:rPr>
            </w:pPr>
            <w:r>
              <w:rPr>
                <w:rFonts w:ascii="Arial" w:cs="Arial" w:eastAsia="Arial" w:hAnsi="Arial"/>
                <w:sz w:val="18"/>
                <w:szCs w:val="18"/>
                <w:i w:val="1"/>
                <w:iCs w:val="1"/>
                <w:color w:val="auto"/>
              </w:rPr>
              <w:t>(40.3)%</w:t>
            </w:r>
          </w:p>
        </w:tc>
        <w:tc>
          <w:tcPr>
            <w:tcW w:w="50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i w:val="1"/>
                <w:iCs w:val="1"/>
                <w:color w:val="auto"/>
              </w:rPr>
              <w:t>(55.5)%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i w:val="1"/>
                <w:iCs w:val="1"/>
                <w:color w:val="auto"/>
              </w:rPr>
              <w:t>24.9%</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i w:val="1"/>
                <w:iCs w:val="1"/>
                <w:color w:val="auto"/>
              </w:rPr>
              <w:t>N/A(1)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-1167765</wp:posOffset>
            </wp:positionV>
            <wp:extent cx="7132320" cy="146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-876300</wp:posOffset>
            </wp:positionV>
            <wp:extent cx="7132320" cy="145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-584835</wp:posOffset>
            </wp:positionV>
            <wp:extent cx="7132320" cy="145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-293370</wp:posOffset>
            </wp:positionV>
            <wp:extent cx="7132320"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-1459230</wp:posOffset>
            </wp:positionV>
            <wp:extent cx="713232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-1596390</wp:posOffset>
            </wp:positionV>
            <wp:extent cx="1885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865" w:lineRule="exact"/>
        <w:rPr>
          <w:sz w:val="20"/>
          <w:szCs w:val="20"/>
          <w:color w:val="auto"/>
        </w:rPr>
      </w:pPr>
    </w:p>
    <w:p>
      <w:pPr>
        <w:sectPr>
          <w:pgSz w:w="11900" w:h="16838" w:orient="portrait"/>
          <w:cols w:equalWidth="0" w:num="2">
            <w:col w:w="5320" w:space="420"/>
            <w:col w:w="5500"/>
          </w:cols>
          <w:pgMar w:left="320" w:top="928" w:right="339" w:bottom="1440" w:gutter="0" w:footer="0" w:header="0"/>
        </w:sectPr>
      </w:pPr>
    </w:p>
    <w:p>
      <w:pPr>
        <w:spacing w:after="0" w:line="41" w:lineRule="exact"/>
        <w:rPr>
          <w:sz w:val="20"/>
          <w:szCs w:val="20"/>
          <w:color w:val="auto"/>
        </w:rPr>
      </w:pPr>
    </w:p>
    <w:p>
      <w:pPr>
        <w:ind w:right="380"/>
        <w:spacing w:after="0" w:line="286" w:lineRule="auto"/>
        <w:rPr>
          <w:sz w:val="20"/>
          <w:szCs w:val="20"/>
          <w:color w:val="auto"/>
        </w:rPr>
      </w:pPr>
      <w:r>
        <w:rPr>
          <w:rFonts w:ascii="Arial" w:cs="Arial" w:eastAsia="Arial" w:hAnsi="Arial"/>
          <w:sz w:val="20"/>
          <w:szCs w:val="20"/>
          <w:color w:val="auto"/>
        </w:rPr>
        <w:t>Changes in operating expenses and income tax expense (benefit) in 3Q26 over the prior year period are primarily due to the following:</w:t>
      </w:r>
    </w:p>
    <w:p>
      <w:pPr>
        <w:spacing w:after="0" w:line="46" w:lineRule="exact"/>
        <w:rPr>
          <w:sz w:val="20"/>
          <w:szCs w:val="20"/>
          <w:color w:val="auto"/>
        </w:rPr>
      </w:pPr>
    </w:p>
    <w:p>
      <w:pPr>
        <w:ind w:left="660" w:right="240" w:hanging="328"/>
        <w:spacing w:after="0" w:line="255" w:lineRule="auto"/>
        <w:tabs>
          <w:tab w:leader="none" w:pos="648" w:val="left"/>
        </w:tabs>
        <w:numPr>
          <w:ilvl w:val="0"/>
          <w:numId w:val="13"/>
        </w:numPr>
        <w:rPr>
          <w:rFonts w:ascii="Arial" w:cs="Arial" w:eastAsia="Arial" w:hAnsi="Arial"/>
          <w:sz w:val="20"/>
          <w:szCs w:val="20"/>
          <w:color w:val="auto"/>
        </w:rPr>
      </w:pPr>
      <w:r>
        <w:rPr>
          <w:rFonts w:ascii="Arial" w:cs="Arial" w:eastAsia="Arial" w:hAnsi="Arial"/>
          <w:sz w:val="20"/>
          <w:szCs w:val="20"/>
          <w:color w:val="auto"/>
        </w:rPr>
        <w:t xml:space="preserve">Cost of product sales, on a GAAP basis, decreased in 3Q26, primarily due to the full recognition of the inventory fair value step-up in the second quarter of 2026, partially offset by higher royalty expenses, driven by higher revenues of </w:t>
      </w:r>
      <w:r>
        <w:rPr>
          <w:rFonts w:ascii="Arial" w:cs="Arial" w:eastAsia="Arial" w:hAnsi="Arial"/>
          <w:sz w:val="20"/>
          <w:szCs w:val="20"/>
          <w:i w:val="1"/>
          <w:iCs w:val="1"/>
          <w:color w:val="auto"/>
        </w:rPr>
        <w:t xml:space="preserve">Modeyso </w:t>
      </w:r>
      <w:r>
        <w:rPr>
          <w:rFonts w:ascii="Arial" w:cs="Arial" w:eastAsia="Arial" w:hAnsi="Arial"/>
          <w:sz w:val="20"/>
          <w:szCs w:val="20"/>
          <w:color w:val="auto"/>
        </w:rPr>
        <w:t>and</w:t>
      </w:r>
      <w:r>
        <w:rPr>
          <w:rFonts w:ascii="Arial" w:cs="Arial" w:eastAsia="Arial" w:hAnsi="Arial"/>
          <w:sz w:val="20"/>
          <w:szCs w:val="20"/>
          <w:i w:val="1"/>
          <w:iCs w:val="1"/>
          <w:color w:val="auto"/>
        </w:rPr>
        <w:t xml:space="preserve"> Zepzelca</w:t>
      </w:r>
      <w:r>
        <w:rPr>
          <w:rFonts w:ascii="Arial" w:cs="Arial" w:eastAsia="Arial" w:hAnsi="Arial"/>
          <w:sz w:val="20"/>
          <w:szCs w:val="20"/>
          <w:color w:val="auto"/>
        </w:rPr>
        <w:t>. Cost of product sales, on a non-GAAP adjusted basis, increased in 3Q26, primarily due to the</w:t>
      </w:r>
      <w:r>
        <w:rPr>
          <w:rFonts w:ascii="Arial" w:cs="Arial" w:eastAsia="Arial" w:hAnsi="Arial"/>
          <w:sz w:val="20"/>
          <w:szCs w:val="20"/>
          <w:i w:val="1"/>
          <w:iCs w:val="1"/>
          <w:color w:val="auto"/>
        </w:rPr>
        <w:t xml:space="preserve"> </w:t>
      </w:r>
      <w:r>
        <w:rPr>
          <w:rFonts w:ascii="Arial" w:cs="Arial" w:eastAsia="Arial" w:hAnsi="Arial"/>
          <w:sz w:val="20"/>
          <w:szCs w:val="20"/>
          <w:color w:val="auto"/>
        </w:rPr>
        <w:t>higher royalty expenses.</w:t>
      </w:r>
    </w:p>
    <w:p>
      <w:pPr>
        <w:spacing w:after="0" w:line="75" w:lineRule="exact"/>
        <w:rPr>
          <w:rFonts w:ascii="Arial" w:cs="Arial" w:eastAsia="Arial" w:hAnsi="Arial"/>
          <w:sz w:val="20"/>
          <w:szCs w:val="20"/>
          <w:color w:val="auto"/>
        </w:rPr>
      </w:pPr>
    </w:p>
    <w:p>
      <w:pPr>
        <w:ind w:left="660" w:right="300" w:hanging="328"/>
        <w:spacing w:after="0" w:line="262" w:lineRule="auto"/>
        <w:tabs>
          <w:tab w:leader="none" w:pos="648" w:val="left"/>
        </w:tabs>
        <w:numPr>
          <w:ilvl w:val="0"/>
          <w:numId w:val="13"/>
        </w:numPr>
        <w:rPr>
          <w:rFonts w:ascii="Arial" w:cs="Arial" w:eastAsia="Arial" w:hAnsi="Arial"/>
          <w:sz w:val="20"/>
          <w:szCs w:val="20"/>
          <w:i w:val="1"/>
          <w:iCs w:val="1"/>
          <w:color w:val="auto"/>
        </w:rPr>
      </w:pPr>
      <w:r>
        <w:rPr>
          <w:rFonts w:ascii="Arial" w:cs="Arial" w:eastAsia="Arial" w:hAnsi="Arial"/>
          <w:sz w:val="20"/>
          <w:szCs w:val="20"/>
          <w:color w:val="auto"/>
        </w:rPr>
        <w:t>Selling, general and administrative (SG&amp;A) expenses, on a GAAP and non-GAAP adjusted basis, decreased in 3Q26, primarily due to litigation settlements of $152 million in 3Q25, partially offset, on a GAAP basis, by restructuring expenses of $34 million included in 3Q26.</w:t>
      </w:r>
    </w:p>
    <w:p>
      <w:pPr>
        <w:spacing w:after="0" w:line="70" w:lineRule="exact"/>
        <w:rPr>
          <w:rFonts w:ascii="Arial" w:cs="Arial" w:eastAsia="Arial" w:hAnsi="Arial"/>
          <w:sz w:val="20"/>
          <w:szCs w:val="20"/>
          <w:i w:val="1"/>
          <w:iCs w:val="1"/>
          <w:color w:val="auto"/>
        </w:rPr>
      </w:pPr>
    </w:p>
    <w:p>
      <w:pPr>
        <w:ind w:left="660" w:right="240" w:hanging="328"/>
        <w:spacing w:after="0" w:line="271" w:lineRule="auto"/>
        <w:tabs>
          <w:tab w:leader="none" w:pos="648" w:val="left"/>
        </w:tabs>
        <w:numPr>
          <w:ilvl w:val="0"/>
          <w:numId w:val="13"/>
        </w:numPr>
        <w:rPr>
          <w:rFonts w:ascii="Arial" w:cs="Arial" w:eastAsia="Arial" w:hAnsi="Arial"/>
          <w:sz w:val="20"/>
          <w:szCs w:val="20"/>
          <w:i w:val="1"/>
          <w:iCs w:val="1"/>
          <w:color w:val="auto"/>
        </w:rPr>
      </w:pPr>
      <w:r>
        <w:rPr>
          <w:rFonts w:ascii="Arial" w:cs="Arial" w:eastAsia="Arial" w:hAnsi="Arial"/>
          <w:sz w:val="20"/>
          <w:szCs w:val="20"/>
          <w:color w:val="auto"/>
        </w:rPr>
        <w:t>Research and development (R&amp;D) expenses, on a GAAP and non-GAAP adjusted basis, increased in 3Q26, reflecting continued investment in our pipeline portfolio and evidence generation.</w:t>
      </w:r>
    </w:p>
    <w:p>
      <w:pPr>
        <w:spacing w:after="0" w:line="61" w:lineRule="exact"/>
        <w:rPr>
          <w:rFonts w:ascii="Arial" w:cs="Arial" w:eastAsia="Arial" w:hAnsi="Arial"/>
          <w:sz w:val="20"/>
          <w:szCs w:val="20"/>
          <w:i w:val="1"/>
          <w:iCs w:val="1"/>
          <w:color w:val="auto"/>
        </w:rPr>
      </w:pPr>
    </w:p>
    <w:p>
      <w:pPr>
        <w:ind w:left="660" w:right="240" w:hanging="328"/>
        <w:spacing w:after="0" w:line="286" w:lineRule="auto"/>
        <w:tabs>
          <w:tab w:leader="none" w:pos="648" w:val="left"/>
        </w:tabs>
        <w:numPr>
          <w:ilvl w:val="0"/>
          <w:numId w:val="13"/>
        </w:numPr>
        <w:rPr>
          <w:rFonts w:ascii="Arial" w:cs="Arial" w:eastAsia="Arial" w:hAnsi="Arial"/>
          <w:sz w:val="20"/>
          <w:szCs w:val="20"/>
          <w:color w:val="auto"/>
        </w:rPr>
      </w:pPr>
      <w:r>
        <w:rPr>
          <w:rFonts w:ascii="Arial" w:cs="Arial" w:eastAsia="Arial" w:hAnsi="Arial"/>
          <w:sz w:val="20"/>
          <w:szCs w:val="20"/>
          <w:color w:val="auto"/>
        </w:rPr>
        <w:t>Acquired IPR&amp;D of $754 million, on a GAAP and non-GAAP adjusted basis, in 3Q26, represents the value allocated to ABS-1230 (JZP6979) in the Actio acquisition.</w:t>
      </w:r>
    </w:p>
    <w:p>
      <w:pPr>
        <w:spacing w:after="0" w:line="32" w:lineRule="exact"/>
        <w:rPr>
          <w:rFonts w:ascii="Arial" w:cs="Arial" w:eastAsia="Arial" w:hAnsi="Arial"/>
          <w:sz w:val="20"/>
          <w:szCs w:val="20"/>
          <w:color w:val="auto"/>
        </w:rPr>
      </w:pPr>
    </w:p>
    <w:p>
      <w:pPr>
        <w:ind w:left="660" w:right="140" w:hanging="328"/>
        <w:spacing w:after="0" w:line="262" w:lineRule="auto"/>
        <w:tabs>
          <w:tab w:leader="none" w:pos="648" w:val="left"/>
        </w:tabs>
        <w:numPr>
          <w:ilvl w:val="0"/>
          <w:numId w:val="13"/>
        </w:numPr>
        <w:rPr>
          <w:rFonts w:ascii="Arial" w:cs="Arial" w:eastAsia="Arial" w:hAnsi="Arial"/>
          <w:sz w:val="20"/>
          <w:szCs w:val="20"/>
          <w:color w:val="auto"/>
        </w:rPr>
      </w:pPr>
      <w:r>
        <w:rPr>
          <w:rFonts w:ascii="Arial" w:cs="Arial" w:eastAsia="Arial" w:hAnsi="Arial"/>
          <w:sz w:val="20"/>
          <w:szCs w:val="20"/>
          <w:color w:val="auto"/>
        </w:rPr>
        <w:t>We recognized an income tax expense, on a GAAP and non-GAAP adjusted basis, in 3Q26 compared to an income tax benefit in 3Q25, which included a benefit of $206 million on recognition of certain U.S. federal and state deferred tax assets acquired through our acquisition of Chimerix.</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Cash Flow and Balance Sheet</w:t>
      </w:r>
    </w:p>
    <w:p>
      <w:pPr>
        <w:spacing w:after="0" w:line="123" w:lineRule="exact"/>
        <w:rPr>
          <w:sz w:val="20"/>
          <w:szCs w:val="20"/>
          <w:color w:val="auto"/>
        </w:rPr>
      </w:pPr>
    </w:p>
    <w:p>
      <w:pPr>
        <w:ind w:right="160"/>
        <w:spacing w:after="0" w:line="255" w:lineRule="auto"/>
        <w:rPr>
          <w:sz w:val="20"/>
          <w:szCs w:val="20"/>
          <w:color w:val="auto"/>
        </w:rPr>
      </w:pPr>
      <w:r>
        <w:rPr>
          <w:rFonts w:ascii="Arial" w:cs="Arial" w:eastAsia="Arial" w:hAnsi="Arial"/>
          <w:sz w:val="20"/>
          <w:szCs w:val="20"/>
          <w:color w:val="auto"/>
        </w:rPr>
        <w:t>As of September 30, 2026, cash, cash equivalents and investments were $2.9 billion, and the outstanding principal balance of the company’s long-term debt was $ 5.6 billion. In addition, the company had undrawn borrowing capacity under a revolving credit facility of $885 million. For the nine months ended September 30, 2026, the company generated $1.3 billion of cash from operations reflecting strong business performance and continued financial discipline.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928"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20"/>
          <w:szCs w:val="20"/>
          <w:b w:val="1"/>
          <w:bCs w:val="1"/>
          <w:u w:val="single" w:color="auto"/>
          <w:color w:val="auto"/>
        </w:rPr>
        <w:t>2026 Financial Guidance</w:t>
      </w:r>
    </w:p>
    <w:p>
      <w:pPr>
        <w:spacing w:after="0" w:line="123" w:lineRule="exact"/>
        <w:rPr>
          <w:sz w:val="20"/>
          <w:szCs w:val="20"/>
          <w:color w:val="auto"/>
        </w:rPr>
      </w:pPr>
    </w:p>
    <w:p>
      <w:pPr>
        <w:ind w:right="440"/>
        <w:spacing w:after="0" w:line="282" w:lineRule="auto"/>
        <w:rPr>
          <w:sz w:val="20"/>
          <w:szCs w:val="20"/>
          <w:color w:val="auto"/>
        </w:rPr>
      </w:pPr>
      <w:r>
        <w:rPr>
          <w:rFonts w:ascii="Arial" w:cs="Arial" w:eastAsia="Arial" w:hAnsi="Arial"/>
          <w:sz w:val="19"/>
          <w:szCs w:val="19"/>
          <w:color w:val="auto"/>
        </w:rPr>
        <w:t>Jazz Pharmaceuticals has updated its full-year financial guidance, as shown in the table below, including raising its full-year 2026 revenue guidance, increasing its GAAP SG&amp;A expense guidance to include restructuring expenses, and updating its effective tax rate guidance range to reflect the impact of the acquired IPR&amp;D expense associated with the Actio acquisition.</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00" w:type="dxa"/>
            <w:vAlign w:val="bottom"/>
          </w:tcPr>
          <w:p>
            <w:pPr>
              <w:spacing w:after="0"/>
              <w:rPr>
                <w:sz w:val="17"/>
                <w:szCs w:val="17"/>
                <w:color w:val="auto"/>
              </w:rPr>
            </w:pPr>
          </w:p>
        </w:tc>
        <w:tc>
          <w:tcPr>
            <w:tcW w:w="4040" w:type="dxa"/>
            <w:vAlign w:val="bottom"/>
            <w:gridSpan w:val="3"/>
          </w:tcPr>
          <w:p>
            <w:pPr>
              <w:jc w:val="right"/>
              <w:ind w:right="1099"/>
              <w:spacing w:after="0"/>
              <w:rPr>
                <w:sz w:val="20"/>
                <w:szCs w:val="20"/>
                <w:color w:val="auto"/>
              </w:rPr>
            </w:pPr>
            <w:r>
              <w:rPr>
                <w:rFonts w:ascii="Arial" w:cs="Arial" w:eastAsia="Arial" w:hAnsi="Arial"/>
                <w:sz w:val="14"/>
                <w:szCs w:val="14"/>
                <w:b w:val="1"/>
                <w:bCs w:val="1"/>
                <w:color w:val="auto"/>
              </w:rPr>
              <w:t>Guidance provided as of</w:t>
            </w:r>
          </w:p>
        </w:tc>
      </w:tr>
      <w:tr>
        <w:trPr>
          <w:trHeight w:val="203"/>
        </w:trPr>
        <w:tc>
          <w:tcPr>
            <w:tcW w:w="72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060" w:type="dxa"/>
            <w:vAlign w:val="bottom"/>
            <w:gridSpan w:val="2"/>
          </w:tcPr>
          <w:p>
            <w:pPr>
              <w:ind w:left="380"/>
              <w:spacing w:after="0"/>
              <w:rPr>
                <w:sz w:val="20"/>
                <w:szCs w:val="20"/>
                <w:color w:val="auto"/>
              </w:rPr>
            </w:pPr>
            <w:r>
              <w:rPr>
                <w:rFonts w:ascii="Arial" w:cs="Arial" w:eastAsia="Arial" w:hAnsi="Arial"/>
                <w:sz w:val="14"/>
                <w:szCs w:val="14"/>
                <w:b w:val="1"/>
                <w:bCs w:val="1"/>
                <w:color w:val="auto"/>
              </w:rPr>
              <w:t>November 2, 2026</w:t>
            </w:r>
          </w:p>
        </w:tc>
        <w:tc>
          <w:tcPr>
            <w:tcW w:w="1980" w:type="dxa"/>
            <w:vAlign w:val="bottom"/>
          </w:tcPr>
          <w:p>
            <w:pPr>
              <w:jc w:val="right"/>
              <w:ind w:right="399"/>
              <w:spacing w:after="0"/>
              <w:rPr>
                <w:sz w:val="20"/>
                <w:szCs w:val="20"/>
                <w:color w:val="auto"/>
              </w:rPr>
            </w:pPr>
            <w:r>
              <w:rPr>
                <w:rFonts w:ascii="Arial" w:cs="Arial" w:eastAsia="Arial" w:hAnsi="Arial"/>
                <w:sz w:val="14"/>
                <w:szCs w:val="14"/>
                <w:b w:val="1"/>
                <w:bCs w:val="1"/>
                <w:color w:val="auto"/>
              </w:rPr>
              <w:t>August 3, 2026</w:t>
            </w:r>
          </w:p>
        </w:tc>
      </w:tr>
      <w:tr>
        <w:trPr>
          <w:trHeight w:val="224"/>
        </w:trPr>
        <w:tc>
          <w:tcPr>
            <w:tcW w:w="7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$4,775 - $4,850</w:t>
            </w:r>
          </w:p>
        </w:tc>
        <w:tc>
          <w:tcPr>
            <w:tcW w:w="8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$4,600 - $4,750</w:t>
            </w:r>
          </w:p>
        </w:tc>
      </w:tr>
    </w:tbl>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GAAP:</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00" w:type="dxa"/>
            <w:vAlign w:val="bottom"/>
          </w:tcPr>
          <w:p>
            <w:pPr>
              <w:ind w:left="20"/>
              <w:spacing w:after="0"/>
              <w:rPr>
                <w:sz w:val="20"/>
                <w:szCs w:val="20"/>
                <w:color w:val="auto"/>
              </w:rPr>
            </w:pPr>
            <w:r>
              <w:rPr>
                <w:rFonts w:ascii="Arial" w:cs="Arial" w:eastAsia="Arial" w:hAnsi="Arial"/>
                <w:sz w:val="14"/>
                <w:szCs w:val="14"/>
                <w:color w:val="auto"/>
              </w:rPr>
              <w:t>(In millions, except percentages)</w:t>
            </w:r>
          </w:p>
        </w:tc>
        <w:tc>
          <w:tcPr>
            <w:tcW w:w="2060" w:type="dxa"/>
            <w:vAlign w:val="bottom"/>
            <w:gridSpan w:val="2"/>
          </w:tcPr>
          <w:p>
            <w:pPr>
              <w:ind w:left="380"/>
              <w:spacing w:after="0"/>
              <w:rPr>
                <w:sz w:val="20"/>
                <w:szCs w:val="20"/>
                <w:color w:val="auto"/>
              </w:rPr>
            </w:pPr>
            <w:r>
              <w:rPr>
                <w:rFonts w:ascii="Arial" w:cs="Arial" w:eastAsia="Arial" w:hAnsi="Arial"/>
                <w:sz w:val="14"/>
                <w:szCs w:val="14"/>
                <w:b w:val="1"/>
                <w:bCs w:val="1"/>
                <w:color w:val="auto"/>
              </w:rPr>
              <w:t>November 2, 2026</w:t>
            </w:r>
          </w:p>
        </w:tc>
        <w:tc>
          <w:tcPr>
            <w:tcW w:w="1980" w:type="dxa"/>
            <w:vAlign w:val="bottom"/>
          </w:tcPr>
          <w:p>
            <w:pPr>
              <w:jc w:val="right"/>
              <w:ind w:right="393"/>
              <w:spacing w:after="0"/>
              <w:rPr>
                <w:sz w:val="20"/>
                <w:szCs w:val="20"/>
                <w:color w:val="auto"/>
              </w:rPr>
            </w:pPr>
            <w:r>
              <w:rPr>
                <w:rFonts w:ascii="Arial" w:cs="Arial" w:eastAsia="Arial" w:hAnsi="Arial"/>
                <w:sz w:val="14"/>
                <w:szCs w:val="14"/>
                <w:b w:val="1"/>
                <w:bCs w:val="1"/>
                <w:color w:val="auto"/>
              </w:rPr>
              <w:t>August 3, 2026</w:t>
            </w:r>
          </w:p>
        </w:tc>
      </w:tr>
      <w:tr>
        <w:trPr>
          <w:trHeight w:val="224"/>
        </w:trPr>
        <w:tc>
          <w:tcPr>
            <w:tcW w:w="7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 %</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 - 90%</w:t>
            </w:r>
          </w:p>
        </w:tc>
        <w:tc>
          <w:tcPr>
            <w:tcW w:w="8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 - 90%</w:t>
            </w: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color w:val="auto"/>
              </w:rPr>
              <w:t>SG&amp;A expenses</w:t>
            </w:r>
          </w:p>
        </w:tc>
        <w:tc>
          <w:tcPr>
            <w:tcW w:w="1980" w:type="dxa"/>
            <w:vAlign w:val="bottom"/>
          </w:tcPr>
          <w:p>
            <w:pPr>
              <w:jc w:val="right"/>
              <w:spacing w:after="0"/>
              <w:rPr>
                <w:sz w:val="20"/>
                <w:szCs w:val="20"/>
                <w:color w:val="auto"/>
              </w:rPr>
            </w:pPr>
            <w:r>
              <w:rPr>
                <w:rFonts w:ascii="Arial" w:cs="Arial" w:eastAsia="Arial" w:hAnsi="Arial"/>
                <w:sz w:val="18"/>
                <w:szCs w:val="18"/>
                <w:color w:val="auto"/>
              </w:rPr>
              <w:t>$1,544 - $1,597</w:t>
            </w:r>
          </w:p>
        </w:tc>
        <w:tc>
          <w:tcPr>
            <w:tcW w:w="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$1,506 - $1,556</w:t>
            </w:r>
          </w:p>
        </w:tc>
      </w:tr>
      <w:tr>
        <w:trPr>
          <w:trHeight w:val="229"/>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R&amp;D expenses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$819 - $876</w:t>
            </w: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$818 - $873</w:t>
            </w: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1980" w:type="dxa"/>
            <w:vAlign w:val="bottom"/>
          </w:tcPr>
          <w:p>
            <w:pPr>
              <w:jc w:val="right"/>
              <w:spacing w:after="0"/>
              <w:rPr>
                <w:sz w:val="20"/>
                <w:szCs w:val="20"/>
                <w:color w:val="auto"/>
              </w:rPr>
            </w:pPr>
            <w:r>
              <w:rPr>
                <w:rFonts w:ascii="Arial" w:cs="Arial" w:eastAsia="Arial" w:hAnsi="Arial"/>
                <w:sz w:val="18"/>
                <w:szCs w:val="18"/>
                <w:color w:val="auto"/>
              </w:rPr>
              <w:t>20% - 30%</w:t>
            </w:r>
          </w:p>
        </w:tc>
        <w:tc>
          <w:tcPr>
            <w:tcW w:w="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0% - 10%</w:t>
            </w:r>
          </w:p>
        </w:tc>
      </w:tr>
      <w:tr>
        <w:trPr>
          <w:trHeight w:val="229"/>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diluted shares outstanding</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69 - 70</w:t>
            </w: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69 - 70</w:t>
            </w:r>
          </w:p>
        </w:tc>
      </w:tr>
    </w:tbl>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adjusted: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00" w:type="dxa"/>
            <w:vAlign w:val="bottom"/>
          </w:tcPr>
          <w:p>
            <w:pPr>
              <w:ind w:left="20"/>
              <w:spacing w:after="0"/>
              <w:rPr>
                <w:sz w:val="20"/>
                <w:szCs w:val="20"/>
                <w:color w:val="auto"/>
              </w:rPr>
            </w:pPr>
            <w:r>
              <w:rPr>
                <w:rFonts w:ascii="Arial" w:cs="Arial" w:eastAsia="Arial" w:hAnsi="Arial"/>
                <w:sz w:val="14"/>
                <w:szCs w:val="14"/>
                <w:color w:val="auto"/>
              </w:rPr>
              <w:t>(In millions, except percentages)</w:t>
            </w:r>
          </w:p>
        </w:tc>
        <w:tc>
          <w:tcPr>
            <w:tcW w:w="2060" w:type="dxa"/>
            <w:vAlign w:val="bottom"/>
            <w:gridSpan w:val="2"/>
          </w:tcPr>
          <w:p>
            <w:pPr>
              <w:ind w:left="380"/>
              <w:spacing w:after="0"/>
              <w:rPr>
                <w:sz w:val="20"/>
                <w:szCs w:val="20"/>
                <w:color w:val="auto"/>
              </w:rPr>
            </w:pPr>
            <w:r>
              <w:rPr>
                <w:rFonts w:ascii="Arial" w:cs="Arial" w:eastAsia="Arial" w:hAnsi="Arial"/>
                <w:sz w:val="14"/>
                <w:szCs w:val="14"/>
                <w:b w:val="1"/>
                <w:bCs w:val="1"/>
                <w:color w:val="auto"/>
              </w:rPr>
              <w:t>November 2, 2026</w:t>
            </w:r>
          </w:p>
        </w:tc>
        <w:tc>
          <w:tcPr>
            <w:tcW w:w="1980" w:type="dxa"/>
            <w:vAlign w:val="bottom"/>
          </w:tcPr>
          <w:p>
            <w:pPr>
              <w:jc w:val="right"/>
              <w:ind w:right="393"/>
              <w:spacing w:after="0"/>
              <w:rPr>
                <w:sz w:val="20"/>
                <w:szCs w:val="20"/>
                <w:color w:val="auto"/>
              </w:rPr>
            </w:pPr>
            <w:r>
              <w:rPr>
                <w:rFonts w:ascii="Arial" w:cs="Arial" w:eastAsia="Arial" w:hAnsi="Arial"/>
                <w:sz w:val="14"/>
                <w:szCs w:val="14"/>
                <w:b w:val="1"/>
                <w:bCs w:val="1"/>
                <w:color w:val="auto"/>
              </w:rPr>
              <w:t>August 3, 2026</w:t>
            </w:r>
          </w:p>
        </w:tc>
      </w:tr>
      <w:tr>
        <w:trPr>
          <w:trHeight w:val="224"/>
        </w:trPr>
        <w:tc>
          <w:tcPr>
            <w:tcW w:w="7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 %</w:t>
            </w:r>
          </w:p>
        </w:tc>
        <w:tc>
          <w:tcPr>
            <w:tcW w:w="1980" w:type="dxa"/>
            <w:vAlign w:val="bottom"/>
            <w:tcBorders>
              <w:top w:val="single" w:sz="8" w:color="auto"/>
            </w:tcBorders>
            <w:shd w:val="clear" w:color="auto" w:fill="CCEEFF"/>
          </w:tcPr>
          <w:p>
            <w:pPr>
              <w:jc w:val="right"/>
              <w:spacing w:after="0" w:line="224" w:lineRule="exact"/>
              <w:rPr>
                <w:sz w:val="20"/>
                <w:szCs w:val="20"/>
                <w:color w:val="auto"/>
              </w:rPr>
            </w:pPr>
            <w:r>
              <w:rPr>
                <w:rFonts w:ascii="Arial" w:cs="Arial" w:eastAsia="Arial" w:hAnsi="Arial"/>
                <w:sz w:val="18"/>
                <w:szCs w:val="18"/>
                <w:color w:val="auto"/>
              </w:rPr>
              <w:t>90.5% - 91.5%</w:t>
            </w:r>
            <w:r>
              <w:rPr>
                <w:rFonts w:ascii="Arial" w:cs="Arial" w:eastAsia="Arial" w:hAnsi="Arial"/>
                <w:sz w:val="23"/>
                <w:szCs w:val="23"/>
                <w:color w:val="auto"/>
                <w:vertAlign w:val="superscript"/>
              </w:rPr>
              <w:t>1</w:t>
            </w:r>
          </w:p>
        </w:tc>
        <w:tc>
          <w:tcPr>
            <w:tcW w:w="8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 - 91%</w:t>
            </w: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color w:val="auto"/>
              </w:rPr>
              <w:t>SG&amp;A expenses</w:t>
            </w:r>
          </w:p>
        </w:tc>
        <w:tc>
          <w:tcPr>
            <w:tcW w:w="1980" w:type="dxa"/>
            <w:vAlign w:val="bottom"/>
          </w:tcPr>
          <w:p>
            <w:pPr>
              <w:jc w:val="right"/>
              <w:spacing w:after="0" w:line="230" w:lineRule="exact"/>
              <w:rPr>
                <w:sz w:val="20"/>
                <w:szCs w:val="20"/>
                <w:color w:val="auto"/>
              </w:rPr>
            </w:pPr>
            <w:r>
              <w:rPr>
                <w:rFonts w:ascii="Arial" w:cs="Arial" w:eastAsia="Arial" w:hAnsi="Arial"/>
                <w:sz w:val="18"/>
                <w:szCs w:val="18"/>
                <w:color w:val="auto"/>
              </w:rPr>
              <w:t>$1,330 - $1,370</w:t>
            </w:r>
            <w:r>
              <w:rPr>
                <w:rFonts w:ascii="Arial" w:cs="Arial" w:eastAsia="Arial" w:hAnsi="Arial"/>
                <w:sz w:val="23"/>
                <w:szCs w:val="23"/>
                <w:color w:val="auto"/>
                <w:vertAlign w:val="superscript"/>
              </w:rPr>
              <w:t>1</w:t>
            </w:r>
          </w:p>
        </w:tc>
        <w:tc>
          <w:tcPr>
            <w:tcW w:w="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$1,330 - $1,370</w:t>
            </w:r>
          </w:p>
        </w:tc>
      </w:tr>
      <w:tr>
        <w:trPr>
          <w:trHeight w:val="229"/>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R&amp;D expenses</w:t>
            </w:r>
          </w:p>
        </w:tc>
        <w:tc>
          <w:tcPr>
            <w:tcW w:w="1980" w:type="dxa"/>
            <w:vAlign w:val="bottom"/>
            <w:shd w:val="clear" w:color="auto" w:fill="CCEEFF"/>
          </w:tcPr>
          <w:p>
            <w:pPr>
              <w:jc w:val="right"/>
              <w:spacing w:after="0" w:line="230" w:lineRule="exact"/>
              <w:rPr>
                <w:sz w:val="20"/>
                <w:szCs w:val="20"/>
                <w:color w:val="auto"/>
              </w:rPr>
            </w:pPr>
            <w:r>
              <w:rPr>
                <w:rFonts w:ascii="Arial" w:cs="Arial" w:eastAsia="Arial" w:hAnsi="Arial"/>
                <w:sz w:val="18"/>
                <w:szCs w:val="18"/>
                <w:color w:val="auto"/>
              </w:rPr>
              <w:t>$725 - $775</w:t>
            </w:r>
            <w:r>
              <w:rPr>
                <w:rFonts w:ascii="Arial" w:cs="Arial" w:eastAsia="Arial" w:hAnsi="Arial"/>
                <w:sz w:val="23"/>
                <w:szCs w:val="23"/>
                <w:color w:val="auto"/>
                <w:vertAlign w:val="superscript"/>
              </w:rPr>
              <w:t>1</w:t>
            </w: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$725 - $775</w:t>
            </w:r>
          </w:p>
        </w:tc>
      </w:tr>
      <w:tr>
        <w:trPr>
          <w:trHeight w:val="229"/>
        </w:trPr>
        <w:tc>
          <w:tcPr>
            <w:tcW w:w="720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1980" w:type="dxa"/>
            <w:vAlign w:val="bottom"/>
          </w:tcPr>
          <w:p>
            <w:pPr>
              <w:jc w:val="right"/>
              <w:spacing w:after="0" w:line="230" w:lineRule="exact"/>
              <w:rPr>
                <w:sz w:val="20"/>
                <w:szCs w:val="20"/>
                <w:color w:val="auto"/>
              </w:rPr>
            </w:pPr>
            <w:r>
              <w:rPr>
                <w:rFonts w:ascii="Arial" w:cs="Arial" w:eastAsia="Arial" w:hAnsi="Arial"/>
                <w:sz w:val="18"/>
                <w:szCs w:val="18"/>
                <w:color w:val="auto"/>
              </w:rPr>
              <w:t>19.5% - 21.5%</w:t>
            </w:r>
            <w:r>
              <w:rPr>
                <w:rFonts w:ascii="Arial" w:cs="Arial" w:eastAsia="Arial" w:hAnsi="Arial"/>
                <w:sz w:val="23"/>
                <w:szCs w:val="23"/>
                <w:color w:val="auto"/>
                <w:vertAlign w:val="superscript"/>
              </w:rPr>
              <w:t>1</w:t>
            </w:r>
          </w:p>
        </w:tc>
        <w:tc>
          <w:tcPr>
            <w:tcW w:w="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11.5% - 13.5%</w:t>
            </w:r>
          </w:p>
        </w:tc>
      </w:tr>
      <w:tr>
        <w:trPr>
          <w:trHeight w:val="23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diluted shares outstanding</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69 - 70</w:t>
            </w: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69 - 70</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30" w:lineRule="exact"/>
        <w:rPr>
          <w:sz w:val="20"/>
          <w:szCs w:val="20"/>
          <w:color w:val="auto"/>
        </w:rPr>
      </w:pPr>
    </w:p>
    <w:p>
      <w:pPr>
        <w:ind w:left="340" w:right="20" w:hanging="332"/>
        <w:spacing w:after="0" w:line="265"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See "Non-GAAP Financial Measures" below. Reconciliations of non-GAAP adjusted guidance measures are included in the table titled "Reconciliation of 2026 GAAP to Non-GAAP Guidance Measures."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Conference Call Details</w:t>
      </w:r>
    </w:p>
    <w:p>
      <w:pPr>
        <w:spacing w:after="0" w:line="123" w:lineRule="exact"/>
        <w:rPr>
          <w:sz w:val="20"/>
          <w:szCs w:val="20"/>
          <w:color w:val="auto"/>
        </w:rPr>
      </w:pPr>
    </w:p>
    <w:p>
      <w:pPr>
        <w:ind w:right="220"/>
        <w:spacing w:after="0" w:line="286" w:lineRule="auto"/>
        <w:rPr>
          <w:sz w:val="20"/>
          <w:szCs w:val="20"/>
          <w:color w:val="auto"/>
        </w:rPr>
      </w:pPr>
      <w:r>
        <w:rPr>
          <w:rFonts w:ascii="Arial" w:cs="Arial" w:eastAsia="Arial" w:hAnsi="Arial"/>
          <w:sz w:val="20"/>
          <w:szCs w:val="20"/>
          <w:color w:val="auto"/>
        </w:rPr>
        <w:t>Jazz Pharmaceuticals will host an investor conference call and live audio webcast today at 4:30 p.m. ET to provide a business and financial update and discuss its 2026 third quarter results.</w:t>
      </w:r>
    </w:p>
    <w:p>
      <w:pPr>
        <w:spacing w:after="0" w:line="167" w:lineRule="exact"/>
        <w:rPr>
          <w:sz w:val="20"/>
          <w:szCs w:val="20"/>
          <w:color w:val="auto"/>
        </w:rPr>
      </w:pPr>
    </w:p>
    <w:p>
      <w:pPr>
        <w:ind w:right="200"/>
        <w:spacing w:after="0" w:line="262" w:lineRule="auto"/>
        <w:rPr>
          <w:sz w:val="20"/>
          <w:szCs w:val="20"/>
          <w:color w:val="auto"/>
        </w:rPr>
      </w:pPr>
      <w:r>
        <w:rPr>
          <w:rFonts w:ascii="Arial" w:cs="Arial" w:eastAsia="Arial" w:hAnsi="Arial"/>
          <w:sz w:val="20"/>
          <w:szCs w:val="20"/>
          <w:color w:val="auto"/>
        </w:rPr>
        <w:t>Interested parties may register for the call here or via the Investors section of the Jazz Pharmaceuticals website at www.jazzpharmaceuticals.com. To ensure a timely connection, it is recommended that participants register at least 15 minutes prior to the scheduled webcast.</w:t>
      </w:r>
    </w:p>
    <w:p>
      <w:pPr>
        <w:spacing w:after="0" w:line="205" w:lineRule="exact"/>
        <w:rPr>
          <w:sz w:val="20"/>
          <w:szCs w:val="20"/>
          <w:color w:val="auto"/>
        </w:rPr>
      </w:pPr>
    </w:p>
    <w:p>
      <w:pPr>
        <w:ind w:right="2080"/>
        <w:spacing w:after="0" w:line="271" w:lineRule="auto"/>
        <w:rPr>
          <w:sz w:val="20"/>
          <w:szCs w:val="20"/>
          <w:color w:val="auto"/>
        </w:rPr>
      </w:pPr>
      <w:r>
        <w:rPr>
          <w:rFonts w:ascii="Arial" w:cs="Arial" w:eastAsia="Arial" w:hAnsi="Arial"/>
          <w:sz w:val="20"/>
          <w:szCs w:val="20"/>
          <w:color w:val="auto"/>
        </w:rPr>
        <w:t xml:space="preserve">A replay of the webcast will be available via the Investors section of the Jazz Pharmaceuticals website at </w:t>
      </w:r>
      <w:r>
        <w:rPr>
          <w:rFonts w:ascii="Arial" w:cs="Arial" w:eastAsia="Arial" w:hAnsi="Arial"/>
          <w:sz w:val="20"/>
          <w:szCs w:val="20"/>
          <w:u w:val="single" w:color="auto"/>
          <w:color w:val="0000FF"/>
        </w:rPr>
        <w:t>www.jazzpharmaceuticals.com</w:t>
      </w:r>
      <w:r>
        <w:rPr>
          <w:rFonts w:ascii="Arial" w:cs="Arial" w:eastAsia="Arial" w:hAnsi="Arial"/>
          <w:sz w:val="20"/>
          <w:szCs w:val="20"/>
          <w:color w:val="000000"/>
        </w:rPr>
        <w:t>.</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Jazz Pharmaceuticals</w:t>
      </w:r>
    </w:p>
    <w:p>
      <w:pPr>
        <w:spacing w:after="0" w:line="123" w:lineRule="exact"/>
        <w:rPr>
          <w:sz w:val="20"/>
          <w:szCs w:val="20"/>
          <w:color w:val="auto"/>
        </w:rPr>
      </w:pPr>
    </w:p>
    <w:p>
      <w:pPr>
        <w:ind w:right="60"/>
        <w:spacing w:after="0" w:line="251" w:lineRule="auto"/>
        <w:rPr>
          <w:sz w:val="20"/>
          <w:szCs w:val="20"/>
          <w:color w:val="auto"/>
        </w:rPr>
      </w:pPr>
      <w:r>
        <w:rPr>
          <w:rFonts w:ascii="Arial" w:cs="Arial" w:eastAsia="Arial" w:hAnsi="Arial"/>
          <w:sz w:val="20"/>
          <w:szCs w:val="20"/>
          <w:color w:val="auto"/>
        </w:rPr>
        <w:t xml:space="preserve">Jazz Pharmaceuticals plc (NASDAQ: JAZZ) is a global biopharma company whose purpose is to innovate to transform the lives of patients and their families. We are dedicated to developing life-changing medicines for people with rare disease — often with limited or no therapeutic options. We have a diverse portfolio of medicines, including leading therapies addressing epilepsies, cancers and sleep disorders. Our patient-focused and science-driven approach powers pioneering research and development advancements across our robust pipeline of innovative therapeutics. Jazz is headquartered in Dublin, Ireland with research and development laboratories, manufacturing facilities and employees in multiple countries committed to serving patients worldwide. Please visit </w:t>
      </w:r>
      <w:r>
        <w:rPr>
          <w:rFonts w:ascii="Arial" w:cs="Arial" w:eastAsia="Arial" w:hAnsi="Arial"/>
          <w:sz w:val="20"/>
          <w:szCs w:val="20"/>
          <w:u w:val="single" w:color="auto"/>
          <w:color w:val="0000FF"/>
        </w:rPr>
        <w:t>www.jazzpharmaceuticals.com</w:t>
      </w:r>
      <w:r>
        <w:rPr>
          <w:rFonts w:ascii="Arial" w:cs="Arial" w:eastAsia="Arial" w:hAnsi="Arial"/>
          <w:sz w:val="20"/>
          <w:szCs w:val="20"/>
          <w:color w:val="auto"/>
        </w:rPr>
        <w:t xml:space="preserve"> for more information.</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885"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u w:val="single" w:color="auto"/>
          <w:color w:val="auto"/>
        </w:rPr>
        <w:t>Non-GAAP Financial Measures</w:t>
      </w:r>
    </w:p>
    <w:p>
      <w:pPr>
        <w:spacing w:after="0" w:line="123" w:lineRule="exact"/>
        <w:rPr>
          <w:sz w:val="20"/>
          <w:szCs w:val="20"/>
          <w:color w:val="auto"/>
        </w:rPr>
      </w:pPr>
    </w:p>
    <w:p>
      <w:pPr>
        <w:spacing w:after="0" w:line="252" w:lineRule="auto"/>
        <w:rPr>
          <w:sz w:val="20"/>
          <w:szCs w:val="20"/>
          <w:color w:val="auto"/>
        </w:rPr>
      </w:pPr>
      <w:r>
        <w:rPr>
          <w:rFonts w:ascii="Arial" w:cs="Arial" w:eastAsia="Arial" w:hAnsi="Arial"/>
          <w:sz w:val="19"/>
          <w:szCs w:val="19"/>
          <w:color w:val="auto"/>
        </w:rPr>
        <w:t>To supplement Jazz Pharmaceuticals’ financial results and guidance presented in accordance with U.S. generally accepted accounting principles (GAAP), the company uses certain non-GAAP (also referred to as adjusted or non-GAAP adjusted) financial measures in this press release that exclude certain items that are included in the most directly comparable GAAP financial measures, as detailed in the accompanying tables. The company believes that each of these non-GAAP financial measures provides useful supplementary information to, and facilitates additional analysis by, investors and analysts and that each of these non-GAAP financial measures, when considered together with the company’s financial information prepared in accordance with GAAP, can enhance investors’ and analysts’ ability to meaningfully compare the company’s results from period to period, to its forward-looking guidance, and to identify operating trends in the company’s business. In addition, these non-GAAP financial measures are regularly used by investors and analysts to model and track the company’s financial performance. Jazz Pharmaceuticals’ management also regularly uses these non-GAAP financial measures internally to understand, manage and evaluate the company’s business and to make operating decisions, and compensation of executives is based in part on certain of these non-GAAP financial measures. These non-GAAP financial measures are not meant to be considered in isolation or as a substitute for comparable GAAP measures; should be read in conjunction with the company’s consolidated financial statements prepared in accordance with GAAP; have no standardized meaning prescribed by GAAP; and are not prepared under any comprehensive set of accounting rules or principles in the reconciliation tables that follow. Because of the non-standardized definitions of non-GAAP financial measures, the non-GAAP financial measures as used by Jazz Pharmaceuticals in this press release and the accompanying tables have limits in their usefulness to investors and may be calculated differently from, and therefore may not be directly comparable to, similarly titled measures used by other companies.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Cautionary Note Concerning Forward-Looking Statements</w:t>
      </w:r>
    </w:p>
    <w:p>
      <w:pPr>
        <w:spacing w:after="0" w:line="123" w:lineRule="exact"/>
        <w:rPr>
          <w:sz w:val="20"/>
          <w:szCs w:val="20"/>
          <w:color w:val="auto"/>
        </w:rPr>
      </w:pPr>
    </w:p>
    <w:p>
      <w:pPr>
        <w:spacing w:after="0" w:line="249" w:lineRule="auto"/>
        <w:rPr>
          <w:sz w:val="20"/>
          <w:szCs w:val="20"/>
          <w:color w:val="auto"/>
        </w:rPr>
      </w:pPr>
      <w:r>
        <w:rPr>
          <w:rFonts w:ascii="Arial" w:cs="Arial" w:eastAsia="Arial" w:hAnsi="Arial"/>
          <w:sz w:val="20"/>
          <w:szCs w:val="20"/>
          <w:color w:val="auto"/>
        </w:rPr>
        <w:t>This press release contains "forward-looking statements" within the meaning of the safe harbor provisions of the U.S. Private Securities Litigation Reform Act of 1995, including, but not limited to, statements related to: the company’s growth prospects and future financial and operating results, including the company’s 2026 financial guidance and the company’s expectations related thereto, including with respect to anticipated catalysts; the company’s advancement of pipeline programs and the timing of development activities, regulatory activities, approvals, and submissions related thereto; the prospective benefits of the company’s acquisition of Actio and the potential of ABS-1230 (now JZP6979) for the treatment of KCNT1-related epilepsy; the company’s expectations with respect to its regulatory submissions, including its NDA for a cannabidiol oral capsule formulation for potential use in existing approved Epidiolex/Epidyolex formulations and its NDA for JZP6979 in KCNT1-related epilepsy; and the company’s development, regulatory and commercialization strategy, including the company’s expectation of portfolio expansion through business development and its research and development engine; the company’s expectations with respect to its products and product candidates and the potential of the company’s products and product candidates and the potential regulatory path related thereto; the company’s capital allocation and corporate development strategy; the commercial potential of the company's products; the company’s views and expectations relating to its patent portfolio; and other statements that are not historical facts. These forward-looking statements are based on the company’s current plans, objectives, estimates, expectations and intentions and inherently involve significant risks and uncertainties.</w:t>
      </w:r>
    </w:p>
    <w:p>
      <w:pPr>
        <w:spacing w:after="0" w:line="228" w:lineRule="exact"/>
        <w:rPr>
          <w:sz w:val="20"/>
          <w:szCs w:val="20"/>
          <w:color w:val="auto"/>
        </w:rPr>
      </w:pPr>
    </w:p>
    <w:p>
      <w:pPr>
        <w:ind w:right="240"/>
        <w:spacing w:after="0" w:line="254" w:lineRule="auto"/>
        <w:rPr>
          <w:sz w:val="20"/>
          <w:szCs w:val="20"/>
          <w:color w:val="auto"/>
        </w:rPr>
      </w:pPr>
      <w:r>
        <w:rPr>
          <w:rFonts w:ascii="Arial" w:cs="Arial" w:eastAsia="Arial" w:hAnsi="Arial"/>
          <w:sz w:val="20"/>
          <w:szCs w:val="20"/>
          <w:color w:val="auto"/>
        </w:rPr>
        <w:t>Actual results and the timing of events could differ materially from those anticipated in such forward-looking statements as a result of these risks and uncertainties, which include, without limitation, risks and uncertainties associated with: maintaining or increasing sales of, and revenue from, Xywav, Epidiolex/Epidyolex, Ziihera, Modeyso, Zepzelca and other lead marketed products; effectively launching and commercializing the company’s other products and product candidates; the successful completion of development and regulatory activities with respect to the company’s product candidates; obtaining and maintaining adequate coverage and reimbursement for the company’s products; the time-consuming and</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20"/>
          </w:cols>
          <w:pgMar w:left="320" w:top="1236" w:right="359" w:bottom="1440" w:gutter="0" w:footer="0" w:header="0"/>
        </w:sectPr>
      </w:pPr>
    </w:p>
    <w:bookmarkStart w:id="10" w:name="page11"/>
    <w:bookmarkEnd w:id="10"/>
    <w:p>
      <w:pPr>
        <w:spacing w:after="0" w:line="249" w:lineRule="auto"/>
        <w:rPr>
          <w:sz w:val="20"/>
          <w:szCs w:val="20"/>
          <w:color w:val="auto"/>
        </w:rPr>
      </w:pPr>
      <w:r>
        <w:rPr>
          <w:rFonts w:ascii="Arial" w:cs="Arial" w:eastAsia="Arial" w:hAnsi="Arial"/>
          <w:sz w:val="20"/>
          <w:szCs w:val="20"/>
          <w:color w:val="auto"/>
        </w:rPr>
        <w:t>uncertain regulatory approval process; the costly and time-consuming pharmaceutical product development process and the uncertainty of clinical success; global economic, financial, and healthcare system disruptions; protecting and enhancing the company’s intellectual property rights and the company’s commercial success being dependent upon the company obtaining, maintaining and defending intellectual property protection and exclusivity for its products and product candidates; delays or problems in the supply or manufacture of the company’s products and product candidates; the company’s ability to realize the anticipated benefits from its acquisition of Actio; complying with applicable U.S. and non-U.S. regulatory requirements; government investigations, legal proceedings and other actions; identifying and consummating corporate development transactions, financing these transactions and successfully integrating acquired products, product candidates and businesses; the company’s ability to realize the anticipated benefits of its collaborations and license agreements with third parties; the sufficiency of the company’s cash flows and capital resources; the company’s ability to achieve targeted or expected future financial performance and results and the uncertainty of future tax, accounting and other provisions and estimates; the company’s ability to meet its projected long-term goals and objectives, in the time periods that the company anticipates, or at all, and the inherent uncertainty and significant judgments and assumptions underlying the company’s long-term goals and objectives; fluctuations in the market price and trading volume of the company's ordinary shares; and other risks and uncertainties affecting the company, including those described from time to time under the caption “Risk Factors” and elsewhere in the company’s Securities and Exchange Commission filings and reports, including the company's Annual Report on Form 10-K for the year ended December 31, 2025, Quarterly Report on Form 10-Q for the quarter ended September 30, 2026 and future filings and reports by the company. Other risks and uncertainties of which the company is not currently aware may also affect the company's forward-looking statements and may cause actual results and the timing of events to differ materially from those anticipated.</w:t>
      </w: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00"/>
          </w:cols>
          <w:pgMar w:left="320" w:top="887" w:right="379" w:bottom="1440"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auto"/>
        </w:rPr>
        <w:t>JAZZ PHARMACEUTICALS PLC</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INCOME (LOSS)</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per share amounts)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4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640" w:type="dxa"/>
            <w:vAlign w:val="bottom"/>
            <w:gridSpan w:val="4"/>
          </w:tcPr>
          <w:p>
            <w:pPr>
              <w:jc w:val="right"/>
              <w:ind w:right="73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200" w:type="dxa"/>
            <w:vAlign w:val="bottom"/>
          </w:tcPr>
          <w:p>
            <w:pPr>
              <w:ind w:left="140"/>
              <w:spacing w:after="0"/>
              <w:rPr>
                <w:sz w:val="20"/>
                <w:szCs w:val="20"/>
                <w:color w:val="auto"/>
              </w:rPr>
            </w:pPr>
            <w:r>
              <w:rPr>
                <w:rFonts w:ascii="Arial" w:cs="Arial" w:eastAsia="Arial" w:hAnsi="Arial"/>
                <w:sz w:val="17"/>
                <w:szCs w:val="17"/>
                <w:color w:val="auto"/>
              </w:rPr>
              <w:t>Product sales, net</w:t>
            </w: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1,196.5</w:t>
            </w:r>
          </w:p>
        </w:tc>
        <w:tc>
          <w:tcPr>
            <w:tcW w:w="120" w:type="dxa"/>
            <w:vAlign w:val="bottom"/>
          </w:tcPr>
          <w:p>
            <w:pPr>
              <w:spacing w:after="0"/>
              <w:rPr>
                <w:sz w:val="19"/>
                <w:szCs w:val="19"/>
                <w:color w:val="auto"/>
              </w:rPr>
            </w:pPr>
          </w:p>
        </w:tc>
        <w:tc>
          <w:tcPr>
            <w:tcW w:w="480" w:type="dxa"/>
            <w:vAlign w:val="bottom"/>
          </w:tcPr>
          <w:p>
            <w:pPr>
              <w:jc w:val="right"/>
              <w:ind w:right="295"/>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1,064.4</w:t>
            </w:r>
          </w:p>
        </w:tc>
        <w:tc>
          <w:tcPr>
            <w:tcW w:w="100" w:type="dxa"/>
            <w:vAlign w:val="bottom"/>
          </w:tcPr>
          <w:p>
            <w:pPr>
              <w:spacing w:after="0"/>
              <w:rPr>
                <w:sz w:val="19"/>
                <w:szCs w:val="19"/>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3,377.9</w:t>
            </w:r>
          </w:p>
        </w:tc>
        <w:tc>
          <w:tcPr>
            <w:tcW w:w="100" w:type="dxa"/>
            <w:vAlign w:val="bottom"/>
          </w:tcPr>
          <w:p>
            <w:pPr>
              <w:spacing w:after="0"/>
              <w:rPr>
                <w:sz w:val="19"/>
                <w:szCs w:val="19"/>
                <w:color w:val="auto"/>
              </w:rPr>
            </w:pPr>
          </w:p>
        </w:tc>
        <w:tc>
          <w:tcPr>
            <w:tcW w:w="500" w:type="dxa"/>
            <w:vAlign w:val="bottom"/>
          </w:tcPr>
          <w:p>
            <w:pPr>
              <w:jc w:val="right"/>
              <w:ind w:right="295"/>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2,889.4</w:t>
            </w:r>
          </w:p>
        </w:tc>
        <w:tc>
          <w:tcPr>
            <w:tcW w:w="0" w:type="dxa"/>
            <w:vAlign w:val="bottom"/>
          </w:tcPr>
          <w:p>
            <w:pPr>
              <w:spacing w:after="0"/>
              <w:rPr>
                <w:sz w:val="1"/>
                <w:szCs w:val="1"/>
                <w:color w:val="auto"/>
              </w:rPr>
            </w:pPr>
          </w:p>
        </w:tc>
      </w:tr>
      <w:tr>
        <w:trPr>
          <w:trHeight w:val="232"/>
        </w:trPr>
        <w:tc>
          <w:tcPr>
            <w:tcW w:w="52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Royalties and contract revenues</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46.5</w:t>
            </w:r>
          </w:p>
        </w:tc>
        <w:tc>
          <w:tcPr>
            <w:tcW w:w="12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61.7</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142.3</w:t>
            </w:r>
          </w:p>
        </w:tc>
        <w:tc>
          <w:tcPr>
            <w:tcW w:w="10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180.2</w:t>
            </w:r>
          </w:p>
        </w:tc>
        <w:tc>
          <w:tcPr>
            <w:tcW w:w="0" w:type="dxa"/>
            <w:vAlign w:val="bottom"/>
          </w:tcPr>
          <w:p>
            <w:pPr>
              <w:spacing w:after="0"/>
              <w:rPr>
                <w:sz w:val="1"/>
                <w:szCs w:val="1"/>
                <w:color w:val="auto"/>
              </w:rPr>
            </w:pPr>
          </w:p>
        </w:tc>
      </w:tr>
      <w:tr>
        <w:trPr>
          <w:trHeight w:val="221"/>
        </w:trPr>
        <w:tc>
          <w:tcPr>
            <w:tcW w:w="5200" w:type="dxa"/>
            <w:vAlign w:val="bottom"/>
          </w:tcPr>
          <w:p>
            <w:pPr>
              <w:ind w:left="360"/>
              <w:spacing w:after="0"/>
              <w:rPr>
                <w:sz w:val="20"/>
                <w:szCs w:val="20"/>
                <w:color w:val="auto"/>
              </w:rPr>
            </w:pPr>
            <w:r>
              <w:rPr>
                <w:rFonts w:ascii="Arial" w:cs="Arial" w:eastAsia="Arial" w:hAnsi="Arial"/>
                <w:sz w:val="17"/>
                <w:szCs w:val="17"/>
                <w:color w:val="auto"/>
              </w:rPr>
              <w:t>Total revenues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1,243.0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1,126.1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3,520.2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3,069.6</w:t>
            </w:r>
          </w:p>
        </w:tc>
        <w:tc>
          <w:tcPr>
            <w:tcW w:w="0" w:type="dxa"/>
            <w:vAlign w:val="bottom"/>
          </w:tcPr>
          <w:p>
            <w:pPr>
              <w:spacing w:after="0"/>
              <w:rPr>
                <w:sz w:val="1"/>
                <w:szCs w:val="1"/>
                <w:color w:val="auto"/>
              </w:rPr>
            </w:pPr>
          </w:p>
        </w:tc>
      </w:tr>
      <w:tr>
        <w:trPr>
          <w:trHeight w:val="232"/>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5200" w:type="dxa"/>
            <w:vAlign w:val="bottom"/>
          </w:tcPr>
          <w:p>
            <w:pPr>
              <w:ind w:left="140"/>
              <w:spacing w:after="0" w:line="162" w:lineRule="exact"/>
              <w:rPr>
                <w:sz w:val="20"/>
                <w:szCs w:val="20"/>
                <w:color w:val="auto"/>
              </w:rPr>
            </w:pPr>
            <w:r>
              <w:rPr>
                <w:rFonts w:ascii="Arial" w:cs="Arial" w:eastAsia="Arial" w:hAnsi="Arial"/>
                <w:sz w:val="17"/>
                <w:szCs w:val="17"/>
                <w:color w:val="auto"/>
              </w:rPr>
              <w:t>Cost of product sales (excluding amortization of acquired</w:t>
            </w: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110.6</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128.9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361.1</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349.8</w:t>
            </w:r>
          </w:p>
        </w:tc>
        <w:tc>
          <w:tcPr>
            <w:tcW w:w="0" w:type="dxa"/>
            <w:vAlign w:val="bottom"/>
          </w:tcPr>
          <w:p>
            <w:pPr>
              <w:spacing w:after="0"/>
              <w:rPr>
                <w:sz w:val="1"/>
                <w:szCs w:val="1"/>
                <w:color w:val="auto"/>
              </w:rPr>
            </w:pPr>
          </w:p>
        </w:tc>
      </w:tr>
      <w:tr>
        <w:trPr>
          <w:trHeight w:val="227"/>
        </w:trPr>
        <w:tc>
          <w:tcPr>
            <w:tcW w:w="5200" w:type="dxa"/>
            <w:vAlign w:val="bottom"/>
          </w:tcPr>
          <w:p>
            <w:pPr>
              <w:ind w:left="140"/>
              <w:spacing w:after="0"/>
              <w:rPr>
                <w:sz w:val="20"/>
                <w:szCs w:val="20"/>
                <w:color w:val="auto"/>
              </w:rPr>
            </w:pPr>
            <w:r>
              <w:rPr>
                <w:rFonts w:ascii="Arial" w:cs="Arial" w:eastAsia="Arial" w:hAnsi="Arial"/>
                <w:sz w:val="17"/>
                <w:szCs w:val="17"/>
                <w:color w:val="auto"/>
              </w:rPr>
              <w:t>developed technologies)</w:t>
            </w:r>
          </w:p>
        </w:tc>
        <w:tc>
          <w:tcPr>
            <w:tcW w:w="3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2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Selling, general and administrative</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407.9</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1,149.8</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1,403.0</w:t>
            </w:r>
          </w:p>
        </w:tc>
        <w:tc>
          <w:tcPr>
            <w:tcW w:w="0" w:type="dxa"/>
            <w:vAlign w:val="bottom"/>
          </w:tcPr>
          <w:p>
            <w:pPr>
              <w:spacing w:after="0"/>
              <w:rPr>
                <w:sz w:val="1"/>
                <w:szCs w:val="1"/>
                <w:color w:val="auto"/>
              </w:rPr>
            </w:pPr>
          </w:p>
        </w:tc>
      </w:tr>
      <w:tr>
        <w:trPr>
          <w:trHeight w:val="227"/>
        </w:trPr>
        <w:tc>
          <w:tcPr>
            <w:tcW w:w="5200" w:type="dxa"/>
            <w:vAlign w:val="bottom"/>
          </w:tcPr>
          <w:p>
            <w:pPr>
              <w:ind w:left="140"/>
              <w:spacing w:after="0"/>
              <w:rPr>
                <w:sz w:val="20"/>
                <w:szCs w:val="20"/>
                <w:color w:val="auto"/>
              </w:rPr>
            </w:pPr>
            <w:r>
              <w:rPr>
                <w:rFonts w:ascii="Arial" w:cs="Arial" w:eastAsia="Arial" w:hAnsi="Arial"/>
                <w:sz w:val="17"/>
                <w:szCs w:val="17"/>
                <w:color w:val="auto"/>
              </w:rPr>
              <w:t>Research and development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211.9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198.2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615.4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568.8</w:t>
            </w:r>
          </w:p>
        </w:tc>
        <w:tc>
          <w:tcPr>
            <w:tcW w:w="0" w:type="dxa"/>
            <w:vAlign w:val="bottom"/>
          </w:tcPr>
          <w:p>
            <w:pPr>
              <w:spacing w:after="0"/>
              <w:rPr>
                <w:sz w:val="1"/>
                <w:szCs w:val="1"/>
                <w:color w:val="auto"/>
              </w:rPr>
            </w:pPr>
          </w:p>
        </w:tc>
      </w:tr>
      <w:tr>
        <w:trPr>
          <w:trHeight w:val="232"/>
        </w:trPr>
        <w:tc>
          <w:tcPr>
            <w:tcW w:w="52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Intangible asset amortization</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171.8</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514.1</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484.9</w:t>
            </w:r>
          </w:p>
        </w:tc>
        <w:tc>
          <w:tcPr>
            <w:tcW w:w="0" w:type="dxa"/>
            <w:vAlign w:val="bottom"/>
          </w:tcPr>
          <w:p>
            <w:pPr>
              <w:spacing w:after="0"/>
              <w:rPr>
                <w:sz w:val="1"/>
                <w:szCs w:val="1"/>
                <w:color w:val="auto"/>
              </w:rPr>
            </w:pPr>
          </w:p>
        </w:tc>
      </w:tr>
      <w:tr>
        <w:trPr>
          <w:trHeight w:val="227"/>
        </w:trPr>
        <w:tc>
          <w:tcPr>
            <w:tcW w:w="5200" w:type="dxa"/>
            <w:vAlign w:val="bottom"/>
          </w:tcPr>
          <w:p>
            <w:pPr>
              <w:ind w:left="140"/>
              <w:spacing w:after="0"/>
              <w:rPr>
                <w:sz w:val="20"/>
                <w:szCs w:val="20"/>
                <w:color w:val="auto"/>
              </w:rPr>
            </w:pPr>
            <w:r>
              <w:rPr>
                <w:rFonts w:ascii="Arial" w:cs="Arial" w:eastAsia="Arial" w:hAnsi="Arial"/>
                <w:sz w:val="17"/>
                <w:szCs w:val="17"/>
                <w:color w:val="auto"/>
              </w:rPr>
              <w:t>Acquired in-process research and development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754.2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831.2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947.9</w:t>
            </w:r>
          </w:p>
        </w:tc>
        <w:tc>
          <w:tcPr>
            <w:tcW w:w="0" w:type="dxa"/>
            <w:vAlign w:val="bottom"/>
          </w:tcPr>
          <w:p>
            <w:pPr>
              <w:spacing w:after="0"/>
              <w:rPr>
                <w:sz w:val="1"/>
                <w:szCs w:val="1"/>
                <w:color w:val="auto"/>
              </w:rPr>
            </w:pPr>
          </w:p>
        </w:tc>
      </w:tr>
      <w:tr>
        <w:trPr>
          <w:trHeight w:val="232"/>
        </w:trPr>
        <w:tc>
          <w:tcPr>
            <w:tcW w:w="52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Gain on sale of priority review voucher</w:t>
            </w:r>
          </w:p>
        </w:tc>
        <w:tc>
          <w:tcPr>
            <w:tcW w:w="3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(122.8)</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520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Total operating expenses</w:t>
            </w: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1,656.4</w:t>
            </w:r>
          </w:p>
        </w:tc>
        <w:tc>
          <w:tcPr>
            <w:tcW w:w="12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1,068.6</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3,348.8</w:t>
            </w:r>
          </w:p>
        </w:tc>
        <w:tc>
          <w:tcPr>
            <w:tcW w:w="10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3,754.4</w:t>
            </w:r>
          </w:p>
        </w:tc>
        <w:tc>
          <w:tcPr>
            <w:tcW w:w="0" w:type="dxa"/>
            <w:vAlign w:val="bottom"/>
          </w:tcPr>
          <w:p>
            <w:pPr>
              <w:spacing w:after="0"/>
              <w:rPr>
                <w:sz w:val="1"/>
                <w:szCs w:val="1"/>
                <w:color w:val="auto"/>
              </w:rPr>
            </w:pPr>
          </w:p>
        </w:tc>
      </w:tr>
      <w:tr>
        <w:trPr>
          <w:trHeight w:val="225"/>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(loss) from operations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(684.8)</w:t>
            </w:r>
          </w:p>
        </w:tc>
        <w:tc>
          <w:tcPr>
            <w:tcW w:w="0" w:type="dxa"/>
            <w:vAlign w:val="bottom"/>
          </w:tcPr>
          <w:p>
            <w:pPr>
              <w:spacing w:after="0"/>
              <w:rPr>
                <w:sz w:val="1"/>
                <w:szCs w:val="1"/>
                <w:color w:val="auto"/>
              </w:rPr>
            </w:pPr>
          </w:p>
        </w:tc>
      </w:tr>
      <w:tr>
        <w:trPr>
          <w:trHeight w:val="227"/>
        </w:trPr>
        <w:tc>
          <w:tcPr>
            <w:tcW w:w="5200" w:type="dxa"/>
            <w:vAlign w:val="bottom"/>
          </w:tcPr>
          <w:p>
            <w:pPr>
              <w:ind w:left="140"/>
              <w:spacing w:after="0"/>
              <w:rPr>
                <w:sz w:val="20"/>
                <w:szCs w:val="20"/>
                <w:color w:val="auto"/>
              </w:rPr>
            </w:pPr>
            <w:r>
              <w:rPr>
                <w:rFonts w:ascii="Arial" w:cs="Arial" w:eastAsia="Arial" w:hAnsi="Arial"/>
                <w:sz w:val="17"/>
                <w:szCs w:val="17"/>
                <w:color w:val="auto"/>
              </w:rPr>
              <w:t>Interest expense,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(45.5)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(122.5)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(149.7)</w:t>
            </w:r>
          </w:p>
        </w:tc>
        <w:tc>
          <w:tcPr>
            <w:tcW w:w="0" w:type="dxa"/>
            <w:vAlign w:val="bottom"/>
          </w:tcPr>
          <w:p>
            <w:pPr>
              <w:spacing w:after="0"/>
              <w:rPr>
                <w:sz w:val="1"/>
                <w:szCs w:val="1"/>
                <w:color w:val="auto"/>
              </w:rPr>
            </w:pPr>
          </w:p>
        </w:tc>
      </w:tr>
      <w:tr>
        <w:trPr>
          <w:trHeight w:val="232"/>
        </w:trPr>
        <w:tc>
          <w:tcPr>
            <w:tcW w:w="52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Foreign exchange gain (loss)</w:t>
            </w:r>
          </w:p>
        </w:tc>
        <w:tc>
          <w:tcPr>
            <w:tcW w:w="3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142"/>
        </w:trPr>
        <w:tc>
          <w:tcPr>
            <w:tcW w:w="5200" w:type="dxa"/>
            <w:vAlign w:val="bottom"/>
          </w:tcPr>
          <w:p>
            <w:pPr>
              <w:ind w:left="20"/>
              <w:spacing w:after="0" w:line="142" w:lineRule="exact"/>
              <w:rPr>
                <w:sz w:val="20"/>
                <w:szCs w:val="20"/>
                <w:color w:val="auto"/>
              </w:rPr>
            </w:pPr>
            <w:r>
              <w:rPr>
                <w:rFonts w:ascii="Arial" w:cs="Arial" w:eastAsia="Arial" w:hAnsi="Arial"/>
                <w:sz w:val="16"/>
                <w:szCs w:val="16"/>
                <w:color w:val="auto"/>
              </w:rPr>
              <w:t>Income (loss) before income tax expense (benefit) and equity in</w:t>
            </w:r>
          </w:p>
        </w:tc>
        <w:tc>
          <w:tcPr>
            <w:tcW w:w="3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(458.9)</w:t>
            </w:r>
          </w:p>
        </w:tc>
        <w:tc>
          <w:tcPr>
            <w:tcW w:w="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9.0</w:t>
            </w: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51.3</w:t>
            </w:r>
          </w:p>
        </w:tc>
        <w:tc>
          <w:tcPr>
            <w:tcW w:w="1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(836.4)</w:t>
            </w:r>
          </w:p>
        </w:tc>
        <w:tc>
          <w:tcPr>
            <w:tcW w:w="0" w:type="dxa"/>
            <w:vAlign w:val="bottom"/>
          </w:tcPr>
          <w:p>
            <w:pPr>
              <w:spacing w:after="0"/>
              <w:rPr>
                <w:sz w:val="1"/>
                <w:szCs w:val="1"/>
                <w:color w:val="auto"/>
              </w:rPr>
            </w:pPr>
          </w:p>
        </w:tc>
      </w:tr>
      <w:tr>
        <w:trPr>
          <w:trHeight w:val="227"/>
        </w:trPr>
        <w:tc>
          <w:tcPr>
            <w:tcW w:w="5200" w:type="dxa"/>
            <w:vAlign w:val="bottom"/>
          </w:tcPr>
          <w:p>
            <w:pPr>
              <w:ind w:left="20"/>
              <w:spacing w:after="0"/>
              <w:rPr>
                <w:sz w:val="20"/>
                <w:szCs w:val="20"/>
                <w:color w:val="auto"/>
              </w:rPr>
            </w:pPr>
            <w:r>
              <w:rPr>
                <w:rFonts w:ascii="Arial" w:cs="Arial" w:eastAsia="Arial" w:hAnsi="Arial"/>
                <w:sz w:val="17"/>
                <w:szCs w:val="17"/>
                <w:color w:val="auto"/>
              </w:rPr>
              <w:t>loss of investees</w:t>
            </w:r>
          </w:p>
        </w:tc>
        <w:tc>
          <w:tcPr>
            <w:tcW w:w="3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2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Income tax expense (benefit)</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(277.4)</w:t>
            </w:r>
          </w:p>
        </w:tc>
        <w:tc>
          <w:tcPr>
            <w:tcW w:w="0" w:type="dxa"/>
            <w:vAlign w:val="bottom"/>
          </w:tcPr>
          <w:p>
            <w:pPr>
              <w:spacing w:after="0"/>
              <w:rPr>
                <w:sz w:val="1"/>
                <w:szCs w:val="1"/>
                <w:color w:val="auto"/>
              </w:rPr>
            </w:pPr>
          </w:p>
        </w:tc>
      </w:tr>
      <w:tr>
        <w:trPr>
          <w:trHeight w:val="227"/>
        </w:trPr>
        <w:tc>
          <w:tcPr>
            <w:tcW w:w="5200" w:type="dxa"/>
            <w:vAlign w:val="bottom"/>
          </w:tcPr>
          <w:p>
            <w:pPr>
              <w:ind w:left="140"/>
              <w:spacing w:after="0"/>
              <w:rPr>
                <w:sz w:val="20"/>
                <w:szCs w:val="20"/>
                <w:color w:val="auto"/>
              </w:rPr>
            </w:pPr>
            <w:r>
              <w:rPr>
                <w:rFonts w:ascii="Arial" w:cs="Arial" w:eastAsia="Arial" w:hAnsi="Arial"/>
                <w:sz w:val="17"/>
                <w:szCs w:val="17"/>
                <w:color w:val="auto"/>
              </w:rPr>
              <w:t>Equity in loss of investees</w:t>
            </w:r>
          </w:p>
        </w:tc>
        <w:tc>
          <w:tcPr>
            <w:tcW w:w="3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income (loss)</w:t>
            </w:r>
          </w:p>
        </w:tc>
        <w:tc>
          <w:tcPr>
            <w:tcW w:w="32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(483.4)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5"/>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295"/>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(559.6)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 per ordinary share: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7"/>
                <w:szCs w:val="17"/>
                <w:color w:val="auto"/>
              </w:rPr>
              <w:t>Basic</w:t>
            </w: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(7.48)</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0.04</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(9.18)</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Diluted</w:t>
            </w: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5"/>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(9.18)</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Arial" w:cs="Arial" w:eastAsia="Arial" w:hAnsi="Arial"/>
                <w:sz w:val="17"/>
                <w:szCs w:val="17"/>
                <w:color w:val="auto"/>
              </w:rPr>
              <w:t>Weighted-average ordinary shares used in per share calculations -</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64.7</w:t>
            </w: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60.7</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63.3</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61.0</w:t>
            </w:r>
          </w:p>
        </w:tc>
        <w:tc>
          <w:tcPr>
            <w:tcW w:w="0" w:type="dxa"/>
            <w:vAlign w:val="bottom"/>
          </w:tcPr>
          <w:p>
            <w:pPr>
              <w:spacing w:after="0"/>
              <w:rPr>
                <w:sz w:val="1"/>
                <w:szCs w:val="1"/>
                <w:color w:val="auto"/>
              </w:rPr>
            </w:pPr>
          </w:p>
        </w:tc>
      </w:tr>
      <w:tr>
        <w:trPr>
          <w:trHeight w:val="203"/>
        </w:trPr>
        <w:tc>
          <w:tcPr>
            <w:tcW w:w="5200" w:type="dxa"/>
            <w:vAlign w:val="bottom"/>
          </w:tcPr>
          <w:p>
            <w:pPr>
              <w:ind w:left="20"/>
              <w:spacing w:after="0"/>
              <w:rPr>
                <w:sz w:val="20"/>
                <w:szCs w:val="20"/>
                <w:color w:val="auto"/>
              </w:rPr>
            </w:pPr>
            <w:r>
              <w:rPr>
                <w:rFonts w:ascii="Arial" w:cs="Arial" w:eastAsia="Arial" w:hAnsi="Arial"/>
                <w:sz w:val="17"/>
                <w:szCs w:val="17"/>
                <w:color w:val="auto"/>
              </w:rPr>
              <w:t>basic</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20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Weighted-average ordinary shares used in per share calculations -</w:t>
            </w:r>
          </w:p>
        </w:tc>
        <w:tc>
          <w:tcPr>
            <w:tcW w:w="32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64.7</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61.6</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68.6</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61.0</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diluted</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949"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auto"/>
        </w:rPr>
        <w:t>JAZZ PHARMACEUTICALS PLC</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9" w:lineRule="exact"/>
        <w:rPr>
          <w:sz w:val="20"/>
          <w:szCs w:val="20"/>
          <w:color w:val="auto"/>
        </w:rPr>
      </w:pPr>
    </w:p>
    <w:p>
      <w:pPr>
        <w:ind w:left="5140"/>
        <w:spacing w:after="0"/>
        <w:rPr>
          <w:sz w:val="20"/>
          <w:szCs w:val="20"/>
          <w:color w:val="auto"/>
        </w:rPr>
      </w:pPr>
      <w:r>
        <w:rPr>
          <w:rFonts w:ascii="Arial" w:cs="Arial" w:eastAsia="Arial" w:hAnsi="Arial"/>
          <w:sz w:val="16"/>
          <w:szCs w:val="16"/>
          <w:b w:val="1"/>
          <w:bCs w:val="1"/>
          <w:color w:val="auto"/>
        </w:rPr>
        <w:t>(In millions)</w:t>
      </w:r>
    </w:p>
    <w:p>
      <w:pPr>
        <w:spacing w:after="0" w:line="73" w:lineRule="exact"/>
        <w:rPr>
          <w:sz w:val="20"/>
          <w:szCs w:val="20"/>
          <w:color w:val="auto"/>
        </w:rPr>
      </w:pPr>
    </w:p>
    <w:p>
      <w:pPr>
        <w:ind w:left="5160"/>
        <w:spacing w:after="0"/>
        <w:rPr>
          <w:sz w:val="20"/>
          <w:szCs w:val="20"/>
          <w:color w:val="auto"/>
        </w:rPr>
      </w:pPr>
      <w:r>
        <w:rPr>
          <w:rFonts w:ascii="Arial" w:cs="Arial" w:eastAsia="Arial" w:hAnsi="Arial"/>
          <w:sz w:val="16"/>
          <w:szCs w:val="16"/>
          <w:b w:val="1"/>
          <w:bCs w:val="1"/>
          <w:color w:val="auto"/>
        </w:rPr>
        <w:t>(Unaudited)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4"/>
          </w:tcPr>
          <w:p>
            <w:pPr>
              <w:ind w:left="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320" w:type="dxa"/>
            <w:vAlign w:val="bottom"/>
          </w:tcPr>
          <w:p>
            <w:pPr>
              <w:jc w:val="right"/>
              <w:ind w:right="21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2026</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20" w:type="dxa"/>
            <w:vAlign w:val="bottom"/>
            <w:gridSpan w:val="2"/>
            <w:shd w:val="clear" w:color="auto" w:fill="CCEEFF"/>
          </w:tcPr>
          <w:p>
            <w:pPr>
              <w:ind w:left="3660"/>
              <w:spacing w:after="0"/>
              <w:rPr>
                <w:sz w:val="20"/>
                <w:szCs w:val="20"/>
                <w:color w:val="auto"/>
              </w:rPr>
            </w:pPr>
            <w:r>
              <w:rPr>
                <w:rFonts w:ascii="Arial" w:cs="Arial" w:eastAsia="Arial" w:hAnsi="Arial"/>
                <w:sz w:val="17"/>
                <w:szCs w:val="17"/>
                <w:b w:val="1"/>
                <w:bCs w:val="1"/>
                <w:color w:val="auto"/>
              </w:rPr>
              <w:t>ASSETS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20" w:type="dxa"/>
            <w:vAlign w:val="bottom"/>
            <w:gridSpan w:val="2"/>
          </w:tcPr>
          <w:p>
            <w:pPr>
              <w:spacing w:after="0"/>
              <w:rPr>
                <w:sz w:val="20"/>
                <w:szCs w:val="20"/>
                <w:color w:val="auto"/>
              </w:rPr>
            </w:pPr>
            <w:r>
              <w:rPr>
                <w:rFonts w:ascii="Arial" w:cs="Arial" w:eastAsia="Arial" w:hAnsi="Arial"/>
                <w:sz w:val="17"/>
                <w:szCs w:val="17"/>
                <w:color w:val="auto"/>
              </w:rPr>
              <w:t>Current assets:</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2,036.4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1,391.9</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20" w:type="dxa"/>
            <w:vAlign w:val="bottom"/>
            <w:gridSpan w:val="2"/>
          </w:tcPr>
          <w:p>
            <w:pPr>
              <w:ind w:left="120"/>
              <w:spacing w:after="0"/>
              <w:rPr>
                <w:sz w:val="20"/>
                <w:szCs w:val="20"/>
                <w:color w:val="auto"/>
              </w:rPr>
            </w:pPr>
            <w:r>
              <w:rPr>
                <w:rFonts w:ascii="Arial" w:cs="Arial" w:eastAsia="Arial" w:hAnsi="Arial"/>
                <w:sz w:val="17"/>
                <w:szCs w:val="17"/>
                <w:color w:val="auto"/>
              </w:rPr>
              <w:t>Investments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820.0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1,050.0</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Accounts receivable, net of allowances</w:t>
            </w: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873.7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830.7</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20" w:type="dxa"/>
            <w:vAlign w:val="bottom"/>
            <w:gridSpan w:val="2"/>
          </w:tcPr>
          <w:p>
            <w:pPr>
              <w:ind w:left="120"/>
              <w:spacing w:after="0"/>
              <w:rPr>
                <w:sz w:val="20"/>
                <w:szCs w:val="20"/>
                <w:color w:val="auto"/>
              </w:rPr>
            </w:pPr>
            <w:r>
              <w:rPr>
                <w:rFonts w:ascii="Arial" w:cs="Arial" w:eastAsia="Arial" w:hAnsi="Arial"/>
                <w:sz w:val="17"/>
                <w:szCs w:val="17"/>
                <w:color w:val="auto"/>
              </w:rPr>
              <w:t>Inventories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454.0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417.0</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Prepaid expenses</w:t>
            </w: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152.5</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20" w:type="dxa"/>
            <w:vAlign w:val="bottom"/>
            <w:tcBorders>
              <w:bottom w:val="single" w:sz="8" w:color="CCEEFF"/>
            </w:tcBorders>
            <w:gridSpan w:val="2"/>
          </w:tcPr>
          <w:p>
            <w:pPr>
              <w:ind w:left="120"/>
              <w:spacing w:after="0"/>
              <w:rPr>
                <w:sz w:val="20"/>
                <w:szCs w:val="20"/>
                <w:color w:val="auto"/>
              </w:rPr>
            </w:pPr>
            <w:r>
              <w:rPr>
                <w:rFonts w:ascii="Arial" w:cs="Arial" w:eastAsia="Arial" w:hAnsi="Arial"/>
                <w:sz w:val="17"/>
                <w:szCs w:val="17"/>
                <w:color w:val="auto"/>
              </w:rPr>
              <w:t>Other current assets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258.4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323.9</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Total current assets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4,166.0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20" w:type="dxa"/>
            <w:vAlign w:val="bottom"/>
            <w:gridSpan w:val="2"/>
          </w:tcPr>
          <w:p>
            <w:pPr>
              <w:spacing w:after="0"/>
              <w:rPr>
                <w:sz w:val="20"/>
                <w:szCs w:val="20"/>
                <w:color w:val="auto"/>
              </w:rPr>
            </w:pPr>
            <w:r>
              <w:rPr>
                <w:rFonts w:ascii="Arial" w:cs="Arial" w:eastAsia="Arial" w:hAnsi="Arial"/>
                <w:sz w:val="17"/>
                <w:szCs w:val="17"/>
                <w:color w:val="auto"/>
              </w:rPr>
              <w:t>Property, plant and equipment, net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224.8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199.9</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lease assets</w:t>
            </w: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58.9</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20" w:type="dxa"/>
            <w:vAlign w:val="bottom"/>
            <w:gridSpan w:val="2"/>
          </w:tcPr>
          <w:p>
            <w:pPr>
              <w:spacing w:after="0"/>
              <w:rPr>
                <w:sz w:val="20"/>
                <w:szCs w:val="20"/>
                <w:color w:val="auto"/>
              </w:rPr>
            </w:pPr>
            <w:r>
              <w:rPr>
                <w:rFonts w:ascii="Arial" w:cs="Arial" w:eastAsia="Arial" w:hAnsi="Arial"/>
                <w:sz w:val="17"/>
                <w:szCs w:val="17"/>
                <w:color w:val="auto"/>
              </w:rPr>
              <w:t>Intangible assets, net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4,173.7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4,429.5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Goodwill</w:t>
            </w: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1,802.8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1,829.3</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20" w:type="dxa"/>
            <w:vAlign w:val="bottom"/>
            <w:gridSpan w:val="2"/>
          </w:tcPr>
          <w:p>
            <w:pPr>
              <w:spacing w:after="0"/>
              <w:rPr>
                <w:sz w:val="20"/>
                <w:szCs w:val="20"/>
                <w:color w:val="auto"/>
              </w:rPr>
            </w:pPr>
            <w:r>
              <w:rPr>
                <w:rFonts w:ascii="Arial" w:cs="Arial" w:eastAsia="Arial" w:hAnsi="Arial"/>
                <w:sz w:val="17"/>
                <w:szCs w:val="17"/>
                <w:color w:val="auto"/>
              </w:rPr>
              <w:t>Deferred tax assets, net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998.7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869.1</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Deferred financing costs</w:t>
            </w: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Other non-current assets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11,997.7</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11,659.3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Borders>
              <w:top w:val="single" w:sz="8" w:color="CCEEFF"/>
              <w:bottom w:val="single" w:sz="8" w:color="CCEEFF"/>
            </w:tcBorders>
            <w:gridSpan w:val="2"/>
            <w:vMerge w:val="restart"/>
          </w:tcPr>
          <w:p>
            <w:pPr>
              <w:ind w:left="2200"/>
              <w:spacing w:after="0"/>
              <w:rPr>
                <w:sz w:val="20"/>
                <w:szCs w:val="20"/>
                <w:color w:val="auto"/>
              </w:rPr>
            </w:pPr>
            <w:r>
              <w:rPr>
                <w:rFonts w:ascii="Arial" w:cs="Arial" w:eastAsia="Arial" w:hAnsi="Arial"/>
                <w:sz w:val="17"/>
                <w:szCs w:val="17"/>
                <w:b w:val="1"/>
                <w:bCs w:val="1"/>
                <w:color w:val="auto"/>
              </w:rPr>
              <w:t>LIABILITIES AND SHAREHOLDERS’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80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20" w:type="dxa"/>
            <w:vAlign w:val="bottom"/>
            <w:gridSpan w:val="2"/>
          </w:tcPr>
          <w:p>
            <w:pPr>
              <w:ind w:left="120"/>
              <w:spacing w:after="0"/>
              <w:rPr>
                <w:sz w:val="20"/>
                <w:szCs w:val="20"/>
                <w:color w:val="auto"/>
              </w:rPr>
            </w:pPr>
            <w:r>
              <w:rPr>
                <w:rFonts w:ascii="Arial" w:cs="Arial" w:eastAsia="Arial" w:hAnsi="Arial"/>
                <w:sz w:val="17"/>
                <w:szCs w:val="17"/>
                <w:color w:val="auto"/>
              </w:rPr>
              <w:t>Accounts payable</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380.3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122.1</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Accrued liabilities</w:t>
            </w: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1,076.4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1,034.2</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20" w:type="dxa"/>
            <w:vAlign w:val="bottom"/>
            <w:gridSpan w:val="2"/>
          </w:tcPr>
          <w:p>
            <w:pPr>
              <w:ind w:left="120"/>
              <w:spacing w:after="0"/>
              <w:rPr>
                <w:sz w:val="20"/>
                <w:szCs w:val="20"/>
                <w:color w:val="auto"/>
              </w:rPr>
            </w:pPr>
            <w:r>
              <w:rPr>
                <w:rFonts w:ascii="Arial" w:cs="Arial" w:eastAsia="Arial" w:hAnsi="Arial"/>
                <w:sz w:val="17"/>
                <w:szCs w:val="17"/>
                <w:color w:val="auto"/>
              </w:rPr>
              <w:t>Current portion of long-term debt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1,017.3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1,029.9</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Income taxes payable</w:t>
            </w:r>
          </w:p>
        </w:tc>
        <w:tc>
          <w:tcPr>
            <w:tcW w:w="1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59.2</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20" w:type="dxa"/>
            <w:vAlign w:val="bottom"/>
            <w:gridSpan w:val="2"/>
          </w:tcPr>
          <w:p>
            <w:pPr>
              <w:ind w:left="340"/>
              <w:spacing w:after="0"/>
              <w:rPr>
                <w:sz w:val="20"/>
                <w:szCs w:val="20"/>
                <w:color w:val="auto"/>
              </w:rPr>
            </w:pPr>
            <w:r>
              <w:rPr>
                <w:rFonts w:ascii="Arial" w:cs="Arial" w:eastAsia="Arial" w:hAnsi="Arial"/>
                <w:sz w:val="17"/>
                <w:szCs w:val="17"/>
                <w:color w:val="auto"/>
              </w:rPr>
              <w:t>Total current liabilities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2,533.2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2,242.5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Long-term debt, less current portion</w:t>
            </w: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4,552.1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4,328.4</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20" w:type="dxa"/>
            <w:vAlign w:val="bottom"/>
            <w:gridSpan w:val="2"/>
          </w:tcPr>
          <w:p>
            <w:pPr>
              <w:spacing w:after="0"/>
              <w:rPr>
                <w:sz w:val="20"/>
                <w:szCs w:val="20"/>
                <w:color w:val="auto"/>
              </w:rPr>
            </w:pPr>
            <w:r>
              <w:rPr>
                <w:rFonts w:ascii="Arial" w:cs="Arial" w:eastAsia="Arial" w:hAnsi="Arial"/>
                <w:sz w:val="17"/>
                <w:szCs w:val="17"/>
                <w:color w:val="auto"/>
              </w:rPr>
              <w:t>Operating lease liabilities, less current portion</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50.9</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Deferred tax liabilities, net</w:t>
            </w: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594.5</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20" w:type="dxa"/>
            <w:vAlign w:val="bottom"/>
            <w:gridSpan w:val="2"/>
          </w:tcPr>
          <w:p>
            <w:pPr>
              <w:spacing w:after="0"/>
              <w:rPr>
                <w:sz w:val="20"/>
                <w:szCs w:val="20"/>
                <w:color w:val="auto"/>
              </w:rPr>
            </w:pPr>
            <w:r>
              <w:rPr>
                <w:rFonts w:ascii="Arial" w:cs="Arial" w:eastAsia="Arial" w:hAnsi="Arial"/>
                <w:sz w:val="17"/>
                <w:szCs w:val="17"/>
                <w:color w:val="auto"/>
              </w:rPr>
              <w:t>Other non-current liabilities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153.8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124.4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shareholders’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4,191.8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4,318.6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20" w:type="dxa"/>
            <w:vAlign w:val="bottom"/>
            <w:gridSpan w:val="2"/>
          </w:tcPr>
          <w:p>
            <w:pPr>
              <w:spacing w:after="0"/>
              <w:rPr>
                <w:sz w:val="20"/>
                <w:szCs w:val="20"/>
                <w:color w:val="auto"/>
              </w:rPr>
            </w:pPr>
            <w:r>
              <w:rPr>
                <w:rFonts w:ascii="Arial" w:cs="Arial" w:eastAsia="Arial" w:hAnsi="Arial"/>
                <w:sz w:val="17"/>
                <w:szCs w:val="17"/>
                <w:color w:val="auto"/>
              </w:rPr>
              <w:t>Total liabilities and shareholders’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11,997.7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11,659.3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gridSpan w:val="2"/>
            <w:vMerge w:val="restart"/>
          </w:tcPr>
          <w:p>
            <w:pPr>
              <w:jc w:val="center"/>
              <w:ind w:left="3075"/>
              <w:spacing w:after="0"/>
              <w:rPr>
                <w:sz w:val="20"/>
                <w:szCs w:val="20"/>
                <w:color w:val="auto"/>
              </w:rPr>
            </w:pPr>
            <w:r>
              <w:rPr>
                <w:rFonts w:ascii="Arial" w:cs="Arial" w:eastAsia="Arial" w:hAnsi="Arial"/>
                <w:sz w:val="16"/>
                <w:szCs w:val="16"/>
                <w:b w:val="1"/>
                <w:bCs w:val="1"/>
                <w:color w:val="auto"/>
              </w:rPr>
              <w:t>JAZZ PHARMACEUTICALS PLC</w:t>
            </w: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5"/>
        </w:trPr>
        <w:tc>
          <w:tcPr>
            <w:tcW w:w="20" w:type="dxa"/>
            <w:vAlign w:val="bottom"/>
          </w:tcPr>
          <w:p>
            <w:pPr>
              <w:spacing w:after="0"/>
              <w:rPr>
                <w:sz w:val="24"/>
                <w:szCs w:val="24"/>
                <w:color w:val="auto"/>
              </w:rPr>
            </w:pPr>
          </w:p>
        </w:tc>
        <w:tc>
          <w:tcPr>
            <w:tcW w:w="80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20" w:type="dxa"/>
            <w:vAlign w:val="bottom"/>
            <w:gridSpan w:val="2"/>
          </w:tcPr>
          <w:p>
            <w:pPr>
              <w:jc w:val="center"/>
              <w:ind w:left="3055"/>
              <w:spacing w:after="0"/>
              <w:rPr>
                <w:sz w:val="20"/>
                <w:szCs w:val="20"/>
                <w:color w:val="auto"/>
              </w:rPr>
            </w:pPr>
            <w:r>
              <w:rPr>
                <w:rFonts w:ascii="Arial" w:cs="Arial" w:eastAsia="Arial" w:hAnsi="Arial"/>
                <w:sz w:val="16"/>
                <w:szCs w:val="16"/>
                <w:b w:val="1"/>
                <w:bCs w:val="1"/>
                <w:color w:val="auto"/>
              </w:rPr>
              <w:t>SUMMARY OF CASH FLOWS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20" w:type="dxa"/>
            <w:vAlign w:val="bottom"/>
            <w:gridSpan w:val="2"/>
          </w:tcPr>
          <w:p>
            <w:pPr>
              <w:jc w:val="center"/>
              <w:ind w:left="3055"/>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20" w:type="dxa"/>
            <w:vAlign w:val="bottom"/>
            <w:gridSpan w:val="2"/>
          </w:tcPr>
          <w:p>
            <w:pPr>
              <w:jc w:val="center"/>
              <w:ind w:left="3075"/>
              <w:spacing w:after="0"/>
              <w:rPr>
                <w:sz w:val="20"/>
                <w:szCs w:val="20"/>
                <w:color w:val="auto"/>
              </w:rPr>
            </w:pPr>
            <w:r>
              <w:rPr>
                <w:rFonts w:ascii="Arial" w:cs="Arial" w:eastAsia="Arial" w:hAnsi="Arial"/>
                <w:sz w:val="16"/>
                <w:szCs w:val="16"/>
                <w:b w:val="1"/>
                <w:bCs w:val="1"/>
                <w:color w:val="auto"/>
              </w:rPr>
              <w:t>(Unaudited)</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80" w:type="dxa"/>
            <w:vAlign w:val="bottom"/>
            <w:gridSpan w:val="6"/>
          </w:tcPr>
          <w:p>
            <w:pPr>
              <w:jc w:val="right"/>
              <w:ind w:right="836"/>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6"/>
          </w:tcPr>
          <w:p>
            <w:pPr>
              <w:jc w:val="right"/>
              <w:ind w:right="1016"/>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80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2026</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operating activities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993.3</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20" w:type="dxa"/>
            <w:vAlign w:val="bottom"/>
            <w:gridSpan w:val="2"/>
          </w:tcPr>
          <w:p>
            <w:pPr>
              <w:spacing w:after="0"/>
              <w:rPr>
                <w:sz w:val="20"/>
                <w:szCs w:val="20"/>
                <w:color w:val="auto"/>
              </w:rPr>
            </w:pPr>
            <w:r>
              <w:rPr>
                <w:rFonts w:ascii="Arial" w:cs="Arial" w:eastAsia="Arial" w:hAnsi="Arial"/>
                <w:sz w:val="17"/>
                <w:szCs w:val="17"/>
                <w:color w:val="auto"/>
              </w:rPr>
              <w:t>Net cash used in investing activities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(605.8)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(1,137.8)</w:t>
            </w: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cash used in financing activities</w:t>
            </w: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(948.8)</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tcPr>
          <w:p>
            <w:pPr>
              <w:spacing w:after="0"/>
              <w:rPr>
                <w:sz w:val="19"/>
                <w:szCs w:val="19"/>
                <w:color w:val="auto"/>
              </w:rPr>
            </w:pPr>
          </w:p>
        </w:tc>
        <w:tc>
          <w:tcPr>
            <w:tcW w:w="80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Effect of exchange rates on cash and cash equivalents</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45"/>
        </w:trPr>
        <w:tc>
          <w:tcPr>
            <w:tcW w:w="20" w:type="dxa"/>
            <w:vAlign w:val="bottom"/>
            <w:shd w:val="clear" w:color="auto" w:fill="CCEEFF"/>
          </w:tcPr>
          <w:p>
            <w:pPr>
              <w:spacing w:after="0"/>
              <w:rPr>
                <w:sz w:val="21"/>
                <w:szCs w:val="21"/>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increase (decrease) in 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644.5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(1,086.8)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00"/>
          </w:cols>
          <w:pgMar w:left="340" w:top="989" w:right="35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6"/>
          <w:szCs w:val="16"/>
          <w:b w:val="1"/>
          <w:bCs w:val="1"/>
          <w:color w:val="auto"/>
        </w:rPr>
        <w:t>JAZZ PHARMACEUTICALS PLC</w:t>
      </w:r>
    </w:p>
    <w:p>
      <w:pPr>
        <w:spacing w:after="0" w:line="5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RECONCILIATIONS OF GAAP REPORTED TO NON-GAAP ADJUSTED INFORMATION</w:t>
      </w:r>
    </w:p>
    <w:p>
      <w:pPr>
        <w:spacing w:after="0" w:line="7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(In millions, except per share amounts)</w:t>
      </w:r>
    </w:p>
    <w:p>
      <w:pPr>
        <w:spacing w:after="0" w:line="5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60" w:type="dxa"/>
            <w:vAlign w:val="bottom"/>
            <w:gridSpan w:val="5"/>
          </w:tcPr>
          <w:p>
            <w:pPr>
              <w:ind w:left="12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2026</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2025</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4"/>
                <w:szCs w:val="14"/>
                <w:b w:val="1"/>
                <w:bCs w:val="1"/>
                <w:color w:val="auto"/>
              </w:rPr>
              <w:t>2026</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2025</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center"/>
              <w:ind w:right="120"/>
              <w:spacing w:after="0" w:line="147" w:lineRule="exact"/>
              <w:rPr>
                <w:sz w:val="20"/>
                <w:szCs w:val="20"/>
                <w:color w:val="auto"/>
              </w:rPr>
            </w:pPr>
            <w:r>
              <w:rPr>
                <w:rFonts w:ascii="Arial" w:cs="Arial" w:eastAsia="Arial" w:hAnsi="Arial"/>
                <w:sz w:val="14"/>
                <w:szCs w:val="14"/>
                <w:b w:val="1"/>
                <w:bCs w:val="1"/>
                <w:color w:val="auto"/>
              </w:rPr>
              <w:t>Diluted Loss</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Diluted</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Net Income</w:t>
            </w: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Diluted EPS /</w:t>
            </w: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 Loss</w:t>
            </w: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Per Share</w:t>
            </w:r>
          </w:p>
        </w:tc>
        <w:tc>
          <w:tcPr>
            <w:tcW w:w="80" w:type="dxa"/>
            <w:vAlign w:val="bottom"/>
          </w:tcPr>
          <w:p>
            <w:pPr>
              <w:spacing w:after="0"/>
              <w:rPr>
                <w:sz w:val="12"/>
                <w:szCs w:val="12"/>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Net Income</w:t>
            </w: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Earnings Per</w:t>
            </w:r>
          </w:p>
        </w:tc>
        <w:tc>
          <w:tcPr>
            <w:tcW w:w="100" w:type="dxa"/>
            <w:vAlign w:val="bottom"/>
          </w:tcPr>
          <w:p>
            <w:pPr>
              <w:spacing w:after="0"/>
              <w:rPr>
                <w:sz w:val="12"/>
                <w:szCs w:val="12"/>
                <w:color w:val="auto"/>
              </w:rPr>
            </w:pP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Income</w:t>
            </w:r>
          </w:p>
        </w:tc>
        <w:tc>
          <w:tcPr>
            <w:tcW w:w="11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Diluted EPS</w:t>
            </w: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(LPS)</w:t>
            </w: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Share (EPS)</w:t>
            </w: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(Loss)</w:t>
            </w:r>
          </w:p>
        </w:tc>
        <w:tc>
          <w:tcPr>
            <w:tcW w:w="200" w:type="dxa"/>
            <w:vAlign w:val="bottom"/>
          </w:tcPr>
          <w:p>
            <w:pPr>
              <w:spacing w:after="0"/>
              <w:rPr>
                <w:sz w:val="16"/>
                <w:szCs w:val="16"/>
                <w:color w:val="auto"/>
              </w:rPr>
            </w:pPr>
          </w:p>
        </w:tc>
        <w:tc>
          <w:tcPr>
            <w:tcW w:w="800" w:type="dxa"/>
            <w:vAlign w:val="bottom"/>
          </w:tcPr>
          <w:p>
            <w:pPr>
              <w:jc w:val="right"/>
              <w:ind w:right="244"/>
              <w:spacing w:after="0"/>
              <w:rPr>
                <w:sz w:val="20"/>
                <w:szCs w:val="20"/>
                <w:color w:val="auto"/>
              </w:rPr>
            </w:pPr>
            <w:r>
              <w:rPr>
                <w:rFonts w:ascii="Arial" w:cs="Arial" w:eastAsia="Arial" w:hAnsi="Arial"/>
                <w:sz w:val="14"/>
                <w:szCs w:val="14"/>
                <w:b w:val="1"/>
                <w:bCs w:val="1"/>
                <w:color w:val="auto"/>
              </w:rPr>
              <w:t>(LPS)</w:t>
            </w:r>
          </w:p>
        </w:tc>
        <w:tc>
          <w:tcPr>
            <w:tcW w:w="0" w:type="dxa"/>
            <w:vAlign w:val="bottom"/>
          </w:tcPr>
          <w:p>
            <w:pPr>
              <w:spacing w:after="0"/>
              <w:rPr>
                <w:sz w:val="1"/>
                <w:szCs w:val="1"/>
                <w:color w:val="auto"/>
              </w:rPr>
            </w:pPr>
          </w:p>
        </w:tc>
      </w:tr>
      <w:tr>
        <w:trPr>
          <w:trHeight w:val="196"/>
        </w:trPr>
        <w:tc>
          <w:tcPr>
            <w:tcW w:w="2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GAAP reported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(483.4)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(7.48)</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251.4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4.08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2.5</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95"/>
              </w:rPr>
              <w:t>$</w:t>
            </w:r>
          </w:p>
        </w:tc>
        <w:tc>
          <w:tcPr>
            <w:tcW w:w="7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0.04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(559.6)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9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(9.18)</w:t>
            </w:r>
          </w:p>
        </w:tc>
        <w:tc>
          <w:tcPr>
            <w:tcW w:w="0" w:type="dxa"/>
            <w:vAlign w:val="bottom"/>
          </w:tcPr>
          <w:p>
            <w:pPr>
              <w:spacing w:after="0"/>
              <w:rPr>
                <w:sz w:val="1"/>
                <w:szCs w:val="1"/>
                <w:color w:val="auto"/>
              </w:rPr>
            </w:pPr>
          </w:p>
        </w:tc>
      </w:tr>
      <w:tr>
        <w:trPr>
          <w:trHeight w:val="201"/>
        </w:trPr>
        <w:tc>
          <w:tcPr>
            <w:tcW w:w="2460" w:type="dxa"/>
            <w:vAlign w:val="bottom"/>
          </w:tcPr>
          <w:p>
            <w:pPr>
              <w:ind w:left="140"/>
              <w:spacing w:after="0"/>
              <w:rPr>
                <w:sz w:val="20"/>
                <w:szCs w:val="20"/>
                <w:color w:val="auto"/>
              </w:rPr>
            </w:pPr>
            <w:r>
              <w:rPr>
                <w:rFonts w:ascii="Arial" w:cs="Arial" w:eastAsia="Arial" w:hAnsi="Arial"/>
                <w:sz w:val="15"/>
                <w:szCs w:val="15"/>
                <w:color w:val="auto"/>
              </w:rPr>
              <w:t>Intangible asset amortization</w:t>
            </w:r>
          </w:p>
        </w:tc>
        <w:tc>
          <w:tcPr>
            <w:tcW w:w="14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171.8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2.66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168.4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2.73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514.1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7.49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5"/>
              <w:spacing w:after="0"/>
              <w:rPr>
                <w:sz w:val="20"/>
                <w:szCs w:val="20"/>
                <w:color w:val="auto"/>
              </w:rPr>
            </w:pPr>
            <w:r>
              <w:rPr>
                <w:rFonts w:ascii="Arial" w:cs="Arial" w:eastAsia="Arial" w:hAnsi="Arial"/>
                <w:sz w:val="15"/>
                <w:szCs w:val="15"/>
                <w:color w:val="auto"/>
              </w:rPr>
              <w:t>484.9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7.83</w:t>
            </w:r>
          </w:p>
        </w:tc>
        <w:tc>
          <w:tcPr>
            <w:tcW w:w="0" w:type="dxa"/>
            <w:vAlign w:val="bottom"/>
          </w:tcPr>
          <w:p>
            <w:pPr>
              <w:spacing w:after="0"/>
              <w:rPr>
                <w:sz w:val="1"/>
                <w:szCs w:val="1"/>
                <w:color w:val="auto"/>
              </w:rPr>
            </w:pPr>
          </w:p>
        </w:tc>
      </w:tr>
      <w:tr>
        <w:trPr>
          <w:trHeight w:val="159"/>
        </w:trPr>
        <w:tc>
          <w:tcPr>
            <w:tcW w:w="2460" w:type="dxa"/>
            <w:vAlign w:val="bottom"/>
            <w:shd w:val="clear" w:color="auto" w:fill="CCEEFF"/>
          </w:tcPr>
          <w:p>
            <w:pPr>
              <w:ind w:left="140"/>
              <w:spacing w:after="0" w:line="159" w:lineRule="exact"/>
              <w:rPr>
                <w:sz w:val="20"/>
                <w:szCs w:val="20"/>
                <w:color w:val="auto"/>
              </w:rPr>
            </w:pPr>
            <w:r>
              <w:rPr>
                <w:rFonts w:ascii="Arial" w:cs="Arial" w:eastAsia="Arial" w:hAnsi="Arial"/>
                <w:sz w:val="15"/>
                <w:szCs w:val="15"/>
                <w:color w:val="auto"/>
              </w:rPr>
              <w:t>Share-based compensation</w:t>
            </w: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4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expense</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73.8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1.14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88.1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221.6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3.23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220.3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3.56</w:t>
            </w:r>
          </w:p>
        </w:tc>
        <w:tc>
          <w:tcPr>
            <w:tcW w:w="0" w:type="dxa"/>
            <w:vAlign w:val="bottom"/>
          </w:tcPr>
          <w:p>
            <w:pPr>
              <w:spacing w:after="0"/>
              <w:rPr>
                <w:sz w:val="1"/>
                <w:szCs w:val="1"/>
                <w:color w:val="auto"/>
              </w:rPr>
            </w:pPr>
          </w:p>
        </w:tc>
      </w:tr>
      <w:tr>
        <w:trPr>
          <w:trHeight w:val="158"/>
        </w:trPr>
        <w:tc>
          <w:tcPr>
            <w:tcW w:w="2460" w:type="dxa"/>
            <w:vAlign w:val="bottom"/>
          </w:tcPr>
          <w:p>
            <w:pPr>
              <w:ind w:left="140"/>
              <w:spacing w:after="0" w:line="158" w:lineRule="exact"/>
              <w:rPr>
                <w:sz w:val="20"/>
                <w:szCs w:val="20"/>
                <w:color w:val="auto"/>
              </w:rPr>
            </w:pPr>
            <w:r>
              <w:rPr>
                <w:rFonts w:ascii="Arial" w:cs="Arial" w:eastAsia="Arial" w:hAnsi="Arial"/>
                <w:sz w:val="15"/>
                <w:szCs w:val="15"/>
                <w:color w:val="auto"/>
              </w:rPr>
              <w:t>Acquisition accounting inventory</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460" w:type="dxa"/>
            <w:vAlign w:val="bottom"/>
          </w:tcPr>
          <w:p>
            <w:pPr>
              <w:ind w:left="140"/>
              <w:spacing w:after="0"/>
              <w:rPr>
                <w:sz w:val="20"/>
                <w:szCs w:val="20"/>
                <w:color w:val="auto"/>
              </w:rPr>
            </w:pPr>
            <w:r>
              <w:rPr>
                <w:rFonts w:ascii="Arial" w:cs="Arial" w:eastAsia="Arial" w:hAnsi="Arial"/>
                <w:sz w:val="15"/>
                <w:szCs w:val="15"/>
                <w:color w:val="auto"/>
              </w:rPr>
              <w:t>fair value step-up</w:t>
            </w:r>
          </w:p>
        </w:tc>
        <w:tc>
          <w:tcPr>
            <w:tcW w:w="14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40.4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0.66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54.1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0.79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5"/>
              <w:spacing w:after="0"/>
              <w:rPr>
                <w:sz w:val="20"/>
                <w:szCs w:val="20"/>
                <w:color w:val="auto"/>
              </w:rPr>
            </w:pPr>
            <w:r>
              <w:rPr>
                <w:rFonts w:ascii="Arial" w:cs="Arial" w:eastAsia="Arial" w:hAnsi="Arial"/>
                <w:sz w:val="15"/>
                <w:szCs w:val="15"/>
                <w:color w:val="auto"/>
              </w:rPr>
              <w:t>107.3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1.73</w:t>
            </w:r>
          </w:p>
        </w:tc>
        <w:tc>
          <w:tcPr>
            <w:tcW w:w="0" w:type="dxa"/>
            <w:vAlign w:val="bottom"/>
          </w:tcPr>
          <w:p>
            <w:pPr>
              <w:spacing w:after="0"/>
              <w:rPr>
                <w:sz w:val="1"/>
                <w:szCs w:val="1"/>
                <w:color w:val="auto"/>
              </w:rPr>
            </w:pPr>
          </w:p>
        </w:tc>
      </w:tr>
      <w:tr>
        <w:trPr>
          <w:trHeight w:val="206"/>
        </w:trPr>
        <w:tc>
          <w:tcPr>
            <w:tcW w:w="24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Restructuring and other costs</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34.2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0.53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34.2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0.50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1"/>
        </w:trPr>
        <w:tc>
          <w:tcPr>
            <w:tcW w:w="2460" w:type="dxa"/>
            <w:vAlign w:val="bottom"/>
          </w:tcPr>
          <w:p>
            <w:pPr>
              <w:ind w:left="140"/>
              <w:spacing w:after="0"/>
              <w:rPr>
                <w:sz w:val="20"/>
                <w:szCs w:val="20"/>
                <w:color w:val="auto"/>
              </w:rPr>
            </w:pPr>
            <w:r>
              <w:rPr>
                <w:rFonts w:ascii="Arial" w:cs="Arial" w:eastAsia="Arial" w:hAnsi="Arial"/>
                <w:sz w:val="15"/>
                <w:szCs w:val="15"/>
                <w:color w:val="auto"/>
              </w:rPr>
              <w:t>Gain on sale of PRV</w:t>
            </w:r>
          </w:p>
        </w:tc>
        <w:tc>
          <w:tcPr>
            <w:tcW w:w="14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(122.8)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ind w:left="320"/>
              <w:spacing w:after="0"/>
              <w:rPr>
                <w:sz w:val="20"/>
                <w:szCs w:val="20"/>
                <w:color w:val="auto"/>
              </w:rPr>
            </w:pPr>
            <w:r>
              <w:rPr>
                <w:rFonts w:ascii="Arial" w:cs="Arial" w:eastAsia="Arial" w:hAnsi="Arial"/>
                <w:sz w:val="15"/>
                <w:szCs w:val="15"/>
                <w:color w:val="auto"/>
              </w:rPr>
              <w:t>(1.79)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2460" w:type="dxa"/>
            <w:vAlign w:val="bottom"/>
            <w:shd w:val="clear" w:color="auto" w:fill="CCEEFF"/>
          </w:tcPr>
          <w:p>
            <w:pPr>
              <w:ind w:left="140"/>
              <w:spacing w:after="0" w:line="204" w:lineRule="exact"/>
              <w:rPr>
                <w:sz w:val="20"/>
                <w:szCs w:val="20"/>
                <w:color w:val="auto"/>
              </w:rPr>
            </w:pPr>
            <w:r>
              <w:rPr>
                <w:rFonts w:ascii="Arial" w:cs="Arial" w:eastAsia="Arial" w:hAnsi="Arial"/>
                <w:sz w:val="15"/>
                <w:szCs w:val="15"/>
                <w:color w:val="auto"/>
              </w:rPr>
              <w:t>Integration related expenses</w:t>
            </w:r>
            <w:r>
              <w:rPr>
                <w:rFonts w:ascii="Arial" w:cs="Arial" w:eastAsia="Arial" w:hAnsi="Arial"/>
                <w:sz w:val="19"/>
                <w:szCs w:val="19"/>
                <w:color w:val="auto"/>
                <w:vertAlign w:val="superscript"/>
              </w:rPr>
              <w:t>1</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0.01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0.26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0.01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25.4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0.41</w:t>
            </w:r>
          </w:p>
        </w:tc>
        <w:tc>
          <w:tcPr>
            <w:tcW w:w="0" w:type="dxa"/>
            <w:vAlign w:val="bottom"/>
          </w:tcPr>
          <w:p>
            <w:pPr>
              <w:spacing w:after="0"/>
              <w:rPr>
                <w:sz w:val="1"/>
                <w:szCs w:val="1"/>
                <w:color w:val="auto"/>
              </w:rPr>
            </w:pPr>
          </w:p>
        </w:tc>
      </w:tr>
      <w:tr>
        <w:trPr>
          <w:trHeight w:val="158"/>
        </w:trPr>
        <w:tc>
          <w:tcPr>
            <w:tcW w:w="2460" w:type="dxa"/>
            <w:vAlign w:val="bottom"/>
          </w:tcPr>
          <w:p>
            <w:pPr>
              <w:ind w:left="140"/>
              <w:spacing w:after="0" w:line="158" w:lineRule="exact"/>
              <w:rPr>
                <w:sz w:val="20"/>
                <w:szCs w:val="20"/>
                <w:color w:val="auto"/>
              </w:rPr>
            </w:pPr>
            <w:r>
              <w:rPr>
                <w:rFonts w:ascii="Arial" w:cs="Arial" w:eastAsia="Arial" w:hAnsi="Arial"/>
                <w:sz w:val="15"/>
                <w:szCs w:val="15"/>
                <w:color w:val="auto"/>
              </w:rPr>
              <w:t>Income tax effect of above</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460" w:type="dxa"/>
            <w:vAlign w:val="bottom"/>
          </w:tcPr>
          <w:p>
            <w:pPr>
              <w:ind w:left="140"/>
              <w:spacing w:after="0"/>
              <w:rPr>
                <w:sz w:val="20"/>
                <w:szCs w:val="20"/>
                <w:color w:val="auto"/>
              </w:rPr>
            </w:pPr>
            <w:r>
              <w:rPr>
                <w:rFonts w:ascii="Arial" w:cs="Arial" w:eastAsia="Arial" w:hAnsi="Arial"/>
                <w:sz w:val="15"/>
                <w:szCs w:val="15"/>
                <w:color w:val="auto"/>
              </w:rPr>
              <w:t>adjustments</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(47.6)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(0.74)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(63.6)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(1.03)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(139.0)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ind w:left="320"/>
              <w:spacing w:after="0"/>
              <w:rPr>
                <w:sz w:val="20"/>
                <w:szCs w:val="20"/>
                <w:color w:val="auto"/>
              </w:rPr>
            </w:pPr>
            <w:r>
              <w:rPr>
                <w:rFonts w:ascii="Arial" w:cs="Arial" w:eastAsia="Arial" w:hAnsi="Arial"/>
                <w:sz w:val="15"/>
                <w:szCs w:val="15"/>
                <w:color w:val="auto"/>
              </w:rPr>
              <w:t>(2.04)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(177.3)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(2.86)</w:t>
            </w:r>
          </w:p>
        </w:tc>
        <w:tc>
          <w:tcPr>
            <w:tcW w:w="0" w:type="dxa"/>
            <w:vAlign w:val="bottom"/>
          </w:tcPr>
          <w:p>
            <w:pPr>
              <w:spacing w:after="0"/>
              <w:rPr>
                <w:sz w:val="1"/>
                <w:szCs w:val="1"/>
                <w:color w:val="auto"/>
              </w:rPr>
            </w:pPr>
          </w:p>
        </w:tc>
      </w:tr>
      <w:tr>
        <w:trPr>
          <w:trHeight w:val="161"/>
        </w:trPr>
        <w:tc>
          <w:tcPr>
            <w:tcW w:w="2460" w:type="dxa"/>
            <w:vAlign w:val="bottom"/>
            <w:shd w:val="clear" w:color="auto" w:fill="CCEEFF"/>
          </w:tcPr>
          <w:p>
            <w:pPr>
              <w:ind w:left="140"/>
              <w:spacing w:after="0" w:line="161" w:lineRule="exact"/>
              <w:rPr>
                <w:sz w:val="20"/>
                <w:szCs w:val="20"/>
                <w:color w:val="auto"/>
              </w:rPr>
            </w:pPr>
            <w:r>
              <w:rPr>
                <w:rFonts w:ascii="Arial" w:cs="Arial" w:eastAsia="Arial" w:hAnsi="Arial"/>
                <w:sz w:val="15"/>
                <w:szCs w:val="15"/>
                <w:color w:val="auto"/>
              </w:rPr>
              <w:t>Effect of potentially dilutive</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460" w:type="dxa"/>
            <w:vAlign w:val="bottom"/>
            <w:shd w:val="clear" w:color="auto" w:fill="CCEEFF"/>
          </w:tcPr>
          <w:p>
            <w:pPr>
              <w:ind w:left="140"/>
              <w:spacing w:after="0" w:line="153" w:lineRule="exact"/>
              <w:rPr>
                <w:sz w:val="20"/>
                <w:szCs w:val="20"/>
                <w:color w:val="auto"/>
              </w:rPr>
            </w:pPr>
            <w:r>
              <w:rPr>
                <w:rFonts w:ascii="Arial" w:cs="Arial" w:eastAsia="Arial" w:hAnsi="Arial"/>
                <w:sz w:val="15"/>
                <w:szCs w:val="15"/>
                <w:color w:val="auto"/>
              </w:rPr>
              <w:t>ordinary shares on non-GAAP</w:t>
            </w:r>
          </w:p>
        </w:tc>
        <w:tc>
          <w:tcPr>
            <w:tcW w:w="14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0.14</w:t>
            </w:r>
          </w:p>
        </w:tc>
        <w:tc>
          <w:tcPr>
            <w:tcW w:w="0" w:type="dxa"/>
            <w:vAlign w:val="bottom"/>
          </w:tcPr>
          <w:p>
            <w:pPr>
              <w:spacing w:after="0"/>
              <w:rPr>
                <w:sz w:val="1"/>
                <w:szCs w:val="1"/>
                <w:color w:val="auto"/>
              </w:rPr>
            </w:pPr>
          </w:p>
        </w:tc>
      </w:tr>
      <w:tr>
        <w:trPr>
          <w:trHeight w:val="201"/>
        </w:trPr>
        <w:tc>
          <w:tcPr>
            <w:tcW w:w="24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adjusted EPS</w:t>
            </w:r>
          </w:p>
        </w:tc>
        <w:tc>
          <w:tcPr>
            <w:tcW w:w="1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460" w:type="dxa"/>
            <w:vAlign w:val="bottom"/>
          </w:tcPr>
          <w:p>
            <w:pPr>
              <w:ind w:left="20"/>
              <w:spacing w:after="0"/>
              <w:rPr>
                <w:sz w:val="20"/>
                <w:szCs w:val="20"/>
                <w:color w:val="auto"/>
              </w:rPr>
            </w:pPr>
            <w:r>
              <w:rPr>
                <w:rFonts w:ascii="Arial" w:cs="Arial" w:eastAsia="Arial" w:hAnsi="Arial"/>
                <w:sz w:val="15"/>
                <w:szCs w:val="15"/>
                <w:color w:val="auto"/>
              </w:rPr>
              <w:t>Non-GAAP adjusted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(250.8)</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(3.88)</w:t>
            </w: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500.7</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8.13</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565.1</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8.23</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rPr>
              <w:t>101.0</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1.63</w:t>
            </w:r>
          </w:p>
        </w:tc>
        <w:tc>
          <w:tcPr>
            <w:tcW w:w="0" w:type="dxa"/>
            <w:vAlign w:val="bottom"/>
          </w:tcPr>
          <w:p>
            <w:pPr>
              <w:spacing w:after="0"/>
              <w:rPr>
                <w:sz w:val="1"/>
                <w:szCs w:val="1"/>
                <w:color w:val="auto"/>
              </w:rPr>
            </w:pPr>
          </w:p>
        </w:tc>
      </w:tr>
      <w:tr>
        <w:trPr>
          <w:trHeight w:val="20"/>
        </w:trPr>
        <w:tc>
          <w:tcPr>
            <w:tcW w:w="2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00"/>
          </w:cols>
          <w:pgMar w:left="320" w:top="949" w:right="379" w:bottom="1440" w:gutter="0" w:footer="0" w:header="0"/>
        </w:sectPr>
      </w:pPr>
    </w:p>
    <w:p>
      <w:pPr>
        <w:ind w:left="80"/>
        <w:spacing w:after="0"/>
        <w:rPr>
          <w:sz w:val="20"/>
          <w:szCs w:val="20"/>
          <w:color w:val="auto"/>
        </w:rPr>
      </w:pPr>
      <w:r>
        <w:rPr>
          <w:rFonts w:ascii="Arial" w:cs="Arial" w:eastAsia="Arial" w:hAnsi="Arial"/>
          <w:sz w:val="15"/>
          <w:szCs w:val="15"/>
          <w:b w:val="1"/>
          <w:bCs w:val="1"/>
          <w:color w:val="auto"/>
        </w:rPr>
        <w:t>Weighted-average ordinary</w:t>
      </w:r>
    </w:p>
    <w:p>
      <w:pPr>
        <w:ind w:left="80"/>
        <w:spacing w:after="0" w:line="238" w:lineRule="auto"/>
        <w:rPr>
          <w:sz w:val="20"/>
          <w:szCs w:val="20"/>
          <w:color w:val="auto"/>
        </w:rPr>
      </w:pPr>
      <w:r>
        <w:rPr>
          <w:rFonts w:ascii="Arial" w:cs="Arial" w:eastAsia="Arial" w:hAnsi="Arial"/>
          <w:sz w:val="15"/>
          <w:szCs w:val="15"/>
          <w:b w:val="1"/>
          <w:bCs w:val="1"/>
          <w:color w:val="auto"/>
        </w:rPr>
        <w:t>shares used in diluted per share calculations - GAAP</w:t>
      </w:r>
    </w:p>
    <w:p>
      <w:pPr>
        <w:spacing w:after="0" w:line="1" w:lineRule="exact"/>
        <w:rPr>
          <w:sz w:val="20"/>
          <w:szCs w:val="20"/>
          <w:color w:val="auto"/>
        </w:rPr>
      </w:pPr>
    </w:p>
    <w:p>
      <w:pPr>
        <w:ind w:left="200"/>
        <w:spacing w:after="0" w:line="249" w:lineRule="auto"/>
        <w:rPr>
          <w:sz w:val="20"/>
          <w:szCs w:val="20"/>
          <w:color w:val="auto"/>
        </w:rPr>
      </w:pPr>
      <w:r>
        <w:rPr>
          <w:rFonts w:ascii="Arial" w:cs="Arial" w:eastAsia="Arial" w:hAnsi="Arial"/>
          <w:sz w:val="15"/>
          <w:szCs w:val="15"/>
          <w:color w:val="auto"/>
        </w:rPr>
        <w:t>Dilutive effect of employee equity incentive and purchase plans</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5"/>
          <w:szCs w:val="15"/>
          <w:color w:val="auto"/>
        </w:rPr>
        <w:t>Weighted-average ordinary shares</w:t>
      </w:r>
    </w:p>
    <w:p>
      <w:pPr>
        <w:spacing w:after="0" w:line="4" w:lineRule="exact"/>
        <w:rPr>
          <w:sz w:val="20"/>
          <w:szCs w:val="20"/>
          <w:color w:val="auto"/>
        </w:rPr>
      </w:pPr>
    </w:p>
    <w:p>
      <w:pPr>
        <w:ind w:left="80" w:right="340"/>
        <w:spacing w:after="0" w:line="224" w:lineRule="auto"/>
        <w:rPr>
          <w:sz w:val="20"/>
          <w:szCs w:val="20"/>
          <w:color w:val="auto"/>
        </w:rPr>
      </w:pPr>
      <w:r>
        <w:rPr>
          <w:rFonts w:ascii="Arial" w:cs="Arial" w:eastAsia="Arial" w:hAnsi="Arial"/>
          <w:sz w:val="15"/>
          <w:szCs w:val="15"/>
          <w:color w:val="auto"/>
        </w:rPr>
        <w:t>used in diluted per share calculations - GAAP and non-GAAP</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980" w:type="dxa"/>
            <w:vAlign w:val="bottom"/>
          </w:tcPr>
          <w:p>
            <w:pPr>
              <w:jc w:val="right"/>
              <w:ind w:right="4"/>
              <w:spacing w:after="0"/>
              <w:rPr>
                <w:sz w:val="20"/>
                <w:szCs w:val="20"/>
                <w:color w:val="auto"/>
              </w:rPr>
            </w:pPr>
            <w:r>
              <w:rPr>
                <w:rFonts w:ascii="Arial" w:cs="Arial" w:eastAsia="Arial" w:hAnsi="Arial"/>
                <w:sz w:val="15"/>
                <w:szCs w:val="15"/>
                <w:b w:val="1"/>
                <w:bCs w:val="1"/>
                <w:color w:val="auto"/>
              </w:rPr>
              <w:t>64.7</w:t>
            </w:r>
          </w:p>
        </w:tc>
        <w:tc>
          <w:tcPr>
            <w:tcW w:w="1200" w:type="dxa"/>
            <w:vAlign w:val="bottom"/>
          </w:tcPr>
          <w:p>
            <w:pPr>
              <w:spacing w:after="0"/>
              <w:rPr>
                <w:sz w:val="18"/>
                <w:szCs w:val="18"/>
                <w:color w:val="auto"/>
              </w:rPr>
            </w:pPr>
          </w:p>
        </w:tc>
        <w:tc>
          <w:tcPr>
            <w:tcW w:w="980" w:type="dxa"/>
            <w:vAlign w:val="bottom"/>
          </w:tcPr>
          <w:p>
            <w:pPr>
              <w:jc w:val="right"/>
              <w:ind w:right="4"/>
              <w:spacing w:after="0"/>
              <w:rPr>
                <w:sz w:val="20"/>
                <w:szCs w:val="20"/>
                <w:color w:val="auto"/>
              </w:rPr>
            </w:pPr>
            <w:r>
              <w:rPr>
                <w:rFonts w:ascii="Arial" w:cs="Arial" w:eastAsia="Arial" w:hAnsi="Arial"/>
                <w:sz w:val="15"/>
                <w:szCs w:val="15"/>
                <w:b w:val="1"/>
                <w:bCs w:val="1"/>
                <w:color w:val="auto"/>
              </w:rPr>
              <w:t>61.6</w:t>
            </w:r>
          </w:p>
        </w:tc>
        <w:tc>
          <w:tcPr>
            <w:tcW w:w="1220" w:type="dxa"/>
            <w:vAlign w:val="bottom"/>
          </w:tcPr>
          <w:p>
            <w:pPr>
              <w:spacing w:after="0"/>
              <w:rPr>
                <w:sz w:val="18"/>
                <w:szCs w:val="18"/>
                <w:color w:val="auto"/>
              </w:rPr>
            </w:pPr>
          </w:p>
        </w:tc>
        <w:tc>
          <w:tcPr>
            <w:tcW w:w="980" w:type="dxa"/>
            <w:vAlign w:val="bottom"/>
          </w:tcPr>
          <w:p>
            <w:pPr>
              <w:jc w:val="right"/>
              <w:ind w:right="4"/>
              <w:spacing w:after="0"/>
              <w:rPr>
                <w:sz w:val="20"/>
                <w:szCs w:val="20"/>
                <w:color w:val="auto"/>
              </w:rPr>
            </w:pPr>
            <w:r>
              <w:rPr>
                <w:rFonts w:ascii="Arial" w:cs="Arial" w:eastAsia="Arial" w:hAnsi="Arial"/>
                <w:sz w:val="15"/>
                <w:szCs w:val="15"/>
                <w:b w:val="1"/>
                <w:bCs w:val="1"/>
                <w:color w:val="auto"/>
              </w:rPr>
              <w:t>68.6</w:t>
            </w:r>
          </w:p>
        </w:tc>
        <w:tc>
          <w:tcPr>
            <w:tcW w:w="1220" w:type="dxa"/>
            <w:vAlign w:val="bottom"/>
          </w:tcPr>
          <w:p>
            <w:pPr>
              <w:spacing w:after="0"/>
              <w:rPr>
                <w:sz w:val="18"/>
                <w:szCs w:val="18"/>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b w:val="1"/>
                <w:bCs w:val="1"/>
                <w:color w:val="auto"/>
              </w:rPr>
              <w:t>61.0</w:t>
            </w:r>
          </w:p>
        </w:tc>
      </w:tr>
      <w:tr>
        <w:trPr>
          <w:trHeight w:val="360"/>
        </w:trPr>
        <w:tc>
          <w:tcPr>
            <w:tcW w:w="2180" w:type="dxa"/>
            <w:vAlign w:val="bottom"/>
            <w:gridSpan w:val="2"/>
          </w:tcPr>
          <w:p>
            <w:pPr>
              <w:jc w:val="right"/>
              <w:ind w:right="1280"/>
              <w:spacing w:after="0"/>
              <w:rPr>
                <w:sz w:val="20"/>
                <w:szCs w:val="20"/>
                <w:color w:val="auto"/>
              </w:rPr>
            </w:pPr>
            <w:r>
              <w:rPr>
                <w:rFonts w:ascii="Arial" w:cs="Arial" w:eastAsia="Arial" w:hAnsi="Arial"/>
                <w:sz w:val="15"/>
                <w:szCs w:val="15"/>
                <w:color w:val="auto"/>
              </w:rPr>
              <w:t>—</w:t>
            </w:r>
          </w:p>
        </w:tc>
        <w:tc>
          <w:tcPr>
            <w:tcW w:w="2200" w:type="dxa"/>
            <w:vAlign w:val="bottom"/>
            <w:gridSpan w:val="2"/>
          </w:tcPr>
          <w:p>
            <w:pPr>
              <w:jc w:val="right"/>
              <w:ind w:right="1300"/>
              <w:spacing w:after="0"/>
              <w:rPr>
                <w:sz w:val="20"/>
                <w:szCs w:val="20"/>
                <w:color w:val="auto"/>
              </w:rPr>
            </w:pPr>
            <w:r>
              <w:rPr>
                <w:rFonts w:ascii="Arial" w:cs="Arial" w:eastAsia="Arial" w:hAnsi="Arial"/>
                <w:sz w:val="15"/>
                <w:szCs w:val="15"/>
                <w:color w:val="auto"/>
              </w:rPr>
              <w:t>—</w:t>
            </w:r>
          </w:p>
        </w:tc>
        <w:tc>
          <w:tcPr>
            <w:tcW w:w="2200" w:type="dxa"/>
            <w:vAlign w:val="bottom"/>
            <w:gridSpan w:val="2"/>
          </w:tcPr>
          <w:p>
            <w:pPr>
              <w:jc w:val="right"/>
              <w:ind w:right="1300"/>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0.9</w:t>
            </w:r>
          </w:p>
        </w:tc>
      </w:tr>
      <w:tr>
        <w:trPr>
          <w:trHeight w:val="615"/>
        </w:trPr>
        <w:tc>
          <w:tcPr>
            <w:tcW w:w="9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64.7</w:t>
            </w:r>
          </w:p>
        </w:tc>
        <w:tc>
          <w:tcPr>
            <w:tcW w:w="1200" w:type="dxa"/>
            <w:vAlign w:val="bottom"/>
          </w:tcPr>
          <w:p>
            <w:pPr>
              <w:spacing w:after="0"/>
              <w:rPr>
                <w:sz w:val="24"/>
                <w:szCs w:val="24"/>
                <w:color w:val="auto"/>
              </w:rPr>
            </w:pPr>
          </w:p>
        </w:tc>
        <w:tc>
          <w:tcPr>
            <w:tcW w:w="9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61.6</w:t>
            </w:r>
          </w:p>
        </w:tc>
        <w:tc>
          <w:tcPr>
            <w:tcW w:w="1220" w:type="dxa"/>
            <w:vAlign w:val="bottom"/>
          </w:tcPr>
          <w:p>
            <w:pPr>
              <w:spacing w:after="0"/>
              <w:rPr>
                <w:sz w:val="24"/>
                <w:szCs w:val="24"/>
                <w:color w:val="auto"/>
              </w:rPr>
            </w:pPr>
          </w:p>
        </w:tc>
        <w:tc>
          <w:tcPr>
            <w:tcW w:w="9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68.6</w:t>
            </w:r>
          </w:p>
        </w:tc>
        <w:tc>
          <w:tcPr>
            <w:tcW w:w="1220" w:type="dxa"/>
            <w:vAlign w:val="bottom"/>
          </w:tcPr>
          <w:p>
            <w:pPr>
              <w:spacing w:after="0"/>
              <w:rPr>
                <w:sz w:val="24"/>
                <w:szCs w:val="24"/>
                <w:color w:val="auto"/>
              </w:rPr>
            </w:pPr>
          </w:p>
        </w:tc>
        <w:tc>
          <w:tcPr>
            <w:tcW w:w="10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61.9</w:t>
            </w:r>
          </w:p>
        </w:tc>
      </w:tr>
      <w:tr>
        <w:trPr>
          <w:trHeight w:val="23"/>
        </w:trPr>
        <w:tc>
          <w:tcPr>
            <w:tcW w:w="980" w:type="dxa"/>
            <w:vAlign w:val="bottom"/>
            <w:tcBorders>
              <w:bottom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-1560195</wp:posOffset>
            </wp:positionH>
            <wp:positionV relativeFrom="paragraph">
              <wp:posOffset>-668020</wp:posOffset>
            </wp:positionV>
            <wp:extent cx="7071995" cy="2311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71995" cy="231140"/>
                    </a:xfrm>
                    <a:prstGeom prst="rect">
                      <a:avLst/>
                    </a:prstGeom>
                    <a:noFill/>
                  </pic:spPr>
                </pic:pic>
              </a:graphicData>
            </a:graphic>
          </wp:anchor>
        </w:drawing>
      </w:r>
    </w:p>
    <w:p>
      <w:pPr>
        <w:spacing w:after="0" w:line="135" w:lineRule="exact"/>
        <w:rPr>
          <w:sz w:val="20"/>
          <w:szCs w:val="20"/>
          <w:color w:val="auto"/>
        </w:rPr>
      </w:pPr>
    </w:p>
    <w:p>
      <w:pPr>
        <w:sectPr>
          <w:pgSz w:w="11900" w:h="16838" w:orient="portrait"/>
          <w:cols w:equalWidth="0" w:num="2">
            <w:col w:w="2440" w:space="80"/>
            <w:col w:w="8680"/>
          </w:cols>
          <w:pgMar w:left="320" w:top="949" w:right="379" w:bottom="1440" w:gutter="0" w:footer="0" w:header="0"/>
          <w:type w:val="continuous"/>
        </w:sect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w:t>
      </w:r>
    </w:p>
    <w:p>
      <w:pPr>
        <w:spacing w:after="0" w:line="103"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Integration related expenses with respect to the Actio acquisition and the Chimerix acquisition.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75"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Times New Roman" w:cs="Times New Roman" w:eastAsia="Times New Roman" w:hAnsi="Times New Roman"/>
          <w:sz w:val="18"/>
          <w:szCs w:val="18"/>
          <w:color w:val="auto"/>
        </w:rPr>
        <w:t>11</w:t>
      </w:r>
    </w:p>
    <w:p>
      <w:pPr>
        <w:sectPr>
          <w:pgSz w:w="11900" w:h="16838" w:orient="portrait"/>
          <w:cols w:equalWidth="0" w:num="1">
            <w:col w:w="11200"/>
          </w:cols>
          <w:pgMar w:left="320" w:top="949" w:right="379" w:bottom="1440" w:gutter="0" w:footer="0" w:header="0"/>
          <w:type w:val="continuous"/>
        </w:sectPr>
      </w:pPr>
    </w:p>
    <w:bookmarkStart w:id="14" w:name="page15"/>
    <w:bookmarkEnd w:id="14"/>
    <w:p>
      <w:pPr>
        <w:ind w:left="4720"/>
        <w:spacing w:after="0"/>
        <w:rPr>
          <w:sz w:val="20"/>
          <w:szCs w:val="20"/>
          <w:color w:val="auto"/>
        </w:rPr>
      </w:pPr>
      <w:r>
        <w:rPr>
          <w:rFonts w:ascii="Arial" w:cs="Arial" w:eastAsia="Arial" w:hAnsi="Arial"/>
          <w:sz w:val="16"/>
          <w:szCs w:val="16"/>
          <w:b w:val="1"/>
          <w:bCs w:val="1"/>
          <w:color w:val="auto"/>
        </w:rPr>
        <w:t>JAZZ PHARMACEUTICALS PLC</w:t>
      </w:r>
    </w:p>
    <w:p>
      <w:pPr>
        <w:spacing w:after="0" w:line="59" w:lineRule="exact"/>
        <w:rPr>
          <w:sz w:val="20"/>
          <w:szCs w:val="20"/>
          <w:color w:val="auto"/>
        </w:rPr>
      </w:pPr>
    </w:p>
    <w:p>
      <w:pPr>
        <w:ind w:left="1460"/>
        <w:spacing w:after="0"/>
        <w:rPr>
          <w:sz w:val="20"/>
          <w:szCs w:val="20"/>
          <w:color w:val="auto"/>
        </w:rPr>
      </w:pPr>
      <w:r>
        <w:rPr>
          <w:rFonts w:ascii="Arial" w:cs="Arial" w:eastAsia="Arial" w:hAnsi="Arial"/>
          <w:sz w:val="16"/>
          <w:szCs w:val="16"/>
          <w:b w:val="1"/>
          <w:bCs w:val="1"/>
          <w:color w:val="auto"/>
        </w:rPr>
        <w:t>RECONCILIATIONS OF GAAP REPORTED TO NON-GAAP ADJUSTED INFORMATION - CERTAIN LINE ITEMS</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percentages)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42" w:lineRule="exact"/>
        <w:rPr>
          <w:sz w:val="20"/>
          <w:szCs w:val="20"/>
          <w:color w:val="auto"/>
        </w:rPr>
      </w:pPr>
    </w:p>
    <w:p>
      <w:pPr>
        <w:ind w:left="5520"/>
        <w:spacing w:after="0"/>
        <w:rPr>
          <w:sz w:val="20"/>
          <w:szCs w:val="20"/>
          <w:color w:val="auto"/>
        </w:rPr>
      </w:pPr>
      <w:r>
        <w:rPr>
          <w:rFonts w:ascii="Arial" w:cs="Arial" w:eastAsia="Arial" w:hAnsi="Arial"/>
          <w:sz w:val="14"/>
          <w:szCs w:val="14"/>
          <w:b w:val="1"/>
          <w:bCs w:val="1"/>
          <w:color w:val="auto"/>
        </w:rPr>
        <w:t>Three months ended September 30, 2026</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2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3"/>
          </w:tcPr>
          <w:p>
            <w:pPr>
              <w:jc w:val="center"/>
              <w:ind w:right="300"/>
              <w:spacing w:after="0" w:line="121" w:lineRule="exact"/>
              <w:rPr>
                <w:sz w:val="20"/>
                <w:szCs w:val="20"/>
                <w:color w:val="auto"/>
              </w:rPr>
            </w:pPr>
            <w:r>
              <w:rPr>
                <w:rFonts w:ascii="Arial" w:cs="Arial" w:eastAsia="Arial" w:hAnsi="Arial"/>
                <w:sz w:val="12"/>
                <w:szCs w:val="12"/>
                <w:b w:val="1"/>
                <w:bCs w:val="1"/>
                <w:color w:val="auto"/>
                <w:w w:val="96"/>
              </w:rPr>
              <w:t>Cost of</w:t>
            </w:r>
          </w:p>
        </w:tc>
        <w:tc>
          <w:tcPr>
            <w:tcW w:w="860" w:type="dxa"/>
            <w:vAlign w:val="bottom"/>
            <w:tcBorders>
              <w:top w:val="single" w:sz="8" w:color="auto"/>
            </w:tcBorders>
            <w:gridSpan w:val="3"/>
          </w:tcPr>
          <w:p>
            <w:pPr>
              <w:jc w:val="center"/>
              <w:ind w:right="120"/>
              <w:spacing w:after="0" w:line="121" w:lineRule="exact"/>
              <w:rPr>
                <w:sz w:val="20"/>
                <w:szCs w:val="20"/>
                <w:color w:val="auto"/>
              </w:rPr>
            </w:pPr>
            <w:r>
              <w:rPr>
                <w:rFonts w:ascii="Arial" w:cs="Arial" w:eastAsia="Arial" w:hAnsi="Arial"/>
                <w:sz w:val="12"/>
                <w:szCs w:val="12"/>
                <w:b w:val="1"/>
                <w:bCs w:val="1"/>
                <w:color w:val="auto"/>
                <w:w w:val="97"/>
              </w:rPr>
              <w:t>Gross</w:t>
            </w: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4"/>
            <w:vMerge w:val="restart"/>
          </w:tcPr>
          <w:p>
            <w:pPr>
              <w:ind w:left="80"/>
              <w:spacing w:after="0"/>
              <w:rPr>
                <w:sz w:val="20"/>
                <w:szCs w:val="20"/>
                <w:color w:val="auto"/>
              </w:rPr>
            </w:pPr>
            <w:r>
              <w:rPr>
                <w:rFonts w:ascii="Arial" w:cs="Arial" w:eastAsia="Arial" w:hAnsi="Arial"/>
                <w:sz w:val="12"/>
                <w:szCs w:val="12"/>
                <w:b w:val="1"/>
                <w:bCs w:val="1"/>
                <w:color w:val="auto"/>
              </w:rPr>
              <w:t>SG&amp;A</w:t>
            </w:r>
          </w:p>
        </w:tc>
        <w:tc>
          <w:tcPr>
            <w:tcW w:w="2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3"/>
            <w:vMerge w:val="restart"/>
          </w:tcPr>
          <w:p>
            <w:pPr>
              <w:ind w:left="120"/>
              <w:spacing w:after="0"/>
              <w:rPr>
                <w:sz w:val="20"/>
                <w:szCs w:val="20"/>
                <w:color w:val="auto"/>
              </w:rPr>
            </w:pPr>
            <w:r>
              <w:rPr>
                <w:rFonts w:ascii="Arial" w:cs="Arial" w:eastAsia="Arial" w:hAnsi="Arial"/>
                <w:sz w:val="12"/>
                <w:szCs w:val="12"/>
                <w:b w:val="1"/>
                <w:bCs w:val="1"/>
                <w:color w:val="auto"/>
              </w:rPr>
              <w:t>R&amp;D</w:t>
            </w:r>
          </w:p>
        </w:tc>
        <w:tc>
          <w:tcPr>
            <w:tcW w:w="1060" w:type="dxa"/>
            <w:vAlign w:val="bottom"/>
            <w:tcBorders>
              <w:top w:val="single" w:sz="8" w:color="auto"/>
            </w:tcBorders>
            <w:gridSpan w:val="4"/>
          </w:tcPr>
          <w:p>
            <w:pPr>
              <w:jc w:val="right"/>
              <w:ind w:right="140"/>
              <w:spacing w:after="0" w:line="121" w:lineRule="exact"/>
              <w:rPr>
                <w:sz w:val="20"/>
                <w:szCs w:val="20"/>
                <w:color w:val="auto"/>
              </w:rPr>
            </w:pPr>
            <w:r>
              <w:rPr>
                <w:rFonts w:ascii="Arial" w:cs="Arial" w:eastAsia="Arial" w:hAnsi="Arial"/>
                <w:sz w:val="12"/>
                <w:szCs w:val="12"/>
                <w:b w:val="1"/>
                <w:bCs w:val="1"/>
                <w:color w:val="auto"/>
                <w:w w:val="99"/>
              </w:rPr>
              <w:t>Intangible asset</w:t>
            </w: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3"/>
          </w:tcPr>
          <w:p>
            <w:pPr>
              <w:jc w:val="center"/>
              <w:ind w:right="260"/>
              <w:spacing w:after="0" w:line="121" w:lineRule="exact"/>
              <w:rPr>
                <w:sz w:val="20"/>
                <w:szCs w:val="20"/>
                <w:color w:val="auto"/>
              </w:rPr>
            </w:pPr>
            <w:r>
              <w:rPr>
                <w:rFonts w:ascii="Arial" w:cs="Arial" w:eastAsia="Arial" w:hAnsi="Arial"/>
                <w:sz w:val="12"/>
                <w:szCs w:val="12"/>
                <w:b w:val="1"/>
                <w:bCs w:val="1"/>
                <w:color w:val="auto"/>
                <w:w w:val="99"/>
              </w:rPr>
              <w:t>Acquired</w:t>
            </w:r>
          </w:p>
        </w:tc>
        <w:tc>
          <w:tcPr>
            <w:tcW w:w="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center"/>
              <w:ind w:right="200"/>
              <w:spacing w:after="0" w:line="121" w:lineRule="exact"/>
              <w:rPr>
                <w:sz w:val="20"/>
                <w:szCs w:val="20"/>
                <w:color w:val="auto"/>
              </w:rPr>
            </w:pPr>
            <w:r>
              <w:rPr>
                <w:rFonts w:ascii="Arial" w:cs="Arial" w:eastAsia="Arial" w:hAnsi="Arial"/>
                <w:sz w:val="12"/>
                <w:szCs w:val="12"/>
                <w:b w:val="1"/>
                <w:bCs w:val="1"/>
                <w:color w:val="auto"/>
                <w:w w:val="96"/>
              </w:rPr>
              <w:t>Interest</w:t>
            </w:r>
          </w:p>
        </w:tc>
        <w:tc>
          <w:tcPr>
            <w:tcW w:w="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spacing w:after="0" w:line="121" w:lineRule="exact"/>
              <w:rPr>
                <w:sz w:val="20"/>
                <w:szCs w:val="20"/>
                <w:color w:val="auto"/>
              </w:rPr>
            </w:pPr>
            <w:r>
              <w:rPr>
                <w:rFonts w:ascii="Arial" w:cs="Arial" w:eastAsia="Arial" w:hAnsi="Arial"/>
                <w:sz w:val="12"/>
                <w:szCs w:val="12"/>
                <w:b w:val="1"/>
                <w:bCs w:val="1"/>
                <w:color w:val="auto"/>
              </w:rPr>
              <w:t>Income tax</w:t>
            </w:r>
          </w:p>
        </w:tc>
        <w:tc>
          <w:tcPr>
            <w:tcW w:w="86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96"/>
              </w:rPr>
              <w:t>Effective tax</w:t>
            </w:r>
          </w:p>
        </w:tc>
        <w:tc>
          <w:tcPr>
            <w:tcW w:w="0" w:type="dxa"/>
            <w:vAlign w:val="bottom"/>
          </w:tcPr>
          <w:p>
            <w:pPr>
              <w:spacing w:after="0"/>
              <w:rPr>
                <w:sz w:val="1"/>
                <w:szCs w:val="1"/>
                <w:color w:val="auto"/>
              </w:rPr>
            </w:pPr>
          </w:p>
        </w:tc>
      </w:tr>
      <w:tr>
        <w:trPr>
          <w:trHeight w:val="158"/>
        </w:trPr>
        <w:tc>
          <w:tcPr>
            <w:tcW w:w="2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4"/>
          </w:tcPr>
          <w:p>
            <w:pPr>
              <w:jc w:val="center"/>
              <w:ind w:right="140"/>
              <w:spacing w:after="0"/>
              <w:rPr>
                <w:sz w:val="20"/>
                <w:szCs w:val="20"/>
                <w:color w:val="auto"/>
              </w:rPr>
            </w:pPr>
            <w:r>
              <w:rPr>
                <w:rFonts w:ascii="Arial" w:cs="Arial" w:eastAsia="Arial" w:hAnsi="Arial"/>
                <w:sz w:val="12"/>
                <w:szCs w:val="12"/>
                <w:b w:val="1"/>
                <w:bCs w:val="1"/>
                <w:color w:val="auto"/>
                <w:w w:val="97"/>
              </w:rPr>
              <w:t>product sales</w:t>
            </w:r>
          </w:p>
        </w:tc>
        <w:tc>
          <w:tcPr>
            <w:tcW w:w="86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94"/>
              </w:rPr>
              <w:t>margin</w:t>
            </w:r>
          </w:p>
        </w:tc>
        <w:tc>
          <w:tcPr>
            <w:tcW w:w="180" w:type="dxa"/>
            <w:vAlign w:val="bottom"/>
          </w:tcPr>
          <w:p>
            <w:pPr>
              <w:spacing w:after="0"/>
              <w:rPr>
                <w:sz w:val="13"/>
                <w:szCs w:val="13"/>
                <w:color w:val="auto"/>
              </w:rPr>
            </w:pPr>
          </w:p>
        </w:tc>
        <w:tc>
          <w:tcPr>
            <w:tcW w:w="800" w:type="dxa"/>
            <w:vAlign w:val="bottom"/>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amortization</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3"/>
          </w:tcPr>
          <w:p>
            <w:pPr>
              <w:jc w:val="center"/>
              <w:ind w:right="260"/>
              <w:spacing w:after="0"/>
              <w:rPr>
                <w:sz w:val="20"/>
                <w:szCs w:val="20"/>
                <w:color w:val="auto"/>
              </w:rPr>
            </w:pPr>
            <w:r>
              <w:rPr>
                <w:rFonts w:ascii="Arial" w:cs="Arial" w:eastAsia="Arial" w:hAnsi="Arial"/>
                <w:sz w:val="12"/>
                <w:szCs w:val="12"/>
                <w:b w:val="1"/>
                <w:bCs w:val="1"/>
                <w:color w:val="auto"/>
                <w:w w:val="96"/>
              </w:rPr>
              <w:t>IPR&amp;D</w:t>
            </w:r>
          </w:p>
        </w:tc>
        <w:tc>
          <w:tcPr>
            <w:tcW w:w="40" w:type="dxa"/>
            <w:vAlign w:val="bottom"/>
          </w:tcPr>
          <w:p>
            <w:pPr>
              <w:spacing w:after="0"/>
              <w:rPr>
                <w:sz w:val="13"/>
                <w:szCs w:val="13"/>
                <w:color w:val="auto"/>
              </w:rPr>
            </w:pPr>
          </w:p>
        </w:tc>
        <w:tc>
          <w:tcPr>
            <w:tcW w:w="86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96"/>
              </w:rPr>
              <w:t>expense, net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expense</w:t>
            </w: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w w:val="99"/>
              </w:rPr>
              <w:t>rate</w:t>
            </w:r>
          </w:p>
        </w:tc>
        <w:tc>
          <w:tcPr>
            <w:tcW w:w="0" w:type="dxa"/>
            <w:vAlign w:val="bottom"/>
          </w:tcPr>
          <w:p>
            <w:pPr>
              <w:spacing w:after="0"/>
              <w:rPr>
                <w:sz w:val="1"/>
                <w:szCs w:val="1"/>
                <w:color w:val="auto"/>
              </w:rPr>
            </w:pPr>
          </w:p>
        </w:tc>
      </w:tr>
      <w:tr>
        <w:trPr>
          <w:trHeight w:val="196"/>
        </w:trPr>
        <w:tc>
          <w:tcPr>
            <w:tcW w:w="26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GAAP Reported</w:t>
            </w: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110.6</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i w:val="1"/>
                <w:iCs w:val="1"/>
                <w:color w:val="auto"/>
              </w:rPr>
              <w:t>91.1 %</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9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407.9</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9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211.9</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8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rPr>
              <w:t>171.8</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2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rPr>
              <w:t>754.2</w:t>
            </w: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gridSpan w:val="2"/>
            <w:shd w:val="clear" w:color="auto" w:fill="CCEEFF"/>
          </w:tcPr>
          <w:p>
            <w:pPr>
              <w:jc w:val="right"/>
              <w:ind w:right="36"/>
              <w:spacing w:after="0"/>
              <w:rPr>
                <w:sz w:val="20"/>
                <w:szCs w:val="20"/>
                <w:color w:val="auto"/>
              </w:rPr>
            </w:pPr>
            <w:r>
              <w:rPr>
                <w:rFonts w:ascii="Arial" w:cs="Arial" w:eastAsia="Arial" w:hAnsi="Arial"/>
                <w:sz w:val="15"/>
                <w:szCs w:val="15"/>
                <w:b w:val="1"/>
                <w:bCs w:val="1"/>
                <w:color w:val="auto"/>
                <w:w w:val="9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45.5</w:t>
            </w:r>
          </w:p>
        </w:tc>
        <w:tc>
          <w:tcPr>
            <w:tcW w:w="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24.5</w:t>
            </w: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i w:val="1"/>
                <w:iCs w:val="1"/>
                <w:color w:val="auto"/>
              </w:rPr>
              <w:t>(5.3)%</w:t>
            </w:r>
          </w:p>
        </w:tc>
        <w:tc>
          <w:tcPr>
            <w:tcW w:w="0" w:type="dxa"/>
            <w:vAlign w:val="bottom"/>
          </w:tcPr>
          <w:p>
            <w:pPr>
              <w:spacing w:after="0"/>
              <w:rPr>
                <w:sz w:val="1"/>
                <w:szCs w:val="1"/>
                <w:color w:val="auto"/>
              </w:rPr>
            </w:pPr>
          </w:p>
        </w:tc>
      </w:tr>
      <w:tr>
        <w:trPr>
          <w:trHeight w:val="201"/>
        </w:trPr>
        <w:tc>
          <w:tcPr>
            <w:tcW w:w="2600" w:type="dxa"/>
            <w:vAlign w:val="bottom"/>
            <w:gridSpan w:val="2"/>
          </w:tcPr>
          <w:p>
            <w:pPr>
              <w:ind w:left="140"/>
              <w:spacing w:after="0"/>
              <w:rPr>
                <w:sz w:val="20"/>
                <w:szCs w:val="20"/>
                <w:color w:val="auto"/>
              </w:rPr>
            </w:pPr>
            <w:r>
              <w:rPr>
                <w:rFonts w:ascii="Arial" w:cs="Arial" w:eastAsia="Arial" w:hAnsi="Arial"/>
                <w:sz w:val="15"/>
                <w:szCs w:val="15"/>
                <w:color w:val="auto"/>
              </w:rPr>
              <w:t>Non-GAAP Adjustments:</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6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Intangible asset amortization</w:t>
            </w:r>
          </w:p>
        </w:tc>
        <w:tc>
          <w:tcPr>
            <w:tcW w:w="1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6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i w:val="1"/>
                <w:iCs w:val="1"/>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127"/>
              <w:spacing w:after="0"/>
              <w:rPr>
                <w:sz w:val="20"/>
                <w:szCs w:val="20"/>
                <w:color w:val="auto"/>
              </w:rPr>
            </w:pPr>
            <w:r>
              <w:rPr>
                <w:rFonts w:ascii="Arial" w:cs="Arial" w:eastAsia="Arial" w:hAnsi="Arial"/>
                <w:sz w:val="15"/>
                <w:szCs w:val="15"/>
                <w:i w:val="1"/>
                <w:iCs w:val="1"/>
                <w:color w:val="auto"/>
              </w:rPr>
              <w:t>—</w:t>
            </w:r>
          </w:p>
        </w:tc>
        <w:tc>
          <w:tcPr>
            <w:tcW w:w="0" w:type="dxa"/>
            <w:vAlign w:val="bottom"/>
          </w:tcPr>
          <w:p>
            <w:pPr>
              <w:spacing w:after="0"/>
              <w:rPr>
                <w:sz w:val="1"/>
                <w:szCs w:val="1"/>
                <w:color w:val="auto"/>
              </w:rPr>
            </w:pPr>
          </w:p>
        </w:tc>
      </w:tr>
      <w:tr>
        <w:trPr>
          <w:trHeight w:val="158"/>
        </w:trPr>
        <w:tc>
          <w:tcPr>
            <w:tcW w:w="2600" w:type="dxa"/>
            <w:vAlign w:val="bottom"/>
            <w:gridSpan w:val="2"/>
          </w:tcPr>
          <w:p>
            <w:pPr>
              <w:ind w:left="140"/>
              <w:spacing w:after="0" w:line="158" w:lineRule="exact"/>
              <w:rPr>
                <w:sz w:val="20"/>
                <w:szCs w:val="20"/>
                <w:color w:val="auto"/>
              </w:rPr>
            </w:pPr>
            <w:r>
              <w:rPr>
                <w:rFonts w:ascii="Arial" w:cs="Arial" w:eastAsia="Arial" w:hAnsi="Arial"/>
                <w:sz w:val="15"/>
                <w:szCs w:val="15"/>
                <w:color w:val="auto"/>
              </w:rPr>
              <w:t>Share-based compensation</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600" w:type="dxa"/>
            <w:vAlign w:val="bottom"/>
            <w:gridSpan w:val="2"/>
          </w:tcPr>
          <w:p>
            <w:pPr>
              <w:ind w:left="140"/>
              <w:spacing w:after="0"/>
              <w:rPr>
                <w:sz w:val="20"/>
                <w:szCs w:val="20"/>
                <w:color w:val="auto"/>
              </w:rPr>
            </w:pPr>
            <w:r>
              <w:rPr>
                <w:rFonts w:ascii="Arial" w:cs="Arial" w:eastAsia="Arial" w:hAnsi="Arial"/>
                <w:sz w:val="15"/>
                <w:szCs w:val="15"/>
                <w:color w:val="auto"/>
              </w:rPr>
              <w:t>expense</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jc w:val="right"/>
              <w:ind w:right="127"/>
              <w:spacing w:after="0"/>
              <w:rPr>
                <w:sz w:val="20"/>
                <w:szCs w:val="20"/>
                <w:color w:val="auto"/>
              </w:rPr>
            </w:pPr>
            <w:r>
              <w:rPr>
                <w:rFonts w:ascii="Arial" w:cs="Arial" w:eastAsia="Arial" w:hAnsi="Arial"/>
                <w:sz w:val="15"/>
                <w:szCs w:val="15"/>
                <w:i w:val="1"/>
                <w:iCs w:val="1"/>
                <w:color w:val="auto"/>
              </w:rPr>
              <w:t>0.4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(45.4)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(22.9)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27"/>
              <w:spacing w:after="0"/>
              <w:rPr>
                <w:sz w:val="20"/>
                <w:szCs w:val="20"/>
                <w:color w:val="auto"/>
              </w:rPr>
            </w:pPr>
            <w:r>
              <w:rPr>
                <w:rFonts w:ascii="Arial" w:cs="Arial" w:eastAsia="Arial" w:hAnsi="Arial"/>
                <w:sz w:val="15"/>
                <w:szCs w:val="15"/>
                <w:i w:val="1"/>
                <w:iCs w:val="1"/>
                <w:color w:val="auto"/>
              </w:rPr>
              <w:t>—</w:t>
            </w:r>
          </w:p>
        </w:tc>
        <w:tc>
          <w:tcPr>
            <w:tcW w:w="0" w:type="dxa"/>
            <w:vAlign w:val="bottom"/>
          </w:tcPr>
          <w:p>
            <w:pPr>
              <w:spacing w:after="0"/>
              <w:rPr>
                <w:sz w:val="1"/>
                <w:szCs w:val="1"/>
                <w:color w:val="auto"/>
              </w:rPr>
            </w:pPr>
          </w:p>
        </w:tc>
      </w:tr>
      <w:tr>
        <w:trPr>
          <w:trHeight w:val="205"/>
        </w:trPr>
        <w:tc>
          <w:tcPr>
            <w:tcW w:w="26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Restructuring and other costs</w:t>
            </w:r>
          </w:p>
        </w:tc>
        <w:tc>
          <w:tcPr>
            <w:tcW w:w="1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6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i w:val="1"/>
                <w:iCs w:val="1"/>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127"/>
              <w:spacing w:after="0"/>
              <w:rPr>
                <w:sz w:val="20"/>
                <w:szCs w:val="20"/>
                <w:color w:val="auto"/>
              </w:rPr>
            </w:pPr>
            <w:r>
              <w:rPr>
                <w:rFonts w:ascii="Arial" w:cs="Arial" w:eastAsia="Arial" w:hAnsi="Arial"/>
                <w:sz w:val="15"/>
                <w:szCs w:val="15"/>
                <w:i w:val="1"/>
                <w:iCs w:val="1"/>
                <w:color w:val="auto"/>
              </w:rPr>
              <w:t>—</w:t>
            </w:r>
          </w:p>
        </w:tc>
        <w:tc>
          <w:tcPr>
            <w:tcW w:w="0" w:type="dxa"/>
            <w:vAlign w:val="bottom"/>
          </w:tcPr>
          <w:p>
            <w:pPr>
              <w:spacing w:after="0"/>
              <w:rPr>
                <w:sz w:val="1"/>
                <w:szCs w:val="1"/>
                <w:color w:val="auto"/>
              </w:rPr>
            </w:pPr>
          </w:p>
        </w:tc>
      </w:tr>
      <w:tr>
        <w:trPr>
          <w:trHeight w:val="201"/>
        </w:trPr>
        <w:tc>
          <w:tcPr>
            <w:tcW w:w="2600" w:type="dxa"/>
            <w:vAlign w:val="bottom"/>
            <w:gridSpan w:val="2"/>
          </w:tcPr>
          <w:p>
            <w:pPr>
              <w:ind w:left="140"/>
              <w:spacing w:after="0"/>
              <w:rPr>
                <w:sz w:val="20"/>
                <w:szCs w:val="20"/>
                <w:color w:val="auto"/>
              </w:rPr>
            </w:pPr>
            <w:r>
              <w:rPr>
                <w:rFonts w:ascii="Arial" w:cs="Arial" w:eastAsia="Arial" w:hAnsi="Arial"/>
                <w:sz w:val="15"/>
                <w:szCs w:val="15"/>
                <w:color w:val="auto"/>
              </w:rPr>
              <w:t>Integration related expenses</w:t>
            </w:r>
          </w:p>
        </w:tc>
        <w:tc>
          <w:tcPr>
            <w:tcW w:w="160" w:type="dxa"/>
            <w:vAlign w:val="bottom"/>
          </w:tcPr>
          <w:p>
            <w:pPr>
              <w:spacing w:after="0"/>
              <w:rPr>
                <w:sz w:val="17"/>
                <w:szCs w:val="17"/>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860" w:type="dxa"/>
            <w:vAlign w:val="bottom"/>
            <w:gridSpan w:val="3"/>
          </w:tcPr>
          <w:p>
            <w:pPr>
              <w:jc w:val="right"/>
              <w:ind w:right="320"/>
              <w:spacing w:after="0"/>
              <w:rPr>
                <w:sz w:val="20"/>
                <w:szCs w:val="20"/>
                <w:color w:val="auto"/>
              </w:rPr>
            </w:pPr>
            <w:r>
              <w:rPr>
                <w:rFonts w:ascii="Arial" w:cs="Arial" w:eastAsia="Arial" w:hAnsi="Arial"/>
                <w:sz w:val="15"/>
                <w:szCs w:val="15"/>
                <w:i w:val="1"/>
                <w:iCs w:val="1"/>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(0.3)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(0.1)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27"/>
              <w:spacing w:after="0"/>
              <w:rPr>
                <w:sz w:val="20"/>
                <w:szCs w:val="20"/>
                <w:color w:val="auto"/>
              </w:rPr>
            </w:pPr>
            <w:r>
              <w:rPr>
                <w:rFonts w:ascii="Arial" w:cs="Arial" w:eastAsia="Arial" w:hAnsi="Arial"/>
                <w:sz w:val="15"/>
                <w:szCs w:val="15"/>
                <w:i w:val="1"/>
                <w:iCs w:val="1"/>
                <w:color w:val="auto"/>
              </w:rPr>
              <w:t>—</w:t>
            </w:r>
          </w:p>
        </w:tc>
        <w:tc>
          <w:tcPr>
            <w:tcW w:w="0" w:type="dxa"/>
            <w:vAlign w:val="bottom"/>
          </w:tcPr>
          <w:p>
            <w:pPr>
              <w:spacing w:after="0"/>
              <w:rPr>
                <w:sz w:val="1"/>
                <w:szCs w:val="1"/>
                <w:color w:val="auto"/>
              </w:rPr>
            </w:pPr>
          </w:p>
        </w:tc>
      </w:tr>
      <w:tr>
        <w:trPr>
          <w:trHeight w:val="159"/>
        </w:trPr>
        <w:tc>
          <w:tcPr>
            <w:tcW w:w="260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5"/>
                <w:szCs w:val="15"/>
                <w:color w:val="auto"/>
              </w:rPr>
              <w:t>Income tax effect of above</w:t>
            </w: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6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adjustments</w:t>
            </w:r>
          </w:p>
        </w:tc>
        <w:tc>
          <w:tcPr>
            <w:tcW w:w="1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6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i w:val="1"/>
                <w:iCs w:val="1"/>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47.6</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7"/>
              <w:spacing w:after="0"/>
              <w:rPr>
                <w:sz w:val="20"/>
                <w:szCs w:val="20"/>
                <w:color w:val="auto"/>
              </w:rPr>
            </w:pPr>
            <w:r>
              <w:rPr>
                <w:rFonts w:ascii="Arial" w:cs="Arial" w:eastAsia="Arial" w:hAnsi="Arial"/>
                <w:sz w:val="15"/>
                <w:szCs w:val="15"/>
                <w:i w:val="1"/>
                <w:iCs w:val="1"/>
                <w:color w:val="auto"/>
              </w:rPr>
              <w:t>(35.0)</w:t>
            </w:r>
          </w:p>
        </w:tc>
        <w:tc>
          <w:tcPr>
            <w:tcW w:w="0" w:type="dxa"/>
            <w:vAlign w:val="bottom"/>
          </w:tcPr>
          <w:p>
            <w:pPr>
              <w:spacing w:after="0"/>
              <w:rPr>
                <w:sz w:val="1"/>
                <w:szCs w:val="1"/>
                <w:color w:val="auto"/>
              </w:rPr>
            </w:pPr>
          </w:p>
        </w:tc>
      </w:tr>
      <w:tr>
        <w:trPr>
          <w:trHeight w:val="195"/>
        </w:trPr>
        <w:tc>
          <w:tcPr>
            <w:tcW w:w="2600" w:type="dxa"/>
            <w:vAlign w:val="bottom"/>
            <w:tcBorders>
              <w:bottom w:val="single" w:sz="8" w:color="CCEEFF"/>
            </w:tcBorders>
            <w:gridSpan w:val="2"/>
          </w:tcPr>
          <w:p>
            <w:pPr>
              <w:ind w:left="220"/>
              <w:spacing w:after="0"/>
              <w:rPr>
                <w:sz w:val="20"/>
                <w:szCs w:val="20"/>
                <w:color w:val="auto"/>
              </w:rPr>
            </w:pPr>
            <w:r>
              <w:rPr>
                <w:rFonts w:ascii="Arial" w:cs="Arial" w:eastAsia="Arial" w:hAnsi="Arial"/>
                <w:sz w:val="15"/>
                <w:szCs w:val="15"/>
                <w:color w:val="auto"/>
              </w:rPr>
              <w:t>Total of non-GAAP adjustments</w:t>
            </w:r>
          </w:p>
        </w:tc>
        <w:tc>
          <w:tcPr>
            <w:tcW w:w="16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(5.5)</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i w:val="1"/>
                <w:iCs w:val="1"/>
                <w:color w:val="auto"/>
              </w:rPr>
              <w:t>0.4</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(79.9)</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(23.0)</w:t>
            </w: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(171.8)</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47.6</w:t>
            </w:r>
          </w:p>
        </w:tc>
        <w:tc>
          <w:tcPr>
            <w:tcW w:w="10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i w:val="1"/>
                <w:iCs w:val="1"/>
                <w:color w:val="auto"/>
              </w:rPr>
              <w:t>(35.0)</w:t>
            </w:r>
          </w:p>
        </w:tc>
        <w:tc>
          <w:tcPr>
            <w:tcW w:w="0" w:type="dxa"/>
            <w:vAlign w:val="bottom"/>
          </w:tcPr>
          <w:p>
            <w:pPr>
              <w:spacing w:after="0"/>
              <w:rPr>
                <w:sz w:val="1"/>
                <w:szCs w:val="1"/>
                <w:color w:val="auto"/>
              </w:rPr>
            </w:pPr>
          </w:p>
        </w:tc>
      </w:tr>
      <w:tr>
        <w:trPr>
          <w:trHeight w:val="222"/>
        </w:trPr>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Non-GAAP Adjusted</w:t>
            </w: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105.1</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i w:val="1"/>
                <w:iCs w:val="1"/>
                <w:color w:val="auto"/>
              </w:rPr>
              <w:t>91.5 %</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328.0</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188.9</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754.2</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36"/>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45.5</w:t>
            </w: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72.1</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i w:val="1"/>
                <w:iCs w:val="1"/>
                <w:color w:val="auto"/>
              </w:rPr>
              <w:t>(40.3)%</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8"/>
        </w:trPr>
        <w:tc>
          <w:tcPr>
            <w:tcW w:w="25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13"/>
          </w:tcPr>
          <w:p>
            <w:pPr>
              <w:ind w:left="80"/>
              <w:spacing w:after="0"/>
              <w:rPr>
                <w:sz w:val="20"/>
                <w:szCs w:val="20"/>
                <w:color w:val="auto"/>
              </w:rPr>
            </w:pPr>
            <w:r>
              <w:rPr>
                <w:rFonts w:ascii="Arial" w:cs="Arial" w:eastAsia="Arial" w:hAnsi="Arial"/>
                <w:sz w:val="14"/>
                <w:szCs w:val="14"/>
                <w:b w:val="1"/>
                <w:bCs w:val="1"/>
                <w:color w:val="auto"/>
              </w:rPr>
              <w:t>Three months ended September 30, 2025</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3"/>
          </w:tcPr>
          <w:p>
            <w:pPr>
              <w:jc w:val="center"/>
              <w:ind w:right="300"/>
              <w:spacing w:after="0" w:line="120" w:lineRule="exact"/>
              <w:rPr>
                <w:sz w:val="20"/>
                <w:szCs w:val="20"/>
                <w:color w:val="auto"/>
              </w:rPr>
            </w:pPr>
            <w:r>
              <w:rPr>
                <w:rFonts w:ascii="Arial" w:cs="Arial" w:eastAsia="Arial" w:hAnsi="Arial"/>
                <w:sz w:val="12"/>
                <w:szCs w:val="12"/>
                <w:b w:val="1"/>
                <w:bCs w:val="1"/>
                <w:color w:val="auto"/>
                <w:w w:val="96"/>
              </w:rPr>
              <w:t>Cost of</w:t>
            </w:r>
          </w:p>
        </w:tc>
        <w:tc>
          <w:tcPr>
            <w:tcW w:w="860" w:type="dxa"/>
            <w:vAlign w:val="bottom"/>
            <w:gridSpan w:val="3"/>
          </w:tcPr>
          <w:p>
            <w:pPr>
              <w:jc w:val="center"/>
              <w:ind w:right="160"/>
              <w:spacing w:after="0" w:line="120" w:lineRule="exact"/>
              <w:rPr>
                <w:sz w:val="20"/>
                <w:szCs w:val="20"/>
                <w:color w:val="auto"/>
              </w:rPr>
            </w:pPr>
            <w:r>
              <w:rPr>
                <w:rFonts w:ascii="Arial" w:cs="Arial" w:eastAsia="Arial" w:hAnsi="Arial"/>
                <w:sz w:val="12"/>
                <w:szCs w:val="12"/>
                <w:b w:val="1"/>
                <w:bCs w:val="1"/>
                <w:color w:val="auto"/>
                <w:w w:val="97"/>
              </w:rPr>
              <w:t>Gross</w:t>
            </w:r>
          </w:p>
        </w:tc>
        <w:tc>
          <w:tcPr>
            <w:tcW w:w="180" w:type="dxa"/>
            <w:vAlign w:val="bottom"/>
          </w:tcPr>
          <w:p>
            <w:pPr>
              <w:spacing w:after="0"/>
              <w:rPr>
                <w:sz w:val="10"/>
                <w:szCs w:val="10"/>
                <w:color w:val="auto"/>
              </w:rPr>
            </w:pPr>
          </w:p>
        </w:tc>
        <w:tc>
          <w:tcPr>
            <w:tcW w:w="8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SG&amp;A</w:t>
            </w:r>
          </w:p>
        </w:tc>
        <w:tc>
          <w:tcPr>
            <w:tcW w:w="200" w:type="dxa"/>
            <w:vAlign w:val="bottom"/>
          </w:tcPr>
          <w:p>
            <w:pPr>
              <w:spacing w:after="0"/>
              <w:rPr>
                <w:sz w:val="10"/>
                <w:szCs w:val="10"/>
                <w:color w:val="auto"/>
              </w:rPr>
            </w:pPr>
          </w:p>
        </w:tc>
        <w:tc>
          <w:tcPr>
            <w:tcW w:w="78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R&amp;D</w:t>
            </w:r>
          </w:p>
        </w:tc>
        <w:tc>
          <w:tcPr>
            <w:tcW w:w="1060" w:type="dxa"/>
            <w:vAlign w:val="bottom"/>
            <w:gridSpan w:val="4"/>
          </w:tcPr>
          <w:p>
            <w:pPr>
              <w:jc w:val="right"/>
              <w:ind w:right="140"/>
              <w:spacing w:after="0" w:line="120" w:lineRule="exact"/>
              <w:rPr>
                <w:sz w:val="20"/>
                <w:szCs w:val="20"/>
                <w:color w:val="auto"/>
              </w:rPr>
            </w:pPr>
            <w:r>
              <w:rPr>
                <w:rFonts w:ascii="Arial" w:cs="Arial" w:eastAsia="Arial" w:hAnsi="Arial"/>
                <w:sz w:val="12"/>
                <w:szCs w:val="12"/>
                <w:b w:val="1"/>
                <w:bCs w:val="1"/>
                <w:color w:val="auto"/>
                <w:w w:val="99"/>
              </w:rPr>
              <w:t>Intangible asset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3"/>
          </w:tcPr>
          <w:p>
            <w:pPr>
              <w:jc w:val="center"/>
              <w:ind w:right="200"/>
              <w:spacing w:after="0" w:line="120" w:lineRule="exact"/>
              <w:rPr>
                <w:sz w:val="20"/>
                <w:szCs w:val="20"/>
                <w:color w:val="auto"/>
              </w:rPr>
            </w:pPr>
            <w:r>
              <w:rPr>
                <w:rFonts w:ascii="Arial" w:cs="Arial" w:eastAsia="Arial" w:hAnsi="Arial"/>
                <w:sz w:val="12"/>
                <w:szCs w:val="12"/>
                <w:b w:val="1"/>
                <w:bCs w:val="1"/>
                <w:color w:val="auto"/>
                <w:w w:val="96"/>
              </w:rPr>
              <w:t>Acquired</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gridSpan w:val="2"/>
          </w:tcPr>
          <w:p>
            <w:pPr>
              <w:jc w:val="center"/>
              <w:ind w:right="200"/>
              <w:spacing w:after="0" w:line="120" w:lineRule="exact"/>
              <w:rPr>
                <w:sz w:val="20"/>
                <w:szCs w:val="20"/>
                <w:color w:val="auto"/>
              </w:rPr>
            </w:pPr>
            <w:r>
              <w:rPr>
                <w:rFonts w:ascii="Arial" w:cs="Arial" w:eastAsia="Arial" w:hAnsi="Arial"/>
                <w:sz w:val="12"/>
                <w:szCs w:val="12"/>
                <w:b w:val="1"/>
                <w:bCs w:val="1"/>
                <w:color w:val="auto"/>
                <w:w w:val="96"/>
              </w:rPr>
              <w:t>Interest</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gridSpan w:val="3"/>
          </w:tcPr>
          <w:p>
            <w:pPr>
              <w:ind w:left="100"/>
              <w:spacing w:after="0" w:line="120" w:lineRule="exact"/>
              <w:rPr>
                <w:sz w:val="20"/>
                <w:szCs w:val="20"/>
                <w:color w:val="auto"/>
              </w:rPr>
            </w:pPr>
            <w:r>
              <w:rPr>
                <w:rFonts w:ascii="Arial" w:cs="Arial" w:eastAsia="Arial" w:hAnsi="Arial"/>
                <w:sz w:val="12"/>
                <w:szCs w:val="12"/>
                <w:b w:val="1"/>
                <w:bCs w:val="1"/>
                <w:color w:val="auto"/>
              </w:rPr>
              <w:t>Income tax</w:t>
            </w:r>
          </w:p>
        </w:tc>
        <w:tc>
          <w:tcPr>
            <w:tcW w:w="86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6"/>
              </w:rPr>
              <w:t>Effective tax</w:t>
            </w:r>
          </w:p>
        </w:tc>
        <w:tc>
          <w:tcPr>
            <w:tcW w:w="0" w:type="dxa"/>
            <w:vAlign w:val="bottom"/>
          </w:tcPr>
          <w:p>
            <w:pPr>
              <w:spacing w:after="0"/>
              <w:rPr>
                <w:sz w:val="1"/>
                <w:szCs w:val="1"/>
                <w:color w:val="auto"/>
              </w:rPr>
            </w:pPr>
          </w:p>
        </w:tc>
      </w:tr>
      <w:tr>
        <w:trPr>
          <w:trHeight w:val="158"/>
        </w:trPr>
        <w:tc>
          <w:tcPr>
            <w:tcW w:w="2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4"/>
          </w:tcPr>
          <w:p>
            <w:pPr>
              <w:jc w:val="center"/>
              <w:ind w:right="140"/>
              <w:spacing w:after="0"/>
              <w:rPr>
                <w:sz w:val="20"/>
                <w:szCs w:val="20"/>
                <w:color w:val="auto"/>
              </w:rPr>
            </w:pPr>
            <w:r>
              <w:rPr>
                <w:rFonts w:ascii="Arial" w:cs="Arial" w:eastAsia="Arial" w:hAnsi="Arial"/>
                <w:sz w:val="12"/>
                <w:szCs w:val="12"/>
                <w:b w:val="1"/>
                <w:bCs w:val="1"/>
                <w:color w:val="auto"/>
                <w:w w:val="97"/>
              </w:rPr>
              <w:t>product sales</w:t>
            </w:r>
          </w:p>
        </w:tc>
        <w:tc>
          <w:tcPr>
            <w:tcW w:w="86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9"/>
              </w:rPr>
              <w:t>margin</w:t>
            </w:r>
          </w:p>
        </w:tc>
        <w:tc>
          <w:tcPr>
            <w:tcW w:w="180" w:type="dxa"/>
            <w:vAlign w:val="bottom"/>
          </w:tcPr>
          <w:p>
            <w:pPr>
              <w:spacing w:after="0"/>
              <w:rPr>
                <w:sz w:val="13"/>
                <w:szCs w:val="13"/>
                <w:color w:val="auto"/>
              </w:rPr>
            </w:pPr>
          </w:p>
        </w:tc>
        <w:tc>
          <w:tcPr>
            <w:tcW w:w="800" w:type="dxa"/>
            <w:vAlign w:val="bottom"/>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amortization</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w w:val="96"/>
              </w:rPr>
              <w:t>IPR&amp;D</w:t>
            </w:r>
          </w:p>
        </w:tc>
        <w:tc>
          <w:tcPr>
            <w:tcW w:w="40" w:type="dxa"/>
            <w:vAlign w:val="bottom"/>
          </w:tcPr>
          <w:p>
            <w:pPr>
              <w:spacing w:after="0"/>
              <w:rPr>
                <w:sz w:val="13"/>
                <w:szCs w:val="13"/>
                <w:color w:val="auto"/>
              </w:rPr>
            </w:pPr>
          </w:p>
        </w:tc>
        <w:tc>
          <w:tcPr>
            <w:tcW w:w="86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96"/>
              </w:rPr>
              <w:t>expense, net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benefit</w:t>
            </w: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w w:val="99"/>
              </w:rPr>
              <w:t>rate</w:t>
            </w:r>
          </w:p>
        </w:tc>
        <w:tc>
          <w:tcPr>
            <w:tcW w:w="0" w:type="dxa"/>
            <w:vAlign w:val="bottom"/>
          </w:tcPr>
          <w:p>
            <w:pPr>
              <w:spacing w:after="0"/>
              <w:rPr>
                <w:sz w:val="1"/>
                <w:szCs w:val="1"/>
                <w:color w:val="auto"/>
              </w:rPr>
            </w:pPr>
          </w:p>
        </w:tc>
      </w:tr>
      <w:tr>
        <w:trPr>
          <w:trHeight w:val="196"/>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GAAP Reported</w:t>
            </w: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rPr>
              <w:t>128.9</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i w:val="1"/>
                <w:iCs w:val="1"/>
                <w:color w:val="auto"/>
              </w:rPr>
              <w:t>88.6 %</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530.6</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9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198.2</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168.4</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42.5</w:t>
            </w: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48.6</w:t>
            </w:r>
          </w:p>
        </w:tc>
        <w:tc>
          <w:tcPr>
            <w:tcW w:w="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(242.4)</w:t>
            </w: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i w:val="1"/>
                <w:iCs w:val="1"/>
                <w:color w:val="auto"/>
              </w:rPr>
              <w:t>N/A(1)</w:t>
            </w:r>
          </w:p>
        </w:tc>
        <w:tc>
          <w:tcPr>
            <w:tcW w:w="0" w:type="dxa"/>
            <w:vAlign w:val="bottom"/>
          </w:tcPr>
          <w:p>
            <w:pPr>
              <w:spacing w:after="0"/>
              <w:rPr>
                <w:sz w:val="1"/>
                <w:szCs w:val="1"/>
                <w:color w:val="auto"/>
              </w:rPr>
            </w:pPr>
          </w:p>
        </w:tc>
      </w:tr>
      <w:tr>
        <w:trPr>
          <w:trHeight w:val="201"/>
        </w:trPr>
        <w:tc>
          <w:tcPr>
            <w:tcW w:w="2600" w:type="dxa"/>
            <w:vAlign w:val="bottom"/>
            <w:gridSpan w:val="2"/>
          </w:tcPr>
          <w:p>
            <w:pPr>
              <w:ind w:left="140"/>
              <w:spacing w:after="0"/>
              <w:rPr>
                <w:sz w:val="20"/>
                <w:szCs w:val="20"/>
                <w:color w:val="auto"/>
              </w:rPr>
            </w:pPr>
            <w:r>
              <w:rPr>
                <w:rFonts w:ascii="Arial" w:cs="Arial" w:eastAsia="Arial" w:hAnsi="Arial"/>
                <w:sz w:val="15"/>
                <w:szCs w:val="15"/>
                <w:color w:val="auto"/>
              </w:rPr>
              <w:t>Non-GAAP Adjustments:</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6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Intangible asset amortization</w:t>
            </w:r>
          </w:p>
        </w:tc>
        <w:tc>
          <w:tcPr>
            <w:tcW w:w="1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6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(168.4)</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127"/>
              <w:spacing w:after="0"/>
              <w:rPr>
                <w:sz w:val="20"/>
                <w:szCs w:val="20"/>
                <w:color w:val="auto"/>
              </w:rPr>
            </w:pPr>
            <w:r>
              <w:rPr>
                <w:rFonts w:ascii="Arial" w:cs="Arial" w:eastAsia="Arial" w:hAnsi="Arial"/>
                <w:sz w:val="15"/>
                <w:szCs w:val="15"/>
                <w:i w:val="1"/>
                <w:iCs w:val="1"/>
                <w:color w:val="auto"/>
              </w:rPr>
              <w:t>—</w:t>
            </w:r>
          </w:p>
        </w:tc>
        <w:tc>
          <w:tcPr>
            <w:tcW w:w="0" w:type="dxa"/>
            <w:vAlign w:val="bottom"/>
          </w:tcPr>
          <w:p>
            <w:pPr>
              <w:spacing w:after="0"/>
              <w:rPr>
                <w:sz w:val="1"/>
                <w:szCs w:val="1"/>
                <w:color w:val="auto"/>
              </w:rPr>
            </w:pPr>
          </w:p>
        </w:tc>
      </w:tr>
      <w:tr>
        <w:trPr>
          <w:trHeight w:val="148"/>
        </w:trPr>
        <w:tc>
          <w:tcPr>
            <w:tcW w:w="2600" w:type="dxa"/>
            <w:vAlign w:val="bottom"/>
            <w:gridSpan w:val="2"/>
          </w:tcPr>
          <w:p>
            <w:pPr>
              <w:ind w:left="140"/>
              <w:spacing w:after="0" w:line="149" w:lineRule="exact"/>
              <w:rPr>
                <w:sz w:val="20"/>
                <w:szCs w:val="20"/>
                <w:color w:val="auto"/>
              </w:rPr>
            </w:pPr>
            <w:r>
              <w:rPr>
                <w:rFonts w:ascii="Arial" w:cs="Arial" w:eastAsia="Arial" w:hAnsi="Arial"/>
                <w:sz w:val="15"/>
                <w:szCs w:val="15"/>
                <w:color w:val="auto"/>
              </w:rPr>
              <w:t>Share-based compensation</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600" w:type="dxa"/>
            <w:vAlign w:val="bottom"/>
            <w:gridSpan w:val="2"/>
          </w:tcPr>
          <w:p>
            <w:pPr>
              <w:ind w:left="140"/>
              <w:spacing w:after="0"/>
              <w:rPr>
                <w:sz w:val="20"/>
                <w:szCs w:val="20"/>
                <w:color w:val="auto"/>
              </w:rPr>
            </w:pPr>
            <w:r>
              <w:rPr>
                <w:rFonts w:ascii="Arial" w:cs="Arial" w:eastAsia="Arial" w:hAnsi="Arial"/>
                <w:sz w:val="15"/>
                <w:szCs w:val="15"/>
                <w:color w:val="auto"/>
              </w:rPr>
              <w:t>expense</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jc w:val="right"/>
              <w:ind w:right="127"/>
              <w:spacing w:after="0"/>
              <w:rPr>
                <w:sz w:val="20"/>
                <w:szCs w:val="20"/>
                <w:color w:val="auto"/>
              </w:rPr>
            </w:pPr>
            <w:r>
              <w:rPr>
                <w:rFonts w:ascii="Arial" w:cs="Arial" w:eastAsia="Arial" w:hAnsi="Arial"/>
                <w:sz w:val="15"/>
                <w:szCs w:val="15"/>
                <w:i w:val="1"/>
                <w:iCs w:val="1"/>
                <w:color w:val="auto"/>
              </w:rPr>
              <w:t>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(61.3)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27"/>
              <w:spacing w:after="0"/>
              <w:rPr>
                <w:sz w:val="20"/>
                <w:szCs w:val="20"/>
                <w:color w:val="auto"/>
              </w:rPr>
            </w:pPr>
            <w:r>
              <w:rPr>
                <w:rFonts w:ascii="Arial" w:cs="Arial" w:eastAsia="Arial" w:hAnsi="Arial"/>
                <w:sz w:val="15"/>
                <w:szCs w:val="15"/>
                <w:i w:val="1"/>
                <w:iCs w:val="1"/>
                <w:color w:val="auto"/>
              </w:rPr>
              <w:t>—</w:t>
            </w:r>
          </w:p>
        </w:tc>
        <w:tc>
          <w:tcPr>
            <w:tcW w:w="0" w:type="dxa"/>
            <w:vAlign w:val="bottom"/>
          </w:tcPr>
          <w:p>
            <w:pPr>
              <w:spacing w:after="0"/>
              <w:rPr>
                <w:sz w:val="1"/>
                <w:szCs w:val="1"/>
                <w:color w:val="auto"/>
              </w:rPr>
            </w:pPr>
          </w:p>
        </w:tc>
      </w:tr>
      <w:tr>
        <w:trPr>
          <w:trHeight w:val="205"/>
        </w:trPr>
        <w:tc>
          <w:tcPr>
            <w:tcW w:w="26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Integration related expenses</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i w:val="1"/>
                <w:iCs w:val="1"/>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127"/>
              <w:spacing w:after="0"/>
              <w:rPr>
                <w:sz w:val="20"/>
                <w:szCs w:val="20"/>
                <w:color w:val="auto"/>
              </w:rPr>
            </w:pPr>
            <w:r>
              <w:rPr>
                <w:rFonts w:ascii="Arial" w:cs="Arial" w:eastAsia="Arial" w:hAnsi="Arial"/>
                <w:sz w:val="15"/>
                <w:szCs w:val="15"/>
                <w:i w:val="1"/>
                <w:iCs w:val="1"/>
                <w:color w:val="auto"/>
              </w:rPr>
              <w:t>—</w:t>
            </w:r>
          </w:p>
        </w:tc>
        <w:tc>
          <w:tcPr>
            <w:tcW w:w="0" w:type="dxa"/>
            <w:vAlign w:val="bottom"/>
          </w:tcPr>
          <w:p>
            <w:pPr>
              <w:spacing w:after="0"/>
              <w:rPr>
                <w:sz w:val="1"/>
                <w:szCs w:val="1"/>
                <w:color w:val="auto"/>
              </w:rPr>
            </w:pPr>
          </w:p>
        </w:tc>
      </w:tr>
      <w:tr>
        <w:trPr>
          <w:trHeight w:val="149"/>
        </w:trPr>
        <w:tc>
          <w:tcPr>
            <w:tcW w:w="2600" w:type="dxa"/>
            <w:vAlign w:val="bottom"/>
            <w:gridSpan w:val="2"/>
          </w:tcPr>
          <w:p>
            <w:pPr>
              <w:ind w:left="140"/>
              <w:spacing w:after="0" w:line="149" w:lineRule="exact"/>
              <w:rPr>
                <w:sz w:val="20"/>
                <w:szCs w:val="20"/>
                <w:color w:val="auto"/>
              </w:rPr>
            </w:pPr>
            <w:r>
              <w:rPr>
                <w:rFonts w:ascii="Arial" w:cs="Arial" w:eastAsia="Arial" w:hAnsi="Arial"/>
                <w:sz w:val="15"/>
                <w:szCs w:val="15"/>
                <w:color w:val="auto"/>
              </w:rPr>
              <w:t>Acquisition accounting inventory</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600" w:type="dxa"/>
            <w:vAlign w:val="bottom"/>
            <w:gridSpan w:val="2"/>
          </w:tcPr>
          <w:p>
            <w:pPr>
              <w:ind w:left="140"/>
              <w:spacing w:after="0"/>
              <w:rPr>
                <w:sz w:val="20"/>
                <w:szCs w:val="20"/>
                <w:color w:val="auto"/>
              </w:rPr>
            </w:pPr>
            <w:r>
              <w:rPr>
                <w:rFonts w:ascii="Arial" w:cs="Arial" w:eastAsia="Arial" w:hAnsi="Arial"/>
                <w:sz w:val="15"/>
                <w:szCs w:val="15"/>
                <w:color w:val="auto"/>
              </w:rPr>
              <w:t>fair value step-up</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jc w:val="right"/>
              <w:ind w:right="127"/>
              <w:spacing w:after="0"/>
              <w:rPr>
                <w:sz w:val="20"/>
                <w:szCs w:val="20"/>
                <w:color w:val="auto"/>
              </w:rPr>
            </w:pPr>
            <w:r>
              <w:rPr>
                <w:rFonts w:ascii="Arial" w:cs="Arial" w:eastAsia="Arial" w:hAnsi="Arial"/>
                <w:sz w:val="15"/>
                <w:szCs w:val="15"/>
                <w:i w:val="1"/>
                <w:iCs w:val="1"/>
                <w:color w:val="auto"/>
              </w:rPr>
              <w:t>3.6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4"/>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27"/>
              <w:spacing w:after="0"/>
              <w:rPr>
                <w:sz w:val="20"/>
                <w:szCs w:val="20"/>
                <w:color w:val="auto"/>
              </w:rPr>
            </w:pPr>
            <w:r>
              <w:rPr>
                <w:rFonts w:ascii="Arial" w:cs="Arial" w:eastAsia="Arial" w:hAnsi="Arial"/>
                <w:sz w:val="15"/>
                <w:szCs w:val="15"/>
                <w:i w:val="1"/>
                <w:iCs w:val="1"/>
                <w:color w:val="auto"/>
              </w:rPr>
              <w:t>—</w:t>
            </w:r>
          </w:p>
        </w:tc>
        <w:tc>
          <w:tcPr>
            <w:tcW w:w="0" w:type="dxa"/>
            <w:vAlign w:val="bottom"/>
          </w:tcPr>
          <w:p>
            <w:pPr>
              <w:spacing w:after="0"/>
              <w:rPr>
                <w:sz w:val="1"/>
                <w:szCs w:val="1"/>
                <w:color w:val="auto"/>
              </w:rPr>
            </w:pPr>
          </w:p>
        </w:tc>
      </w:tr>
      <w:tr>
        <w:trPr>
          <w:trHeight w:val="152"/>
        </w:trPr>
        <w:tc>
          <w:tcPr>
            <w:tcW w:w="2600" w:type="dxa"/>
            <w:vAlign w:val="bottom"/>
            <w:gridSpan w:val="2"/>
            <w:shd w:val="clear" w:color="auto" w:fill="CCEEFF"/>
          </w:tcPr>
          <w:p>
            <w:pPr>
              <w:ind w:left="140"/>
              <w:spacing w:after="0" w:line="151" w:lineRule="exact"/>
              <w:rPr>
                <w:sz w:val="20"/>
                <w:szCs w:val="20"/>
                <w:color w:val="auto"/>
              </w:rPr>
            </w:pPr>
            <w:r>
              <w:rPr>
                <w:rFonts w:ascii="Arial" w:cs="Arial" w:eastAsia="Arial" w:hAnsi="Arial"/>
                <w:sz w:val="15"/>
                <w:szCs w:val="15"/>
                <w:color w:val="auto"/>
              </w:rPr>
              <w:t>Income tax effect of above</w:t>
            </w: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adjustments</w:t>
            </w: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6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i w:val="1"/>
                <w:iCs w:val="1"/>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63.6</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N/A(1)</w:t>
            </w:r>
          </w:p>
        </w:tc>
        <w:tc>
          <w:tcPr>
            <w:tcW w:w="0" w:type="dxa"/>
            <w:vAlign w:val="bottom"/>
          </w:tcPr>
          <w:p>
            <w:pPr>
              <w:spacing w:after="0"/>
              <w:rPr>
                <w:sz w:val="1"/>
                <w:szCs w:val="1"/>
                <w:color w:val="auto"/>
              </w:rPr>
            </w:pPr>
          </w:p>
        </w:tc>
      </w:tr>
      <w:tr>
        <w:trPr>
          <w:trHeight w:val="195"/>
        </w:trPr>
        <w:tc>
          <w:tcPr>
            <w:tcW w:w="258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Total of non-GAAP adjustments</w:t>
            </w:r>
          </w:p>
        </w:tc>
        <w:tc>
          <w:tcPr>
            <w:tcW w:w="2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(45.7)</w:t>
            </w:r>
          </w:p>
        </w:tc>
        <w:tc>
          <w:tcPr>
            <w:tcW w:w="10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i w:val="1"/>
                <w:iCs w:val="1"/>
                <w:color w:val="auto"/>
              </w:rPr>
              <w:t>4.0</w:t>
            </w:r>
          </w:p>
        </w:tc>
        <w:tc>
          <w:tcPr>
            <w:tcW w:w="10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(70.5)</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(28.3)</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(168.4)</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63.6</w:t>
            </w:r>
          </w:p>
        </w:tc>
        <w:tc>
          <w:tcPr>
            <w:tcW w:w="10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i w:val="1"/>
                <w:iCs w:val="1"/>
                <w:color w:val="auto"/>
              </w:rPr>
              <w:t>N/A(1)</w:t>
            </w:r>
          </w:p>
        </w:tc>
        <w:tc>
          <w:tcPr>
            <w:tcW w:w="0" w:type="dxa"/>
            <w:vAlign w:val="bottom"/>
          </w:tcPr>
          <w:p>
            <w:pPr>
              <w:spacing w:after="0"/>
              <w:rPr>
                <w:sz w:val="1"/>
                <w:szCs w:val="1"/>
                <w:color w:val="auto"/>
              </w:rPr>
            </w:pPr>
          </w:p>
        </w:tc>
      </w:tr>
      <w:tr>
        <w:trPr>
          <w:trHeight w:val="217"/>
        </w:trPr>
        <w:tc>
          <w:tcPr>
            <w:tcW w:w="26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Non-GAAP Adjusted</w:t>
            </w: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83.2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92.6 %</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48.6</w:t>
            </w:r>
          </w:p>
        </w:tc>
        <w:tc>
          <w:tcPr>
            <w:tcW w:w="6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(178.8)</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(55.5)%</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21"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Not a meaningful metric due to minimal GAAP profit before tax in this period.</w:t>
      </w:r>
    </w:p>
    <w:p>
      <w:pPr>
        <w:spacing w:after="0" w:line="200" w:lineRule="exact"/>
        <w:rPr>
          <w:rFonts w:ascii="Arial" w:cs="Arial" w:eastAsia="Arial" w:hAnsi="Arial"/>
          <w:sz w:val="16"/>
          <w:szCs w:val="16"/>
          <w:color w:val="auto"/>
        </w:rPr>
      </w:pPr>
    </w:p>
    <w:p>
      <w:pPr>
        <w:spacing w:after="0" w:line="338"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949"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b w:val="1"/>
          <w:bCs w:val="1"/>
          <w:color w:val="auto"/>
        </w:rPr>
        <w:t>JAZZ PHARMACEUTICALS PLC</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RECONCILIATIONS OF GAAP REPORTED TO NON-GAAP ADJUSTED INFORMATION - CERTAIN LINE ITEMS</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percentages)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42" w:lineRule="exact"/>
        <w:rPr>
          <w:sz w:val="20"/>
          <w:szCs w:val="20"/>
          <w:color w:val="auto"/>
        </w:rPr>
      </w:pPr>
    </w:p>
    <w:p>
      <w:pPr>
        <w:ind w:left="5440"/>
        <w:spacing w:after="0"/>
        <w:rPr>
          <w:sz w:val="20"/>
          <w:szCs w:val="20"/>
          <w:color w:val="auto"/>
        </w:rPr>
      </w:pPr>
      <w:r>
        <w:rPr>
          <w:rFonts w:ascii="Arial" w:cs="Arial" w:eastAsia="Arial" w:hAnsi="Arial"/>
          <w:sz w:val="14"/>
          <w:szCs w:val="14"/>
          <w:b w:val="1"/>
          <w:bCs w:val="1"/>
          <w:color w:val="auto"/>
        </w:rPr>
        <w:t>Nine months ended September 30, 2026</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23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4"/>
          </w:tcPr>
          <w:p>
            <w:pPr>
              <w:ind w:left="40"/>
              <w:spacing w:after="0" w:line="121" w:lineRule="exact"/>
              <w:rPr>
                <w:sz w:val="20"/>
                <w:szCs w:val="20"/>
                <w:color w:val="auto"/>
              </w:rPr>
            </w:pPr>
            <w:r>
              <w:rPr>
                <w:rFonts w:ascii="Arial" w:cs="Arial" w:eastAsia="Arial" w:hAnsi="Arial"/>
                <w:sz w:val="12"/>
                <w:szCs w:val="12"/>
                <w:b w:val="1"/>
                <w:bCs w:val="1"/>
                <w:color w:val="auto"/>
              </w:rPr>
              <w:t>Cost of</w:t>
            </w:r>
          </w:p>
        </w:tc>
        <w:tc>
          <w:tcPr>
            <w:tcW w:w="740" w:type="dxa"/>
            <w:vAlign w:val="bottom"/>
            <w:tcBorders>
              <w:top w:val="single" w:sz="8" w:color="auto"/>
            </w:tcBorders>
            <w:gridSpan w:val="3"/>
            <w:vMerge w:val="restart"/>
          </w:tcPr>
          <w:p>
            <w:pPr>
              <w:jc w:val="right"/>
              <w:ind w:right="320"/>
              <w:spacing w:after="0"/>
              <w:rPr>
                <w:sz w:val="20"/>
                <w:szCs w:val="20"/>
                <w:color w:val="auto"/>
              </w:rPr>
            </w:pPr>
            <w:r>
              <w:rPr>
                <w:rFonts w:ascii="Arial" w:cs="Arial" w:eastAsia="Arial" w:hAnsi="Arial"/>
                <w:sz w:val="12"/>
                <w:szCs w:val="12"/>
                <w:b w:val="1"/>
                <w:bCs w:val="1"/>
                <w:color w:val="auto"/>
              </w:rPr>
              <w:t>Gross</w:t>
            </w: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4"/>
          </w:tcPr>
          <w:p>
            <w:pPr>
              <w:jc w:val="center"/>
              <w:spacing w:after="0" w:line="121" w:lineRule="exact"/>
              <w:rPr>
                <w:sz w:val="20"/>
                <w:szCs w:val="20"/>
                <w:color w:val="auto"/>
              </w:rPr>
            </w:pPr>
            <w:r>
              <w:rPr>
                <w:rFonts w:ascii="Arial" w:cs="Arial" w:eastAsia="Arial" w:hAnsi="Arial"/>
                <w:sz w:val="12"/>
                <w:szCs w:val="12"/>
                <w:b w:val="1"/>
                <w:bCs w:val="1"/>
                <w:color w:val="auto"/>
                <w:w w:val="95"/>
              </w:rPr>
              <w:t>Intangible</w:t>
            </w: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3"/>
            <w:vMerge w:val="restart"/>
          </w:tcPr>
          <w:p>
            <w:pPr>
              <w:jc w:val="right"/>
              <w:spacing w:after="0"/>
              <w:rPr>
                <w:sz w:val="20"/>
                <w:szCs w:val="20"/>
                <w:color w:val="auto"/>
              </w:rPr>
            </w:pPr>
            <w:r>
              <w:rPr>
                <w:rFonts w:ascii="Arial" w:cs="Arial" w:eastAsia="Arial" w:hAnsi="Arial"/>
                <w:sz w:val="12"/>
                <w:szCs w:val="12"/>
                <w:b w:val="1"/>
                <w:bCs w:val="1"/>
                <w:color w:val="auto"/>
                <w:w w:val="98"/>
              </w:rPr>
              <w:t>Gain on sale</w:t>
            </w: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3"/>
            <w:vMerge w:val="restart"/>
          </w:tcPr>
          <w:p>
            <w:pPr>
              <w:jc w:val="right"/>
              <w:ind w:right="53"/>
              <w:spacing w:after="0"/>
              <w:rPr>
                <w:sz w:val="20"/>
                <w:szCs w:val="20"/>
                <w:color w:val="auto"/>
              </w:rPr>
            </w:pPr>
            <w:r>
              <w:rPr>
                <w:rFonts w:ascii="Arial" w:cs="Arial" w:eastAsia="Arial" w:hAnsi="Arial"/>
                <w:sz w:val="12"/>
                <w:szCs w:val="12"/>
                <w:b w:val="1"/>
                <w:bCs w:val="1"/>
                <w:color w:val="auto"/>
                <w:w w:val="96"/>
              </w:rPr>
              <w:t>Acquired</w:t>
            </w: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3"/>
            <w:vMerge w:val="restart"/>
          </w:tcPr>
          <w:p>
            <w:pPr>
              <w:jc w:val="right"/>
              <w:ind w:right="100"/>
              <w:spacing w:after="0"/>
              <w:rPr>
                <w:sz w:val="20"/>
                <w:szCs w:val="20"/>
                <w:color w:val="auto"/>
              </w:rPr>
            </w:pPr>
            <w:r>
              <w:rPr>
                <w:rFonts w:ascii="Arial" w:cs="Arial" w:eastAsia="Arial" w:hAnsi="Arial"/>
                <w:sz w:val="12"/>
                <w:szCs w:val="12"/>
                <w:b w:val="1"/>
                <w:bCs w:val="1"/>
                <w:color w:val="auto"/>
              </w:rPr>
              <w:t>Interest</w:t>
            </w:r>
          </w:p>
        </w:tc>
        <w:tc>
          <w:tcPr>
            <w:tcW w:w="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5"/>
            <w:vMerge w:val="restart"/>
          </w:tcPr>
          <w:p>
            <w:pPr>
              <w:jc w:val="right"/>
              <w:ind w:right="180"/>
              <w:spacing w:after="0"/>
              <w:rPr>
                <w:sz w:val="20"/>
                <w:szCs w:val="20"/>
                <w:color w:val="auto"/>
              </w:rPr>
            </w:pPr>
            <w:r>
              <w:rPr>
                <w:rFonts w:ascii="Arial" w:cs="Arial" w:eastAsia="Arial" w:hAnsi="Arial"/>
                <w:sz w:val="12"/>
                <w:szCs w:val="12"/>
                <w:b w:val="1"/>
                <w:bCs w:val="1"/>
                <w:color w:val="auto"/>
              </w:rPr>
              <w:t>Income tax</w:t>
            </w:r>
          </w:p>
        </w:tc>
        <w:tc>
          <w:tcPr>
            <w:tcW w:w="860" w:type="dxa"/>
            <w:vAlign w:val="bottom"/>
            <w:tcBorders>
              <w:top w:val="single" w:sz="8" w:color="auto"/>
            </w:tcBorders>
            <w:vMerge w:val="restart"/>
          </w:tcPr>
          <w:p>
            <w:pPr>
              <w:jc w:val="right"/>
              <w:ind w:right="7"/>
              <w:spacing w:after="0"/>
              <w:rPr>
                <w:sz w:val="20"/>
                <w:szCs w:val="20"/>
                <w:color w:val="auto"/>
              </w:rPr>
            </w:pPr>
            <w:r>
              <w:rPr>
                <w:rFonts w:ascii="Arial" w:cs="Arial" w:eastAsia="Arial" w:hAnsi="Arial"/>
                <w:sz w:val="12"/>
                <w:szCs w:val="12"/>
                <w:b w:val="1"/>
                <w:bCs w:val="1"/>
                <w:color w:val="auto"/>
              </w:rPr>
              <w:t>Effective tax</w:t>
            </w:r>
          </w:p>
        </w:tc>
        <w:tc>
          <w:tcPr>
            <w:tcW w:w="0" w:type="dxa"/>
            <w:vAlign w:val="bottom"/>
          </w:tcPr>
          <w:p>
            <w:pPr>
              <w:spacing w:after="0"/>
              <w:rPr>
                <w:sz w:val="1"/>
                <w:szCs w:val="1"/>
                <w:color w:val="auto"/>
              </w:rPr>
            </w:pPr>
          </w:p>
        </w:tc>
      </w:tr>
      <w:tr>
        <w:trPr>
          <w:trHeight w:val="118"/>
        </w:trPr>
        <w:tc>
          <w:tcPr>
            <w:tcW w:w="2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4"/>
          </w:tcPr>
          <w:p>
            <w:pPr>
              <w:ind w:left="20"/>
              <w:spacing w:after="0" w:line="118" w:lineRule="exact"/>
              <w:rPr>
                <w:sz w:val="20"/>
                <w:szCs w:val="20"/>
                <w:color w:val="auto"/>
              </w:rPr>
            </w:pPr>
            <w:r>
              <w:rPr>
                <w:rFonts w:ascii="Arial" w:cs="Arial" w:eastAsia="Arial" w:hAnsi="Arial"/>
                <w:sz w:val="12"/>
                <w:szCs w:val="12"/>
                <w:b w:val="1"/>
                <w:bCs w:val="1"/>
                <w:color w:val="auto"/>
              </w:rPr>
              <w:t>product</w:t>
            </w:r>
          </w:p>
        </w:tc>
        <w:tc>
          <w:tcPr>
            <w:tcW w:w="74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SG&amp;A</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vMerge w:val="restart"/>
          </w:tcPr>
          <w:p>
            <w:pPr>
              <w:jc w:val="right"/>
              <w:ind w:right="186"/>
              <w:spacing w:after="0"/>
              <w:rPr>
                <w:sz w:val="20"/>
                <w:szCs w:val="20"/>
                <w:color w:val="auto"/>
              </w:rPr>
            </w:pPr>
            <w:r>
              <w:rPr>
                <w:rFonts w:ascii="Arial" w:cs="Arial" w:eastAsia="Arial" w:hAnsi="Arial"/>
                <w:sz w:val="12"/>
                <w:szCs w:val="12"/>
                <w:b w:val="1"/>
                <w:bCs w:val="1"/>
                <w:color w:val="auto"/>
              </w:rPr>
              <w:t>R&amp;D</w:t>
            </w:r>
          </w:p>
        </w:tc>
        <w:tc>
          <w:tcPr>
            <w:tcW w:w="100" w:type="dxa"/>
            <w:vAlign w:val="bottom"/>
          </w:tcPr>
          <w:p>
            <w:pPr>
              <w:spacing w:after="0"/>
              <w:rPr>
                <w:sz w:val="10"/>
                <w:szCs w:val="10"/>
                <w:color w:val="auto"/>
              </w:rPr>
            </w:pPr>
          </w:p>
        </w:tc>
        <w:tc>
          <w:tcPr>
            <w:tcW w:w="920" w:type="dxa"/>
            <w:vAlign w:val="bottom"/>
            <w:gridSpan w:val="4"/>
          </w:tcPr>
          <w:p>
            <w:pPr>
              <w:jc w:val="center"/>
              <w:spacing w:after="0" w:line="118" w:lineRule="exact"/>
              <w:rPr>
                <w:sz w:val="20"/>
                <w:szCs w:val="20"/>
                <w:color w:val="auto"/>
              </w:rPr>
            </w:pPr>
            <w:r>
              <w:rPr>
                <w:rFonts w:ascii="Arial" w:cs="Arial" w:eastAsia="Arial" w:hAnsi="Arial"/>
                <w:sz w:val="12"/>
                <w:szCs w:val="12"/>
                <w:b w:val="1"/>
                <w:bCs w:val="1"/>
                <w:color w:val="auto"/>
                <w:w w:val="97"/>
              </w:rPr>
              <w:t>asset</w:t>
            </w:r>
          </w:p>
        </w:tc>
        <w:tc>
          <w:tcPr>
            <w:tcW w:w="120" w:type="dxa"/>
            <w:vAlign w:val="bottom"/>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5"/>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4"/>
          </w:tcPr>
          <w:p>
            <w:pPr>
              <w:jc w:val="right"/>
              <w:ind w:right="460"/>
              <w:spacing w:after="0"/>
              <w:rPr>
                <w:sz w:val="20"/>
                <w:szCs w:val="20"/>
                <w:color w:val="auto"/>
              </w:rPr>
            </w:pPr>
            <w:r>
              <w:rPr>
                <w:rFonts w:ascii="Arial" w:cs="Arial" w:eastAsia="Arial" w:hAnsi="Arial"/>
                <w:sz w:val="12"/>
                <w:szCs w:val="12"/>
                <w:b w:val="1"/>
                <w:bCs w:val="1"/>
                <w:color w:val="auto"/>
              </w:rPr>
              <w:t>sales</w:t>
            </w:r>
          </w:p>
        </w:tc>
        <w:tc>
          <w:tcPr>
            <w:tcW w:w="740" w:type="dxa"/>
            <w:vAlign w:val="bottom"/>
            <w:gridSpan w:val="3"/>
          </w:tcPr>
          <w:p>
            <w:pPr>
              <w:jc w:val="right"/>
              <w:ind w:right="280"/>
              <w:spacing w:after="0"/>
              <w:rPr>
                <w:sz w:val="20"/>
                <w:szCs w:val="20"/>
                <w:color w:val="auto"/>
              </w:rPr>
            </w:pPr>
            <w:r>
              <w:rPr>
                <w:rFonts w:ascii="Arial" w:cs="Arial" w:eastAsia="Arial" w:hAnsi="Arial"/>
                <w:sz w:val="12"/>
                <w:szCs w:val="12"/>
                <w:b w:val="1"/>
                <w:bCs w:val="1"/>
                <w:color w:val="auto"/>
              </w:rPr>
              <w:t>margin</w:t>
            </w:r>
          </w:p>
        </w:tc>
        <w:tc>
          <w:tcPr>
            <w:tcW w:w="12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4"/>
          </w:tcPr>
          <w:p>
            <w:pPr>
              <w:jc w:val="center"/>
              <w:spacing w:after="0"/>
              <w:rPr>
                <w:sz w:val="20"/>
                <w:szCs w:val="20"/>
                <w:color w:val="auto"/>
              </w:rPr>
            </w:pPr>
            <w:r>
              <w:rPr>
                <w:rFonts w:ascii="Arial" w:cs="Arial" w:eastAsia="Arial" w:hAnsi="Arial"/>
                <w:sz w:val="12"/>
                <w:szCs w:val="12"/>
                <w:b w:val="1"/>
                <w:bCs w:val="1"/>
                <w:color w:val="auto"/>
                <w:w w:val="98"/>
              </w:rPr>
              <w:t>amortization</w:t>
            </w:r>
          </w:p>
        </w:tc>
        <w:tc>
          <w:tcPr>
            <w:tcW w:w="120" w:type="dxa"/>
            <w:vAlign w:val="bottom"/>
          </w:tcPr>
          <w:p>
            <w:pPr>
              <w:spacing w:after="0"/>
              <w:rPr>
                <w:sz w:val="14"/>
                <w:szCs w:val="14"/>
                <w:color w:val="auto"/>
              </w:rPr>
            </w:pPr>
          </w:p>
        </w:tc>
        <w:tc>
          <w:tcPr>
            <w:tcW w:w="760" w:type="dxa"/>
            <w:vAlign w:val="bottom"/>
            <w:gridSpan w:val="3"/>
          </w:tcPr>
          <w:p>
            <w:pPr>
              <w:jc w:val="right"/>
              <w:ind w:right="126"/>
              <w:spacing w:after="0"/>
              <w:rPr>
                <w:sz w:val="20"/>
                <w:szCs w:val="20"/>
                <w:color w:val="auto"/>
              </w:rPr>
            </w:pPr>
            <w:r>
              <w:rPr>
                <w:rFonts w:ascii="Arial" w:cs="Arial" w:eastAsia="Arial" w:hAnsi="Arial"/>
                <w:sz w:val="12"/>
                <w:szCs w:val="12"/>
                <w:b w:val="1"/>
                <w:bCs w:val="1"/>
                <w:color w:val="auto"/>
              </w:rPr>
              <w:t>of PRV</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3"/>
          </w:tcPr>
          <w:p>
            <w:pPr>
              <w:jc w:val="right"/>
              <w:ind w:right="133"/>
              <w:spacing w:after="0"/>
              <w:rPr>
                <w:sz w:val="20"/>
                <w:szCs w:val="20"/>
                <w:color w:val="auto"/>
              </w:rPr>
            </w:pPr>
            <w:r>
              <w:rPr>
                <w:rFonts w:ascii="Arial" w:cs="Arial" w:eastAsia="Arial" w:hAnsi="Arial"/>
                <w:sz w:val="12"/>
                <w:szCs w:val="12"/>
                <w:b w:val="1"/>
                <w:bCs w:val="1"/>
                <w:color w:val="auto"/>
              </w:rPr>
              <w:t>IPR&amp;D</w:t>
            </w:r>
          </w:p>
        </w:tc>
        <w:tc>
          <w:tcPr>
            <w:tcW w:w="120" w:type="dxa"/>
            <w:vAlign w:val="bottom"/>
          </w:tcPr>
          <w:p>
            <w:pPr>
              <w:spacing w:after="0"/>
              <w:rPr>
                <w:sz w:val="14"/>
                <w:szCs w:val="14"/>
                <w:color w:val="auto"/>
              </w:rPr>
            </w:pPr>
          </w:p>
        </w:tc>
        <w:tc>
          <w:tcPr>
            <w:tcW w:w="800" w:type="dxa"/>
            <w:vAlign w:val="bottom"/>
            <w:gridSpan w:val="6"/>
          </w:tcPr>
          <w:p>
            <w:pPr>
              <w:ind w:left="20"/>
              <w:spacing w:after="0"/>
              <w:rPr>
                <w:sz w:val="20"/>
                <w:szCs w:val="20"/>
                <w:color w:val="auto"/>
              </w:rPr>
            </w:pPr>
            <w:r>
              <w:rPr>
                <w:rFonts w:ascii="Arial" w:cs="Arial" w:eastAsia="Arial" w:hAnsi="Arial"/>
                <w:sz w:val="12"/>
                <w:szCs w:val="12"/>
                <w:b w:val="1"/>
                <w:bCs w:val="1"/>
                <w:color w:val="auto"/>
              </w:rPr>
              <w:t>expense, net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4"/>
          </w:tcPr>
          <w:p>
            <w:pPr>
              <w:ind w:left="20"/>
              <w:spacing w:after="0"/>
              <w:rPr>
                <w:sz w:val="20"/>
                <w:szCs w:val="20"/>
                <w:color w:val="auto"/>
              </w:rPr>
            </w:pPr>
            <w:r>
              <w:rPr>
                <w:rFonts w:ascii="Arial" w:cs="Arial" w:eastAsia="Arial" w:hAnsi="Arial"/>
                <w:sz w:val="12"/>
                <w:szCs w:val="12"/>
                <w:b w:val="1"/>
                <w:bCs w:val="1"/>
                <w:color w:val="auto"/>
              </w:rPr>
              <w:t>expense</w:t>
            </w:r>
          </w:p>
        </w:tc>
        <w:tc>
          <w:tcPr>
            <w:tcW w:w="860" w:type="dxa"/>
            <w:vAlign w:val="bottom"/>
          </w:tcPr>
          <w:p>
            <w:pPr>
              <w:ind w:left="320"/>
              <w:spacing w:after="0"/>
              <w:rPr>
                <w:sz w:val="20"/>
                <w:szCs w:val="20"/>
                <w:color w:val="auto"/>
              </w:rPr>
            </w:pPr>
            <w:r>
              <w:rPr>
                <w:rFonts w:ascii="Arial" w:cs="Arial" w:eastAsia="Arial" w:hAnsi="Arial"/>
                <w:sz w:val="12"/>
                <w:szCs w:val="12"/>
                <w:b w:val="1"/>
                <w:bCs w:val="1"/>
                <w:color w:val="auto"/>
              </w:rPr>
              <w:t>rate</w:t>
            </w:r>
          </w:p>
        </w:tc>
        <w:tc>
          <w:tcPr>
            <w:tcW w:w="0" w:type="dxa"/>
            <w:vAlign w:val="bottom"/>
          </w:tcPr>
          <w:p>
            <w:pPr>
              <w:spacing w:after="0"/>
              <w:rPr>
                <w:sz w:val="1"/>
                <w:szCs w:val="1"/>
                <w:color w:val="auto"/>
              </w:rPr>
            </w:pPr>
          </w:p>
        </w:tc>
      </w:tr>
      <w:tr>
        <w:trPr>
          <w:trHeight w:val="196"/>
        </w:trPr>
        <w:tc>
          <w:tcPr>
            <w:tcW w:w="2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GAAP Reported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rPr>
              <w:t>361.1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i w:val="1"/>
                <w:iCs w:val="1"/>
                <w:color w:val="auto"/>
              </w:rPr>
              <w:t>89.7 %</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b w:val="1"/>
                <w:bCs w:val="1"/>
                <w:color w:val="auto"/>
              </w:rPr>
              <w:t>1,149.8</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rPr>
              <w:t>$</w:t>
            </w:r>
          </w:p>
        </w:tc>
        <w:tc>
          <w:tcPr>
            <w:tcW w:w="480" w:type="dxa"/>
            <w:vAlign w:val="bottom"/>
            <w:tcBorders>
              <w:top w:val="single" w:sz="8" w:color="auto"/>
            </w:tcBorders>
            <w:gridSpan w:val="2"/>
            <w:shd w:val="clear" w:color="auto" w:fill="CCEEFF"/>
          </w:tcPr>
          <w:p>
            <w:pPr>
              <w:jc w:val="right"/>
              <w:ind w:right="6"/>
              <w:spacing w:after="0"/>
              <w:rPr>
                <w:sz w:val="20"/>
                <w:szCs w:val="20"/>
                <w:color w:val="auto"/>
              </w:rPr>
            </w:pPr>
            <w:r>
              <w:rPr>
                <w:rFonts w:ascii="Arial" w:cs="Arial" w:eastAsia="Arial" w:hAnsi="Arial"/>
                <w:sz w:val="15"/>
                <w:szCs w:val="15"/>
                <w:b w:val="1"/>
                <w:bCs w:val="1"/>
                <w:color w:val="auto"/>
              </w:rPr>
              <w:t>615.4</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5"/>
                <w:szCs w:val="15"/>
                <w:b w:val="1"/>
                <w:bCs w:val="1"/>
                <w:color w:val="auto"/>
              </w:rPr>
              <w:t>$</w:t>
            </w: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b w:val="1"/>
                <w:bCs w:val="1"/>
                <w:color w:val="auto"/>
              </w:rPr>
              <w:t>514.1</w:t>
            </w:r>
          </w:p>
        </w:tc>
        <w:tc>
          <w:tcPr>
            <w:tcW w:w="1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5"/>
                <w:szCs w:val="15"/>
                <w:b w:val="1"/>
                <w:bCs w:val="1"/>
                <w:color w:val="auto"/>
              </w:rPr>
              <w:t>$  (122.8)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b w:val="1"/>
                <w:bCs w:val="1"/>
                <w:color w:val="auto"/>
              </w:rPr>
              <w:t>831.2</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w w:val="95"/>
              </w:rPr>
              <w:t>$</w:t>
            </w: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b w:val="1"/>
                <w:bCs w:val="1"/>
                <w:color w:val="auto"/>
              </w:rPr>
              <w:t>122.5</w:t>
            </w: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48.7</w:t>
            </w:r>
          </w:p>
        </w:tc>
        <w:tc>
          <w:tcPr>
            <w:tcW w:w="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i w:val="1"/>
                <w:iCs w:val="1"/>
                <w:color w:val="auto"/>
              </w:rPr>
              <w:t>94.9 %</w:t>
            </w:r>
          </w:p>
        </w:tc>
        <w:tc>
          <w:tcPr>
            <w:tcW w:w="0" w:type="dxa"/>
            <w:vAlign w:val="bottom"/>
          </w:tcPr>
          <w:p>
            <w:pPr>
              <w:spacing w:after="0"/>
              <w:rPr>
                <w:sz w:val="1"/>
                <w:szCs w:val="1"/>
                <w:color w:val="auto"/>
              </w:rPr>
            </w:pPr>
          </w:p>
        </w:tc>
      </w:tr>
      <w:tr>
        <w:trPr>
          <w:trHeight w:val="201"/>
        </w:trPr>
        <w:tc>
          <w:tcPr>
            <w:tcW w:w="2360" w:type="dxa"/>
            <w:vAlign w:val="bottom"/>
          </w:tcPr>
          <w:p>
            <w:pPr>
              <w:ind w:left="140"/>
              <w:spacing w:after="0"/>
              <w:rPr>
                <w:sz w:val="20"/>
                <w:szCs w:val="20"/>
                <w:color w:val="auto"/>
              </w:rPr>
            </w:pPr>
            <w:r>
              <w:rPr>
                <w:rFonts w:ascii="Arial" w:cs="Arial" w:eastAsia="Arial" w:hAnsi="Arial"/>
                <w:sz w:val="15"/>
                <w:szCs w:val="15"/>
                <w:color w:val="auto"/>
              </w:rPr>
              <w:t>Non-GAAP Adjustments: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Intangible asset amortization</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i w:val="1"/>
                <w:iCs w:val="1"/>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w w:val="96"/>
              </w:rPr>
              <w:t>(514.1)</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127"/>
              <w:spacing w:after="0"/>
              <w:rPr>
                <w:sz w:val="20"/>
                <w:szCs w:val="20"/>
                <w:color w:val="auto"/>
              </w:rPr>
            </w:pPr>
            <w:r>
              <w:rPr>
                <w:rFonts w:ascii="Arial" w:cs="Arial" w:eastAsia="Arial" w:hAnsi="Arial"/>
                <w:sz w:val="15"/>
                <w:szCs w:val="15"/>
                <w:i w:val="1"/>
                <w:iCs w:val="1"/>
                <w:color w:val="auto"/>
              </w:rPr>
              <w:t>—</w:t>
            </w:r>
          </w:p>
        </w:tc>
        <w:tc>
          <w:tcPr>
            <w:tcW w:w="0" w:type="dxa"/>
            <w:vAlign w:val="bottom"/>
          </w:tcPr>
          <w:p>
            <w:pPr>
              <w:spacing w:after="0"/>
              <w:rPr>
                <w:sz w:val="1"/>
                <w:szCs w:val="1"/>
                <w:color w:val="auto"/>
              </w:rPr>
            </w:pPr>
          </w:p>
        </w:tc>
      </w:tr>
      <w:tr>
        <w:trPr>
          <w:trHeight w:val="149"/>
        </w:trPr>
        <w:tc>
          <w:tcPr>
            <w:tcW w:w="2360" w:type="dxa"/>
            <w:vAlign w:val="bottom"/>
          </w:tcPr>
          <w:p>
            <w:pPr>
              <w:ind w:left="140"/>
              <w:spacing w:after="0" w:line="149" w:lineRule="exact"/>
              <w:rPr>
                <w:sz w:val="20"/>
                <w:szCs w:val="20"/>
                <w:color w:val="auto"/>
              </w:rPr>
            </w:pPr>
            <w:r>
              <w:rPr>
                <w:rFonts w:ascii="Arial" w:cs="Arial" w:eastAsia="Arial" w:hAnsi="Arial"/>
                <w:sz w:val="15"/>
                <w:szCs w:val="15"/>
                <w:color w:val="auto"/>
              </w:rPr>
              <w:t>Share-based compensation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360" w:type="dxa"/>
            <w:vAlign w:val="bottom"/>
          </w:tcPr>
          <w:p>
            <w:pPr>
              <w:ind w:left="140"/>
              <w:spacing w:after="0"/>
              <w:rPr>
                <w:sz w:val="20"/>
                <w:szCs w:val="20"/>
                <w:color w:val="auto"/>
              </w:rPr>
            </w:pPr>
            <w:r>
              <w:rPr>
                <w:rFonts w:ascii="Arial" w:cs="Arial" w:eastAsia="Arial" w:hAnsi="Arial"/>
                <w:sz w:val="15"/>
                <w:szCs w:val="15"/>
                <w:color w:val="auto"/>
              </w:rPr>
              <w:t>expense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27"/>
              <w:spacing w:after="0"/>
              <w:rPr>
                <w:sz w:val="20"/>
                <w:szCs w:val="20"/>
                <w:color w:val="auto"/>
              </w:rPr>
            </w:pPr>
            <w:r>
              <w:rPr>
                <w:rFonts w:ascii="Arial" w:cs="Arial" w:eastAsia="Arial" w:hAnsi="Arial"/>
                <w:sz w:val="15"/>
                <w:szCs w:val="15"/>
                <w:i w:val="1"/>
                <w:iCs w:val="1"/>
                <w:color w:val="auto"/>
              </w:rPr>
              <w:t>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5"/>
                <w:szCs w:val="15"/>
                <w:color w:val="auto"/>
              </w:rPr>
              <w:t>(135.6)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(69.2)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5"/>
                <w:szCs w:val="15"/>
                <w:color w:val="auto"/>
                <w:w w:val="93"/>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4"/>
          </w:tcPr>
          <w:p>
            <w:pPr>
              <w:jc w:val="right"/>
              <w:ind w:right="160"/>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27"/>
              <w:spacing w:after="0"/>
              <w:rPr>
                <w:sz w:val="20"/>
                <w:szCs w:val="20"/>
                <w:color w:val="auto"/>
              </w:rPr>
            </w:pPr>
            <w:r>
              <w:rPr>
                <w:rFonts w:ascii="Arial" w:cs="Arial" w:eastAsia="Arial" w:hAnsi="Arial"/>
                <w:sz w:val="15"/>
                <w:szCs w:val="15"/>
                <w:i w:val="1"/>
                <w:iCs w:val="1"/>
                <w:color w:val="auto"/>
              </w:rPr>
              <w:t>—</w:t>
            </w:r>
          </w:p>
        </w:tc>
        <w:tc>
          <w:tcPr>
            <w:tcW w:w="0" w:type="dxa"/>
            <w:vAlign w:val="bottom"/>
          </w:tcPr>
          <w:p>
            <w:pPr>
              <w:spacing w:after="0"/>
              <w:rPr>
                <w:sz w:val="1"/>
                <w:szCs w:val="1"/>
                <w:color w:val="auto"/>
              </w:rPr>
            </w:pPr>
          </w:p>
        </w:tc>
      </w:tr>
      <w:tr>
        <w:trPr>
          <w:trHeight w:val="151"/>
        </w:trPr>
        <w:tc>
          <w:tcPr>
            <w:tcW w:w="2360" w:type="dxa"/>
            <w:vAlign w:val="bottom"/>
            <w:shd w:val="clear" w:color="auto" w:fill="CCEEFF"/>
          </w:tcPr>
          <w:p>
            <w:pPr>
              <w:ind w:left="140"/>
              <w:spacing w:after="0" w:line="151" w:lineRule="exact"/>
              <w:rPr>
                <w:sz w:val="20"/>
                <w:szCs w:val="20"/>
                <w:color w:val="auto"/>
              </w:rPr>
            </w:pPr>
            <w:r>
              <w:rPr>
                <w:rFonts w:ascii="Arial" w:cs="Arial" w:eastAsia="Arial" w:hAnsi="Arial"/>
                <w:sz w:val="15"/>
                <w:szCs w:val="15"/>
                <w:color w:val="auto"/>
              </w:rPr>
              <w:t>Acquisition accounting inventory</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fair value step-up</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7"/>
              <w:spacing w:after="0"/>
              <w:rPr>
                <w:sz w:val="20"/>
                <w:szCs w:val="20"/>
                <w:color w:val="auto"/>
              </w:rPr>
            </w:pPr>
            <w:r>
              <w:rPr>
                <w:rFonts w:ascii="Arial" w:cs="Arial" w:eastAsia="Arial" w:hAnsi="Arial"/>
                <w:sz w:val="15"/>
                <w:szCs w:val="15"/>
                <w:i w:val="1"/>
                <w:iCs w:val="1"/>
                <w:color w:val="auto"/>
              </w:rPr>
              <w:t>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127"/>
              <w:spacing w:after="0"/>
              <w:rPr>
                <w:sz w:val="20"/>
                <w:szCs w:val="20"/>
                <w:color w:val="auto"/>
              </w:rPr>
            </w:pPr>
            <w:r>
              <w:rPr>
                <w:rFonts w:ascii="Arial" w:cs="Arial" w:eastAsia="Arial" w:hAnsi="Arial"/>
                <w:sz w:val="15"/>
                <w:szCs w:val="15"/>
                <w:i w:val="1"/>
                <w:iCs w:val="1"/>
                <w:color w:val="auto"/>
              </w:rPr>
              <w:t>—</w:t>
            </w:r>
          </w:p>
        </w:tc>
        <w:tc>
          <w:tcPr>
            <w:tcW w:w="0" w:type="dxa"/>
            <w:vAlign w:val="bottom"/>
          </w:tcPr>
          <w:p>
            <w:pPr>
              <w:spacing w:after="0"/>
              <w:rPr>
                <w:sz w:val="1"/>
                <w:szCs w:val="1"/>
                <w:color w:val="auto"/>
              </w:rPr>
            </w:pPr>
          </w:p>
        </w:tc>
      </w:tr>
      <w:tr>
        <w:trPr>
          <w:trHeight w:val="201"/>
        </w:trPr>
        <w:tc>
          <w:tcPr>
            <w:tcW w:w="2360" w:type="dxa"/>
            <w:vAlign w:val="bottom"/>
          </w:tcPr>
          <w:p>
            <w:pPr>
              <w:ind w:left="140"/>
              <w:spacing w:after="0"/>
              <w:rPr>
                <w:sz w:val="20"/>
                <w:szCs w:val="20"/>
                <w:color w:val="auto"/>
              </w:rPr>
            </w:pPr>
            <w:r>
              <w:rPr>
                <w:rFonts w:ascii="Arial" w:cs="Arial" w:eastAsia="Arial" w:hAnsi="Arial"/>
                <w:sz w:val="15"/>
                <w:szCs w:val="15"/>
                <w:color w:val="auto"/>
              </w:rPr>
              <w:t>Restructuring and other costs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3"/>
          </w:tcPr>
          <w:p>
            <w:pPr>
              <w:jc w:val="right"/>
              <w:ind w:right="3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5"/>
                <w:szCs w:val="15"/>
                <w:i w:val="1"/>
                <w:iCs w:val="1"/>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(34.2)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4"/>
          </w:tcPr>
          <w:p>
            <w:pPr>
              <w:jc w:val="right"/>
              <w:ind w:right="160"/>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27"/>
              <w:spacing w:after="0"/>
              <w:rPr>
                <w:sz w:val="20"/>
                <w:szCs w:val="20"/>
                <w:color w:val="auto"/>
              </w:rPr>
            </w:pPr>
            <w:r>
              <w:rPr>
                <w:rFonts w:ascii="Arial" w:cs="Arial" w:eastAsia="Arial" w:hAnsi="Arial"/>
                <w:sz w:val="15"/>
                <w:szCs w:val="15"/>
                <w:i w:val="1"/>
                <w:iCs w:val="1"/>
                <w:color w:val="auto"/>
              </w:rPr>
              <w:t>—</w:t>
            </w:r>
          </w:p>
        </w:tc>
        <w:tc>
          <w:tcPr>
            <w:tcW w:w="0" w:type="dxa"/>
            <w:vAlign w:val="bottom"/>
          </w:tcPr>
          <w:p>
            <w:pPr>
              <w:spacing w:after="0"/>
              <w:rPr>
                <w:sz w:val="1"/>
                <w:szCs w:val="1"/>
                <w:color w:val="auto"/>
              </w:rPr>
            </w:pPr>
          </w:p>
        </w:tc>
      </w:tr>
      <w:tr>
        <w:trPr>
          <w:trHeight w:val="204"/>
        </w:trPr>
        <w:tc>
          <w:tcPr>
            <w:tcW w:w="2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Integration related expenses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i w:val="1"/>
                <w:iCs w:val="1"/>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127"/>
              <w:spacing w:after="0"/>
              <w:rPr>
                <w:sz w:val="20"/>
                <w:szCs w:val="20"/>
                <w:color w:val="auto"/>
              </w:rPr>
            </w:pPr>
            <w:r>
              <w:rPr>
                <w:rFonts w:ascii="Arial" w:cs="Arial" w:eastAsia="Arial" w:hAnsi="Arial"/>
                <w:sz w:val="15"/>
                <w:szCs w:val="15"/>
                <w:i w:val="1"/>
                <w:iCs w:val="1"/>
                <w:color w:val="auto"/>
              </w:rPr>
              <w:t>—</w:t>
            </w:r>
          </w:p>
        </w:tc>
        <w:tc>
          <w:tcPr>
            <w:tcW w:w="0" w:type="dxa"/>
            <w:vAlign w:val="bottom"/>
          </w:tcPr>
          <w:p>
            <w:pPr>
              <w:spacing w:after="0"/>
              <w:rPr>
                <w:sz w:val="1"/>
                <w:szCs w:val="1"/>
                <w:color w:val="auto"/>
              </w:rPr>
            </w:pPr>
          </w:p>
        </w:tc>
      </w:tr>
      <w:tr>
        <w:trPr>
          <w:trHeight w:val="201"/>
        </w:trPr>
        <w:tc>
          <w:tcPr>
            <w:tcW w:w="2360" w:type="dxa"/>
            <w:vAlign w:val="bottom"/>
          </w:tcPr>
          <w:p>
            <w:pPr>
              <w:ind w:left="140"/>
              <w:spacing w:after="0"/>
              <w:rPr>
                <w:sz w:val="20"/>
                <w:szCs w:val="20"/>
                <w:color w:val="auto"/>
              </w:rPr>
            </w:pPr>
            <w:r>
              <w:rPr>
                <w:rFonts w:ascii="Arial" w:cs="Arial" w:eastAsia="Arial" w:hAnsi="Arial"/>
                <w:sz w:val="15"/>
                <w:szCs w:val="15"/>
                <w:color w:val="auto"/>
              </w:rPr>
              <w:t>Gain on sale of PRV</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3"/>
          </w:tcPr>
          <w:p>
            <w:pPr>
              <w:jc w:val="right"/>
              <w:ind w:right="3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5"/>
                <w:szCs w:val="15"/>
                <w:i w:val="1"/>
                <w:iCs w:val="1"/>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gridSpan w:val="4"/>
          </w:tcPr>
          <w:p>
            <w:pPr>
              <w:jc w:val="right"/>
              <w:spacing w:after="0"/>
              <w:rPr>
                <w:sz w:val="20"/>
                <w:szCs w:val="20"/>
                <w:color w:val="auto"/>
              </w:rPr>
            </w:pPr>
            <w:r>
              <w:rPr>
                <w:rFonts w:ascii="Arial" w:cs="Arial" w:eastAsia="Arial" w:hAnsi="Arial"/>
                <w:sz w:val="15"/>
                <w:szCs w:val="15"/>
                <w:color w:val="auto"/>
              </w:rPr>
              <w:t>122.8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4"/>
          </w:tcPr>
          <w:p>
            <w:pPr>
              <w:jc w:val="right"/>
              <w:ind w:right="160"/>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27"/>
              <w:spacing w:after="0"/>
              <w:rPr>
                <w:sz w:val="20"/>
                <w:szCs w:val="20"/>
                <w:color w:val="auto"/>
              </w:rPr>
            </w:pPr>
            <w:r>
              <w:rPr>
                <w:rFonts w:ascii="Arial" w:cs="Arial" w:eastAsia="Arial" w:hAnsi="Arial"/>
                <w:sz w:val="15"/>
                <w:szCs w:val="15"/>
                <w:i w:val="1"/>
                <w:iCs w:val="1"/>
                <w:color w:val="auto"/>
              </w:rPr>
              <w:t>—</w:t>
            </w:r>
          </w:p>
        </w:tc>
        <w:tc>
          <w:tcPr>
            <w:tcW w:w="0" w:type="dxa"/>
            <w:vAlign w:val="bottom"/>
          </w:tcPr>
          <w:p>
            <w:pPr>
              <w:spacing w:after="0"/>
              <w:rPr>
                <w:sz w:val="1"/>
                <w:szCs w:val="1"/>
                <w:color w:val="auto"/>
              </w:rPr>
            </w:pPr>
          </w:p>
        </w:tc>
      </w:tr>
      <w:tr>
        <w:trPr>
          <w:trHeight w:val="150"/>
        </w:trPr>
        <w:tc>
          <w:tcPr>
            <w:tcW w:w="2360" w:type="dxa"/>
            <w:vAlign w:val="bottom"/>
            <w:shd w:val="clear" w:color="auto" w:fill="CCEEFF"/>
          </w:tcPr>
          <w:p>
            <w:pPr>
              <w:ind w:left="140"/>
              <w:spacing w:after="0" w:line="150" w:lineRule="exact"/>
              <w:rPr>
                <w:sz w:val="20"/>
                <w:szCs w:val="20"/>
                <w:color w:val="auto"/>
              </w:rPr>
            </w:pPr>
            <w:r>
              <w:rPr>
                <w:rFonts w:ascii="Arial" w:cs="Arial" w:eastAsia="Arial" w:hAnsi="Arial"/>
                <w:sz w:val="15"/>
                <w:szCs w:val="15"/>
                <w:color w:val="auto"/>
              </w:rPr>
              <w:t>Income tax effect of above</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adjustments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i w:val="1"/>
                <w:iCs w:val="1"/>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ind w:left="300"/>
              <w:spacing w:after="0"/>
              <w:rPr>
                <w:sz w:val="20"/>
                <w:szCs w:val="20"/>
                <w:color w:val="auto"/>
              </w:rPr>
            </w:pPr>
            <w:r>
              <w:rPr>
                <w:rFonts w:ascii="Arial" w:cs="Arial" w:eastAsia="Arial" w:hAnsi="Arial"/>
                <w:sz w:val="15"/>
                <w:szCs w:val="15"/>
                <w:i w:val="1"/>
                <w:iCs w:val="1"/>
                <w:color w:val="auto"/>
              </w:rPr>
              <w:t>(70.0)</w:t>
            </w:r>
          </w:p>
        </w:tc>
        <w:tc>
          <w:tcPr>
            <w:tcW w:w="0" w:type="dxa"/>
            <w:vAlign w:val="bottom"/>
          </w:tcPr>
          <w:p>
            <w:pPr>
              <w:spacing w:after="0"/>
              <w:rPr>
                <w:sz w:val="1"/>
                <w:szCs w:val="1"/>
                <w:color w:val="auto"/>
              </w:rPr>
            </w:pPr>
          </w:p>
        </w:tc>
      </w:tr>
      <w:tr>
        <w:trPr>
          <w:trHeight w:val="129"/>
        </w:trPr>
        <w:tc>
          <w:tcPr>
            <w:tcW w:w="2360" w:type="dxa"/>
            <w:vAlign w:val="bottom"/>
          </w:tcPr>
          <w:p>
            <w:pPr>
              <w:ind w:left="220"/>
              <w:spacing w:after="0" w:line="129" w:lineRule="exact"/>
              <w:rPr>
                <w:sz w:val="20"/>
                <w:szCs w:val="20"/>
                <w:color w:val="auto"/>
              </w:rPr>
            </w:pPr>
            <w:r>
              <w:rPr>
                <w:rFonts w:ascii="Arial" w:cs="Arial" w:eastAsia="Arial" w:hAnsi="Arial"/>
                <w:sz w:val="14"/>
                <w:szCs w:val="14"/>
                <w:color w:val="auto"/>
              </w:rPr>
              <w:t>Total of non-GAAP</w:t>
            </w: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360" w:type="dxa"/>
            <w:vAlign w:val="bottom"/>
          </w:tcPr>
          <w:p>
            <w:pPr>
              <w:ind w:left="220"/>
              <w:spacing w:after="0"/>
              <w:rPr>
                <w:sz w:val="20"/>
                <w:szCs w:val="20"/>
                <w:color w:val="auto"/>
              </w:rPr>
            </w:pPr>
            <w:r>
              <w:rPr>
                <w:rFonts w:ascii="Arial" w:cs="Arial" w:eastAsia="Arial" w:hAnsi="Arial"/>
                <w:sz w:val="15"/>
                <w:szCs w:val="15"/>
                <w:color w:val="auto"/>
              </w:rPr>
              <w:t>adjustments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(70.9)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27"/>
              <w:spacing w:after="0"/>
              <w:rPr>
                <w:sz w:val="20"/>
                <w:szCs w:val="20"/>
                <w:color w:val="auto"/>
              </w:rPr>
            </w:pPr>
            <w:r>
              <w:rPr>
                <w:rFonts w:ascii="Arial" w:cs="Arial" w:eastAsia="Arial" w:hAnsi="Arial"/>
                <w:sz w:val="15"/>
                <w:szCs w:val="15"/>
                <w:i w:val="1"/>
                <w:iCs w:val="1"/>
                <w:color w:val="auto"/>
              </w:rPr>
              <w:t>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5"/>
                <w:szCs w:val="15"/>
                <w:color w:val="auto"/>
              </w:rPr>
              <w:t>(170.1)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(69.3)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5"/>
                <w:szCs w:val="15"/>
                <w:color w:val="auto"/>
                <w:w w:val="96"/>
              </w:rPr>
              <w:t>(514.1)</w:t>
            </w:r>
          </w:p>
        </w:tc>
        <w:tc>
          <w:tcPr>
            <w:tcW w:w="880" w:type="dxa"/>
            <w:vAlign w:val="bottom"/>
            <w:gridSpan w:val="4"/>
          </w:tcPr>
          <w:p>
            <w:pPr>
              <w:jc w:val="right"/>
              <w:spacing w:after="0"/>
              <w:rPr>
                <w:sz w:val="20"/>
                <w:szCs w:val="20"/>
                <w:color w:val="auto"/>
              </w:rPr>
            </w:pPr>
            <w:r>
              <w:rPr>
                <w:rFonts w:ascii="Arial" w:cs="Arial" w:eastAsia="Arial" w:hAnsi="Arial"/>
                <w:sz w:val="15"/>
                <w:szCs w:val="15"/>
                <w:color w:val="auto"/>
              </w:rPr>
              <w:t>122.8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139.0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ind w:left="300"/>
              <w:spacing w:after="0"/>
              <w:rPr>
                <w:sz w:val="20"/>
                <w:szCs w:val="20"/>
                <w:color w:val="auto"/>
              </w:rPr>
            </w:pPr>
            <w:r>
              <w:rPr>
                <w:rFonts w:ascii="Arial" w:cs="Arial" w:eastAsia="Arial" w:hAnsi="Arial"/>
                <w:sz w:val="15"/>
                <w:szCs w:val="15"/>
                <w:i w:val="1"/>
                <w:iCs w:val="1"/>
                <w:color w:val="auto"/>
              </w:rPr>
              <w:t>(70.0)</w:t>
            </w:r>
          </w:p>
        </w:tc>
        <w:tc>
          <w:tcPr>
            <w:tcW w:w="0" w:type="dxa"/>
            <w:vAlign w:val="bottom"/>
          </w:tcPr>
          <w:p>
            <w:pPr>
              <w:spacing w:after="0"/>
              <w:rPr>
                <w:sz w:val="1"/>
                <w:szCs w:val="1"/>
                <w:color w:val="auto"/>
              </w:rPr>
            </w:pPr>
          </w:p>
        </w:tc>
      </w:tr>
      <w:tr>
        <w:trPr>
          <w:trHeight w:val="224"/>
        </w:trPr>
        <w:tc>
          <w:tcPr>
            <w:tcW w:w="2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Non-GAAP Adjusted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290.2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i w:val="1"/>
                <w:iCs w:val="1"/>
                <w:color w:val="auto"/>
              </w:rPr>
              <w:t>91.8 %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979.7</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rPr>
              <w:t>$</w:t>
            </w:r>
          </w:p>
        </w:tc>
        <w:tc>
          <w:tcPr>
            <w:tcW w:w="480" w:type="dxa"/>
            <w:vAlign w:val="bottom"/>
            <w:tcBorders>
              <w:top w:val="single" w:sz="8" w:color="auto"/>
              <w:bottom w:val="single" w:sz="8" w:color="auto"/>
            </w:tcBorders>
            <w:gridSpan w:val="2"/>
            <w:shd w:val="clear" w:color="auto" w:fill="CCEEFF"/>
          </w:tcPr>
          <w:p>
            <w:pPr>
              <w:jc w:val="right"/>
              <w:ind w:right="6"/>
              <w:spacing w:after="0"/>
              <w:rPr>
                <w:sz w:val="20"/>
                <w:szCs w:val="20"/>
                <w:color w:val="auto"/>
              </w:rPr>
            </w:pPr>
            <w:r>
              <w:rPr>
                <w:rFonts w:ascii="Arial" w:cs="Arial" w:eastAsia="Arial" w:hAnsi="Arial"/>
                <w:sz w:val="15"/>
                <w:szCs w:val="15"/>
                <w:color w:val="auto"/>
              </w:rPr>
              <w:t>546.1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5"/>
                <w:szCs w:val="15"/>
                <w:color w:val="auto"/>
              </w:rPr>
              <w:t>$</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3"/>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831.2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5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122.5</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187.7</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i w:val="1"/>
                <w:iCs w:val="1"/>
                <w:color w:val="auto"/>
              </w:rPr>
              <w:t>24.9 %</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5"/>
        </w:trPr>
        <w:tc>
          <w:tcPr>
            <w:tcW w:w="2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13"/>
          </w:tcPr>
          <w:p>
            <w:pPr>
              <w:jc w:val="center"/>
              <w:spacing w:after="0"/>
              <w:rPr>
                <w:sz w:val="20"/>
                <w:szCs w:val="20"/>
                <w:color w:val="auto"/>
              </w:rPr>
            </w:pPr>
            <w:r>
              <w:rPr>
                <w:rFonts w:ascii="Arial" w:cs="Arial" w:eastAsia="Arial" w:hAnsi="Arial"/>
                <w:sz w:val="14"/>
                <w:szCs w:val="14"/>
                <w:b w:val="1"/>
                <w:bCs w:val="1"/>
                <w:color w:val="auto"/>
              </w:rPr>
              <w:t>Nine months ended September 30, 2025</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3"/>
            <w:vMerge w:val="restart"/>
          </w:tcPr>
          <w:p>
            <w:pPr>
              <w:jc w:val="right"/>
              <w:ind w:right="220"/>
              <w:spacing w:after="0"/>
              <w:rPr>
                <w:sz w:val="20"/>
                <w:szCs w:val="20"/>
                <w:color w:val="auto"/>
              </w:rPr>
            </w:pPr>
            <w:r>
              <w:rPr>
                <w:rFonts w:ascii="Arial" w:cs="Arial" w:eastAsia="Arial" w:hAnsi="Arial"/>
                <w:sz w:val="12"/>
                <w:szCs w:val="12"/>
                <w:b w:val="1"/>
                <w:bCs w:val="1"/>
                <w:color w:val="auto"/>
              </w:rPr>
              <w:t>Cost of</w:t>
            </w:r>
          </w:p>
        </w:tc>
        <w:tc>
          <w:tcPr>
            <w:tcW w:w="120" w:type="dxa"/>
            <w:vAlign w:val="bottom"/>
          </w:tcPr>
          <w:p>
            <w:pPr>
              <w:spacing w:after="0"/>
              <w:rPr>
                <w:sz w:val="10"/>
                <w:szCs w:val="10"/>
                <w:color w:val="auto"/>
              </w:rPr>
            </w:pPr>
          </w:p>
        </w:tc>
        <w:tc>
          <w:tcPr>
            <w:tcW w:w="62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rPr>
              <w:t>Gross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4"/>
          </w:tcPr>
          <w:p>
            <w:pPr>
              <w:jc w:val="center"/>
              <w:ind w:right="100"/>
              <w:spacing w:after="0" w:line="120" w:lineRule="exact"/>
              <w:rPr>
                <w:sz w:val="20"/>
                <w:szCs w:val="20"/>
                <w:color w:val="auto"/>
              </w:rPr>
            </w:pPr>
            <w:r>
              <w:rPr>
                <w:rFonts w:ascii="Arial" w:cs="Arial" w:eastAsia="Arial" w:hAnsi="Arial"/>
                <w:sz w:val="12"/>
                <w:szCs w:val="12"/>
                <w:b w:val="1"/>
                <w:bCs w:val="1"/>
                <w:color w:val="auto"/>
                <w:w w:val="95"/>
              </w:rPr>
              <w:t>Intangible</w:t>
            </w:r>
          </w:p>
        </w:tc>
        <w:tc>
          <w:tcPr>
            <w:tcW w:w="820" w:type="dxa"/>
            <w:vAlign w:val="bottom"/>
            <w:gridSpan w:val="4"/>
            <w:vMerge w:val="restart"/>
          </w:tcPr>
          <w:p>
            <w:pPr>
              <w:jc w:val="right"/>
              <w:ind w:right="87"/>
              <w:spacing w:after="0"/>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5"/>
            <w:vMerge w:val="restart"/>
          </w:tcPr>
          <w:p>
            <w:pPr>
              <w:jc w:val="right"/>
              <w:ind w:right="340"/>
              <w:spacing w:after="0"/>
              <w:rPr>
                <w:sz w:val="20"/>
                <w:szCs w:val="20"/>
                <w:color w:val="auto"/>
              </w:rPr>
            </w:pPr>
            <w:r>
              <w:rPr>
                <w:rFonts w:ascii="Arial" w:cs="Arial" w:eastAsia="Arial" w:hAnsi="Arial"/>
                <w:sz w:val="12"/>
                <w:szCs w:val="12"/>
                <w:b w:val="1"/>
                <w:bCs w:val="1"/>
                <w:color w:val="auto"/>
              </w:rPr>
              <w:t>Interest</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gridSpan w:val="6"/>
            <w:vMerge w:val="restart"/>
          </w:tcPr>
          <w:p>
            <w:pPr>
              <w:jc w:val="center"/>
              <w:ind w:right="260"/>
              <w:spacing w:after="0"/>
              <w:rPr>
                <w:sz w:val="20"/>
                <w:szCs w:val="20"/>
                <w:color w:val="auto"/>
              </w:rPr>
            </w:pPr>
            <w:r>
              <w:rPr>
                <w:rFonts w:ascii="Arial" w:cs="Arial" w:eastAsia="Arial" w:hAnsi="Arial"/>
                <w:sz w:val="12"/>
                <w:szCs w:val="12"/>
                <w:b w:val="1"/>
                <w:bCs w:val="1"/>
                <w:color w:val="auto"/>
                <w:w w:val="95"/>
              </w:rPr>
              <w:t>Income tax</w:t>
            </w:r>
          </w:p>
        </w:tc>
        <w:tc>
          <w:tcPr>
            <w:tcW w:w="860" w:type="dxa"/>
            <w:vAlign w:val="bottom"/>
            <w:vMerge w:val="restart"/>
          </w:tcPr>
          <w:p>
            <w:pPr>
              <w:jc w:val="right"/>
              <w:ind w:right="27"/>
              <w:spacing w:after="0"/>
              <w:rPr>
                <w:sz w:val="20"/>
                <w:szCs w:val="20"/>
                <w:color w:val="auto"/>
              </w:rPr>
            </w:pPr>
            <w:r>
              <w:rPr>
                <w:rFonts w:ascii="Arial" w:cs="Arial" w:eastAsia="Arial" w:hAnsi="Arial"/>
                <w:sz w:val="12"/>
                <w:szCs w:val="12"/>
                <w:b w:val="1"/>
                <w:bCs w:val="1"/>
                <w:color w:val="auto"/>
              </w:rPr>
              <w:t>Effective tax</w:t>
            </w:r>
          </w:p>
        </w:tc>
        <w:tc>
          <w:tcPr>
            <w:tcW w:w="0" w:type="dxa"/>
            <w:vAlign w:val="bottom"/>
          </w:tcPr>
          <w:p>
            <w:pPr>
              <w:spacing w:after="0"/>
              <w:rPr>
                <w:sz w:val="1"/>
                <w:szCs w:val="1"/>
                <w:color w:val="auto"/>
              </w:rPr>
            </w:pPr>
          </w:p>
        </w:tc>
      </w:tr>
      <w:tr>
        <w:trPr>
          <w:trHeight w:val="122"/>
        </w:trPr>
        <w:tc>
          <w:tcPr>
            <w:tcW w:w="2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4"/>
            <w:vMerge w:val="restart"/>
          </w:tcPr>
          <w:p>
            <w:pPr>
              <w:jc w:val="right"/>
              <w:ind w:right="247"/>
              <w:spacing w:after="0"/>
              <w:rPr>
                <w:sz w:val="20"/>
                <w:szCs w:val="20"/>
                <w:color w:val="auto"/>
              </w:rPr>
            </w:pPr>
            <w:r>
              <w:rPr>
                <w:rFonts w:ascii="Arial" w:cs="Arial" w:eastAsia="Arial" w:hAnsi="Arial"/>
                <w:sz w:val="12"/>
                <w:szCs w:val="12"/>
                <w:b w:val="1"/>
                <w:bCs w:val="1"/>
                <w:color w:val="auto"/>
              </w:rPr>
              <w:t>SG&amp;A</w:t>
            </w:r>
          </w:p>
        </w:tc>
        <w:tc>
          <w:tcPr>
            <w:tcW w:w="120" w:type="dxa"/>
            <w:vAlign w:val="bottom"/>
          </w:tcPr>
          <w:p>
            <w:pPr>
              <w:spacing w:after="0"/>
              <w:rPr>
                <w:sz w:val="10"/>
                <w:szCs w:val="10"/>
                <w:color w:val="auto"/>
              </w:rPr>
            </w:pPr>
          </w:p>
        </w:tc>
        <w:tc>
          <w:tcPr>
            <w:tcW w:w="880" w:type="dxa"/>
            <w:vAlign w:val="bottom"/>
            <w:gridSpan w:val="3"/>
            <w:vMerge w:val="restart"/>
          </w:tcPr>
          <w:p>
            <w:pPr>
              <w:jc w:val="right"/>
              <w:ind w:right="230"/>
              <w:spacing w:after="0"/>
              <w:rPr>
                <w:sz w:val="20"/>
                <w:szCs w:val="20"/>
                <w:color w:val="auto"/>
              </w:rPr>
            </w:pPr>
            <w:r>
              <w:rPr>
                <w:rFonts w:ascii="Arial" w:cs="Arial" w:eastAsia="Arial" w:hAnsi="Arial"/>
                <w:sz w:val="12"/>
                <w:szCs w:val="12"/>
                <w:b w:val="1"/>
                <w:bCs w:val="1"/>
                <w:color w:val="auto"/>
              </w:rPr>
              <w:t>R&amp;D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4"/>
          </w:tcPr>
          <w:p>
            <w:pPr>
              <w:jc w:val="center"/>
              <w:ind w:right="100"/>
              <w:spacing w:after="0" w:line="122" w:lineRule="exact"/>
              <w:rPr>
                <w:sz w:val="20"/>
                <w:szCs w:val="20"/>
                <w:color w:val="auto"/>
              </w:rPr>
            </w:pPr>
            <w:r>
              <w:rPr>
                <w:rFonts w:ascii="Arial" w:cs="Arial" w:eastAsia="Arial" w:hAnsi="Arial"/>
                <w:sz w:val="12"/>
                <w:szCs w:val="12"/>
                <w:b w:val="1"/>
                <w:bCs w:val="1"/>
                <w:color w:val="auto"/>
                <w:w w:val="97"/>
              </w:rPr>
              <w:t>asset</w:t>
            </w:r>
          </w:p>
        </w:tc>
        <w:tc>
          <w:tcPr>
            <w:tcW w:w="82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5"/>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gridSpan w:val="6"/>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4"/>
          </w:tcPr>
          <w:p>
            <w:pPr>
              <w:ind w:left="40"/>
              <w:spacing w:after="0"/>
              <w:rPr>
                <w:sz w:val="20"/>
                <w:szCs w:val="20"/>
                <w:color w:val="auto"/>
              </w:rPr>
            </w:pPr>
            <w:r>
              <w:rPr>
                <w:rFonts w:ascii="Arial" w:cs="Arial" w:eastAsia="Arial" w:hAnsi="Arial"/>
                <w:sz w:val="12"/>
                <w:szCs w:val="12"/>
                <w:b w:val="1"/>
                <w:bCs w:val="1"/>
                <w:color w:val="auto"/>
                <w:w w:val="99"/>
              </w:rPr>
              <w:t>product sales</w:t>
            </w:r>
          </w:p>
        </w:tc>
        <w:tc>
          <w:tcPr>
            <w:tcW w:w="12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margin</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w w:val="98"/>
              </w:rPr>
              <w:t>amortization</w:t>
            </w:r>
          </w:p>
        </w:tc>
        <w:tc>
          <w:tcPr>
            <w:tcW w:w="220" w:type="dxa"/>
            <w:vAlign w:val="bottom"/>
          </w:tcPr>
          <w:p>
            <w:pPr>
              <w:spacing w:after="0"/>
              <w:rPr>
                <w:sz w:val="13"/>
                <w:szCs w:val="13"/>
                <w:color w:val="auto"/>
              </w:rPr>
            </w:pPr>
          </w:p>
        </w:tc>
        <w:tc>
          <w:tcPr>
            <w:tcW w:w="600" w:type="dxa"/>
            <w:vAlign w:val="bottom"/>
            <w:gridSpan w:val="3"/>
          </w:tcPr>
          <w:p>
            <w:pPr>
              <w:jc w:val="right"/>
              <w:ind w:right="147"/>
              <w:spacing w:after="0"/>
              <w:rPr>
                <w:sz w:val="20"/>
                <w:szCs w:val="20"/>
                <w:color w:val="auto"/>
              </w:rPr>
            </w:pPr>
            <w:r>
              <w:rPr>
                <w:rFonts w:ascii="Arial" w:cs="Arial" w:eastAsia="Arial" w:hAnsi="Arial"/>
                <w:sz w:val="12"/>
                <w:szCs w:val="12"/>
                <w:b w:val="1"/>
                <w:bCs w:val="1"/>
                <w:color w:val="auto"/>
                <w:w w:val="96"/>
              </w:rPr>
              <w:t>IPR&amp;D</w:t>
            </w:r>
          </w:p>
        </w:tc>
        <w:tc>
          <w:tcPr>
            <w:tcW w:w="120" w:type="dxa"/>
            <w:vAlign w:val="bottom"/>
          </w:tcPr>
          <w:p>
            <w:pPr>
              <w:spacing w:after="0"/>
              <w:rPr>
                <w:sz w:val="13"/>
                <w:szCs w:val="13"/>
                <w:color w:val="auto"/>
              </w:rPr>
            </w:pPr>
          </w:p>
        </w:tc>
        <w:tc>
          <w:tcPr>
            <w:tcW w:w="960" w:type="dxa"/>
            <w:vAlign w:val="bottom"/>
            <w:gridSpan w:val="6"/>
          </w:tcPr>
          <w:p>
            <w:pPr>
              <w:jc w:val="right"/>
              <w:ind w:right="180"/>
              <w:spacing w:after="0"/>
              <w:rPr>
                <w:sz w:val="20"/>
                <w:szCs w:val="20"/>
                <w:color w:val="auto"/>
              </w:rPr>
            </w:pPr>
            <w:r>
              <w:rPr>
                <w:rFonts w:ascii="Arial" w:cs="Arial" w:eastAsia="Arial" w:hAnsi="Arial"/>
                <w:sz w:val="12"/>
                <w:szCs w:val="12"/>
                <w:b w:val="1"/>
                <w:bCs w:val="1"/>
                <w:color w:val="auto"/>
              </w:rPr>
              <w:t>expense, net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5"/>
          </w:tcPr>
          <w:p>
            <w:pPr>
              <w:jc w:val="center"/>
              <w:ind w:right="360"/>
              <w:spacing w:after="0"/>
              <w:rPr>
                <w:sz w:val="20"/>
                <w:szCs w:val="20"/>
                <w:color w:val="auto"/>
              </w:rPr>
            </w:pPr>
            <w:r>
              <w:rPr>
                <w:rFonts w:ascii="Arial" w:cs="Arial" w:eastAsia="Arial" w:hAnsi="Arial"/>
                <w:sz w:val="12"/>
                <w:szCs w:val="12"/>
                <w:b w:val="1"/>
                <w:bCs w:val="1"/>
                <w:color w:val="auto"/>
                <w:w w:val="96"/>
              </w:rPr>
              <w:t>benefit</w:t>
            </w:r>
          </w:p>
        </w:tc>
        <w:tc>
          <w:tcPr>
            <w:tcW w:w="860" w:type="dxa"/>
            <w:vAlign w:val="bottom"/>
          </w:tcPr>
          <w:p>
            <w:pPr>
              <w:ind w:left="300"/>
              <w:spacing w:after="0"/>
              <w:rPr>
                <w:sz w:val="20"/>
                <w:szCs w:val="20"/>
                <w:color w:val="auto"/>
              </w:rPr>
            </w:pPr>
            <w:r>
              <w:rPr>
                <w:rFonts w:ascii="Arial" w:cs="Arial" w:eastAsia="Arial" w:hAnsi="Arial"/>
                <w:sz w:val="12"/>
                <w:szCs w:val="12"/>
                <w:b w:val="1"/>
                <w:bCs w:val="1"/>
                <w:color w:val="auto"/>
              </w:rPr>
              <w:t>rate</w:t>
            </w:r>
          </w:p>
        </w:tc>
        <w:tc>
          <w:tcPr>
            <w:tcW w:w="0" w:type="dxa"/>
            <w:vAlign w:val="bottom"/>
          </w:tcPr>
          <w:p>
            <w:pPr>
              <w:spacing w:after="0"/>
              <w:rPr>
                <w:sz w:val="1"/>
                <w:szCs w:val="1"/>
                <w:color w:val="auto"/>
              </w:rPr>
            </w:pPr>
          </w:p>
        </w:tc>
      </w:tr>
      <w:tr>
        <w:trPr>
          <w:trHeight w:val="196"/>
        </w:trPr>
        <w:tc>
          <w:tcPr>
            <w:tcW w:w="2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GAAP Reported</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w w:val="95"/>
              </w:rPr>
              <w:t>$</w:t>
            </w:r>
          </w:p>
        </w:tc>
        <w:tc>
          <w:tcPr>
            <w:tcW w:w="72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349.8</w:t>
            </w:r>
          </w:p>
        </w:tc>
        <w:tc>
          <w:tcPr>
            <w:tcW w:w="8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5"/>
                <w:szCs w:val="15"/>
                <w:b w:val="1"/>
                <w:bCs w:val="1"/>
                <w:i w:val="1"/>
                <w:iCs w:val="1"/>
                <w:color w:val="auto"/>
              </w:rPr>
              <w:t>88.6 %</w:t>
            </w:r>
          </w:p>
        </w:tc>
        <w:tc>
          <w:tcPr>
            <w:tcW w:w="220" w:type="dxa"/>
            <w:vAlign w:val="bottom"/>
            <w:tcBorders>
              <w:top w:val="single" w:sz="8" w:color="auto"/>
            </w:tcBorders>
            <w:gridSpan w:val="2"/>
            <w:shd w:val="clear" w:color="auto" w:fill="CCEEFF"/>
          </w:tcPr>
          <w:p>
            <w:pPr>
              <w:ind w:left="140"/>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5"/>
                <w:szCs w:val="15"/>
                <w:b w:val="1"/>
                <w:bCs w:val="1"/>
                <w:color w:val="auto"/>
              </w:rPr>
              <w:t>1,403.0</w:t>
            </w:r>
          </w:p>
        </w:tc>
        <w:tc>
          <w:tcPr>
            <w:tcW w:w="480" w:type="dxa"/>
            <w:vAlign w:val="bottom"/>
            <w:tcBorders>
              <w:top w:val="single" w:sz="8" w:color="auto"/>
            </w:tcBorders>
            <w:gridSpan w:val="2"/>
            <w:shd w:val="clear" w:color="auto" w:fill="CCEEFF"/>
          </w:tcPr>
          <w:p>
            <w:pPr>
              <w:jc w:val="right"/>
              <w:ind w:right="186"/>
              <w:spacing w:after="0"/>
              <w:rPr>
                <w:sz w:val="20"/>
                <w:szCs w:val="20"/>
                <w:color w:val="auto"/>
              </w:rPr>
            </w:pPr>
            <w:r>
              <w:rPr>
                <w:rFonts w:ascii="Arial" w:cs="Arial" w:eastAsia="Arial" w:hAnsi="Arial"/>
                <w:sz w:val="15"/>
                <w:szCs w:val="15"/>
                <w:b w:val="1"/>
                <w:bCs w:val="1"/>
                <w:color w:val="auto"/>
              </w:rPr>
              <w:t>$</w:t>
            </w: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568.8</w:t>
            </w:r>
          </w:p>
        </w:tc>
        <w:tc>
          <w:tcPr>
            <w:tcW w:w="500" w:type="dxa"/>
            <w:vAlign w:val="bottom"/>
            <w:tcBorders>
              <w:top w:val="single" w:sz="8" w:color="auto"/>
            </w:tcBorders>
            <w:gridSpan w:val="3"/>
            <w:shd w:val="clear" w:color="auto" w:fill="CCEEFF"/>
          </w:tcPr>
          <w:p>
            <w:pPr>
              <w:jc w:val="right"/>
              <w:ind w:right="188"/>
              <w:spacing w:after="0"/>
              <w:rPr>
                <w:sz w:val="20"/>
                <w:szCs w:val="20"/>
                <w:color w:val="auto"/>
              </w:rPr>
            </w:pPr>
            <w:r>
              <w:rPr>
                <w:rFonts w:ascii="Arial" w:cs="Arial" w:eastAsia="Arial" w:hAnsi="Arial"/>
                <w:sz w:val="15"/>
                <w:szCs w:val="15"/>
                <w:b w:val="1"/>
                <w:bCs w:val="1"/>
                <w:color w:val="auto"/>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484.9</w:t>
            </w:r>
          </w:p>
        </w:tc>
        <w:tc>
          <w:tcPr>
            <w:tcW w:w="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95"/>
              </w:rPr>
              <w:t>$</w:t>
            </w: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b w:val="1"/>
                <w:bCs w:val="1"/>
                <w:color w:val="auto"/>
              </w:rPr>
              <w:t>947.9</w:t>
            </w:r>
          </w:p>
        </w:tc>
        <w:tc>
          <w:tcPr>
            <w:tcW w:w="2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95"/>
              </w:rPr>
              <w:t>149.7</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b w:val="1"/>
                <w:bCs w:val="1"/>
                <w:color w:val="auto"/>
                <w:w w:val="71"/>
              </w:rPr>
              <w:t>$</w:t>
            </w: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(277.4)</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i w:val="1"/>
                <w:iCs w:val="1"/>
                <w:color w:val="auto"/>
              </w:rPr>
              <w:t>33.2 %</w:t>
            </w:r>
          </w:p>
        </w:tc>
        <w:tc>
          <w:tcPr>
            <w:tcW w:w="0" w:type="dxa"/>
            <w:vAlign w:val="bottom"/>
          </w:tcPr>
          <w:p>
            <w:pPr>
              <w:spacing w:after="0"/>
              <w:rPr>
                <w:sz w:val="1"/>
                <w:szCs w:val="1"/>
                <w:color w:val="auto"/>
              </w:rPr>
            </w:pPr>
          </w:p>
        </w:tc>
      </w:tr>
      <w:tr>
        <w:trPr>
          <w:trHeight w:val="201"/>
        </w:trPr>
        <w:tc>
          <w:tcPr>
            <w:tcW w:w="2360" w:type="dxa"/>
            <w:vAlign w:val="bottom"/>
          </w:tcPr>
          <w:p>
            <w:pPr>
              <w:ind w:left="140"/>
              <w:spacing w:after="0"/>
              <w:rPr>
                <w:sz w:val="20"/>
                <w:szCs w:val="20"/>
                <w:color w:val="auto"/>
              </w:rPr>
            </w:pPr>
            <w:r>
              <w:rPr>
                <w:rFonts w:ascii="Arial" w:cs="Arial" w:eastAsia="Arial" w:hAnsi="Arial"/>
                <w:sz w:val="15"/>
                <w:szCs w:val="15"/>
                <w:color w:val="auto"/>
              </w:rPr>
              <w:t>Non-GAAP Adjustments: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Intangible asset amortization</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3"/>
              </w:rPr>
              <w:t>—</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i w:val="1"/>
                <w:iCs w:val="1"/>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(484.9)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127"/>
              <w:spacing w:after="0"/>
              <w:rPr>
                <w:sz w:val="20"/>
                <w:szCs w:val="20"/>
                <w:color w:val="auto"/>
              </w:rPr>
            </w:pPr>
            <w:r>
              <w:rPr>
                <w:rFonts w:ascii="Arial" w:cs="Arial" w:eastAsia="Arial" w:hAnsi="Arial"/>
                <w:sz w:val="15"/>
                <w:szCs w:val="15"/>
                <w:i w:val="1"/>
                <w:iCs w:val="1"/>
                <w:color w:val="auto"/>
              </w:rPr>
              <w:t>—</w:t>
            </w:r>
          </w:p>
        </w:tc>
        <w:tc>
          <w:tcPr>
            <w:tcW w:w="0" w:type="dxa"/>
            <w:vAlign w:val="bottom"/>
          </w:tcPr>
          <w:p>
            <w:pPr>
              <w:spacing w:after="0"/>
              <w:rPr>
                <w:sz w:val="1"/>
                <w:szCs w:val="1"/>
                <w:color w:val="auto"/>
              </w:rPr>
            </w:pPr>
          </w:p>
        </w:tc>
      </w:tr>
      <w:tr>
        <w:trPr>
          <w:trHeight w:val="158"/>
        </w:trPr>
        <w:tc>
          <w:tcPr>
            <w:tcW w:w="2360" w:type="dxa"/>
            <w:vAlign w:val="bottom"/>
          </w:tcPr>
          <w:p>
            <w:pPr>
              <w:ind w:left="140"/>
              <w:spacing w:after="0" w:line="158" w:lineRule="exact"/>
              <w:rPr>
                <w:sz w:val="20"/>
                <w:szCs w:val="20"/>
                <w:color w:val="auto"/>
              </w:rPr>
            </w:pPr>
            <w:r>
              <w:rPr>
                <w:rFonts w:ascii="Arial" w:cs="Arial" w:eastAsia="Arial" w:hAnsi="Arial"/>
                <w:sz w:val="15"/>
                <w:szCs w:val="15"/>
                <w:color w:val="auto"/>
              </w:rPr>
              <w:t>Share-based compensation</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360" w:type="dxa"/>
            <w:vAlign w:val="bottom"/>
          </w:tcPr>
          <w:p>
            <w:pPr>
              <w:ind w:left="140"/>
              <w:spacing w:after="0"/>
              <w:rPr>
                <w:sz w:val="20"/>
                <w:szCs w:val="20"/>
                <w:color w:val="auto"/>
              </w:rPr>
            </w:pPr>
            <w:r>
              <w:rPr>
                <w:rFonts w:ascii="Arial" w:cs="Arial" w:eastAsia="Arial" w:hAnsi="Arial"/>
                <w:sz w:val="15"/>
                <w:szCs w:val="15"/>
                <w:color w:val="auto"/>
              </w:rPr>
              <w:t>expense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5"/>
                <w:szCs w:val="15"/>
                <w:color w:val="auto"/>
              </w:rPr>
              <w:t>(13.0)</w:t>
            </w:r>
          </w:p>
        </w:tc>
        <w:tc>
          <w:tcPr>
            <w:tcW w:w="740" w:type="dxa"/>
            <w:vAlign w:val="bottom"/>
            <w:gridSpan w:val="3"/>
          </w:tcPr>
          <w:p>
            <w:pPr>
              <w:jc w:val="right"/>
              <w:ind w:right="80"/>
              <w:spacing w:after="0"/>
              <w:rPr>
                <w:sz w:val="20"/>
                <w:szCs w:val="20"/>
                <w:color w:val="auto"/>
              </w:rPr>
            </w:pPr>
            <w:r>
              <w:rPr>
                <w:rFonts w:ascii="Arial" w:cs="Arial" w:eastAsia="Arial" w:hAnsi="Arial"/>
                <w:sz w:val="15"/>
                <w:szCs w:val="15"/>
                <w:i w:val="1"/>
                <w:iCs w:val="1"/>
                <w:color w:val="auto"/>
              </w:rPr>
              <w:t>0.4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4"/>
          </w:tcPr>
          <w:p>
            <w:pPr>
              <w:jc w:val="right"/>
              <w:spacing w:after="0"/>
              <w:rPr>
                <w:sz w:val="20"/>
                <w:szCs w:val="20"/>
                <w:color w:val="auto"/>
              </w:rPr>
            </w:pPr>
            <w:r>
              <w:rPr>
                <w:rFonts w:ascii="Arial" w:cs="Arial" w:eastAsia="Arial" w:hAnsi="Arial"/>
                <w:sz w:val="15"/>
                <w:szCs w:val="15"/>
                <w:color w:val="auto"/>
              </w:rPr>
              <w:t>(144.0)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5"/>
                <w:szCs w:val="15"/>
                <w:color w:val="auto"/>
              </w:rPr>
              <w:t>(63.3)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4"/>
          </w:tcPr>
          <w:p>
            <w:pPr>
              <w:jc w:val="right"/>
              <w:ind w:right="220"/>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27"/>
              <w:spacing w:after="0"/>
              <w:rPr>
                <w:sz w:val="20"/>
                <w:szCs w:val="20"/>
                <w:color w:val="auto"/>
              </w:rPr>
            </w:pPr>
            <w:r>
              <w:rPr>
                <w:rFonts w:ascii="Arial" w:cs="Arial" w:eastAsia="Arial" w:hAnsi="Arial"/>
                <w:sz w:val="15"/>
                <w:szCs w:val="15"/>
                <w:i w:val="1"/>
                <w:iCs w:val="1"/>
                <w:color w:val="auto"/>
              </w:rPr>
              <w:t>—</w:t>
            </w:r>
          </w:p>
        </w:tc>
        <w:tc>
          <w:tcPr>
            <w:tcW w:w="0" w:type="dxa"/>
            <w:vAlign w:val="bottom"/>
          </w:tcPr>
          <w:p>
            <w:pPr>
              <w:spacing w:after="0"/>
              <w:rPr>
                <w:sz w:val="1"/>
                <w:szCs w:val="1"/>
                <w:color w:val="auto"/>
              </w:rPr>
            </w:pPr>
          </w:p>
        </w:tc>
      </w:tr>
      <w:tr>
        <w:trPr>
          <w:trHeight w:val="206"/>
        </w:trPr>
        <w:tc>
          <w:tcPr>
            <w:tcW w:w="2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Integration related expenses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(0.3)</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i w:val="1"/>
                <w:iCs w:val="1"/>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w w:val="96"/>
              </w:rPr>
              <w:t>(16.3)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127"/>
              <w:spacing w:after="0"/>
              <w:rPr>
                <w:sz w:val="20"/>
                <w:szCs w:val="20"/>
                <w:color w:val="auto"/>
              </w:rPr>
            </w:pPr>
            <w:r>
              <w:rPr>
                <w:rFonts w:ascii="Arial" w:cs="Arial" w:eastAsia="Arial" w:hAnsi="Arial"/>
                <w:sz w:val="15"/>
                <w:szCs w:val="15"/>
                <w:i w:val="1"/>
                <w:iCs w:val="1"/>
                <w:color w:val="auto"/>
              </w:rPr>
              <w:t>—</w:t>
            </w:r>
          </w:p>
        </w:tc>
        <w:tc>
          <w:tcPr>
            <w:tcW w:w="0" w:type="dxa"/>
            <w:vAlign w:val="bottom"/>
          </w:tcPr>
          <w:p>
            <w:pPr>
              <w:spacing w:after="0"/>
              <w:rPr>
                <w:sz w:val="1"/>
                <w:szCs w:val="1"/>
                <w:color w:val="auto"/>
              </w:rPr>
            </w:pPr>
          </w:p>
        </w:tc>
      </w:tr>
      <w:tr>
        <w:trPr>
          <w:trHeight w:val="158"/>
        </w:trPr>
        <w:tc>
          <w:tcPr>
            <w:tcW w:w="2360" w:type="dxa"/>
            <w:vAlign w:val="bottom"/>
          </w:tcPr>
          <w:p>
            <w:pPr>
              <w:ind w:left="140"/>
              <w:spacing w:after="0" w:line="158" w:lineRule="exact"/>
              <w:rPr>
                <w:sz w:val="20"/>
                <w:szCs w:val="20"/>
                <w:color w:val="auto"/>
              </w:rPr>
            </w:pPr>
            <w:r>
              <w:rPr>
                <w:rFonts w:ascii="Arial" w:cs="Arial" w:eastAsia="Arial" w:hAnsi="Arial"/>
                <w:sz w:val="15"/>
                <w:szCs w:val="15"/>
                <w:color w:val="auto"/>
              </w:rPr>
              <w:t>Acquisition accounting inventory</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360" w:type="dxa"/>
            <w:vAlign w:val="bottom"/>
          </w:tcPr>
          <w:p>
            <w:pPr>
              <w:ind w:left="140"/>
              <w:spacing w:after="0"/>
              <w:rPr>
                <w:sz w:val="20"/>
                <w:szCs w:val="20"/>
                <w:color w:val="auto"/>
              </w:rPr>
            </w:pPr>
            <w:r>
              <w:rPr>
                <w:rFonts w:ascii="Arial" w:cs="Arial" w:eastAsia="Arial" w:hAnsi="Arial"/>
                <w:sz w:val="15"/>
                <w:szCs w:val="15"/>
                <w:color w:val="auto"/>
              </w:rPr>
              <w:t>fair value step-up</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5"/>
                <w:szCs w:val="15"/>
                <w:color w:val="auto"/>
              </w:rPr>
              <w:t>(107.3)</w:t>
            </w:r>
          </w:p>
        </w:tc>
        <w:tc>
          <w:tcPr>
            <w:tcW w:w="740" w:type="dxa"/>
            <w:vAlign w:val="bottom"/>
            <w:gridSpan w:val="3"/>
          </w:tcPr>
          <w:p>
            <w:pPr>
              <w:jc w:val="right"/>
              <w:ind w:right="80"/>
              <w:spacing w:after="0"/>
              <w:rPr>
                <w:sz w:val="20"/>
                <w:szCs w:val="20"/>
                <w:color w:val="auto"/>
              </w:rPr>
            </w:pPr>
            <w:r>
              <w:rPr>
                <w:rFonts w:ascii="Arial" w:cs="Arial" w:eastAsia="Arial" w:hAnsi="Arial"/>
                <w:sz w:val="15"/>
                <w:szCs w:val="15"/>
                <w:i w:val="1"/>
                <w:iCs w:val="1"/>
                <w:color w:val="auto"/>
              </w:rPr>
              <w:t>3.5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4"/>
          </w:tcPr>
          <w:p>
            <w:pPr>
              <w:jc w:val="right"/>
              <w:ind w:right="220"/>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27"/>
              <w:spacing w:after="0"/>
              <w:rPr>
                <w:sz w:val="20"/>
                <w:szCs w:val="20"/>
                <w:color w:val="auto"/>
              </w:rPr>
            </w:pPr>
            <w:r>
              <w:rPr>
                <w:rFonts w:ascii="Arial" w:cs="Arial" w:eastAsia="Arial" w:hAnsi="Arial"/>
                <w:sz w:val="15"/>
                <w:szCs w:val="15"/>
                <w:i w:val="1"/>
                <w:iCs w:val="1"/>
                <w:color w:val="auto"/>
              </w:rPr>
              <w:t>—</w:t>
            </w:r>
          </w:p>
        </w:tc>
        <w:tc>
          <w:tcPr>
            <w:tcW w:w="0" w:type="dxa"/>
            <w:vAlign w:val="bottom"/>
          </w:tcPr>
          <w:p>
            <w:pPr>
              <w:spacing w:after="0"/>
              <w:rPr>
                <w:sz w:val="1"/>
                <w:szCs w:val="1"/>
                <w:color w:val="auto"/>
              </w:rPr>
            </w:pPr>
          </w:p>
        </w:tc>
      </w:tr>
      <w:tr>
        <w:trPr>
          <w:trHeight w:val="161"/>
        </w:trPr>
        <w:tc>
          <w:tcPr>
            <w:tcW w:w="2360" w:type="dxa"/>
            <w:vAlign w:val="bottom"/>
            <w:shd w:val="clear" w:color="auto" w:fill="CCEEFF"/>
          </w:tcPr>
          <w:p>
            <w:pPr>
              <w:ind w:left="140"/>
              <w:spacing w:after="0" w:line="161" w:lineRule="exact"/>
              <w:rPr>
                <w:sz w:val="20"/>
                <w:szCs w:val="20"/>
                <w:color w:val="auto"/>
              </w:rPr>
            </w:pPr>
            <w:r>
              <w:rPr>
                <w:rFonts w:ascii="Arial" w:cs="Arial" w:eastAsia="Arial" w:hAnsi="Arial"/>
                <w:sz w:val="15"/>
                <w:szCs w:val="15"/>
                <w:color w:val="auto"/>
              </w:rPr>
              <w:t>Income tax effect of above</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adjustments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3"/>
              </w:rPr>
              <w:t>—</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i w:val="1"/>
                <w:iCs w:val="1"/>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177.3</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N/A(1)</w:t>
            </w:r>
          </w:p>
        </w:tc>
        <w:tc>
          <w:tcPr>
            <w:tcW w:w="0" w:type="dxa"/>
            <w:vAlign w:val="bottom"/>
          </w:tcPr>
          <w:p>
            <w:pPr>
              <w:spacing w:after="0"/>
              <w:rPr>
                <w:sz w:val="1"/>
                <w:szCs w:val="1"/>
                <w:color w:val="auto"/>
              </w:rPr>
            </w:pPr>
          </w:p>
        </w:tc>
      </w:tr>
      <w:tr>
        <w:trPr>
          <w:trHeight w:val="195"/>
        </w:trPr>
        <w:tc>
          <w:tcPr>
            <w:tcW w:w="236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Total of non-GAAP adjustments</w:t>
            </w:r>
          </w:p>
        </w:tc>
        <w:tc>
          <w:tcPr>
            <w:tcW w:w="14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5"/>
                <w:szCs w:val="15"/>
                <w:color w:val="auto"/>
              </w:rPr>
              <w:t>(120.6)</w:t>
            </w:r>
          </w:p>
        </w:tc>
        <w:tc>
          <w:tcPr>
            <w:tcW w:w="120" w:type="dxa"/>
            <w:vAlign w:val="bottom"/>
            <w:tcBorders>
              <w:bottom w:val="single" w:sz="8" w:color="CCEEFF"/>
            </w:tcBorders>
          </w:tcPr>
          <w:p>
            <w:pPr>
              <w:spacing w:after="0"/>
              <w:rPr>
                <w:sz w:val="16"/>
                <w:szCs w:val="16"/>
                <w:color w:val="auto"/>
              </w:rPr>
            </w:pPr>
          </w:p>
        </w:tc>
        <w:tc>
          <w:tcPr>
            <w:tcW w:w="62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5"/>
                <w:szCs w:val="15"/>
                <w:i w:val="1"/>
                <w:iCs w:val="1"/>
                <w:color w:val="auto"/>
              </w:rPr>
              <w:t>3.9</w:t>
            </w:r>
          </w:p>
        </w:tc>
        <w:tc>
          <w:tcPr>
            <w:tcW w:w="120" w:type="dxa"/>
            <w:vAlign w:val="bottom"/>
            <w:tcBorders>
              <w:top w:val="single" w:sz="8" w:color="auto"/>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5"/>
                <w:szCs w:val="15"/>
                <w:color w:val="auto"/>
              </w:rPr>
              <w:t>(160.3)</w:t>
            </w:r>
          </w:p>
        </w:tc>
        <w:tc>
          <w:tcPr>
            <w:tcW w:w="12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rPr>
              <w:t>(72.1)</w:t>
            </w: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rPr>
              <w:t>(484.9)</w:t>
            </w:r>
          </w:p>
        </w:tc>
        <w:tc>
          <w:tcPr>
            <w:tcW w:w="1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177.3</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i w:val="1"/>
                <w:iCs w:val="1"/>
                <w:color w:val="auto"/>
              </w:rPr>
              <w:t>N/A(1)</w:t>
            </w:r>
          </w:p>
        </w:tc>
        <w:tc>
          <w:tcPr>
            <w:tcW w:w="0" w:type="dxa"/>
            <w:vAlign w:val="bottom"/>
          </w:tcPr>
          <w:p>
            <w:pPr>
              <w:spacing w:after="0"/>
              <w:rPr>
                <w:sz w:val="1"/>
                <w:szCs w:val="1"/>
                <w:color w:val="auto"/>
              </w:rPr>
            </w:pPr>
          </w:p>
        </w:tc>
      </w:tr>
      <w:tr>
        <w:trPr>
          <w:trHeight w:val="222"/>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Non-GAAP Adjusted</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229.2</w:t>
            </w: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i w:val="1"/>
                <w:iCs w:val="1"/>
                <w:color w:val="auto"/>
              </w:rPr>
              <w:t>92.5 %</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5"/>
                <w:szCs w:val="15"/>
                <w:color w:val="auto"/>
              </w:rPr>
              <w:t>1,242.7</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496.7</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947.9</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149.7</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(100.1)</w:t>
            </w: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i w:val="1"/>
                <w:iCs w:val="1"/>
                <w:color w:val="auto"/>
              </w:rPr>
              <w:t>N/A(1)</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21"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Not a meaningful metric due to minimal non-GAAP profit before tax in this period.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949" w:right="339" w:bottom="1440" w:gutter="0" w:footer="0" w:header="0"/>
        </w:sectPr>
      </w:pPr>
    </w:p>
    <w:bookmarkStart w:id="16" w:name="page17"/>
    <w:bookmarkEnd w:id="16"/>
    <w:p>
      <w:pPr>
        <w:ind w:left="4720"/>
        <w:spacing w:after="0"/>
        <w:rPr>
          <w:sz w:val="20"/>
          <w:szCs w:val="20"/>
          <w:color w:val="auto"/>
        </w:rPr>
      </w:pPr>
      <w:r>
        <w:rPr>
          <w:rFonts w:ascii="Arial" w:cs="Arial" w:eastAsia="Arial" w:hAnsi="Arial"/>
          <w:sz w:val="16"/>
          <w:szCs w:val="16"/>
          <w:b w:val="1"/>
          <w:bCs w:val="1"/>
          <w:color w:val="auto"/>
        </w:rPr>
        <w:t>JAZZ PHARMACEUTICALS PLC</w:t>
      </w:r>
    </w:p>
    <w:p>
      <w:pPr>
        <w:spacing w:after="0" w:line="59" w:lineRule="exact"/>
        <w:rPr>
          <w:sz w:val="20"/>
          <w:szCs w:val="20"/>
          <w:color w:val="auto"/>
        </w:rPr>
      </w:pPr>
    </w:p>
    <w:p>
      <w:pPr>
        <w:ind w:left="2800"/>
        <w:spacing w:after="0"/>
        <w:rPr>
          <w:sz w:val="20"/>
          <w:szCs w:val="20"/>
          <w:color w:val="auto"/>
        </w:rPr>
      </w:pPr>
      <w:r>
        <w:rPr>
          <w:rFonts w:ascii="Arial" w:cs="Arial" w:eastAsia="Arial" w:hAnsi="Arial"/>
          <w:sz w:val="16"/>
          <w:szCs w:val="16"/>
          <w:b w:val="1"/>
          <w:bCs w:val="1"/>
          <w:color w:val="auto"/>
        </w:rPr>
        <w:t>RECONCILIATION OF 2026 GAAP TO NON-GAAP GUIDANCE MEASURES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right"/>
              <w:ind w:right="75"/>
              <w:spacing w:after="0"/>
              <w:rPr>
                <w:sz w:val="20"/>
                <w:szCs w:val="20"/>
                <w:color w:val="auto"/>
              </w:rPr>
            </w:pPr>
            <w:r>
              <w:rPr>
                <w:rFonts w:ascii="Arial" w:cs="Arial" w:eastAsia="Arial" w:hAnsi="Arial"/>
                <w:sz w:val="14"/>
                <w:szCs w:val="14"/>
                <w:b w:val="1"/>
                <w:bCs w:val="1"/>
                <w:color w:val="auto"/>
              </w:rPr>
              <w:t>Projected Range</w:t>
            </w:r>
          </w:p>
        </w:tc>
        <w:tc>
          <w:tcPr>
            <w:tcW w:w="1300" w:type="dxa"/>
            <w:vAlign w:val="bottom"/>
            <w:tcBorders>
              <w:bottom w:val="single" w:sz="8" w:color="auto"/>
            </w:tcBorders>
          </w:tcPr>
          <w:p>
            <w:pPr>
              <w:spacing w:after="0"/>
              <w:rPr>
                <w:sz w:val="17"/>
                <w:szCs w:val="17"/>
                <w:color w:val="auto"/>
              </w:rPr>
            </w:pPr>
          </w:p>
        </w:tc>
      </w:tr>
      <w:tr>
        <w:trPr>
          <w:trHeight w:val="197"/>
        </w:trPr>
        <w:tc>
          <w:tcPr>
            <w:tcW w:w="7180" w:type="dxa"/>
            <w:vAlign w:val="bottom"/>
          </w:tcPr>
          <w:p>
            <w:pPr>
              <w:ind w:left="20"/>
              <w:spacing w:after="0"/>
              <w:rPr>
                <w:sz w:val="20"/>
                <w:szCs w:val="20"/>
                <w:color w:val="auto"/>
              </w:rPr>
            </w:pPr>
            <w:r>
              <w:rPr>
                <w:rFonts w:ascii="Arial" w:cs="Arial" w:eastAsia="Arial" w:hAnsi="Arial"/>
                <w:sz w:val="14"/>
                <w:szCs w:val="14"/>
                <w:color w:val="auto"/>
              </w:rPr>
              <w:t>(In millions, except percentages)</w:t>
            </w:r>
          </w:p>
        </w:tc>
        <w:tc>
          <w:tcPr>
            <w:tcW w:w="480" w:type="dxa"/>
            <w:vAlign w:val="bottom"/>
          </w:tcPr>
          <w:p>
            <w:pPr>
              <w:spacing w:after="0"/>
              <w:rPr>
                <w:sz w:val="17"/>
                <w:szCs w:val="17"/>
                <w:color w:val="auto"/>
              </w:rPr>
            </w:pPr>
          </w:p>
        </w:tc>
        <w:tc>
          <w:tcPr>
            <w:tcW w:w="1600" w:type="dxa"/>
            <w:vAlign w:val="bottom"/>
            <w:gridSpan w:val="2"/>
          </w:tcPr>
          <w:p>
            <w:pPr>
              <w:ind w:left="360"/>
              <w:spacing w:after="0"/>
              <w:rPr>
                <w:sz w:val="20"/>
                <w:szCs w:val="20"/>
                <w:color w:val="auto"/>
              </w:rPr>
            </w:pPr>
            <w:r>
              <w:rPr>
                <w:rFonts w:ascii="Arial" w:cs="Arial" w:eastAsia="Arial" w:hAnsi="Arial"/>
                <w:sz w:val="14"/>
                <w:szCs w:val="14"/>
                <w:b w:val="1"/>
                <w:bCs w:val="1"/>
                <w:color w:val="auto"/>
              </w:rPr>
              <w:t>Low</w:t>
            </w:r>
          </w:p>
        </w:tc>
        <w:tc>
          <w:tcPr>
            <w:tcW w:w="680" w:type="dxa"/>
            <w:vAlign w:val="bottom"/>
          </w:tcPr>
          <w:p>
            <w:pPr>
              <w:spacing w:after="0"/>
              <w:rPr>
                <w:sz w:val="17"/>
                <w:szCs w:val="17"/>
                <w:color w:val="auto"/>
              </w:rPr>
            </w:pPr>
          </w:p>
        </w:tc>
        <w:tc>
          <w:tcPr>
            <w:tcW w:w="1300" w:type="dxa"/>
            <w:vAlign w:val="bottom"/>
          </w:tcPr>
          <w:p>
            <w:pPr>
              <w:jc w:val="right"/>
              <w:ind w:right="755"/>
              <w:spacing w:after="0"/>
              <w:rPr>
                <w:sz w:val="20"/>
                <w:szCs w:val="20"/>
                <w:color w:val="auto"/>
              </w:rPr>
            </w:pPr>
            <w:r>
              <w:rPr>
                <w:rFonts w:ascii="Arial" w:cs="Arial" w:eastAsia="Arial" w:hAnsi="Arial"/>
                <w:sz w:val="14"/>
                <w:szCs w:val="14"/>
                <w:b w:val="1"/>
                <w:bCs w:val="1"/>
                <w:color w:val="auto"/>
              </w:rPr>
              <w:t>High</w:t>
            </w:r>
          </w:p>
        </w:tc>
      </w:tr>
      <w:tr>
        <w:trPr>
          <w:trHeight w:val="224"/>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GAAP gross margin on total revenues</w:t>
            </w:r>
          </w:p>
        </w:tc>
        <w:tc>
          <w:tcPr>
            <w:tcW w:w="48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89%</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90%</w:t>
            </w:r>
          </w:p>
        </w:tc>
      </w:tr>
      <w:tr>
        <w:trPr>
          <w:trHeight w:val="227"/>
        </w:trPr>
        <w:tc>
          <w:tcPr>
            <w:tcW w:w="7180" w:type="dxa"/>
            <w:vAlign w:val="bottom"/>
          </w:tcPr>
          <w:p>
            <w:pPr>
              <w:ind w:left="140"/>
              <w:spacing w:after="0"/>
              <w:rPr>
                <w:sz w:val="20"/>
                <w:szCs w:val="20"/>
                <w:color w:val="auto"/>
              </w:rPr>
            </w:pPr>
            <w:r>
              <w:rPr>
                <w:rFonts w:ascii="Arial" w:cs="Arial" w:eastAsia="Arial" w:hAnsi="Arial"/>
                <w:sz w:val="17"/>
                <w:szCs w:val="17"/>
                <w:color w:val="auto"/>
              </w:rPr>
              <w:t>Acquisition accounting inventory fair value step-up</w:t>
            </w:r>
          </w:p>
        </w:tc>
        <w:tc>
          <w:tcPr>
            <w:tcW w:w="480" w:type="dxa"/>
            <w:vAlign w:val="bottom"/>
          </w:tcPr>
          <w:p>
            <w:pPr>
              <w:spacing w:after="0"/>
              <w:rPr>
                <w:sz w:val="19"/>
                <w:szCs w:val="19"/>
                <w:color w:val="auto"/>
              </w:rPr>
            </w:pPr>
          </w:p>
        </w:tc>
        <w:tc>
          <w:tcPr>
            <w:tcW w:w="1500" w:type="dxa"/>
            <w:vAlign w:val="bottom"/>
          </w:tcPr>
          <w:p>
            <w:pPr>
              <w:jc w:val="right"/>
              <w:ind w:right="36"/>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00" w:type="dxa"/>
            <w:vAlign w:val="bottom"/>
          </w:tcPr>
          <w:p>
            <w:pPr>
              <w:jc w:val="right"/>
              <w:ind w:right="35"/>
              <w:spacing w:after="0"/>
              <w:rPr>
                <w:sz w:val="20"/>
                <w:szCs w:val="20"/>
                <w:color w:val="auto"/>
              </w:rPr>
            </w:pPr>
            <w:r>
              <w:rPr>
                <w:rFonts w:ascii="Arial" w:cs="Arial" w:eastAsia="Arial" w:hAnsi="Arial"/>
                <w:sz w:val="17"/>
                <w:szCs w:val="17"/>
                <w:color w:val="auto"/>
              </w:rPr>
              <w:t>1%</w:t>
            </w:r>
          </w:p>
        </w:tc>
      </w:tr>
      <w:tr>
        <w:trPr>
          <w:trHeight w:val="232"/>
        </w:trPr>
        <w:tc>
          <w:tcPr>
            <w:tcW w:w="71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Share-based compensation expense</w:t>
            </w:r>
          </w:p>
        </w:tc>
        <w:tc>
          <w:tcPr>
            <w:tcW w:w="48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0.5%</w:t>
            </w:r>
          </w:p>
        </w:tc>
        <w:tc>
          <w:tcPr>
            <w:tcW w:w="100" w:type="dxa"/>
            <w:vAlign w:val="bottom"/>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0.5%</w:t>
            </w:r>
          </w:p>
        </w:tc>
      </w:tr>
      <w:tr>
        <w:trPr>
          <w:trHeight w:val="221"/>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Non-GAAP gross margin on total revenues</w:t>
            </w: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90.5%</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91.5%</w:t>
            </w:r>
          </w:p>
        </w:tc>
      </w:tr>
      <w:tr>
        <w:trPr>
          <w:trHeight w:val="239"/>
        </w:trPr>
        <w:tc>
          <w:tcPr>
            <w:tcW w:w="7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29"/>
        </w:trPr>
        <w:tc>
          <w:tcPr>
            <w:tcW w:w="7180" w:type="dxa"/>
            <w:vAlign w:val="bottom"/>
          </w:tcPr>
          <w:p>
            <w:pPr>
              <w:ind w:left="20"/>
              <w:spacing w:after="0"/>
              <w:rPr>
                <w:sz w:val="20"/>
                <w:szCs w:val="20"/>
                <w:color w:val="auto"/>
              </w:rPr>
            </w:pPr>
            <w:r>
              <w:rPr>
                <w:rFonts w:ascii="Arial" w:cs="Arial" w:eastAsia="Arial" w:hAnsi="Arial"/>
                <w:sz w:val="17"/>
                <w:szCs w:val="17"/>
                <w:b w:val="1"/>
                <w:bCs w:val="1"/>
                <w:color w:val="auto"/>
              </w:rPr>
              <w:t>GAAP SG&amp;A expenses</w:t>
            </w:r>
          </w:p>
        </w:tc>
        <w:tc>
          <w:tcPr>
            <w:tcW w:w="480" w:type="dxa"/>
            <w:vAlign w:val="bottom"/>
          </w:tcPr>
          <w:p>
            <w:pPr>
              <w:jc w:val="right"/>
              <w:ind w:right="295"/>
              <w:spacing w:after="0"/>
              <w:rPr>
                <w:sz w:val="20"/>
                <w:szCs w:val="20"/>
                <w:color w:val="auto"/>
              </w:rPr>
            </w:pPr>
            <w:r>
              <w:rPr>
                <w:rFonts w:ascii="Arial" w:cs="Arial" w:eastAsia="Arial" w:hAnsi="Arial"/>
                <w:sz w:val="17"/>
                <w:szCs w:val="17"/>
                <w:b w:val="1"/>
                <w:bCs w:val="1"/>
                <w:color w:val="auto"/>
                <w:w w:val="84"/>
              </w:rPr>
              <w:t>$</w:t>
            </w:r>
          </w:p>
        </w:tc>
        <w:tc>
          <w:tcPr>
            <w:tcW w:w="1500" w:type="dxa"/>
            <w:vAlign w:val="bottom"/>
          </w:tcPr>
          <w:p>
            <w:pPr>
              <w:jc w:val="right"/>
              <w:ind w:right="36"/>
              <w:spacing w:after="0"/>
              <w:rPr>
                <w:sz w:val="20"/>
                <w:szCs w:val="20"/>
                <w:color w:val="auto"/>
              </w:rPr>
            </w:pPr>
            <w:r>
              <w:rPr>
                <w:rFonts w:ascii="Arial" w:cs="Arial" w:eastAsia="Arial" w:hAnsi="Arial"/>
                <w:sz w:val="17"/>
                <w:szCs w:val="17"/>
                <w:b w:val="1"/>
                <w:bCs w:val="1"/>
                <w:color w:val="auto"/>
              </w:rPr>
              <w:t>1,544</w:t>
            </w:r>
          </w:p>
        </w:tc>
        <w:tc>
          <w:tcPr>
            <w:tcW w:w="100" w:type="dxa"/>
            <w:vAlign w:val="bottom"/>
          </w:tcPr>
          <w:p>
            <w:pPr>
              <w:spacing w:after="0"/>
              <w:rPr>
                <w:sz w:val="19"/>
                <w:szCs w:val="19"/>
                <w:color w:val="auto"/>
              </w:rPr>
            </w:pPr>
          </w:p>
        </w:tc>
        <w:tc>
          <w:tcPr>
            <w:tcW w:w="680" w:type="dxa"/>
            <w:vAlign w:val="bottom"/>
          </w:tcPr>
          <w:p>
            <w:pPr>
              <w:jc w:val="right"/>
              <w:ind w:right="495"/>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Pr>
          <w:p>
            <w:pPr>
              <w:jc w:val="right"/>
              <w:ind w:right="35"/>
              <w:spacing w:after="0"/>
              <w:rPr>
                <w:sz w:val="20"/>
                <w:szCs w:val="20"/>
                <w:color w:val="auto"/>
              </w:rPr>
            </w:pPr>
            <w:r>
              <w:rPr>
                <w:rFonts w:ascii="Arial" w:cs="Arial" w:eastAsia="Arial" w:hAnsi="Arial"/>
                <w:sz w:val="17"/>
                <w:szCs w:val="17"/>
                <w:b w:val="1"/>
                <w:bCs w:val="1"/>
                <w:color w:val="auto"/>
              </w:rPr>
              <w:t>1,597</w:t>
            </w:r>
          </w:p>
        </w:tc>
      </w:tr>
      <w:tr>
        <w:trPr>
          <w:trHeight w:val="230"/>
        </w:trPr>
        <w:tc>
          <w:tcPr>
            <w:tcW w:w="71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Share-based compensation expense</w:t>
            </w: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(176)</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(186)</w:t>
            </w:r>
          </w:p>
        </w:tc>
      </w:tr>
      <w:tr>
        <w:trPr>
          <w:trHeight w:val="227"/>
        </w:trPr>
        <w:tc>
          <w:tcPr>
            <w:tcW w:w="7180" w:type="dxa"/>
            <w:vAlign w:val="bottom"/>
          </w:tcPr>
          <w:p>
            <w:pPr>
              <w:ind w:left="140"/>
              <w:spacing w:after="0"/>
              <w:rPr>
                <w:sz w:val="20"/>
                <w:szCs w:val="20"/>
                <w:color w:val="auto"/>
              </w:rPr>
            </w:pPr>
            <w:r>
              <w:rPr>
                <w:rFonts w:ascii="Arial" w:cs="Arial" w:eastAsia="Arial" w:hAnsi="Arial"/>
                <w:sz w:val="17"/>
                <w:szCs w:val="17"/>
                <w:color w:val="auto"/>
              </w:rPr>
              <w:t>Restructuring and other costs</w:t>
            </w:r>
          </w:p>
        </w:tc>
        <w:tc>
          <w:tcPr>
            <w:tcW w:w="480" w:type="dxa"/>
            <w:vAlign w:val="bottom"/>
          </w:tcPr>
          <w:p>
            <w:pPr>
              <w:spacing w:after="0"/>
              <w:rPr>
                <w:sz w:val="19"/>
                <w:szCs w:val="19"/>
                <w:color w:val="auto"/>
              </w:rPr>
            </w:pPr>
          </w:p>
        </w:tc>
        <w:tc>
          <w:tcPr>
            <w:tcW w:w="1500" w:type="dxa"/>
            <w:vAlign w:val="bottom"/>
          </w:tcPr>
          <w:p>
            <w:pPr>
              <w:jc w:val="right"/>
              <w:ind w:right="36"/>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00" w:type="dxa"/>
            <w:vAlign w:val="bottom"/>
          </w:tcPr>
          <w:p>
            <w:pPr>
              <w:jc w:val="right"/>
              <w:ind w:right="35"/>
              <w:spacing w:after="0"/>
              <w:rPr>
                <w:sz w:val="20"/>
                <w:szCs w:val="20"/>
                <w:color w:val="auto"/>
              </w:rPr>
            </w:pPr>
            <w:r>
              <w:rPr>
                <w:rFonts w:ascii="Arial" w:cs="Arial" w:eastAsia="Arial" w:hAnsi="Arial"/>
                <w:sz w:val="17"/>
                <w:szCs w:val="17"/>
                <w:color w:val="auto"/>
              </w:rPr>
              <w:t>(34)</w:t>
            </w:r>
          </w:p>
        </w:tc>
      </w:tr>
      <w:tr>
        <w:trPr>
          <w:trHeight w:val="232"/>
        </w:trPr>
        <w:tc>
          <w:tcPr>
            <w:tcW w:w="71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Integration related expenses</w:t>
            </w:r>
          </w:p>
        </w:tc>
        <w:tc>
          <w:tcPr>
            <w:tcW w:w="48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(7)</w:t>
            </w:r>
          </w:p>
        </w:tc>
      </w:tr>
      <w:tr>
        <w:trPr>
          <w:trHeight w:val="221"/>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Non-GAAP SG&amp;A expenses</w:t>
            </w:r>
          </w:p>
        </w:tc>
        <w:tc>
          <w:tcPr>
            <w:tcW w:w="4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1,330</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1,370</w:t>
            </w:r>
          </w:p>
        </w:tc>
      </w:tr>
      <w:tr>
        <w:trPr>
          <w:trHeight w:val="239"/>
        </w:trPr>
        <w:tc>
          <w:tcPr>
            <w:tcW w:w="7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29"/>
        </w:trPr>
        <w:tc>
          <w:tcPr>
            <w:tcW w:w="7180" w:type="dxa"/>
            <w:vAlign w:val="bottom"/>
          </w:tcPr>
          <w:p>
            <w:pPr>
              <w:ind w:left="20"/>
              <w:spacing w:after="0"/>
              <w:rPr>
                <w:sz w:val="20"/>
                <w:szCs w:val="20"/>
                <w:color w:val="auto"/>
              </w:rPr>
            </w:pPr>
            <w:r>
              <w:rPr>
                <w:rFonts w:ascii="Arial" w:cs="Arial" w:eastAsia="Arial" w:hAnsi="Arial"/>
                <w:sz w:val="17"/>
                <w:szCs w:val="17"/>
                <w:b w:val="1"/>
                <w:bCs w:val="1"/>
                <w:color w:val="auto"/>
              </w:rPr>
              <w:t>GAAP R&amp;D expenses</w:t>
            </w:r>
          </w:p>
        </w:tc>
        <w:tc>
          <w:tcPr>
            <w:tcW w:w="480" w:type="dxa"/>
            <w:vAlign w:val="bottom"/>
          </w:tcPr>
          <w:p>
            <w:pPr>
              <w:jc w:val="right"/>
              <w:ind w:right="295"/>
              <w:spacing w:after="0"/>
              <w:rPr>
                <w:sz w:val="20"/>
                <w:szCs w:val="20"/>
                <w:color w:val="auto"/>
              </w:rPr>
            </w:pPr>
            <w:r>
              <w:rPr>
                <w:rFonts w:ascii="Arial" w:cs="Arial" w:eastAsia="Arial" w:hAnsi="Arial"/>
                <w:sz w:val="17"/>
                <w:szCs w:val="17"/>
                <w:b w:val="1"/>
                <w:bCs w:val="1"/>
                <w:color w:val="auto"/>
                <w:w w:val="84"/>
              </w:rPr>
              <w:t>$</w:t>
            </w:r>
          </w:p>
        </w:tc>
        <w:tc>
          <w:tcPr>
            <w:tcW w:w="1500" w:type="dxa"/>
            <w:vAlign w:val="bottom"/>
          </w:tcPr>
          <w:p>
            <w:pPr>
              <w:jc w:val="right"/>
              <w:ind w:right="36"/>
              <w:spacing w:after="0"/>
              <w:rPr>
                <w:sz w:val="20"/>
                <w:szCs w:val="20"/>
                <w:color w:val="auto"/>
              </w:rPr>
            </w:pPr>
            <w:r>
              <w:rPr>
                <w:rFonts w:ascii="Arial" w:cs="Arial" w:eastAsia="Arial" w:hAnsi="Arial"/>
                <w:sz w:val="17"/>
                <w:szCs w:val="17"/>
                <w:b w:val="1"/>
                <w:bCs w:val="1"/>
                <w:color w:val="auto"/>
              </w:rPr>
              <w:t>819</w:t>
            </w:r>
          </w:p>
        </w:tc>
        <w:tc>
          <w:tcPr>
            <w:tcW w:w="100" w:type="dxa"/>
            <w:vAlign w:val="bottom"/>
          </w:tcPr>
          <w:p>
            <w:pPr>
              <w:spacing w:after="0"/>
              <w:rPr>
                <w:sz w:val="19"/>
                <w:szCs w:val="19"/>
                <w:color w:val="auto"/>
              </w:rPr>
            </w:pPr>
          </w:p>
        </w:tc>
        <w:tc>
          <w:tcPr>
            <w:tcW w:w="680" w:type="dxa"/>
            <w:vAlign w:val="bottom"/>
          </w:tcPr>
          <w:p>
            <w:pPr>
              <w:jc w:val="right"/>
              <w:ind w:right="495"/>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Pr>
          <w:p>
            <w:pPr>
              <w:jc w:val="right"/>
              <w:ind w:right="35"/>
              <w:spacing w:after="0"/>
              <w:rPr>
                <w:sz w:val="20"/>
                <w:szCs w:val="20"/>
                <w:color w:val="auto"/>
              </w:rPr>
            </w:pPr>
            <w:r>
              <w:rPr>
                <w:rFonts w:ascii="Arial" w:cs="Arial" w:eastAsia="Arial" w:hAnsi="Arial"/>
                <w:sz w:val="17"/>
                <w:szCs w:val="17"/>
                <w:b w:val="1"/>
                <w:bCs w:val="1"/>
                <w:color w:val="auto"/>
              </w:rPr>
              <w:t>876</w:t>
            </w:r>
          </w:p>
        </w:tc>
      </w:tr>
      <w:tr>
        <w:trPr>
          <w:trHeight w:val="230"/>
        </w:trPr>
        <w:tc>
          <w:tcPr>
            <w:tcW w:w="71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Share-based compensation expense</w:t>
            </w: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(93)</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(98)</w:t>
            </w:r>
          </w:p>
        </w:tc>
      </w:tr>
      <w:tr>
        <w:trPr>
          <w:trHeight w:val="227"/>
        </w:trPr>
        <w:tc>
          <w:tcPr>
            <w:tcW w:w="71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Integration related expenses</w:t>
            </w: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w:t>
            </w: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Non-GAAP R&amp;D expenses</w:t>
            </w:r>
          </w:p>
        </w:tc>
        <w:tc>
          <w:tcPr>
            <w:tcW w:w="480" w:type="dxa"/>
            <w:vAlign w:val="bottom"/>
            <w:tcBorders>
              <w:bottom w:val="single" w:sz="8" w:color="auto"/>
            </w:tcBorders>
            <w:shd w:val="clear" w:color="auto" w:fill="CCEEFF"/>
          </w:tcPr>
          <w:p>
            <w:pPr>
              <w:jc w:val="right"/>
              <w:ind w:right="295"/>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725</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495"/>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775</w:t>
            </w:r>
          </w:p>
        </w:tc>
      </w:tr>
      <w:tr>
        <w:trPr>
          <w:trHeight w:val="239"/>
        </w:trPr>
        <w:tc>
          <w:tcPr>
            <w:tcW w:w="7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GAAP effective tax rate</w:t>
            </w: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30%</w:t>
            </w:r>
          </w:p>
        </w:tc>
      </w:tr>
      <w:tr>
        <w:trPr>
          <w:trHeight w:val="227"/>
        </w:trPr>
        <w:tc>
          <w:tcPr>
            <w:tcW w:w="71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Income tax effect of GAAP to non-GAAP reconciling items</w:t>
            </w: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(0.5)%</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(8.5)%</w:t>
            </w: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Non-GAAP effective tax rate</w:t>
            </w:r>
          </w:p>
        </w:tc>
        <w:tc>
          <w:tcPr>
            <w:tcW w:w="4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19.5%</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21.5%</w:t>
            </w:r>
          </w:p>
        </w:tc>
      </w:tr>
    </w:tbl>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InvestorInfo@jazzpharma.com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 +353 1 634 7800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+1 650 496 2717</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CorporateAffairsMediaInfo@jazzpharma.com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 +353 1 637 2141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+1 215 867 4948</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sectPr>
      <w:pgSz w:w="11900" w:h="16838" w:orient="portrait"/>
      <w:cols w:equalWidth="0" w:num="1">
        <w:col w:w="11240"/>
      </w:cols>
      <w:pgMar w:left="320" w:top="9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lowerLetter"/>
      <w:start w:val="4"/>
    </w:lvl>
  </w:abstractNum>
  <w:abstractNum w:abstractNumId="2">
    <w:nsid w:val="4DB127F8"/>
    <w:multiLevelType w:val="hybridMultilevel"/>
    <w:lvl w:ilvl="0">
      <w:lvlJc w:val="left"/>
      <w:lvlText w:val="%1"/>
      <w:numFmt w:val="decimal"/>
      <w:start w:val="104"/>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2026-11-02T15:18:30Z</dcterms:created>
  <dcterms:modified xsi:type="dcterms:W3CDTF">2026-11-02T15:18:30Z</dcterms:modified>
</cp:coreProperties>
</file>