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9356" w:type="dxa"/>
        <w:jc w:val="left"/>
        <w:tblInd w:w="0" w:type="dxa"/>
        <w:tblCellMar>
          <w:top w:w="28" w:type="dxa"/>
          <w:left w:w="28" w:type="dxa"/>
          <w:bottom w:w="28" w:type="dxa"/>
          <w:right w:w="28" w:type="dxa"/>
        </w:tblCellMar>
      </w:tblPr>
      <w:tblGrid>
        <w:gridCol w:w="124"/>
        <w:gridCol w:w="109"/>
        <w:gridCol w:w="109"/>
        <w:gridCol w:w="2637"/>
        <w:gridCol w:w="2637"/>
        <w:gridCol w:w="37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37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417" w:type="dxa"/>
        <w:jc w:val="left"/>
        <w:tblInd w:w="0" w:type="dxa"/>
        <w:tblCellMar>
          <w:top w:w="28" w:type="dxa"/>
          <w:left w:w="28" w:type="dxa"/>
          <w:bottom w:w="28" w:type="dxa"/>
          <w:right w:w="28" w:type="dxa"/>
        </w:tblCellMar>
      </w:tblPr>
      <w:tblGrid>
        <w:gridCol w:w="124"/>
        <w:gridCol w:w="109"/>
        <w:gridCol w:w="109"/>
        <w:gridCol w:w="2657"/>
        <w:gridCol w:w="2657"/>
        <w:gridCol w:w="37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c>
          <w:tcPr>
            <w:tcW w:w="37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001-33500 </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JAZZ PHARMACEUTICALS PUBLIC LIMITED COMPANY</w:t>
      </w:r>
    </w:p>
    <w:p>
      <w:pPr>
        <w:pStyle w:val="TextBody"/>
        <w:spacing w:lineRule="auto" w:line="288" w:before="0" w:after="0"/>
        <w:jc w:val="center"/>
        <w:rPr/>
      </w:pPr>
      <w:r>
        <w:rPr>
          <w:rFonts w:ascii="Times New Roman;sans-serif" w:hAnsi="Times New Roman;sans-serif"/>
          <w:b/>
          <w:color w:val="000000"/>
          <w:sz w:val="16"/>
        </w:rPr>
        <w:t>(Exact name of registrant as specified in its charter)</w:t>
      </w:r>
      <w:r>
        <w:rPr>
          <w:color w:val="000000"/>
        </w:rPr>
        <w:t> </w:t>
      </w:r>
    </w:p>
    <w:tbl>
      <w:tblPr>
        <w:tblW w:w="3854" w:type="dxa"/>
        <w:jc w:val="left"/>
        <w:tblInd w:w="0" w:type="dxa"/>
        <w:tblCellMar>
          <w:top w:w="28" w:type="dxa"/>
          <w:left w:w="28" w:type="dxa"/>
          <w:bottom w:w="28" w:type="dxa"/>
          <w:right w:w="28" w:type="dxa"/>
        </w:tblCellMar>
      </w:tblPr>
      <w:tblGrid>
        <w:gridCol w:w="857"/>
        <w:gridCol w:w="753"/>
        <w:gridCol w:w="760"/>
        <w:gridCol w:w="433"/>
        <w:gridCol w:w="433"/>
        <w:gridCol w:w="618"/>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98-1032470</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Fifth Floor, Waterloo Exchange,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Waterloo Road, Dublin 4, Ireland D04 E5W7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011-353-1-634-7800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4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94" w:type="dxa"/>
        <w:jc w:val="center"/>
        <w:tblInd w:w="0" w:type="dxa"/>
        <w:tblCellMar>
          <w:top w:w="28" w:type="dxa"/>
          <w:left w:w="28" w:type="dxa"/>
          <w:bottom w:w="28" w:type="dxa"/>
          <w:right w:w="28" w:type="dxa"/>
        </w:tblCellMar>
      </w:tblPr>
      <w:tblGrid>
        <w:gridCol w:w="1494"/>
        <w:gridCol w:w="1308"/>
        <w:gridCol w:w="1323"/>
        <w:gridCol w:w="539"/>
        <w:gridCol w:w="539"/>
        <w:gridCol w:w="541"/>
        <w:gridCol w:w="1098"/>
        <w:gridCol w:w="1098"/>
        <w:gridCol w:w="1554"/>
      </w:tblGrid>
      <w:tr>
        <w:trPr/>
        <w:tc>
          <w:tcPr>
            <w:tcW w:w="149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of each exchange on which registered </w:t>
            </w:r>
          </w:p>
        </w:tc>
      </w:tr>
      <w:tr>
        <w:trPr/>
        <w:tc>
          <w:tcPr>
            <w:tcW w:w="4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nominal value $0.0001 per share</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JAZZ</w:t>
            </w:r>
          </w:p>
        </w:tc>
        <w:tc>
          <w:tcPr>
            <w:tcW w:w="3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Stock Market LLC </w:t>
            </w:r>
          </w:p>
        </w:tc>
      </w:tr>
    </w:tbl>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ind w:left="0" w:right="0" w:firstLine="495"/>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95"/>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18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180" w:after="283"/>
        <w:ind w:left="0" w:right="0" w:firstLine="495"/>
        <w:rPr/>
      </w:pPr>
      <w:r>
        <w:rPr/>
      </w:r>
    </w:p>
    <w:p>
      <w:pPr>
        <w:pStyle w:val="TextBody"/>
        <w:spacing w:lineRule="auto" w:line="288" w:before="180" w:after="283"/>
        <w:ind w:left="0" w:right="0" w:firstLine="495"/>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3, 2023, 64,004,791 ordinary shares of the registrant, nominal value $0.0001 per share, were outstanding.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 FOR THE QUARTER ENDED MARCH 31, 2023</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578"/>
        <w:gridCol w:w="504"/>
        <w:gridCol w:w="504"/>
        <w:gridCol w:w="2747"/>
        <w:gridCol w:w="2665"/>
        <w:gridCol w:w="2694"/>
        <w:gridCol w:w="149"/>
        <w:gridCol w:w="149"/>
        <w:gridCol w:w="215"/>
      </w:tblGrid>
      <w:tr>
        <w:trPr/>
        <w:tc>
          <w:tcPr>
            <w:tcW w:w="578"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747" w:type="dxa"/>
            <w:tcBorders/>
            <w:shd w:fill="auto" w:val="clear"/>
            <w:vAlign w:val="center"/>
          </w:tcPr>
          <w:p>
            <w:pPr>
              <w:pStyle w:val="TableContents"/>
              <w:spacing w:before="0" w:after="283"/>
              <w:rPr>
                <w:sz w:val="4"/>
                <w:szCs w:val="4"/>
              </w:rPr>
            </w:pPr>
            <w:r>
              <w:rPr>
                <w:sz w:val="4"/>
                <w:szCs w:val="4"/>
              </w:rPr>
            </w:r>
          </w:p>
        </w:tc>
        <w:tc>
          <w:tcPr>
            <w:tcW w:w="2665"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0">
              <w:r>
                <w:rPr>
                  <w:rStyle w:val="InternetLink"/>
                  <w:rFonts w:ascii="Times New Roman;sans-serif" w:hAnsi="Times New Roman;sans-serif"/>
                  <w:b/>
                  <w:color w:val="0000FF"/>
                  <w:sz w:val="20"/>
                  <w:u w:val="single"/>
                </w:rPr>
                <w:t>PART I – FINANCIAL INFORMATION</w:t>
              </w:r>
            </w:hyperlink>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3">
              <w:r>
                <w:rPr>
                  <w:rStyle w:val="InternetLink"/>
                  <w:rFonts w:ascii="Times New Roman;sans-serif" w:hAnsi="Times New Roman;sans-serif"/>
                  <w:b w:val="false"/>
                  <w:color w:val="0000FF"/>
                  <w:sz w:val="20"/>
                  <w:u w:val="single"/>
                </w:rPr>
                <w:t>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3">
              <w:r>
                <w:rPr>
                  <w:rStyle w:val="InternetLink"/>
                  <w:rFonts w:ascii="Times New Roman;sans-serif" w:hAnsi="Times New Roman;sans-serif"/>
                  <w:b w:val="false"/>
                  <w:color w:val="0000FF"/>
                  <w:sz w:val="20"/>
                  <w:u w:val="single"/>
                </w:rPr>
                <w:t>3</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6">
              <w:r>
                <w:rPr>
                  <w:rStyle w:val="InternetLink"/>
                  <w:rFonts w:ascii="Times New Roman;sans-serif" w:hAnsi="Times New Roman;sans-serif"/>
                  <w:b w:val="false"/>
                  <w:color w:val="0000FF"/>
                  <w:sz w:val="20"/>
                  <w:u w:val="single"/>
                </w:rPr>
                <w:t>Condensed Consolidated Balance Sheets – March 31, 2023 and December 31, 2022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6">
              <w:r>
                <w:rPr>
                  <w:rStyle w:val="InternetLink"/>
                  <w:rFonts w:ascii="Times New Roman;sans-serif" w:hAnsi="Times New Roman;sans-serif"/>
                  <w:b w:val="false"/>
                  <w:color w:val="0000FF"/>
                  <w:sz w:val="20"/>
                  <w:u w:val="single"/>
                </w:rPr>
                <w:t>3</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9">
              <w:r>
                <w:rPr>
                  <w:rStyle w:val="InternetLink"/>
                </w:rPr>
                <w:t xml:space="preserve">Condensed Consolidated Statements of Income </w:t>
              </w:r>
            </w:hyperlink>
            <w:hyperlink w:anchor="ifa1addfe11904724846c1317b31cda34_19">
              <w:r>
                <w:rPr>
                  <w:rStyle w:val="InternetLink"/>
                </w:rPr>
                <w:t xml:space="preserve">– Three Months Ended </w:t>
              </w:r>
            </w:hyperlink>
            <w:hyperlink w:anchor="ifa1addfe11904724846c1317b31cda34_16">
              <w:r>
                <w:rPr>
                  <w:rStyle w:val="InternetLink"/>
                </w:rPr>
                <w:t>March</w:t>
              </w:r>
            </w:hyperlink>
            <w:hyperlink w:anchor="ifa1addfe11904724846c1317b31cda34_19">
              <w:r>
                <w:rPr>
                  <w:rStyle w:val="InternetLink"/>
                </w:rPr>
                <w:t xml:space="preserve"> 31, 2023 and 2022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9">
              <w:r>
                <w:rPr>
                  <w:rStyle w:val="InternetLink"/>
                  <w:rFonts w:ascii="Times New Roman;sans-serif" w:hAnsi="Times New Roman;sans-serif"/>
                  <w:b w:val="false"/>
                  <w:color w:val="0000FF"/>
                  <w:sz w:val="20"/>
                  <w:u w:val="single"/>
                </w:rPr>
                <w:t>4</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22">
              <w:r>
                <w:rPr>
                  <w:rStyle w:val="InternetLink"/>
                </w:rPr>
                <w:t>Condensed Consolidated Statements of Comprehensive</w:t>
              </w:r>
            </w:hyperlink>
            <w:hyperlink w:anchor="ifa1addfe11904724846c1317b31cda34_22">
              <w:r>
                <w:rPr>
                  <w:rStyle w:val="InternetLink"/>
                </w:rPr>
                <w:t xml:space="preserve"> Income </w:t>
              </w:r>
            </w:hyperlink>
            <w:hyperlink w:anchor="ifa1addfe11904724846c1317b31cda34_22">
              <w:r>
                <w:rPr>
                  <w:rStyle w:val="InternetLink"/>
                </w:rPr>
                <w:t>(</w:t>
              </w:r>
            </w:hyperlink>
            <w:hyperlink w:anchor="ifa1addfe11904724846c1317b31cda34_22">
              <w:r>
                <w:rPr>
                  <w:rStyle w:val="InternetLink"/>
                </w:rPr>
                <w:t>Loss</w:t>
              </w:r>
            </w:hyperlink>
            <w:hyperlink w:anchor="ifa1addfe11904724846c1317b31cda34_22">
              <w:r>
                <w:rPr>
                  <w:rStyle w:val="InternetLink"/>
                </w:rPr>
                <w:t>)</w:t>
              </w:r>
            </w:hyperlink>
            <w:hyperlink w:anchor="ifa1addfe11904724846c1317b31cda34_22">
              <w:r>
                <w:rPr>
                  <w:rStyle w:val="InternetLink"/>
                </w:rPr>
                <w:t xml:space="preserve"> – Three Months Ended </w:t>
              </w:r>
            </w:hyperlink>
            <w:hyperlink w:anchor="ifa1addfe11904724846c1317b31cda34_16">
              <w:r>
                <w:rPr>
                  <w:rStyle w:val="InternetLink"/>
                </w:rPr>
                <w:t>March</w:t>
              </w:r>
            </w:hyperlink>
            <w:hyperlink w:anchor="ifa1addfe11904724846c1317b31cda34_22">
              <w:r>
                <w:rPr>
                  <w:rStyle w:val="InternetLink"/>
                </w:rPr>
                <w:t xml:space="preserve"> 31, 2023 and 2022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22">
              <w:r>
                <w:rPr>
                  <w:rStyle w:val="InternetLink"/>
                  <w:rFonts w:ascii="Times New Roman;sans-serif" w:hAnsi="Times New Roman;sans-serif"/>
                  <w:b w:val="false"/>
                  <w:color w:val="0000FF"/>
                  <w:sz w:val="20"/>
                  <w:u w:val="single"/>
                </w:rPr>
                <w:t>5</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25">
              <w:r>
                <w:rPr>
                  <w:rStyle w:val="InternetLink"/>
                </w:rPr>
                <w:t xml:space="preserve">Condensed Consolidated Statements of Shareholders’ Equity – Three Months Ended </w:t>
              </w:r>
            </w:hyperlink>
            <w:hyperlink w:anchor="ifa1addfe11904724846c1317b31cda34_16">
              <w:r>
                <w:rPr>
                  <w:rStyle w:val="InternetLink"/>
                </w:rPr>
                <w:t>March</w:t>
              </w:r>
            </w:hyperlink>
            <w:hyperlink w:anchor="ifa1addfe11904724846c1317b31cda34_25">
              <w:r>
                <w:rPr>
                  <w:rStyle w:val="InternetLink"/>
                </w:rPr>
                <w:t xml:space="preserve"> 31, 2023 and 2022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25">
              <w:r>
                <w:rPr>
                  <w:rStyle w:val="InternetLink"/>
                  <w:rFonts w:ascii="Times New Roman;sans-serif" w:hAnsi="Times New Roman;sans-serif"/>
                  <w:b w:val="false"/>
                  <w:color w:val="0000FF"/>
                  <w:sz w:val="20"/>
                  <w:u w:val="single"/>
                </w:rPr>
                <w:t>6</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31">
              <w:r>
                <w:rPr>
                  <w:rStyle w:val="InternetLink"/>
                </w:rPr>
                <w:t xml:space="preserve">Condensed Consolidated Statements of Cash Flows – Three Months Ended </w:t>
              </w:r>
            </w:hyperlink>
            <w:hyperlink w:anchor="ifa1addfe11904724846c1317b31cda34_16">
              <w:r>
                <w:rPr>
                  <w:rStyle w:val="InternetLink"/>
                </w:rPr>
                <w:t>March</w:t>
              </w:r>
            </w:hyperlink>
            <w:hyperlink w:anchor="ifa1addfe11904724846c1317b31cda34_31">
              <w:r>
                <w:rPr>
                  <w:rStyle w:val="InternetLink"/>
                </w:rPr>
                <w:t xml:space="preserve"> 31, 2023 and 2022</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31">
              <w:r>
                <w:rPr>
                  <w:rStyle w:val="InternetLink"/>
                  <w:rFonts w:ascii="Times New Roman;sans-serif" w:hAnsi="Times New Roman;sans-serif"/>
                  <w:b w:val="false"/>
                  <w:color w:val="0000FF"/>
                  <w:sz w:val="20"/>
                  <w:u w:val="single"/>
                </w:rPr>
                <w:t>7</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34">
              <w:r>
                <w:rPr>
                  <w:rStyle w:val="InternetLink"/>
                  <w:rFonts w:ascii="Times New Roman;sans-serif" w:hAnsi="Times New Roman;sans-serif"/>
                  <w:b w:val="false"/>
                  <w:color w:val="0000FF"/>
                  <w:sz w:val="20"/>
                  <w:u w:val="single"/>
                </w:rPr>
                <w:t>Notes to Condensed Consolidated 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34">
              <w:r>
                <w:rPr>
                  <w:rStyle w:val="InternetLink"/>
                  <w:rFonts w:ascii="Times New Roman;sans-serif" w:hAnsi="Times New Roman;sans-serif"/>
                  <w:b w:val="false"/>
                  <w:color w:val="0000FF"/>
                  <w:sz w:val="20"/>
                  <w:u w:val="single"/>
                </w:rPr>
                <w:t>8</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03">
              <w:r>
                <w:rPr>
                  <w:rStyle w:val="InternetLink"/>
                  <w:rFonts w:ascii="Times New Roman;sans-serif" w:hAnsi="Times New Roman;sans-serif"/>
                  <w:b w:val="false"/>
                  <w:color w:val="0000FF"/>
                  <w:sz w:val="20"/>
                  <w:u w:val="single"/>
                </w:rPr>
                <w:t>27</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27">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27">
              <w:r>
                <w:rPr>
                  <w:rStyle w:val="InternetLink"/>
                  <w:rFonts w:ascii="Times New Roman;sans-serif" w:hAnsi="Times New Roman;sans-serif"/>
                  <w:b w:val="false"/>
                  <w:color w:val="0000FF"/>
                  <w:sz w:val="20"/>
                  <w:u w:val="single"/>
                </w:rPr>
                <w:t>43</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30">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30">
              <w:r>
                <w:rPr>
                  <w:rStyle w:val="InternetLink"/>
                  <w:rFonts w:ascii="Times New Roman;sans-serif" w:hAnsi="Times New Roman;sans-serif"/>
                  <w:b w:val="false"/>
                  <w:color w:val="0000FF"/>
                  <w:sz w:val="20"/>
                  <w:u w:val="single"/>
                </w:rPr>
                <w:t>43</w:t>
              </w:r>
            </w:hyperlink>
          </w:p>
        </w:tc>
      </w:tr>
      <w:tr>
        <w:trPr/>
        <w:tc>
          <w:tcPr>
            <w:tcW w:w="969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33">
              <w:r>
                <w:rPr>
                  <w:rStyle w:val="InternetLink"/>
                  <w:rFonts w:ascii="Times New Roman;sans-serif" w:hAnsi="Times New Roman;sans-serif"/>
                  <w:b/>
                  <w:color w:val="0000FF"/>
                  <w:sz w:val="20"/>
                  <w:u w:val="single"/>
                </w:rPr>
                <w:t>PART II – 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36">
              <w:r>
                <w:rPr>
                  <w:rStyle w:val="InternetLink"/>
                  <w:rFonts w:ascii="Times New Roman;sans-serif" w:hAnsi="Times New Roman;sans-serif"/>
                  <w:b w:val="false"/>
                  <w:color w:val="0000FF"/>
                  <w:sz w:val="20"/>
                  <w:u w:val="single"/>
                </w:rPr>
                <w:t>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36">
              <w:r>
                <w:rPr>
                  <w:rStyle w:val="InternetLink"/>
                  <w:rFonts w:ascii="Times New Roman;sans-serif" w:hAnsi="Times New Roman;sans-serif"/>
                  <w:b w:val="false"/>
                  <w:color w:val="0000FF"/>
                  <w:sz w:val="20"/>
                  <w:u w:val="single"/>
                </w:rPr>
                <w:t>44</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69">
              <w:r>
                <w:rPr>
                  <w:rStyle w:val="InternetLink"/>
                  <w:rFonts w:ascii="Times New Roman;sans-serif" w:hAnsi="Times New Roman;sans-serif"/>
                  <w:b w:val="false"/>
                  <w:color w:val="0000FF"/>
                  <w:sz w:val="20"/>
                  <w:u w:val="single"/>
                </w:rPr>
                <w:t>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69">
              <w:r>
                <w:rPr>
                  <w:rStyle w:val="InternetLink"/>
                  <w:rFonts w:ascii="Times New Roman;sans-serif" w:hAnsi="Times New Roman;sans-serif"/>
                  <w:b w:val="false"/>
                  <w:color w:val="0000FF"/>
                  <w:sz w:val="20"/>
                  <w:u w:val="single"/>
                </w:rPr>
                <w:t>44</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72">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72">
              <w:r>
                <w:rPr>
                  <w:rStyle w:val="InternetLink"/>
                  <w:rFonts w:ascii="Times New Roman;sans-serif" w:hAnsi="Times New Roman;sans-serif"/>
                  <w:b w:val="false"/>
                  <w:color w:val="0000FF"/>
                  <w:sz w:val="20"/>
                  <w:u w:val="single"/>
                </w:rPr>
                <w:t>45</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6" w:type="dxa"/>
            <w:gridSpan w:val="3"/>
            <w:tcBorders/>
            <w:shd w:fill="auto" w:val="clear"/>
            <w:vAlign w:val="center"/>
          </w:tcPr>
          <w:p>
            <w:pPr>
              <w:pStyle w:val="TableContents"/>
              <w:spacing w:before="0" w:after="283"/>
              <w:rPr>
                <w:sz w:val="4"/>
                <w:szCs w:val="4"/>
              </w:rPr>
            </w:pPr>
            <w:r>
              <w:rPr>
                <w:sz w:val="4"/>
                <w:szCs w:val="4"/>
              </w:rPr>
            </w:r>
          </w:p>
        </w:tc>
        <w:tc>
          <w:tcPr>
            <w:tcW w:w="8106"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r>
      <w:tr>
        <w:trPr/>
        <w:tc>
          <w:tcPr>
            <w:tcW w:w="1586" w:type="dxa"/>
            <w:gridSpan w:val="3"/>
            <w:tcBorders/>
            <w:shd w:fill="auto" w:val="clear"/>
            <w:vAlign w:val="center"/>
          </w:tcPr>
          <w:p>
            <w:pPr>
              <w:pStyle w:val="TableContents"/>
              <w:spacing w:before="0" w:after="283"/>
              <w:rPr>
                <w:sz w:val="4"/>
                <w:szCs w:val="4"/>
              </w:rPr>
            </w:pPr>
            <w:r>
              <w:rPr>
                <w:sz w:val="4"/>
                <w:szCs w:val="4"/>
              </w:rPr>
            </w:r>
          </w:p>
        </w:tc>
        <w:tc>
          <w:tcPr>
            <w:tcW w:w="8106"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r>
      <w:tr>
        <w:trPr/>
        <w:tc>
          <w:tcPr>
            <w:tcW w:w="1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1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78">
              <w:r>
                <w:rPr>
                  <w:rStyle w:val="InternetLink"/>
                  <w:rFonts w:ascii="Times New Roman;sans-serif" w:hAnsi="Times New Roman;sans-serif"/>
                  <w:b w:val="false"/>
                  <w:color w:val="0000FF"/>
                  <w:sz w:val="20"/>
                  <w:u w:val="single"/>
                </w:rPr>
                <w:t>Exhibits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78">
              <w:r>
                <w:rPr>
                  <w:rStyle w:val="InternetLink"/>
                  <w:rFonts w:ascii="Times New Roman;sans-serif" w:hAnsi="Times New Roman;sans-serif"/>
                  <w:b w:val="false"/>
                  <w:color w:val="0000FF"/>
                  <w:sz w:val="20"/>
                  <w:u w:val="single"/>
                </w:rPr>
                <w:t>46</w:t>
              </w:r>
            </w:hyperlink>
          </w:p>
        </w:tc>
      </w:tr>
      <w:tr>
        <w:trPr/>
        <w:tc>
          <w:tcPr>
            <w:tcW w:w="1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a1addfe11904724846c1317b31cda34_181">
              <w:r>
                <w:rPr>
                  <w:rStyle w:val="InternetLink"/>
                  <w:rFonts w:ascii="Times New Roman;sans-serif" w:hAnsi="Times New Roman;sans-serif"/>
                  <w:b w:val="false"/>
                  <w:color w:val="0000FF"/>
                  <w:sz w:val="20"/>
                  <w:u w:val="single"/>
                </w:rPr>
                <w:t>SIGNATURES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a1addfe11904724846c1317b31cda34_181">
              <w:r>
                <w:rPr>
                  <w:rStyle w:val="InternetLink"/>
                  <w:rFonts w:ascii="Times New Roman;sans-serif" w:hAnsi="Times New Roman;sans-serif"/>
                  <w:b w:val="false"/>
                  <w:color w:val="0000FF"/>
                  <w:sz w:val="20"/>
                  <w:u w:val="single"/>
                </w:rPr>
                <w:t>47</w:t>
              </w:r>
            </w:hyperlink>
          </w:p>
        </w:tc>
      </w:tr>
    </w:tbl>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rPr>
        <w:t>We own or have rights to various copyrights, trademarks, and trade names used in our business in the U.S. and/or other countries, including the following: Jazz Pharmaceuticals</w:t>
      </w:r>
      <w:r>
        <w:rPr>
          <w:rFonts w:ascii="Times New Roman;sans-serif" w:hAnsi="Times New Roman;sans-serif"/>
          <w:b w:val="false"/>
          <w:color w:val="000000"/>
          <w:sz w:val="13"/>
        </w:rPr>
        <w:t>®</w:t>
      </w:r>
      <w:r>
        <w:rPr>
          <w:rFonts w:ascii="Times New Roman;sans-serif" w:hAnsi="Times New Roman;sans-serif"/>
          <w:b w:val="false"/>
          <w:color w:val="000000"/>
          <w:sz w:val="20"/>
        </w:rPr>
        <w:t>, Xyrem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(sodium oxybate) oral solution, Xywav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(calcium, magnesium, potassium, and sodium oxybates) oral solution, Epidiolex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(cannabidiol) oral solution, Epidyolex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(the trade name in Europe and other countries outside the U.S. for Epidiolex), Defitelio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(defibrotide sodium), Defitelio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(defibrotide), CombiPlex</w:t>
      </w:r>
      <w:r>
        <w:rPr>
          <w:rFonts w:ascii="Times New Roman;sans-serif" w:hAnsi="Times New Roman;sans-serif"/>
          <w:b w:val="false"/>
          <w:color w:val="000000"/>
          <w:sz w:val="13"/>
        </w:rPr>
        <w:t>®</w:t>
      </w:r>
      <w:r>
        <w:rPr>
          <w:rFonts w:ascii="Times New Roman;sans-serif" w:hAnsi="Times New Roman;sans-serif"/>
          <w:b w:val="false"/>
          <w:color w:val="000000"/>
          <w:sz w:val="20"/>
        </w:rPr>
        <w:t>, Vyxeos</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(daunorubicin and cytarabine) liposome for injection, Vyxeos</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liposomal 44 mg/100 mg powder for concentrate for solution for infusion, Zepzelca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(lurbinectedin), Rylaze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(asparaginase erwinia chrysanthemi (recombinant)-rywn) and Sativex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(nabiximols) oral solution. This Quarterly Report on Form 10-Q also includes trademarks, service marks and trade names of other companies. Trademarks, service marks and trade names appearing in this Quarterly Report on Form 10</w:t>
        <w:noBreakHyphen/>
        <w:t>Q are the property of their respective owners.</w:t>
      </w:r>
    </w:p>
    <w:p>
      <w:pPr>
        <w:pStyle w:val="TextBody"/>
        <w:spacing w:before="0" w:after="0"/>
        <w:rPr/>
      </w:pPr>
      <w:r>
        <w:rPr/>
      </w:r>
    </w:p>
    <w:p>
      <w:pPr>
        <w:pStyle w:val="TextBody"/>
        <w:spacing w:before="0" w:after="0"/>
        <w:rPr/>
      </w:pPr>
      <w:r>
        <w:rPr/>
      </w:r>
    </w:p>
    <w:p>
      <w:pPr>
        <w:pStyle w:val="TextBody"/>
        <w:spacing w:before="100" w:after="283"/>
        <w:ind w:left="0" w:right="0" w:firstLine="495"/>
        <w:rPr/>
      </w:pPr>
      <w:r>
        <w:rPr/>
      </w:r>
    </w:p>
    <w:p>
      <w:pPr>
        <w:pStyle w:val="TextBody"/>
        <w:spacing w:before="0" w:after="0"/>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260"/>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78" w:type="dxa"/>
        <w:jc w:val="center"/>
        <w:tblInd w:w="0" w:type="dxa"/>
        <w:tblCellMar>
          <w:top w:w="28" w:type="dxa"/>
          <w:left w:w="28" w:type="dxa"/>
          <w:bottom w:w="28" w:type="dxa"/>
          <w:right w:w="28" w:type="dxa"/>
        </w:tblCellMar>
      </w:tblPr>
      <w:tblGrid>
        <w:gridCol w:w="1556"/>
        <w:gridCol w:w="1372"/>
        <w:gridCol w:w="1376"/>
        <w:gridCol w:w="211"/>
        <w:gridCol w:w="1081"/>
        <w:gridCol w:w="109"/>
        <w:gridCol w:w="109"/>
        <w:gridCol w:w="109"/>
        <w:gridCol w:w="109"/>
        <w:gridCol w:w="211"/>
        <w:gridCol w:w="1081"/>
        <w:gridCol w:w="154"/>
      </w:tblGrid>
      <w:tr>
        <w:trPr/>
        <w:tc>
          <w:tcPr>
            <w:tcW w:w="155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10,835,255 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Non-voting euro deferred shares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redemption reserve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center"/>
        <w:rPr/>
      </w:pPr>
      <w:r>
        <w:rPr/>
      </w:r>
    </w:p>
    <w:p>
      <w:pPr>
        <w:pStyle w:val="TextBody"/>
        <w:spacing w:before="180" w:after="283"/>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INCOME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10180" w:type="dxa"/>
        <w:jc w:val="left"/>
        <w:tblInd w:w="0" w:type="dxa"/>
        <w:tblCellMar>
          <w:top w:w="28" w:type="dxa"/>
          <w:left w:w="28" w:type="dxa"/>
          <w:bottom w:w="28" w:type="dxa"/>
          <w:right w:w="28" w:type="dxa"/>
        </w:tblCellMar>
      </w:tblPr>
      <w:tblGrid>
        <w:gridCol w:w="2479"/>
        <w:gridCol w:w="2174"/>
        <w:gridCol w:w="2187"/>
        <w:gridCol w:w="109"/>
        <w:gridCol w:w="109"/>
        <w:gridCol w:w="128"/>
        <w:gridCol w:w="128"/>
        <w:gridCol w:w="248"/>
        <w:gridCol w:w="972"/>
        <w:gridCol w:w="128"/>
        <w:gridCol w:w="109"/>
        <w:gridCol w:w="109"/>
        <w:gridCol w:w="109"/>
        <w:gridCol w:w="211"/>
        <w:gridCol w:w="826"/>
        <w:gridCol w:w="154"/>
      </w:tblGrid>
      <w:tr>
        <w:trPr/>
        <w:tc>
          <w:tcPr>
            <w:tcW w:w="2479"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68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884,219 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892,812 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(excluding amortization of acquired developed technologies)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128,644 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297,917 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766,757 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(74,147)</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 (benefit) and equity in loss of investees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63,494 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73,771 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522"/>
        <w:gridCol w:w="2212"/>
        <w:gridCol w:w="2234"/>
        <w:gridCol w:w="109"/>
        <w:gridCol w:w="109"/>
        <w:gridCol w:w="116"/>
        <w:gridCol w:w="116"/>
        <w:gridCol w:w="225"/>
        <w:gridCol w:w="884"/>
        <w:gridCol w:w="116"/>
        <w:gridCol w:w="109"/>
        <w:gridCol w:w="109"/>
        <w:gridCol w:w="109"/>
        <w:gridCol w:w="211"/>
        <w:gridCol w:w="864"/>
        <w:gridCol w:w="160"/>
      </w:tblGrid>
      <w:tr>
        <w:trPr/>
        <w:tc>
          <w:tcPr>
            <w:tcW w:w="2522"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69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(190,488)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fair value hedging activities reclassified from accumulated other comprehensive income (loss) to foreign exchange gain (loss), net of income tax benefit of $— and $43,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(190,360)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214,699 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(188,713)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69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701" w:type="dxa"/>
        <w:jc w:val="center"/>
        <w:tblInd w:w="0" w:type="dxa"/>
        <w:tblCellMar>
          <w:top w:w="28" w:type="dxa"/>
          <w:left w:w="28" w:type="dxa"/>
          <w:bottom w:w="28" w:type="dxa"/>
          <w:right w:w="28" w:type="dxa"/>
        </w:tblCellMar>
      </w:tblPr>
      <w:tblGrid>
        <w:gridCol w:w="462"/>
        <w:gridCol w:w="354"/>
        <w:gridCol w:w="355"/>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51"/>
        <w:gridCol w:w="331"/>
        <w:gridCol w:w="109"/>
        <w:gridCol w:w="109"/>
        <w:gridCol w:w="109"/>
        <w:gridCol w:w="109"/>
        <w:gridCol w:w="263"/>
        <w:gridCol w:w="565"/>
        <w:gridCol w:w="148"/>
        <w:gridCol w:w="109"/>
        <w:gridCol w:w="109"/>
        <w:gridCol w:w="109"/>
        <w:gridCol w:w="196"/>
        <w:gridCol w:w="871"/>
        <w:gridCol w:w="109"/>
        <w:gridCol w:w="109"/>
        <w:gridCol w:w="109"/>
        <w:gridCol w:w="109"/>
        <w:gridCol w:w="196"/>
        <w:gridCol w:w="911"/>
        <w:gridCol w:w="109"/>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09"/>
        <w:gridCol w:w="196"/>
        <w:gridCol w:w="871"/>
        <w:gridCol w:w="154"/>
      </w:tblGrid>
      <w:tr>
        <w:trPr/>
        <w:tc>
          <w:tcPr>
            <w:tcW w:w="46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Non-voting Euro Deferred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br/>
              <w:t>Redemption</w:t>
              <w:br/>
              <w:t>Reserve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Equity</w:t>
            </w:r>
          </w:p>
        </w:tc>
      </w:tr>
      <w:tr>
        <w:trPr/>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3,085,734 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payment of employee's withholding tax liability</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63,987 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3,511,732 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(980,230)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3,335,041 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1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3701" w:type="dxa"/>
        <w:jc w:val="center"/>
        <w:tblInd w:w="0" w:type="dxa"/>
        <w:tblCellMar>
          <w:top w:w="28" w:type="dxa"/>
          <w:left w:w="28" w:type="dxa"/>
          <w:bottom w:w="28" w:type="dxa"/>
          <w:right w:w="28" w:type="dxa"/>
        </w:tblCellMar>
      </w:tblPr>
      <w:tblGrid>
        <w:gridCol w:w="462"/>
        <w:gridCol w:w="354"/>
        <w:gridCol w:w="355"/>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51"/>
        <w:gridCol w:w="331"/>
        <w:gridCol w:w="109"/>
        <w:gridCol w:w="109"/>
        <w:gridCol w:w="109"/>
        <w:gridCol w:w="109"/>
        <w:gridCol w:w="263"/>
        <w:gridCol w:w="565"/>
        <w:gridCol w:w="148"/>
        <w:gridCol w:w="109"/>
        <w:gridCol w:w="109"/>
        <w:gridCol w:w="109"/>
        <w:gridCol w:w="196"/>
        <w:gridCol w:w="871"/>
        <w:gridCol w:w="109"/>
        <w:gridCol w:w="109"/>
        <w:gridCol w:w="109"/>
        <w:gridCol w:w="109"/>
        <w:gridCol w:w="225"/>
        <w:gridCol w:w="864"/>
        <w:gridCol w:w="127"/>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09"/>
        <w:gridCol w:w="196"/>
        <w:gridCol w:w="871"/>
        <w:gridCol w:w="154"/>
      </w:tblGrid>
      <w:tr>
        <w:trPr/>
        <w:tc>
          <w:tcPr>
            <w:tcW w:w="46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Non-voting Euro Deferred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br/>
              <w:t>Redemption</w:t>
              <w:br/>
              <w:t>Reserve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Equity</w:t>
            </w:r>
          </w:p>
        </w:tc>
      </w:tr>
      <w:tr>
        <w:trPr/>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(400,360)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3,965,191 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ASU 2020-06</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exercise of share options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(190,360)</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(590,720)</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pPr>
      <w:r>
        <w:rPr>
          <w:rFonts w:ascii="Times New Roman;sans-serif" w:hAnsi="Times New Roman;sans-serif"/>
          <w:b/>
          <w:color w:val="000000"/>
          <w:sz w:val="20"/>
          <w:highlight w:val="white"/>
        </w:rPr>
        <w:t>JAZZ</w:t>
      </w:r>
      <w:r>
        <w:rPr>
          <w:color w:val="000000"/>
        </w:rPr>
        <w:t xml:space="preserve"> </w:t>
      </w:r>
      <w:r>
        <w:rPr>
          <w:rFonts w:ascii="Times New Roman;sans-serif" w:hAnsi="Times New Roman;sans-serif"/>
          <w:b/>
          <w:color w:val="000000"/>
          <w:sz w:val="20"/>
        </w:rPr>
        <w:t>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pPr>
      <w:r>
        <w:rPr>
          <w:rFonts w:ascii="Times New Roman;sans-serif" w:hAnsi="Times New Roman;sans-serif"/>
          <w:b/>
          <w:color w:val="000000"/>
          <w:sz w:val="20"/>
        </w:rPr>
        <w:t>(Unaudited)</w:t>
      </w:r>
      <w:r>
        <w:rPr>
          <w:color w:val="000000"/>
        </w:rPr>
        <w:t> </w:t>
      </w:r>
    </w:p>
    <w:tbl>
      <w:tblPr>
        <w:tblW w:w="9533" w:type="dxa"/>
        <w:jc w:val="left"/>
        <w:tblInd w:w="0" w:type="dxa"/>
        <w:tblCellMar>
          <w:top w:w="28" w:type="dxa"/>
          <w:left w:w="28" w:type="dxa"/>
          <w:bottom w:w="28" w:type="dxa"/>
          <w:right w:w="28" w:type="dxa"/>
        </w:tblCellMar>
      </w:tblPr>
      <w:tblGrid>
        <w:gridCol w:w="2434"/>
        <w:gridCol w:w="2135"/>
        <w:gridCol w:w="2150"/>
        <w:gridCol w:w="211"/>
        <w:gridCol w:w="976"/>
        <w:gridCol w:w="109"/>
        <w:gridCol w:w="109"/>
        <w:gridCol w:w="109"/>
        <w:gridCol w:w="109"/>
        <w:gridCol w:w="211"/>
        <w:gridCol w:w="826"/>
        <w:gridCol w:w="154"/>
      </w:tblGrid>
      <w:tr>
        <w:trPr/>
        <w:tc>
          <w:tcPr>
            <w:tcW w:w="2434"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 inventory fair value step-up adjustment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transactions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losses on accounts receivable and inventory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intangible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equity incentive and purchase plans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employee withholding taxes related to share-based awards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before="10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The Company and Summary of Significant Accounting Policies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lead marketed products are:</w:t>
      </w:r>
    </w:p>
    <w:p>
      <w:pPr>
        <w:pStyle w:val="TextBody"/>
        <w:spacing w:lineRule="auto" w:line="288" w:before="12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Neuroscience</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Xywav® (calcium, magnesium, potassium, and sodium oxybates) oral solution</w:t>
      </w:r>
      <w:r>
        <w:rPr>
          <w:rFonts w:ascii="Times New Roman;sans-serif" w:hAnsi="Times New Roman;sans-serif"/>
          <w:b w:val="false"/>
          <w:color w:val="000000"/>
          <w:sz w:val="20"/>
        </w:rPr>
        <w:t>, a product approved by the U.S. Food and Drug Administration, or FDA, in July 2020 and launched in the U.S. in November 2020 for the treatment of cataplexy or excessive daytime sleepiness, or EDS, in patients with narcolepsy seven years of age and older, and also approved by FDA in August 2021 for the treatment of idiopathic hypersomnia, or IH, in adults and launched in the U.S. in November 2021. Xywav contains 92% less sodium than Xyrem®;</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Xyrem (sodium oxybate) oral solution</w:t>
      </w:r>
      <w:r>
        <w:rPr>
          <w:rFonts w:ascii="Times New Roman;sans-serif" w:hAnsi="Times New Roman;sans-serif"/>
          <w:b w:val="false"/>
          <w:color w:val="000000"/>
          <w:sz w:val="20"/>
        </w:rPr>
        <w:t>, a product approved by FDA and distributed in the U.S. for the treatment of cataplexy or EDS in patients with narcolepsy seven years of age and older;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Epidiolex® (cannabidiol) oral solution</w:t>
      </w:r>
      <w:r>
        <w:rPr>
          <w:rFonts w:ascii="Times New Roman;sans-serif" w:hAnsi="Times New Roman;sans-serif"/>
          <w:b w:val="false"/>
          <w:color w:val="000000"/>
          <w:sz w:val="20"/>
        </w:rPr>
        <w:t>, a product approved by FDA and launched in the U.S. in 2018 by GW Pharmaceuticals plc, or GW, and 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 (select markets).</w:t>
      </w:r>
    </w:p>
    <w:p>
      <w:pPr>
        <w:pStyle w:val="TextBody"/>
        <w:spacing w:lineRule="auto" w:line="288" w:before="12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Oncology</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Rylaze® (asparaginase erwinia chrysanthemi (recombinant)-rywn)</w:t>
      </w:r>
      <w:r>
        <w:rPr>
          <w:rFonts w:ascii="Times New Roman;sans-serif" w:hAnsi="Times New Roman;sans-serif"/>
          <w:b w:val="false"/>
          <w:color w:val="000000"/>
          <w:sz w:val="20"/>
        </w:rPr>
        <w:t xml:space="preserve">, a product approved by FDA in June 2021 and launched in the U.S. in 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sans-serif" w:hAnsi="Times New Roman;sans-serif"/>
          <w:b w:val="false"/>
          <w:i/>
          <w:color w:val="000000"/>
          <w:sz w:val="20"/>
        </w:rPr>
        <w:t>E. coli</w:t>
      </w:r>
      <w:r>
        <w:rPr>
          <w:rFonts w:ascii="Times New Roman;sans-serif" w:hAnsi="Times New Roman;sans-serif"/>
          <w:b w:val="false"/>
          <w:color w:val="000000"/>
          <w:sz w:val="20"/>
        </w:rPr>
        <w:t>-derived asparaginase;</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Zepzelca® (lurbinectedin)</w:t>
      </w:r>
      <w:r>
        <w:rPr>
          <w:rFonts w:ascii="Times New Roman;sans-serif" w:hAnsi="Times New Roman;sans-serif"/>
          <w:b w:val="false"/>
          <w:color w:val="000000"/>
          <w:sz w:val="20"/>
        </w:rPr>
        <w:t>, a product approved by FDA in June 2020 under FDA's accelerated approval pathway and launched in the U.S. in 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Defitelio® (defibrotide sodium)</w:t>
      </w:r>
      <w:r>
        <w:rPr>
          <w:rFonts w:ascii="Times New Roman;sans-serif" w:hAnsi="Times New Roman;sans-serif"/>
          <w:b w:val="false"/>
          <w:color w:val="000000"/>
          <w:sz w:val="20"/>
        </w:rPr>
        <w:t>, a product approved in the U.S. and Brazil for the treatment of hepatic veno-occlusive disease, or VOD, with renal or pulmonary dysfunction following hematopoietic stem cell transplantation, or HSCT, and in Japan for the treatment of hepatic sinusoidal obstruction syndrome (hepatic VOD). It is currently approved in the EU, Great Britain and other markets for the treatment of severe hepatic VOD, also known as sinusoidal obstructive syndrome in HSCT therapy. It is indicated in adults and pediatric patients over 1 month of age; and</w:t>
      </w:r>
    </w:p>
    <w:p>
      <w:pPr>
        <w:pStyle w:val="TextBody"/>
        <w:spacing w:lineRule="auto" w:line="288" w:before="120" w:after="283"/>
        <w:ind w:left="0" w:right="0" w:hanging="360"/>
        <w:rPr/>
      </w:pPr>
      <w:r>
        <w:rPr>
          <w:color w:val="000000"/>
          <w:highlight w:val="white"/>
        </w:rPr>
        <w:t>•</w:t>
      </w:r>
      <w:r>
        <w:rPr>
          <w:rFonts w:ascii="Times New Roman;sans-serif" w:hAnsi="Times New Roman;sans-serif"/>
          <w:b/>
          <w:color w:val="000000"/>
          <w:sz w:val="20"/>
        </w:rPr>
        <w:t>Vyxeos® (daunorubicin and cytarabine) liposome for injection</w:t>
      </w:r>
      <w:r>
        <w:rPr>
          <w:rFonts w:ascii="Times New Roman;sans-serif" w:hAnsi="Times New Roman;sans-serif"/>
          <w:b w:val="false"/>
          <w:color w:val="000000"/>
          <w:sz w:val="20"/>
        </w:rPr>
        <w:t>, a product approved in the U.S., Canada, EU, Great Britain and other markets (marketed as Vyxeos® liposomal in the EU, Great Britain and other markets) for the treatment of adults with newly diagnosed therapy-related acute myeloid leukemia, or t-AML, or AML with myelodysplasia-related changes, or AML-MRC. An expanded indication was granted in the U.S. for the treatment of newly diagnosed t-AML or AML-MRC in pediatric patients aged 1 year and older.</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noBreakHyphen/>
        <w:t>Q should be read in conjunction with our annual consolidated financial statements and accompanying notes included in our Annual Report on Form 10</w:t>
        <w:noBreakHyphen/>
        <w:t xml:space="preserve">K for the year ended December 31, 2022.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months ended March 31, 2023 are not necessarily indicative of the results to be expected for the year ending December 31, 2023, for any other interim period or for any future period.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have not changed substantially from those previously described in our Annual Report on Form 10</w:t>
        <w:noBreakHyphen/>
        <w:t xml:space="preserve">K for the year ended December 31, 2022, other than as described below.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include the accounts of Jazz Pharmaceuticals plc and our subsidiaries, and intercompany transactions and balances have been eliminated.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Adoption of New Accounting Standards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October 2021, the Financial Accounting Standards Board issued ASU 2021-08, “Business Combinations (Topic 805): Accounting for Contract Assets and Contract Liabilities from Contracts with Customers”, or ASU 2021-08,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ASU 2021-08 was effective for the Company from January 1, 2023 and we will apply to future business combinations, if any.</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Significant Risks and Uncertainties</w:t>
      </w:r>
    </w:p>
    <w:p>
      <w:pPr>
        <w:pStyle w:val="TextBody"/>
        <w:spacing w:lineRule="auto" w:line="288" w:before="120" w:after="283"/>
        <w:ind w:left="0" w:right="0" w:firstLine="495"/>
        <w:rPr/>
      </w:pPr>
      <w:r>
        <w:rPr>
          <w:rFonts w:ascii="Times New Roman;sans-serif" w:hAnsi="Times New Roman;sans-serif"/>
          <w:b w:val="false"/>
          <w:color w:val="000000"/>
          <w:sz w:val="20"/>
        </w:rPr>
        <w:t>Historically, our business has been substantially dependent on Xyrem and while</w:t>
      </w:r>
      <w:r>
        <w:rPr>
          <w:color w:val="000000"/>
          <w:highlight w:val="white"/>
        </w:rPr>
        <w:t xml:space="preserve"> </w:t>
      </w:r>
      <w:r>
        <w:rPr>
          <w:rFonts w:ascii="Times New Roman;sans-serif" w:hAnsi="Times New Roman;sans-serif"/>
          <w:b w:val="false"/>
          <w:color w:val="000000"/>
          <w:sz w:val="20"/>
          <w:highlight w:val="white"/>
        </w:rPr>
        <w:t>we expect that our business will continue to be substantially dependent on oxybate product sales from both Xywav and Xyrem, there is no guarantee that we can maintain oxybate sales at or near historical levels, or that oxybate sales will continue to grow. In this regard, o</w:t>
      </w:r>
      <w:r>
        <w:rPr>
          <w:rFonts w:ascii="Times New Roman;sans-serif" w:hAnsi="Times New Roman;sans-serif"/>
          <w:b w:val="false"/>
          <w:color w:val="000000"/>
          <w:sz w:val="20"/>
        </w:rPr>
        <w:t xml:space="preserve">ur ability to maintain or increase oxybate product sales and realize the anticipated benefits from our investment in Xywav are subject to a number of risks and uncertainties including, without limitation, those related to the launch of Xywav for the treatment of IH in adults and adoption in that indication; competition from the recent introduction of an authorized generic, or AG, version of Xyrem and in the future from additional AG versions of high-sodium oxybate and generic versions of high-sodium oxybate and new products, such as Avadel’s recently approved Lumryz, for treatment of cataplexy and/or EDS in narcolepsy in the U.S. market and from other competitors; increased pricing pressure from, changes in policies by, or restrictions on reimbursement imposed by, third party payors, including our ability to </w:t>
      </w:r>
      <w:r>
        <w:rPr>
          <w:rFonts w:ascii="Times New Roman;sans-serif" w:hAnsi="Times New Roman;sans-serif"/>
          <w:b w:val="false"/>
          <w:color w:val="000000"/>
          <w:sz w:val="20"/>
          <w:highlight w:val="white"/>
        </w:rPr>
        <w:t xml:space="preserve">maintain adequate coverage and reimbursement for Xywav and Xyrem; increased rebates required to maintain access to our products; </w:t>
      </w:r>
      <w:r>
        <w:rPr>
          <w:rFonts w:ascii="Times New Roman;sans-serif" w:hAnsi="Times New Roman;sans-serif"/>
          <w:b w:val="false"/>
          <w:color w:val="000000"/>
          <w:sz w:val="20"/>
        </w:rPr>
        <w:t xml:space="preserve">challenges to our intellectual property around Xywav and/or Xyrem, including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rPr>
        <w:t xml:space="preserve">from pending antitrust and intellectual property litigation;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continued acceptance of Xywav and Xyrem by physicians and patients</w:t>
      </w:r>
      <w:r>
        <w:rPr>
          <w:rFonts w:ascii="Times New Roman;sans-serif" w:hAnsi="Times New Roman;sans-serif"/>
          <w:b w:val="false"/>
          <w:color w:val="000000"/>
          <w:sz w:val="20"/>
          <w:highlight w:val="white"/>
        </w:rPr>
        <w:t>. A significant decline in oxybate product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pStyle w:val="TextBody"/>
        <w:spacing w:lineRule="auto" w:line="288" w:before="120" w:after="283"/>
        <w:ind w:left="0" w:right="0" w:firstLine="495"/>
        <w:rPr/>
      </w:pPr>
      <w:r>
        <w:rPr>
          <w:rFonts w:ascii="Times New Roman;sans-serif" w:hAnsi="Times New Roman;sans-serif"/>
          <w:b w:val="false"/>
          <w:color w:val="000000"/>
          <w:sz w:val="20"/>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Rylaze and Zepzelca; obtaining and maintaining adequate coverage and reimbursement for our products; contracting and rebates to pharmacy benefit managers and similar organizations that</w:t>
      </w:r>
      <w:r>
        <w:rPr>
          <w:color w:val="000000"/>
          <w:highlight w:val="white"/>
        </w:rPr>
        <w:t xml:space="preserve"> </w:t>
      </w:r>
      <w:r>
        <w:rPr>
          <w:rFonts w:ascii="Times New Roman;sans-serif" w:hAnsi="Times New Roman;sans-serif"/>
          <w:b w:val="false"/>
          <w:color w:val="000000"/>
          <w:sz w:val="20"/>
          <w:highlight w:val="white"/>
        </w:rPr>
        <w:t>reduce our net revenue;</w:t>
      </w:r>
      <w:r>
        <w:rPr>
          <w:color w:val="000000"/>
        </w:rPr>
        <w:t xml:space="preserve"> </w:t>
      </w:r>
      <w:r>
        <w:rPr>
          <w:rFonts w:ascii="Times New Roman;sans-serif" w:hAnsi="Times New Roman;sans-serif"/>
          <w:b w:val="false"/>
          <w:color w:val="000000"/>
          <w:sz w:val="20"/>
        </w:rPr>
        <w:t xml:space="preserve">increasing scrutiny of pharmaceutical product pricing and resulting changes in healthcare laws and policy; market acceptance; </w:t>
      </w:r>
      <w:r>
        <w:rPr>
          <w:rFonts w:ascii="Times New Roman;sans-serif" w:hAnsi="Times New Roman;sans-serif"/>
          <w:b w:val="false"/>
          <w:color w:val="000000"/>
          <w:sz w:val="20"/>
          <w:highlight w:val="white"/>
        </w:rPr>
        <w:t xml:space="preserve">regulatory concerns with controlled substances generally and the potential for abuse; future legislation, action by the U.S. Drug Enforcement Agency or FDA action authorizing the sale, distribution, use, and insurance reimbursement of non-FDA approved cannabinoid products; </w:t>
      </w:r>
      <w:r>
        <w:rPr>
          <w:rFonts w:ascii="Times New Roman;sans-serif" w:hAnsi="Times New Roman;sans-serif"/>
          <w:b w:val="false"/>
          <w:color w:val="000000"/>
          <w:sz w:val="20"/>
        </w:rPr>
        <w:t>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acquisition of GW will depend, in part, on our ability to realize the anticipated benefits from our and GW's historical businesses. The anticipated benefits to us of the GW Acquisition may not be realized at the expected levels, within the expected timeframe or at all or may take longer to realize or cost more than expected, which could materially and adversely affect our business, financial condition, results of operations and growth prospects.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March 31, 2023, we had foreign exchange forward contracts with notional amounts totaling $183.2 million. As of March 31, 2023, the outstanding foreign exchange forward contracts had a net asset fair value of $4.3 million. The counterparties to these contracts are large multinational commercial banks, and we believe the risk of nonperformance is not significant.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March 31, 2023 and December 31, 2022, allowances on receivables were not material. As of March 31, 2023, three customers accounted for 73% of gross accounts receivable, Express Scripts Specialty Distribution Services, Inc. and its affiliates, or ESSDS, which accounted for 51% of gross accounts receivable, McKesson Corporation and affiliates, or McKesson, which accounted for 12% of gross accounts receivable and Cardinal Health, Inc., or Cardinal, which accounted for 10% of gross accounts receivable. As of December 31, 2022, three customers accounted for 74% of gross accounts receivable, ESSDS, which accounted for 55% of gross accounts receivable, Cardinal, which accounted for 10% of gross accounts receivable and McKesson, which accounted for 9% of gross accounts receivable.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 Cash and Available-for-Sale Securities </w:t>
      </w:r>
    </w:p>
    <w:p>
      <w:pPr>
        <w:pStyle w:val="TextBody"/>
        <w:spacing w:lineRule="auto" w:line="288" w:before="120" w:after="283"/>
        <w:ind w:left="0" w:right="0" w:firstLine="495"/>
        <w:rPr/>
      </w:pPr>
      <w:r>
        <w:rPr>
          <w:rFonts w:ascii="Times New Roman;sans-serif" w:hAnsi="Times New Roman;sans-serif"/>
          <w:b w:val="false"/>
          <w:color w:val="000000"/>
          <w:sz w:val="20"/>
        </w:rPr>
        <w:t>Cash and cash equivalents consisted of the following (in thousands):</w:t>
      </w:r>
      <w:r>
        <w:rPr>
          <w:color w:val="000000"/>
        </w:rPr>
        <w:t> </w:t>
      </w:r>
    </w:p>
    <w:tbl>
      <w:tblPr>
        <w:tblW w:w="9030" w:type="dxa"/>
        <w:jc w:val="left"/>
        <w:tblInd w:w="0" w:type="dxa"/>
        <w:tblCellMar>
          <w:top w:w="28" w:type="dxa"/>
          <w:left w:w="28" w:type="dxa"/>
          <w:bottom w:w="28" w:type="dxa"/>
          <w:right w:w="28" w:type="dxa"/>
        </w:tblCellMar>
      </w:tblPr>
      <w:tblGrid>
        <w:gridCol w:w="648"/>
        <w:gridCol w:w="570"/>
        <w:gridCol w:w="581"/>
        <w:gridCol w:w="211"/>
        <w:gridCol w:w="976"/>
        <w:gridCol w:w="109"/>
        <w:gridCol w:w="109"/>
        <w:gridCol w:w="109"/>
        <w:gridCol w:w="109"/>
        <w:gridCol w:w="257"/>
        <w:gridCol w:w="495"/>
        <w:gridCol w:w="134"/>
        <w:gridCol w:w="109"/>
        <w:gridCol w:w="109"/>
        <w:gridCol w:w="109"/>
        <w:gridCol w:w="257"/>
        <w:gridCol w:w="495"/>
        <w:gridCol w:w="134"/>
        <w:gridCol w:w="109"/>
        <w:gridCol w:w="109"/>
        <w:gridCol w:w="109"/>
        <w:gridCol w:w="211"/>
        <w:gridCol w:w="976"/>
        <w:gridCol w:w="109"/>
        <w:gridCol w:w="109"/>
        <w:gridCol w:w="109"/>
        <w:gridCol w:w="109"/>
        <w:gridCol w:w="211"/>
        <w:gridCol w:w="976"/>
        <w:gridCol w:w="109"/>
        <w:gridCol w:w="109"/>
        <w:gridCol w:w="154"/>
      </w:tblGrid>
      <w:tr>
        <w:trPr/>
        <w:tc>
          <w:tcPr>
            <w:tcW w:w="64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263" w:type="dxa"/>
            <w:gridSpan w:val="2"/>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w:t>
              <w:br/>
              <w:t>Cash</w:t>
              <w:br/>
              <w:t>Equivalents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8580" w:type="dxa"/>
        <w:jc w:val="left"/>
        <w:tblInd w:w="0" w:type="dxa"/>
        <w:tblCellMar>
          <w:top w:w="28" w:type="dxa"/>
          <w:left w:w="28" w:type="dxa"/>
          <w:bottom w:w="28" w:type="dxa"/>
          <w:right w:w="28" w:type="dxa"/>
        </w:tblCellMar>
      </w:tblPr>
      <w:tblGrid>
        <w:gridCol w:w="648"/>
        <w:gridCol w:w="570"/>
        <w:gridCol w:w="581"/>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11"/>
        <w:gridCol w:w="826"/>
        <w:gridCol w:w="109"/>
        <w:gridCol w:w="109"/>
        <w:gridCol w:w="154"/>
      </w:tblGrid>
      <w:tr>
        <w:trPr/>
        <w:tc>
          <w:tcPr>
            <w:tcW w:w="64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and </w:t>
              <w:br/>
              <w:t>Cash</w:t>
              <w:br/>
              <w:t>Equivalents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Cash equivalents are considered available-for-sale securities. We use the specific-identification method for calculating realized gains and losses on securities sold and include them in interest expense, net in the condensed consolidated statements of income. Interest income from available-for-sale securities was $10.6 million and $0.2 million in the three months ended March 31, 2023 and 2022, respectively.</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3. Fair Value Measurement </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summarizes, by major security type, our available-for-sale securities and derivative contracts as of March 31, 2023 and December 31, 2022 that were measured at fair value on a recurring basis and were categorized using the fair value hierarchy (in thousands):</w:t>
      </w:r>
      <w:r>
        <w:rPr>
          <w:color w:val="000000"/>
        </w:rPr>
        <w:t> </w:t>
      </w:r>
    </w:p>
    <w:tbl>
      <w:tblPr>
        <w:tblW w:w="10463" w:type="dxa"/>
        <w:jc w:val="left"/>
        <w:tblInd w:w="0" w:type="dxa"/>
        <w:tblCellMar>
          <w:top w:w="28" w:type="dxa"/>
          <w:left w:w="28" w:type="dxa"/>
          <w:bottom w:w="28" w:type="dxa"/>
          <w:right w:w="28" w:type="dxa"/>
        </w:tblCellMar>
      </w:tblPr>
      <w:tblGrid>
        <w:gridCol w:w="569"/>
        <w:gridCol w:w="502"/>
        <w:gridCol w:w="505"/>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56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736" w:type="dxa"/>
            <w:gridSpan w:val="8"/>
            <w:tcBorders/>
            <w:shd w:fill="auto" w:val="clear"/>
          </w:tcPr>
          <w:p>
            <w:pPr>
              <w:pStyle w:val="TableContents"/>
              <w:spacing w:before="0" w:after="283"/>
              <w:rPr>
                <w:sz w:val="4"/>
                <w:szCs w:val="4"/>
              </w:rPr>
            </w:pPr>
            <w:r>
              <w:rPr>
                <w:sz w:val="4"/>
                <w:szCs w:val="4"/>
              </w:rPr>
            </w:r>
          </w:p>
        </w:tc>
      </w:tr>
      <w:tr>
        <w:trPr/>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Prices in</w:t>
              <w:br/>
              <w:t>Active</w:t>
              <w:br/>
              <w:t>Markets for</w:t>
              <w:br/>
              <w:t>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Prices in</w:t>
              <w:br/>
              <w:t>Active</w:t>
              <w:br/>
              <w:t>Markets for</w:t>
              <w:br/>
              <w:t>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  </w:t>
            </w:r>
          </w:p>
        </w:tc>
      </w:tr>
      <w:tr>
        <w:trPr/>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6"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derivative assets and liabilities include foreign exchange derivatives that are measured at fair value using observable market inputs such as forward rates and based on these inputs, the derivative assets and liabilities are classified within Level 2 of the fair value hierarchy.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between the different levels of the fair value hierarchy in 2023 or 2022.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carrying amount of investments measured using the measurement alternative for equity investments without a readily determinable fair value was $5.5 million. The carrying amount, which is recorded within other non-current assets, is based on the latest observable transaction price.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estimated fair values of the 1.50% exchangeable senior notes due 2024, or 2024 Notes, the 2.00% exchangeable senior notes due 2026, or 2026 Notes, which we refer to collectively as the Exchangeable Senior Notes, the 4.375% senior secured notes, due 2029, or the Secured Notes, and the seven-year $3.1 billion term loan B facility, or the Dollar Term Loan, were approximately $556 million, $1.1 billion, $1.4 billion and $2.7 billion respectively. The fair values of each of these debt facilities was estimated using quoted market prices obtained from brokers (Level 2). </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4. Derivative Instruments and Hedging Activities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pStyle w:val="TextBody"/>
        <w:spacing w:lineRule="auto" w:line="288" w:before="120" w:after="283"/>
        <w:ind w:left="0" w:right="0" w:firstLine="495"/>
        <w:rPr/>
      </w:pPr>
      <w:r>
        <w:rPr>
          <w:rFonts w:ascii="Times New Roman;sans-serif" w:hAnsi="Times New Roman;sans-serif"/>
          <w:b w:val="false"/>
          <w:color w:val="000000"/>
          <w:sz w:val="20"/>
        </w:rPr>
        <w:t xml:space="preserve">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w:t>
      </w:r>
      <w:r>
        <w:rPr>
          <w:rFonts w:ascii="Times New Roman;sans-serif" w:hAnsi="Times New Roman;sans-serif"/>
          <w:b w:val="false"/>
          <w:color w:val="000000"/>
          <w:sz w:val="20"/>
          <w:highlight w:val="white"/>
        </w:rPr>
        <w:t>As of March 31, 2023 and December 31, 2022, the notional amount of foreign exchange contracts where hedge accounting is not applied was $183.2 million</w:t>
      </w:r>
      <w:r>
        <w:rPr>
          <w:color w:val="000000"/>
        </w:rPr>
        <w:t xml:space="preserve"> </w:t>
      </w:r>
      <w:r>
        <w:rPr>
          <w:rFonts w:ascii="Times New Roman;sans-serif" w:hAnsi="Times New Roman;sans-serif"/>
          <w:b w:val="false"/>
          <w:color w:val="000000"/>
          <w:sz w:val="20"/>
        </w:rPr>
        <w:t xml:space="preserve">and $505.0 million, respectively.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foreign exchange gain (losses) in our condensed consolidated statements of income included the following gains (losses) associated with foreign exchange contracts not designated as hedging instruments (in thousands):</w:t>
      </w:r>
    </w:p>
    <w:tbl>
      <w:tblPr>
        <w:tblW w:w="7794" w:type="dxa"/>
        <w:jc w:val="left"/>
        <w:tblInd w:w="0" w:type="dxa"/>
        <w:tblCellMar>
          <w:top w:w="28" w:type="dxa"/>
          <w:left w:w="28" w:type="dxa"/>
          <w:bottom w:w="28" w:type="dxa"/>
          <w:right w:w="28" w:type="dxa"/>
        </w:tblCellMar>
      </w:tblPr>
      <w:tblGrid>
        <w:gridCol w:w="1621"/>
        <w:gridCol w:w="1429"/>
        <w:gridCol w:w="1435"/>
        <w:gridCol w:w="109"/>
        <w:gridCol w:w="109"/>
        <w:gridCol w:w="151"/>
        <w:gridCol w:w="151"/>
        <w:gridCol w:w="293"/>
        <w:gridCol w:w="857"/>
        <w:gridCol w:w="151"/>
        <w:gridCol w:w="109"/>
        <w:gridCol w:w="109"/>
        <w:gridCol w:w="109"/>
        <w:gridCol w:w="211"/>
        <w:gridCol w:w="796"/>
        <w:gridCol w:w="154"/>
      </w:tblGrid>
      <w:tr>
        <w:trPr/>
        <w:tc>
          <w:tcPr>
            <w:tcW w:w="1621"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88" w:type="dxa"/>
            <w:gridSpan w:val="6"/>
            <w:tcBorders/>
            <w:shd w:fill="auto" w:val="clea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Foreign Exchange Forward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recognized in foreign exchange gain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hedge our exposure to foreign currency exchange risk associated with our seven-year €625.0 million term loan B facility, or the Euro Term Loan, we entered into a cross-currency interest rate swap contract in May 2021, which matured on March 31, 2022, and was de-designated as a fair value hedge. The terms of this contract converted the principal repayments and interest payments on the Euro Term Loan into U.S. dollars. The carrying amount of the Euro Term Loan and the fair value of the cross-currency interest rate swap contract were remeasured on a monthly basis, with changes in the euro to U.S. dollar foreign exchange rates recognized within foreign exchange gain (loss) in the condensed consolidated statements of income.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impact on accumulated other comprehensive income (loss) and earnings from the cross-currency interest rate swap contract was as follows (in thousands):</w:t>
      </w:r>
    </w:p>
    <w:tbl>
      <w:tblPr>
        <w:tblW w:w="10205" w:type="dxa"/>
        <w:jc w:val="left"/>
        <w:tblInd w:w="0" w:type="dxa"/>
        <w:tblCellMar>
          <w:top w:w="28" w:type="dxa"/>
          <w:left w:w="28" w:type="dxa"/>
          <w:bottom w:w="28" w:type="dxa"/>
          <w:right w:w="28" w:type="dxa"/>
        </w:tblCellMar>
      </w:tblPr>
      <w:tblGrid>
        <w:gridCol w:w="2894"/>
        <w:gridCol w:w="2537"/>
        <w:gridCol w:w="2550"/>
        <w:gridCol w:w="109"/>
        <w:gridCol w:w="109"/>
        <w:gridCol w:w="109"/>
        <w:gridCol w:w="109"/>
        <w:gridCol w:w="109"/>
        <w:gridCol w:w="109"/>
        <w:gridCol w:w="398"/>
        <w:gridCol w:w="880"/>
        <w:gridCol w:w="292"/>
      </w:tblGrid>
      <w:tr>
        <w:trPr/>
        <w:tc>
          <w:tcPr>
            <w:tcW w:w="2894" w:type="dxa"/>
            <w:tcBorders/>
            <w:shd w:fill="auto" w:val="clear"/>
            <w:vAlign w:val="center"/>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79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9" w:type="dxa"/>
            <w:gridSpan w:val="4"/>
            <w:tcBorders/>
            <w:shd w:fill="auto" w:val="clear"/>
          </w:tcPr>
          <w:p>
            <w:pPr>
              <w:pStyle w:val="TableContents"/>
              <w:spacing w:before="0" w:after="283"/>
              <w:rPr>
                <w:sz w:val="4"/>
                <w:szCs w:val="4"/>
              </w:rPr>
            </w:pPr>
            <w:r>
              <w:rPr>
                <w:sz w:val="4"/>
                <w:szCs w:val="4"/>
              </w:rPr>
            </w:r>
          </w:p>
        </w:tc>
      </w:tr>
      <w:tr>
        <w:trPr/>
        <w:tc>
          <w:tcPr>
            <w:tcW w:w="79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Cross-Currency Interest Rate Contract: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79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0" w:type="dxa"/>
            <w:gridSpan w:val="3"/>
            <w:tcBorders/>
            <w:shd w:fill="auto" w:val="clear"/>
            <w:vAlign w:val="center"/>
          </w:tcPr>
          <w:p>
            <w:pPr>
              <w:pStyle w:val="TableContents"/>
              <w:spacing w:before="0" w:after="283"/>
              <w:rPr>
                <w:sz w:val="4"/>
                <w:szCs w:val="4"/>
              </w:rPr>
            </w:pPr>
            <w:r>
              <w:rPr>
                <w:sz w:val="4"/>
                <w:szCs w:val="4"/>
              </w:rPr>
            </w:r>
          </w:p>
        </w:tc>
      </w:tr>
      <w:tr>
        <w:trPr/>
        <w:tc>
          <w:tcPr>
            <w:tcW w:w="79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0" w:type="dxa"/>
            <w:gridSpan w:val="3"/>
            <w:tcBorders/>
            <w:shd w:fill="auto" w:val="clear"/>
            <w:vAlign w:val="center"/>
          </w:tcPr>
          <w:p>
            <w:pPr>
              <w:pStyle w:val="TableContents"/>
              <w:spacing w:before="0" w:after="283"/>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from accumulated other comprehensive income (loss) to foreign exchange loss,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recognized in foreign exchange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cash flow effects of our derivative contracts for the three months ended March 31, 2023 and 2022 are included within net cash provided by operating activities in the condensed consolidated statements of cash flows, except for the settlement of notional amounts of the cross-currency swap, which were included in net cash used in financing activities.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fair value of outstanding derivatives (in thousands):</w:t>
      </w:r>
    </w:p>
    <w:tbl>
      <w:tblPr>
        <w:tblW w:w="8355" w:type="dxa"/>
        <w:jc w:val="left"/>
        <w:tblInd w:w="0" w:type="dxa"/>
        <w:tblCellMar>
          <w:top w:w="28" w:type="dxa"/>
          <w:left w:w="28" w:type="dxa"/>
          <w:bottom w:w="28" w:type="dxa"/>
          <w:right w:w="28" w:type="dxa"/>
        </w:tblCellMar>
      </w:tblPr>
      <w:tblGrid>
        <w:gridCol w:w="1544"/>
        <w:gridCol w:w="1359"/>
        <w:gridCol w:w="1371"/>
        <w:gridCol w:w="559"/>
        <w:gridCol w:w="559"/>
        <w:gridCol w:w="561"/>
        <w:gridCol w:w="211"/>
        <w:gridCol w:w="616"/>
        <w:gridCol w:w="109"/>
        <w:gridCol w:w="109"/>
        <w:gridCol w:w="109"/>
        <w:gridCol w:w="109"/>
        <w:gridCol w:w="221"/>
        <w:gridCol w:w="757"/>
        <w:gridCol w:w="161"/>
      </w:tblGrid>
      <w:tr>
        <w:trPr/>
        <w:tc>
          <w:tcPr>
            <w:tcW w:w="1544"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These provisions were not applicable as of December 31, 2022 since all derivatives were in an asset position. The following table summarizes the potential effect on our condensed consolidated balance sheets of offsetting our foreign exchange forward contracts subject to such provisions as of March 31, 2023 (in thousands):</w:t>
      </w:r>
    </w:p>
    <w:tbl>
      <w:tblPr>
        <w:tblW w:w="10205" w:type="dxa"/>
        <w:jc w:val="left"/>
        <w:tblInd w:w="0" w:type="dxa"/>
        <w:tblCellMar>
          <w:top w:w="28" w:type="dxa"/>
          <w:left w:w="28" w:type="dxa"/>
          <w:bottom w:w="28" w:type="dxa"/>
          <w:right w:w="28" w:type="dxa"/>
        </w:tblCellMar>
      </w:tblPr>
      <w:tblGrid>
        <w:gridCol w:w="386"/>
        <w:gridCol w:w="340"/>
        <w:gridCol w:w="344"/>
        <w:gridCol w:w="279"/>
        <w:gridCol w:w="815"/>
        <w:gridCol w:w="144"/>
        <w:gridCol w:w="109"/>
        <w:gridCol w:w="109"/>
        <w:gridCol w:w="109"/>
        <w:gridCol w:w="410"/>
        <w:gridCol w:w="790"/>
        <w:gridCol w:w="214"/>
        <w:gridCol w:w="109"/>
        <w:gridCol w:w="109"/>
        <w:gridCol w:w="109"/>
        <w:gridCol w:w="358"/>
        <w:gridCol w:w="1049"/>
        <w:gridCol w:w="188"/>
        <w:gridCol w:w="109"/>
        <w:gridCol w:w="109"/>
        <w:gridCol w:w="109"/>
        <w:gridCol w:w="333"/>
        <w:gridCol w:w="670"/>
        <w:gridCol w:w="132"/>
        <w:gridCol w:w="114"/>
        <w:gridCol w:w="114"/>
        <w:gridCol w:w="114"/>
        <w:gridCol w:w="353"/>
        <w:gridCol w:w="556"/>
        <w:gridCol w:w="142"/>
        <w:gridCol w:w="114"/>
        <w:gridCol w:w="114"/>
        <w:gridCol w:w="114"/>
        <w:gridCol w:w="221"/>
        <w:gridCol w:w="645"/>
        <w:gridCol w:w="171"/>
      </w:tblGrid>
      <w:tr>
        <w:trPr/>
        <w:tc>
          <w:tcPr>
            <w:tcW w:w="38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5"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 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the Consolidated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Liabilities Presented in the Consolidated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Consolidated Balance Sheet</w:t>
            </w:r>
          </w:p>
        </w:tc>
      </w:tr>
      <w:tr>
        <w:trPr/>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23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Financial Instruments</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Collateral Received (Pledged)</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5. Inventories </w:t>
      </w:r>
    </w:p>
    <w:p>
      <w:pPr>
        <w:pStyle w:val="TextBody"/>
        <w:spacing w:lineRule="auto" w:line="288" w:before="120" w:after="283"/>
        <w:ind w:left="0" w:right="0" w:firstLine="495"/>
        <w:rPr/>
      </w:pPr>
      <w:r>
        <w:rPr>
          <w:rFonts w:ascii="Times New Roman;sans-serif" w:hAnsi="Times New Roman;sans-serif"/>
          <w:b w:val="false"/>
          <w:color w:val="000000"/>
          <w:sz w:val="20"/>
        </w:rPr>
        <w:t>Inventories consisted of the following (in thousands):</w:t>
      </w:r>
      <w:r>
        <w:rPr>
          <w:color w:val="000000"/>
        </w:rPr>
        <w:t> </w:t>
      </w:r>
    </w:p>
    <w:tbl>
      <w:tblPr>
        <w:tblW w:w="4178" w:type="dxa"/>
        <w:jc w:val="left"/>
        <w:tblInd w:w="0" w:type="dxa"/>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826"/>
        <w:gridCol w:w="154"/>
      </w:tblGrid>
      <w:tr>
        <w:trPr/>
        <w:tc>
          <w:tcPr>
            <w:tcW w:w="54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674,778 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714,061 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inventories included $409.1 million and $457.6 million, respectively, related to the purchase accounting inventory fair value step-up on inventory acquired in the GW Acquisition.</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6. Goodwill and Intangible Assets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goodwill was as follows (in thousands):</w:t>
      </w:r>
    </w:p>
    <w:tbl>
      <w:tblPr>
        <w:tblW w:w="3935" w:type="dxa"/>
        <w:jc w:val="left"/>
        <w:tblInd w:w="0" w:type="dxa"/>
        <w:tblCellMar>
          <w:top w:w="28" w:type="dxa"/>
          <w:left w:w="28" w:type="dxa"/>
          <w:bottom w:w="28" w:type="dxa"/>
          <w:right w:w="28" w:type="dxa"/>
        </w:tblCellMar>
      </w:tblPr>
      <w:tblGrid>
        <w:gridCol w:w="939"/>
        <w:gridCol w:w="825"/>
        <w:gridCol w:w="830"/>
        <w:gridCol w:w="211"/>
        <w:gridCol w:w="97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pPr>
      <w:r>
        <w:rPr>
          <w:rFonts w:ascii="Times New Roman;sans-serif" w:hAnsi="Times New Roman;sans-serif"/>
          <w:b w:val="false"/>
          <w:color w:val="000000"/>
          <w:sz w:val="20"/>
        </w:rPr>
        <w:t>The gross carrying amounts and net book values of our intangible assets were as follows (in thousands):</w:t>
      </w:r>
      <w:r>
        <w:rPr>
          <w:color w:val="000000"/>
        </w:rPr>
        <w:t> </w:t>
      </w:r>
    </w:p>
    <w:tbl>
      <w:tblPr>
        <w:tblW w:w="12365" w:type="dxa"/>
        <w:jc w:val="left"/>
        <w:tblInd w:w="0" w:type="dxa"/>
        <w:tblCellMar>
          <w:top w:w="28" w:type="dxa"/>
          <w:left w:w="28" w:type="dxa"/>
          <w:bottom w:w="28" w:type="dxa"/>
          <w:right w:w="28" w:type="dxa"/>
        </w:tblCellMar>
      </w:tblPr>
      <w:tblGrid>
        <w:gridCol w:w="589"/>
        <w:gridCol w:w="373"/>
        <w:gridCol w:w="374"/>
        <w:gridCol w:w="405"/>
        <w:gridCol w:w="405"/>
        <w:gridCol w:w="406"/>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58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0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Weighted-</w:t>
              <w:br/>
              <w:t>Average Useful</w:t>
              <w:br/>
              <w:t>Life</w:t>
              <w:br/>
              <w:t>(In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technologies</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contracts</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5,794,437 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increase in the gross carrying amount of intangible assets as of March 31, 2023 compared to December 31, 2022 primarily reflects the positive impact of foreign currency translation adjustments due to the strengthening of sterling and euro against the U.S. dollar.</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pStyle w:val="TextBody"/>
        <w:spacing w:lineRule="auto" w:line="288" w:before="120" w:after="283"/>
        <w:ind w:left="0" w:right="0" w:firstLine="495"/>
        <w:rPr/>
      </w:pPr>
      <w:r>
        <w:rPr>
          <w:rFonts w:ascii="Times New Roman;sans-serif" w:hAnsi="Times New Roman;sans-serif"/>
          <w:b w:val="false"/>
          <w:color w:val="000000"/>
          <w:sz w:val="20"/>
        </w:rPr>
        <w:t>Based on finite-lived intangible assets recorded as of March 31, 2023, and assuming the underlying assets will not be impaired and that we will not change the expected lives of the assets, future amortization expenses were estimated as follows (in thousands):</w:t>
      </w:r>
      <w:r>
        <w:rPr>
          <w:color w:val="000000"/>
        </w:rPr>
        <w:t> </w:t>
      </w:r>
    </w:p>
    <w:tbl>
      <w:tblPr>
        <w:tblW w:w="4588" w:type="dxa"/>
        <w:jc w:val="left"/>
        <w:tblInd w:w="0" w:type="dxa"/>
        <w:tblCellMar>
          <w:top w:w="28" w:type="dxa"/>
          <w:left w:w="28" w:type="dxa"/>
          <w:bottom w:w="28" w:type="dxa"/>
          <w:right w:w="28" w:type="dxa"/>
        </w:tblCellMar>
      </w:tblPr>
      <w:tblGrid>
        <w:gridCol w:w="748"/>
        <w:gridCol w:w="659"/>
        <w:gridCol w:w="662"/>
        <w:gridCol w:w="396"/>
        <w:gridCol w:w="1834"/>
        <w:gridCol w:w="289"/>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Amortization Expense</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455,456 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607,275 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607,275 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607,275 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607,275 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2,879,653 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5,764,209 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7. Certain Balance Sheet Items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consisted of the following (in thousands):</w:t>
      </w:r>
    </w:p>
    <w:tbl>
      <w:tblPr>
        <w:tblW w:w="6713" w:type="dxa"/>
        <w:jc w:val="left"/>
        <w:tblInd w:w="0" w:type="dxa"/>
        <w:tblCellMar>
          <w:top w:w="28" w:type="dxa"/>
          <w:left w:w="28" w:type="dxa"/>
          <w:bottom w:w="28" w:type="dxa"/>
          <w:right w:w="28" w:type="dxa"/>
        </w:tblCellMar>
      </w:tblPr>
      <w:tblGrid>
        <w:gridCol w:w="1467"/>
        <w:gridCol w:w="1288"/>
        <w:gridCol w:w="1294"/>
        <w:gridCol w:w="211"/>
        <w:gridCol w:w="826"/>
        <w:gridCol w:w="109"/>
        <w:gridCol w:w="109"/>
        <w:gridCol w:w="109"/>
        <w:gridCol w:w="109"/>
        <w:gridCol w:w="211"/>
        <w:gridCol w:w="82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 and machinery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thousands):</w:t>
      </w:r>
    </w:p>
    <w:tbl>
      <w:tblPr>
        <w:tblW w:w="7359" w:type="dxa"/>
        <w:jc w:val="left"/>
        <w:tblInd w:w="0" w:type="dxa"/>
        <w:tblCellMar>
          <w:top w:w="28" w:type="dxa"/>
          <w:left w:w="28" w:type="dxa"/>
          <w:bottom w:w="28" w:type="dxa"/>
          <w:right w:w="28" w:type="dxa"/>
        </w:tblCellMar>
      </w:tblPr>
      <w:tblGrid>
        <w:gridCol w:w="1699"/>
        <w:gridCol w:w="1496"/>
        <w:gridCol w:w="1500"/>
        <w:gridCol w:w="211"/>
        <w:gridCol w:w="826"/>
        <w:gridCol w:w="109"/>
        <w:gridCol w:w="109"/>
        <w:gridCol w:w="109"/>
        <w:gridCol w:w="109"/>
        <w:gridCol w:w="211"/>
        <w:gridCol w:w="826"/>
        <w:gridCol w:w="154"/>
      </w:tblGrid>
      <w:tr>
        <w:trPr/>
        <w:tc>
          <w:tcPr>
            <w:tcW w:w="1699"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 for income taxes on intercompany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828" w:type="dxa"/>
        <w:jc w:val="left"/>
        <w:tblInd w:w="0" w:type="dxa"/>
        <w:tblCellMar>
          <w:top w:w="28" w:type="dxa"/>
          <w:left w:w="28" w:type="dxa"/>
          <w:bottom w:w="28" w:type="dxa"/>
          <w:right w:w="28" w:type="dxa"/>
        </w:tblCellMar>
      </w:tblPr>
      <w:tblGrid>
        <w:gridCol w:w="1147"/>
        <w:gridCol w:w="1007"/>
        <w:gridCol w:w="1010"/>
        <w:gridCol w:w="211"/>
        <w:gridCol w:w="826"/>
        <w:gridCol w:w="109"/>
        <w:gridCol w:w="109"/>
        <w:gridCol w:w="109"/>
        <w:gridCol w:w="109"/>
        <w:gridCol w:w="211"/>
        <w:gridCol w:w="826"/>
        <w:gridCol w:w="154"/>
      </w:tblGrid>
      <w:tr>
        <w:trPr/>
        <w:tc>
          <w:tcPr>
            <w:tcW w:w="114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and other sales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collaboration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facilities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professional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accruals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accruals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Inventory-related accruals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construction-in-progress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8. Debt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 of our indebtedness (in thousands):</w:t>
      </w:r>
    </w:p>
    <w:tbl>
      <w:tblPr>
        <w:tblW w:w="5829" w:type="dxa"/>
        <w:jc w:val="center"/>
        <w:tblInd w:w="0" w:type="dxa"/>
        <w:tblCellMar>
          <w:top w:w="28" w:type="dxa"/>
          <w:left w:w="28" w:type="dxa"/>
          <w:bottom w:w="28" w:type="dxa"/>
          <w:right w:w="28" w:type="dxa"/>
        </w:tblCellMar>
      </w:tblPr>
      <w:tblGrid>
        <w:gridCol w:w="1035"/>
        <w:gridCol w:w="908"/>
        <w:gridCol w:w="922"/>
        <w:gridCol w:w="211"/>
        <w:gridCol w:w="976"/>
        <w:gridCol w:w="109"/>
        <w:gridCol w:w="109"/>
        <w:gridCol w:w="109"/>
        <w:gridCol w:w="109"/>
        <w:gridCol w:w="211"/>
        <w:gridCol w:w="976"/>
        <w:gridCol w:w="154"/>
      </w:tblGrid>
      <w:tr>
        <w:trPr/>
        <w:tc>
          <w:tcPr>
            <w:tcW w:w="103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 debt issuance costs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2026 Notes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 debt issuance costs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Notes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2,684,073 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2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Exchangeable Senior Notes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total liability of the 2026 Notes is reflected net of issuance costs of $15.3 million which will be amortized over the term of the 2026 Notes. The effective interest rate of the 2026 Notes is 2.26%. During the three months ended March 31, 2023 and 2022, we recognized interest expense of $5.5 million, of which $5.0 million related to the contractual coupon rate and $0.5 million related to the amortization of debt issuance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liability of the 2024 Notes is reflected net of issuance costs of $11.4 million which will be amortized over the term of the 2024 Notes. The effective interest rate of the 2024 Notes is 1.79%. During the three months ended March 31, 2023 and 2022, we recognized interest expense of $2.5 million, of which $2.1 million related to the contractual coupon rate and $0.4 million related to the amortization of debt issuance costs. </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Maturities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Scheduled maturities with respect to our long-term debt principal balances outstanding as of March 31, 2023 were as follows (in thousands): </w:t>
      </w:r>
    </w:p>
    <w:tbl>
      <w:tblPr>
        <w:tblW w:w="4994" w:type="dxa"/>
        <w:jc w:val="center"/>
        <w:tblInd w:w="0" w:type="dxa"/>
        <w:tblCellMar>
          <w:top w:w="28" w:type="dxa"/>
          <w:left w:w="28" w:type="dxa"/>
          <w:bottom w:w="28" w:type="dxa"/>
          <w:right w:w="28" w:type="dxa"/>
        </w:tblCellMar>
      </w:tblPr>
      <w:tblGrid>
        <w:gridCol w:w="748"/>
        <w:gridCol w:w="659"/>
        <w:gridCol w:w="662"/>
        <w:gridCol w:w="460"/>
        <w:gridCol w:w="2129"/>
        <w:gridCol w:w="336"/>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12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Scheduled Long-Term Debt Maturities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606,000 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1,031,000 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4,098,500 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5,820,750 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9. Commitments and Contingencies </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March 31, 2023 and December 31, 2022.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involved in legal proceedings, including the following matters: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Xyrem Class Action</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December 2020, the above cases were centralized and transferred to the United States District Court for the Northern District of California, where the multidistrict litigation will proceed for the purpose of discovery and pre-trial proceedings.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Multidistrict Litigation conditionally transferred the UHS Lawsuit to the United States District Court for the Northern District of California, where it was consolidated for discovery and pre-trial proceedings with the other cases.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August 13, 2021, the United States District Court for the Northern District of California granted in part and denied in part the Company Defendants' motion to dismiss the complaints in the cases referenced above.</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The court has not yet issued a final ruling on these motions.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April 19, 2023, the Court held a hearing on class certification in the consolidated multi-district litigation referenced above, but has not issued a ruling. A trial date will be set following a ruling on class certification.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but has not issued a ruling.</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GW Acquisition Litigation</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March 15, 2021, GW filed a definitive proxy statement, or Proxy Statement, with the Securities and Exchange Commission in connection with the GW Acquisition.</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14, 2021, GW filed a Form 8-K containing supplemental disclosures related to the GW Acquisition. Pursuant to a memorandum of understanding between the parties, the Levy Lawsuit was dismissed on April 14, 2021.</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On June 3, 2022, we filed a motion to dismiss the Ziegler Lawsuit.</w:t>
      </w:r>
      <w:r>
        <w:rPr>
          <w:color w:val="000000"/>
        </w:rPr>
        <w:t xml:space="preserve"> </w:t>
      </w:r>
      <w:r>
        <w:rPr>
          <w:rFonts w:ascii="Times New Roman;sans-serif" w:hAnsi="Times New Roman;sans-serif"/>
          <w:b w:val="false"/>
          <w:color w:val="000000"/>
          <w:sz w:val="20"/>
          <w:highlight w:val="white"/>
        </w:rPr>
        <w:t>While the motion to dismiss was pending, in December 2022, the parties participated in a mediation and reached a tentative settlement, which remains subject to court approval.</w:t>
      </w:r>
      <w:r>
        <w:rPr>
          <w:color w:val="000000"/>
        </w:rPr>
        <w:t xml:space="preserve"> </w:t>
      </w:r>
      <w:r>
        <w:rPr>
          <w:rFonts w:ascii="Times New Roman;sans-serif" w:hAnsi="Times New Roman;sans-serif"/>
          <w:b w:val="false"/>
          <w:color w:val="000000"/>
          <w:sz w:val="20"/>
          <w:highlight w:val="white"/>
        </w:rPr>
        <w:t>On March 20, 2023, the plaintiffs in the Ziegler Lawsuit filed a motion for preliminary approval of the settlement.</w:t>
      </w:r>
      <w:r>
        <w:rPr>
          <w:color w:val="000000"/>
        </w:rPr>
        <w:t xml:space="preserve"> </w:t>
      </w:r>
      <w:r>
        <w:rPr>
          <w:rFonts w:ascii="Times New Roman;sans-serif" w:hAnsi="Times New Roman;sans-serif"/>
          <w:b w:val="false"/>
          <w:color w:val="000000"/>
          <w:sz w:val="20"/>
          <w:highlight w:val="white"/>
        </w:rPr>
        <w:t>The court has not yet issued a decision.</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Avadel Patent Litigation</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 xml:space="preserve">On May 13, 2021, we filed a patent infringement suit against Avadel Pharmaceuticals plc, or Avadel, and several of its corporate affiliates in the United States District Court for the District of Delaware. The suit alleges that Avadel’s </w:t>
      </w:r>
      <w:r>
        <w:rPr>
          <w:rFonts w:ascii="Times New Roman;sans-serif" w:hAnsi="Times New Roman;sans-serif"/>
          <w:b w:val="false"/>
          <w:color w:val="000000"/>
          <w:sz w:val="20"/>
        </w:rPr>
        <w:t>Lumryz</w:t>
      </w:r>
      <w:r>
        <w:rPr>
          <w:color w:val="000000"/>
          <w:highlight w:val="white"/>
        </w:rPr>
        <w:t xml:space="preserve"> </w:t>
      </w:r>
      <w:r>
        <w:rPr>
          <w:rFonts w:ascii="Times New Roman;sans-serif" w:hAnsi="Times New Roman;sans-serif"/>
          <w:b w:val="false"/>
          <w:color w:val="000000"/>
          <w:sz w:val="20"/>
          <w:highlight w:val="white"/>
        </w:rPr>
        <w:t>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w:t>
      </w:r>
      <w:r>
        <w:rPr>
          <w:color w:val="000000"/>
        </w:rPr>
        <w:t xml:space="preserve"> </w:t>
      </w:r>
      <w:r>
        <w:rPr>
          <w:rFonts w:ascii="Times New Roman;sans-serif" w:hAnsi="Times New Roman;sans-serif"/>
          <w:b w:val="false"/>
          <w:color w:val="000000"/>
          <w:sz w:val="20"/>
          <w:highlight w:val="white"/>
        </w:rPr>
        <w:t>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 xml:space="preserve">On August 4, 2021, we filed an additional patent infringement suit against Avadel in the United States District Court for the District of Delaware. The second suit alleges that Avadel’s </w:t>
      </w:r>
      <w:r>
        <w:rPr>
          <w:rFonts w:ascii="Times New Roman;sans-serif" w:hAnsi="Times New Roman;sans-serif"/>
          <w:b w:val="false"/>
          <w:color w:val="000000"/>
          <w:sz w:val="20"/>
        </w:rPr>
        <w:t>Lumryz</w:t>
      </w:r>
      <w:r>
        <w:rPr>
          <w:color w:val="000000"/>
          <w:highlight w:val="white"/>
        </w:rPr>
        <w:t xml:space="preserve"> </w:t>
      </w:r>
      <w:r>
        <w:rPr>
          <w:rFonts w:ascii="Times New Roman;sans-serif" w:hAnsi="Times New Roman;sans-serif"/>
          <w:b w:val="false"/>
          <w:color w:val="000000"/>
          <w:sz w:val="20"/>
          <w:highlight w:val="white"/>
        </w:rPr>
        <w:t xml:space="preserve">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 </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 xml:space="preserve">On November 10, 2021, we filed an additional patent infringement suit against Avadel in the United States District Court for the District of Delaware. The third suit alleges that Avadel’s </w:t>
      </w:r>
      <w:r>
        <w:rPr>
          <w:rFonts w:ascii="Times New Roman;sans-serif" w:hAnsi="Times New Roman;sans-serif"/>
          <w:b w:val="false"/>
          <w:color w:val="000000"/>
          <w:sz w:val="20"/>
        </w:rPr>
        <w:t>Lumryz</w:t>
      </w:r>
      <w:r>
        <w:rPr>
          <w:color w:val="000000"/>
          <w:highlight w:val="white"/>
        </w:rPr>
        <w:t xml:space="preserve"> </w:t>
      </w:r>
      <w:r>
        <w:rPr>
          <w:rFonts w:ascii="Times New Roman;sans-serif" w:hAnsi="Times New Roman;sans-serif"/>
          <w:b w:val="false"/>
          <w:color w:val="000000"/>
          <w:sz w:val="20"/>
          <w:highlight w:val="white"/>
        </w:rPr>
        <w:t>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On February 2, 2023, the Court held a hearing on our motion. The Court has not yet ruled on the motion.</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highlight w:val="white"/>
        </w:rPr>
        <w:t>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w:t>
      </w:r>
      <w:r>
        <w:rPr>
          <w:color w:val="000000"/>
        </w:rPr>
        <w:t xml:space="preserve"> </w:t>
      </w:r>
      <w:r>
        <w:rPr>
          <w:rFonts w:ascii="Times New Roman;sans-serif" w:hAnsi="Times New Roman;sans-serif"/>
          <w:b w:val="false"/>
          <w:color w:val="000000"/>
          <w:sz w:val="20"/>
          <w:highlight w:val="white"/>
        </w:rPr>
        <w:t>The Court has not yet ruled on the motion. As noted above, on March 3, 2023, we and Avadel stipulated to the dismissal without prejudice of the claims and counterclaims related to infringement and validity of the delisted patent.</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On July 21, 2022, Avadel filed a lawsuit against FDA</w:t>
      </w:r>
      <w:r>
        <w:rPr>
          <w:color w:val="000000"/>
        </w:rPr>
        <w:t xml:space="preserve"> </w:t>
      </w:r>
      <w:r>
        <w:rPr>
          <w:rFonts w:ascii="Times New Roman;sans-serif" w:hAnsi="Times New Roman;sans-serif"/>
          <w:b w:val="false"/>
          <w:color w:val="000000"/>
          <w:sz w:val="20"/>
          <w:highlight w:val="white"/>
        </w:rPr>
        <w:t>in the United States District Court for the District of Columbia, challenging FDA’s determination that Avadel was required to file a paragraph IV certification regarding one of our Orange Book listed patents.</w:t>
      </w:r>
      <w:r>
        <w:rPr>
          <w:color w:val="000000"/>
        </w:rPr>
        <w:t xml:space="preserve"> </w:t>
      </w:r>
      <w:r>
        <w:rPr>
          <w:rFonts w:ascii="Times New Roman;sans-serif" w:hAnsi="Times New Roman;sans-serif"/>
          <w:b w:val="false"/>
          <w:color w:val="000000"/>
          <w:sz w:val="20"/>
          <w:highlight w:val="white"/>
        </w:rPr>
        <w:t>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w:t>
      </w:r>
      <w:r>
        <w:rPr>
          <w:color w:val="000000"/>
        </w:rPr>
        <w:t xml:space="preserve"> </w:t>
      </w:r>
      <w:r>
        <w:rPr>
          <w:rFonts w:ascii="Times New Roman;sans-serif" w:hAnsi="Times New Roman;sans-serif"/>
          <w:b w:val="false"/>
          <w:color w:val="000000"/>
          <w:sz w:val="20"/>
          <w:highlight w:val="white"/>
        </w:rPr>
        <w:t xml:space="preserve">On July 27, 2022, we filed a motion to intervene in that case, which the Court granted. </w:t>
      </w:r>
      <w:r>
        <w:rPr>
          <w:rFonts w:ascii="Times New Roman;sans-serif" w:hAnsi="Times New Roman;sans-serif"/>
          <w:b w:val="false"/>
          <w:color w:val="000000"/>
          <w:sz w:val="20"/>
        </w:rPr>
        <w:t>The Court held a hearing on the parties’ respective motions for summary judgment on October</w:t>
      </w:r>
      <w:r>
        <w:rPr>
          <w:color w:val="000000"/>
          <w:highlight w:val="white"/>
        </w:rPr>
        <w:t> </w:t>
      </w:r>
      <w:r>
        <w:rPr>
          <w:rFonts w:ascii="Times New Roman;sans-serif" w:hAnsi="Times New Roman;sans-serif"/>
          <w:b w:val="false"/>
          <w:color w:val="000000"/>
          <w:sz w:val="20"/>
        </w:rPr>
        <w:t>7,</w:t>
      </w:r>
      <w:r>
        <w:rPr>
          <w:color w:val="000000"/>
          <w:highlight w:val="white"/>
        </w:rPr>
        <w:t> </w:t>
      </w:r>
      <w:r>
        <w:rPr>
          <w:rFonts w:ascii="Times New Roman;sans-serif" w:hAnsi="Times New Roman;sans-serif"/>
          <w:b w:val="false"/>
          <w:color w:val="000000"/>
          <w:sz w:val="20"/>
        </w:rPr>
        <w:t>2022. On November</w:t>
      </w:r>
      <w:r>
        <w:rPr>
          <w:color w:val="000000"/>
          <w:highlight w:val="white"/>
        </w:rPr>
        <w:t> </w:t>
      </w:r>
      <w:r>
        <w:rPr>
          <w:rFonts w:ascii="Times New Roman;sans-serif" w:hAnsi="Times New Roman;sans-serif"/>
          <w:b w:val="false"/>
          <w:color w:val="000000"/>
          <w:sz w:val="20"/>
        </w:rPr>
        <w:t>3,</w:t>
      </w:r>
      <w:r>
        <w:rPr>
          <w:color w:val="000000"/>
          <w:highlight w:val="white"/>
        </w:rPr>
        <w:t> </w:t>
      </w:r>
      <w:r>
        <w:rPr>
          <w:rFonts w:ascii="Times New Roman;sans-serif" w:hAnsi="Times New Roman;sans-serif"/>
          <w:b w:val="false"/>
          <w:color w:val="000000"/>
          <w:sz w:val="20"/>
        </w:rPr>
        <w:t>2022, the Court granted our and FDA’s motions for summary judgment and denied Avadel’s motion.</w:t>
      </w:r>
    </w:p>
    <w:p>
      <w:pPr>
        <w:pStyle w:val="TextBody"/>
        <w:spacing w:lineRule="auto" w:line="288" w:before="120" w:after="12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Canopy Patent Litigation</w:t>
      </w:r>
    </w:p>
    <w:p>
      <w:pPr>
        <w:pStyle w:val="TextBody"/>
        <w:spacing w:lineRule="auto" w:line="288" w:before="120" w:after="283"/>
        <w:ind w:left="0" w:right="0" w:firstLine="495"/>
        <w:rPr/>
      </w:pPr>
      <w:r>
        <w:rPr>
          <w:rFonts w:ascii="Times New Roman;sans-serif" w:hAnsi="Times New Roman;sans-serif"/>
          <w:b w:val="false"/>
          <w:color w:val="000000"/>
          <w:sz w:val="20"/>
        </w:rPr>
        <w:t xml:space="preserve">In December 2020, Canopy Growth Corporation filed a complaint against our subsidiary, GW, in the </w:t>
      </w:r>
      <w:r>
        <w:rPr>
          <w:rFonts w:ascii="Times New Roman;sans-serif" w:hAnsi="Times New Roman;sans-serif"/>
          <w:b w:val="false"/>
          <w:color w:val="000000"/>
          <w:sz w:val="20"/>
          <w:highlight w:val="white"/>
        </w:rPr>
        <w:t xml:space="preserve">United States District Court for the </w:t>
      </w:r>
      <w:r>
        <w:rPr>
          <w:rFonts w:ascii="Times New Roman;sans-serif" w:hAnsi="Times New Roman;sans-serif"/>
          <w:b w:val="false"/>
          <w:color w:val="000000"/>
          <w:sz w:val="20"/>
        </w:rPr>
        <w:t xml:space="preserve">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w:t>
      </w:r>
      <w:r>
        <w:rPr>
          <w:rFonts w:ascii="Times New Roman;sans-serif" w:hAnsi="Times New Roman;sans-serif"/>
          <w:b w:val="false"/>
          <w:color w:val="000000"/>
          <w:sz w:val="20"/>
          <w:highlight w:val="white"/>
        </w:rPr>
        <w:t xml:space="preserve">United States District Court for the </w:t>
      </w:r>
      <w:r>
        <w:rPr>
          <w:rFonts w:ascii="Times New Roman;sans-serif" w:hAnsi="Times New Roman;sans-serif"/>
          <w:b w:val="false"/>
          <w:color w:val="000000"/>
          <w:sz w:val="20"/>
        </w:rPr>
        <w:t>Western District of Texas held a claim construction hearing regarding the disputed term of the ‘632 patent. In November 2021, the Court issued a claim construction order. On February</w:t>
      </w:r>
      <w:r>
        <w:rPr>
          <w:color w:val="000000"/>
          <w:highlight w:val="white"/>
        </w:rPr>
        <w:t> </w:t>
      </w:r>
      <w:r>
        <w:rPr>
          <w:rFonts w:ascii="Times New Roman;sans-serif" w:hAnsi="Times New Roman;sans-serif"/>
          <w:b w:val="false"/>
          <w:color w:val="000000"/>
          <w:sz w:val="20"/>
        </w:rPr>
        <w:t>23,</w:t>
      </w:r>
      <w:r>
        <w:rPr>
          <w:color w:val="000000"/>
          <w:highlight w:val="white"/>
        </w:rPr>
        <w:t> </w:t>
      </w:r>
      <w:r>
        <w:rPr>
          <w:rFonts w:ascii="Times New Roman;sans-serif" w:hAnsi="Times New Roman;sans-serif"/>
          <w:b w:val="false"/>
          <w:color w:val="000000"/>
          <w:sz w:val="20"/>
        </w:rPr>
        <w:t>2022, the parties filed a Joint Motion and Stipulation to Enter Final Judgment in favor of GW. On February</w:t>
      </w:r>
      <w:r>
        <w:rPr>
          <w:color w:val="000000"/>
          <w:highlight w:val="white"/>
        </w:rPr>
        <w:t> </w:t>
      </w:r>
      <w:r>
        <w:rPr>
          <w:rFonts w:ascii="Times New Roman;sans-serif" w:hAnsi="Times New Roman;sans-serif"/>
          <w:b w:val="false"/>
          <w:color w:val="000000"/>
          <w:sz w:val="20"/>
        </w:rPr>
        <w:t>25,</w:t>
      </w:r>
      <w:r>
        <w:rPr>
          <w:color w:val="000000"/>
          <w:highlight w:val="white"/>
        </w:rPr>
        <w:t> </w:t>
      </w:r>
      <w:r>
        <w:rPr>
          <w:rFonts w:ascii="Times New Roman;sans-serif" w:hAnsi="Times New Roman;sans-serif"/>
          <w:b w:val="false"/>
          <w:color w:val="000000"/>
          <w:sz w:val="20"/>
        </w:rPr>
        <w:t xml:space="preserve">2022, the Court granted the parties’ motion and entered final judgment in favor of GW. Pursuant to the stipulation, Canopy filed a notice of appeal of the Court’s ruling on the disputed term in March 2022. </w:t>
      </w:r>
    </w:p>
    <w:p>
      <w:pPr>
        <w:pStyle w:val="TextBody"/>
        <w:spacing w:lineRule="auto" w:line="288" w:before="120" w:after="283"/>
        <w:ind w:left="0" w:right="0" w:firstLine="495"/>
        <w:rPr/>
      </w:pPr>
      <w:r>
        <w:rPr>
          <w:rFonts w:ascii="Times New Roman;sans-serif" w:hAnsi="Times New Roman;sans-serif"/>
          <w:b w:val="false"/>
          <w:color w:val="000000"/>
          <w:sz w:val="20"/>
        </w:rPr>
        <w:t>The United States Court of Appeals for the Federal Circuit held oral argument on Canopy’s appeal on April</w:t>
      </w:r>
      <w:r>
        <w:rPr>
          <w:color w:val="000000"/>
          <w:highlight w:val="white"/>
        </w:rPr>
        <w:t> </w:t>
      </w:r>
      <w:r>
        <w:rPr>
          <w:rFonts w:ascii="Times New Roman;sans-serif" w:hAnsi="Times New Roman;sans-serif"/>
          <w:b w:val="false"/>
          <w:color w:val="000000"/>
          <w:sz w:val="20"/>
        </w:rPr>
        <w:t>3,</w:t>
      </w:r>
      <w:r>
        <w:rPr>
          <w:color w:val="000000"/>
          <w:highlight w:val="white"/>
        </w:rPr>
        <w:t> </w:t>
      </w:r>
      <w:r>
        <w:rPr>
          <w:rFonts w:ascii="Times New Roman;sans-serif" w:hAnsi="Times New Roman;sans-serif"/>
          <w:b w:val="false"/>
          <w:color w:val="000000"/>
          <w:sz w:val="20"/>
        </w:rPr>
        <w:t>2023. On April</w:t>
      </w:r>
      <w:r>
        <w:rPr>
          <w:color w:val="000000"/>
          <w:highlight w:val="white"/>
        </w:rPr>
        <w:t> </w:t>
      </w:r>
      <w:r>
        <w:rPr>
          <w:rFonts w:ascii="Times New Roman;sans-serif" w:hAnsi="Times New Roman;sans-serif"/>
          <w:b w:val="false"/>
          <w:color w:val="000000"/>
          <w:sz w:val="20"/>
        </w:rPr>
        <w:t>24,</w:t>
      </w:r>
      <w:r>
        <w:rPr>
          <w:color w:val="000000"/>
          <w:highlight w:val="white"/>
        </w:rPr>
        <w:t> </w:t>
      </w:r>
      <w:r>
        <w:rPr>
          <w:rFonts w:ascii="Times New Roman;sans-serif" w:hAnsi="Times New Roman;sans-serif"/>
          <w:b w:val="false"/>
          <w:color w:val="000000"/>
          <w:sz w:val="20"/>
        </w:rPr>
        <w:t>2023, the Federal Circuit affirmed the district court’s entry of judgment in favor of GW, finding that the extraction process used in the manufacture of Epidiolex does not infringe Canopy’s patent.</w:t>
      </w:r>
    </w:p>
    <w:p>
      <w:pPr>
        <w:pStyle w:val="TextBody"/>
        <w:spacing w:lineRule="auto" w:line="288" w:before="120" w:after="120"/>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Xywav Patent Litigation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 </w:t>
      </w:r>
    </w:p>
    <w:p>
      <w:pPr>
        <w:pStyle w:val="TextBody"/>
        <w:spacing w:lineRule="auto" w:line="288" w:before="120" w:after="283"/>
        <w:ind w:left="0" w:right="0" w:firstLine="495"/>
        <w:rPr/>
      </w:pPr>
      <w:r>
        <w:rPr>
          <w:rFonts w:ascii="Times New Roman;sans-serif" w:hAnsi="Times New Roman;sans-serif"/>
          <w:b w:val="false"/>
          <w:color w:val="000000"/>
          <w:sz w:val="20"/>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w:t>
      </w:r>
      <w:r>
        <w:rPr>
          <w:color w:val="000000"/>
          <w:highlight w:val="white"/>
        </w:rPr>
        <w:t> </w:t>
      </w:r>
      <w:r>
        <w:rPr>
          <w:rFonts w:ascii="Times New Roman;sans-serif" w:hAnsi="Times New Roman;sans-serif"/>
          <w:b w:val="false"/>
          <w:color w:val="000000"/>
          <w:sz w:val="20"/>
        </w:rPr>
        <w:t>4,</w:t>
      </w:r>
      <w:r>
        <w:rPr>
          <w:color w:val="000000"/>
          <w:highlight w:val="white"/>
        </w:rPr>
        <w:t> </w:t>
      </w:r>
      <w:r>
        <w:rPr>
          <w:rFonts w:ascii="Times New Roman;sans-serif" w:hAnsi="Times New Roman;sans-serif"/>
          <w:b w:val="false"/>
          <w:color w:val="000000"/>
          <w:sz w:val="20"/>
        </w:rPr>
        <w:t>2021, Lupin filed an answer to the complaint and counterclaims asserting that the patents are invalid or not enforceable, and that its product, if approved, will not infringe our patents.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 No trial date has been set in the consolidated case.</w:t>
      </w:r>
    </w:p>
    <w:p>
      <w:pPr>
        <w:pStyle w:val="TextBody"/>
        <w:spacing w:lineRule="auto" w:line="288" w:before="120" w:after="283"/>
        <w:ind w:left="0" w:right="0" w:firstLine="495"/>
        <w:rPr/>
      </w:pPr>
      <w:r>
        <w:rPr>
          <w:rFonts w:ascii="Times New Roman;sans-serif" w:hAnsi="Times New Roman;sans-serif"/>
          <w:b w:val="false"/>
          <w:color w:val="000000"/>
          <w:sz w:val="20"/>
        </w:rPr>
        <w:t>In November 2022, we received notice from Lupin that it had filed a paragraph IV certification regarding a newly-issued patent listed in the Orange Book for Xywav. On January</w:t>
      </w:r>
      <w:r>
        <w:rPr>
          <w:color w:val="000000"/>
          <w:highlight w:val="white"/>
        </w:rPr>
        <w:t> </w:t>
      </w:r>
      <w:r>
        <w:rPr>
          <w:rFonts w:ascii="Times New Roman;sans-serif" w:hAnsi="Times New Roman;sans-serif"/>
          <w:b w:val="false"/>
          <w:color w:val="000000"/>
          <w:sz w:val="20"/>
        </w:rPr>
        <w:t>19,</w:t>
      </w:r>
      <w:r>
        <w:rPr>
          <w:color w:val="000000"/>
          <w:highlight w:val="white"/>
        </w:rPr>
        <w:t> </w:t>
      </w:r>
      <w:r>
        <w:rPr>
          <w:rFonts w:ascii="Times New Roman;sans-serif" w:hAnsi="Times New Roman;sans-serif"/>
          <w:b w:val="false"/>
          <w:color w:val="000000"/>
          <w:sz w:val="20"/>
        </w:rPr>
        <w:t xml:space="preserve">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rPr>
        <w:t>in suit. On February</w:t>
      </w:r>
      <w:r>
        <w:rPr>
          <w:color w:val="000000"/>
          <w:highlight w:val="white"/>
        </w:rPr>
        <w:t> </w:t>
      </w:r>
      <w:r>
        <w:rPr>
          <w:rFonts w:ascii="Times New Roman;sans-serif" w:hAnsi="Times New Roman;sans-serif"/>
          <w:b w:val="false"/>
          <w:color w:val="000000"/>
          <w:sz w:val="20"/>
        </w:rPr>
        <w:t>15,</w:t>
      </w:r>
      <w:r>
        <w:rPr>
          <w:color w:val="000000"/>
          <w:highlight w:val="white"/>
        </w:rPr>
        <w:t> </w:t>
      </w:r>
      <w:r>
        <w:rPr>
          <w:rFonts w:ascii="Times New Roman;sans-serif" w:hAnsi="Times New Roman;sans-serif"/>
          <w:b w:val="false"/>
          <w:color w:val="000000"/>
          <w:sz w:val="20"/>
        </w:rPr>
        <w:t>2023, the court consolidated the new lawsuit with the two suits we previously filed against Lupin. No trial date has been set in the consolidated case.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Otsuka Patent Litigation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 </w:t>
      </w:r>
    </w:p>
    <w:p>
      <w:pPr>
        <w:pStyle w:val="TextBody"/>
        <w:spacing w:lineRule="auto" w:line="288" w:before="120" w:after="283"/>
        <w:ind w:left="0" w:right="0" w:firstLine="495"/>
        <w:rPr/>
      </w:pPr>
      <w:r>
        <w:rPr>
          <w:rFonts w:ascii="Times New Roman;sans-serif" w:hAnsi="Times New Roman;sans-serif"/>
          <w:b w:val="false"/>
          <w:color w:val="000000"/>
          <w:sz w:val="20"/>
        </w:rPr>
        <w:t>In December 2021, GW filed an application contesting the jurisdiction of the Patents Court. On May</w:t>
      </w:r>
      <w:r>
        <w:rPr>
          <w:color w:val="000000"/>
          <w:highlight w:val="white"/>
        </w:rPr>
        <w:t> </w:t>
      </w:r>
      <w:r>
        <w:rPr>
          <w:rFonts w:ascii="Times New Roman;sans-serif" w:hAnsi="Times New Roman;sans-serif"/>
          <w:b w:val="false"/>
          <w:color w:val="000000"/>
          <w:sz w:val="20"/>
        </w:rPr>
        <w:t>3,</w:t>
      </w:r>
      <w:r>
        <w:rPr>
          <w:color w:val="000000"/>
          <w:highlight w:val="white"/>
        </w:rPr>
        <w:t> </w:t>
      </w:r>
      <w:r>
        <w:rPr>
          <w:rFonts w:ascii="Times New Roman;sans-serif" w:hAnsi="Times New Roman;sans-serif"/>
          <w:b w:val="false"/>
          <w:color w:val="000000"/>
          <w:sz w:val="20"/>
        </w:rPr>
        <w:t>2022, the Patents Court denied GW’s application. GW has filed papers with the Court of Appeal seeking leave to challenge the Patents Court’s decision. The Court of Appeal held a hearing on GW’s appeal on October</w:t>
      </w:r>
      <w:r>
        <w:rPr>
          <w:color w:val="000000"/>
          <w:highlight w:val="white"/>
        </w:rPr>
        <w:t> </w:t>
      </w:r>
      <w:r>
        <w:rPr>
          <w:rFonts w:ascii="Times New Roman;sans-serif" w:hAnsi="Times New Roman;sans-serif"/>
          <w:b w:val="false"/>
          <w:color w:val="000000"/>
          <w:sz w:val="20"/>
        </w:rPr>
        <w:t>12,</w:t>
      </w:r>
      <w:r>
        <w:rPr>
          <w:color w:val="000000"/>
          <w:highlight w:val="white"/>
        </w:rPr>
        <w:t> </w:t>
      </w:r>
      <w:r>
        <w:rPr>
          <w:rFonts w:ascii="Times New Roman;sans-serif" w:hAnsi="Times New Roman;sans-serif"/>
          <w:b w:val="false"/>
          <w:color w:val="000000"/>
          <w:sz w:val="20"/>
        </w:rPr>
        <w:t>2022. On November</w:t>
      </w:r>
      <w:r>
        <w:rPr>
          <w:color w:val="000000"/>
          <w:highlight w:val="white"/>
        </w:rPr>
        <w:t> </w:t>
      </w:r>
      <w:r>
        <w:rPr>
          <w:rFonts w:ascii="Times New Roman;sans-serif" w:hAnsi="Times New Roman;sans-serif"/>
          <w:b w:val="false"/>
          <w:color w:val="000000"/>
          <w:sz w:val="20"/>
        </w:rPr>
        <w:t>8,</w:t>
      </w:r>
      <w:r>
        <w:rPr>
          <w:color w:val="000000"/>
          <w:highlight w:val="white"/>
        </w:rPr>
        <w:t> </w:t>
      </w:r>
      <w:r>
        <w:rPr>
          <w:rFonts w:ascii="Times New Roman;sans-serif" w:hAnsi="Times New Roman;sans-serif"/>
          <w:b w:val="false"/>
          <w:color w:val="000000"/>
          <w:sz w:val="20"/>
        </w:rPr>
        <w:t>2022, the Court of Appeal ruled against GW on the jurisdictional challenge, so the case will continue in the Patents Court.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January 2022, we filed a lawsuit against Otsuka in the Supreme Court of the State of New York, County of New York, seeking a declaration that Otsuka is not entitled to any royalties on sales of Epidiolex under the Research Collaboration and License Agreement.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February 2023, we reached an agreement with Otsuka to settle all outstanding litigation and disputes between the parties related to Epidiolex royalties. Pursuant to that agreement, Otsuka will assign to GW its rights in certain jointly-owned intellectual property, and GW will pay Otsuka royalties on net sales of Epidiolex from product launch through 2032 and, potentially, on certain future cannabidiol products.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Epidiolex Patent Litigation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pStyle w:val="TextBody"/>
        <w:spacing w:lineRule="auto" w:line="288" w:before="120" w:after="283"/>
        <w:ind w:left="0" w:right="0" w:firstLine="495"/>
        <w:rPr/>
      </w:pPr>
      <w:r>
        <w:rPr>
          <w:rFonts w:ascii="Times New Roman;sans-serif" w:hAnsi="Times New Roman;sans-serif"/>
          <w:b w:val="false"/>
          <w:color w:val="000000"/>
          <w:sz w:val="20"/>
        </w:rPr>
        <w:t>On January</w:t>
      </w:r>
      <w:r>
        <w:rPr>
          <w:color w:val="000000"/>
          <w:highlight w:val="white"/>
        </w:rPr>
        <w:t> </w:t>
      </w:r>
      <w:r>
        <w:rPr>
          <w:rFonts w:ascii="Times New Roman;sans-serif" w:hAnsi="Times New Roman;sans-serif"/>
          <w:b w:val="false"/>
          <w:color w:val="000000"/>
          <w:sz w:val="20"/>
        </w:rPr>
        <w:t>3,</w:t>
      </w:r>
      <w:r>
        <w:rPr>
          <w:color w:val="000000"/>
          <w:highlight w:val="white"/>
        </w:rPr>
        <w:t> </w:t>
      </w:r>
      <w:r>
        <w:rPr>
          <w:rFonts w:ascii="Times New Roman;sans-serif" w:hAnsi="Times New Roman;sans-serif"/>
          <w:b w:val="false"/>
          <w:color w:val="000000"/>
          <w:sz w:val="20"/>
        </w:rPr>
        <w:t>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pStyle w:val="TextBody"/>
        <w:spacing w:lineRule="auto" w:line="288" w:before="120" w:after="283"/>
        <w:ind w:left="0" w:right="0" w:firstLine="495"/>
        <w:rPr/>
      </w:pPr>
      <w:r>
        <w:rPr>
          <w:rFonts w:ascii="Times New Roman;sans-serif" w:hAnsi="Times New Roman;sans-serif"/>
          <w:b w:val="false"/>
          <w:color w:val="000000"/>
          <w:sz w:val="20"/>
        </w:rPr>
        <w:t>From March 2023 through May 2023, we received the Epidiolex ANDA Filers’ answers to the complaint.</w:t>
      </w:r>
      <w:r>
        <w:rPr>
          <w:color w:val="000000"/>
        </w:rPr>
        <w:t xml:space="preserve"> </w:t>
      </w:r>
      <w:r>
        <w:rPr>
          <w:rFonts w:ascii="Times New Roman;sans-serif" w:hAnsi="Times New Roman;sans-serif"/>
          <w:b w:val="false"/>
          <w:color w:val="000000"/>
          <w:sz w:val="20"/>
        </w:rPr>
        <w:t>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w:t>
      </w:r>
    </w:p>
    <w:p>
      <w:pPr>
        <w:pStyle w:val="TextBody"/>
        <w:spacing w:lineRule="auto" w:line="288" w:before="120" w:after="283"/>
        <w:ind w:left="0" w:right="0" w:firstLine="495"/>
        <w:rPr/>
      </w:pPr>
      <w:r>
        <w:rPr>
          <w:rFonts w:ascii="Times New Roman;sans-serif" w:hAnsi="Times New Roman;sans-serif"/>
          <w:b w:val="false"/>
          <w:color w:val="000000"/>
          <w:sz w:val="20"/>
        </w:rPr>
        <w:t>The Court in the Epidiolex Patent Litigation set an initial scheduling conference for June 5, 2023.</w:t>
      </w:r>
      <w:r>
        <w:rPr>
          <w:color w:val="000000"/>
        </w:rPr>
        <w:t xml:space="preserve"> </w:t>
      </w:r>
      <w:r>
        <w:rPr>
          <w:rFonts w:ascii="Times New Roman;sans-serif" w:hAnsi="Times New Roman;sans-serif"/>
          <w:b w:val="false"/>
          <w:color w:val="000000"/>
          <w:sz w:val="20"/>
        </w:rPr>
        <w:t>No other case schedule has been set.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Epidiolex also has Orphan Drug Exclusivity for the treatment of seizures associated with Lennox-Gastaut syndrome or Dravet syndrome in patients 2 years of age and older through September 28, 2025, and for the treatment of seizures associated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rPr>
        <w:t>with Lennox-Gastaut syndrome or Dravet syndrome in patients between 1 and 2 years of age and for the treatment of seizures associated with tuberous sclerosis complex through July</w:t>
      </w:r>
      <w:r>
        <w:rPr>
          <w:color w:val="000000"/>
          <w:highlight w:val="white"/>
        </w:rPr>
        <w:t> </w:t>
      </w:r>
      <w:r>
        <w:rPr>
          <w:rFonts w:ascii="Times New Roman;sans-serif" w:hAnsi="Times New Roman;sans-serif"/>
          <w:b w:val="false"/>
          <w:color w:val="000000"/>
          <w:sz w:val="20"/>
        </w:rPr>
        <w:t>31,</w:t>
      </w:r>
      <w:r>
        <w:rPr>
          <w:color w:val="000000"/>
          <w:highlight w:val="white"/>
        </w:rPr>
        <w:t> </w:t>
      </w:r>
      <w:r>
        <w:rPr>
          <w:rFonts w:ascii="Times New Roman;sans-serif" w:hAnsi="Times New Roman;sans-serif"/>
          <w:b w:val="false"/>
          <w:color w:val="000000"/>
          <w:sz w:val="20"/>
        </w:rPr>
        <w:t>2027.</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vigorously enforces its intellectual property rights, but cannot predict the outcome of these matters.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MSP Litigation</w:t>
      </w:r>
    </w:p>
    <w:p>
      <w:pPr>
        <w:pStyle w:val="TextBody"/>
        <w:spacing w:lineRule="auto" w:line="288" w:before="120" w:after="283"/>
        <w:ind w:left="0" w:right="0" w:firstLine="495"/>
        <w:rPr/>
      </w:pPr>
      <w:r>
        <w:rPr>
          <w:rFonts w:ascii="Times New Roman;sans-serif" w:hAnsi="Times New Roman;sans-serif"/>
          <w:b w:val="false"/>
          <w:color w:val="000000"/>
          <w:sz w:val="20"/>
        </w:rPr>
        <w:t>On April</w:t>
      </w:r>
      <w:r>
        <w:rPr>
          <w:color w:val="000000"/>
          <w:highlight w:val="white"/>
        </w:rPr>
        <w:t> </w:t>
      </w:r>
      <w:r>
        <w:rPr>
          <w:rFonts w:ascii="Times New Roman;sans-serif" w:hAnsi="Times New Roman;sans-serif"/>
          <w:b w:val="false"/>
          <w:color w:val="000000"/>
          <w:sz w:val="20"/>
        </w:rPr>
        <w:t>3,</w:t>
      </w:r>
      <w:r>
        <w:rPr>
          <w:color w:val="000000"/>
          <w:highlight w:val="white"/>
        </w:rPr>
        <w:t> </w:t>
      </w:r>
      <w:r>
        <w:rPr>
          <w:rFonts w:ascii="Times New Roman;sans-serif" w:hAnsi="Times New Roman;sans-serif"/>
          <w:b w:val="false"/>
          <w:color w:val="000000"/>
          <w:sz w:val="20"/>
        </w:rPr>
        <w:t xml:space="preserve">2023, MSP Recovery Claims, Series LLC, or MSP, filed a class action lawsuit on behalf itself and others similarly situated against </w:t>
      </w:r>
      <w:r>
        <w:rPr>
          <w:rFonts w:ascii="Times New Roman;sans-serif" w:hAnsi="Times New Roman;sans-serif"/>
          <w:b w:val="false"/>
          <w:color w:val="000000"/>
          <w:sz w:val="20"/>
          <w:highlight w:val="white"/>
        </w:rPr>
        <w:t>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w:t>
      </w:r>
      <w:r>
        <w:rPr>
          <w:color w:val="000000"/>
        </w:rPr>
        <w:t xml:space="preserve"> </w:t>
      </w:r>
      <w:r>
        <w:rPr>
          <w:rFonts w:ascii="Times New Roman;sans-serif" w:hAnsi="Times New Roman;sans-serif"/>
          <w:b w:val="false"/>
          <w:color w:val="000000"/>
          <w:sz w:val="20"/>
          <w:highlight w:val="white"/>
        </w:rPr>
        <w:t>The MSP complaint alleges that the Defendants conspired to increase the price and quantity dispensed of Xyrem and Prialt, in violation of the Racketeer Influenced and Corrupt Organizations Act and several state laws.</w:t>
      </w:r>
      <w:r>
        <w:rPr>
          <w:color w:val="000000"/>
        </w:rPr>
        <w:t xml:space="preserve"> </w:t>
      </w:r>
      <w:r>
        <w:rPr>
          <w:rFonts w:ascii="Times New Roman;sans-serif" w:hAnsi="Times New Roman;sans-serif"/>
          <w:b w:val="false"/>
          <w:color w:val="000000"/>
          <w:sz w:val="20"/>
          <w:highlight w:val="white"/>
        </w:rPr>
        <w:t xml:space="preserve">The allegations relate generally to the conduct at issue in the investigation conducted by the United States Department of Justice from 2016-2019, involving the Company’s contributions to certain charitable foundations. </w:t>
      </w:r>
      <w:r>
        <w:rPr>
          <w:rFonts w:ascii="Times New Roman;sans-serif" w:hAnsi="Times New Roman;sans-serif"/>
          <w:b w:val="false"/>
          <w:color w:val="000000"/>
          <w:sz w:val="20"/>
        </w:rPr>
        <w:t xml:space="preserve">MSP seeks monetary damages, restitution, disgorgement, and a declaration that the conduct alleged is unlawful.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10. Shareholders’ Equity </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Accumulated Other Comprehensive Loss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as of March 31, 2023 and December 31, 2022 were as follows (in thousands): </w:t>
      </w:r>
    </w:p>
    <w:tbl>
      <w:tblPr>
        <w:tblW w:w="7727" w:type="dxa"/>
        <w:jc w:val="left"/>
        <w:tblInd w:w="0" w:type="dxa"/>
        <w:tblCellMar>
          <w:top w:w="28" w:type="dxa"/>
          <w:left w:w="28" w:type="dxa"/>
          <w:bottom w:w="28" w:type="dxa"/>
          <w:right w:w="28" w:type="dxa"/>
        </w:tblCellMar>
      </w:tblPr>
      <w:tblGrid>
        <w:gridCol w:w="1591"/>
        <w:gridCol w:w="1398"/>
        <w:gridCol w:w="1406"/>
        <w:gridCol w:w="109"/>
        <w:gridCol w:w="109"/>
        <w:gridCol w:w="211"/>
        <w:gridCol w:w="1051"/>
        <w:gridCol w:w="109"/>
        <w:gridCol w:w="109"/>
        <w:gridCol w:w="109"/>
        <w:gridCol w:w="109"/>
        <w:gridCol w:w="211"/>
        <w:gridCol w:w="1051"/>
        <w:gridCol w:w="154"/>
      </w:tblGrid>
      <w:tr>
        <w:trPr/>
        <w:tc>
          <w:tcPr>
            <w:tcW w:w="1591"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Accumulated</w:t>
              <w:br/>
              <w:t>Other</w:t>
              <w:br/>
              <w:t>Comprehensive</w:t>
              <w:br/>
              <w:t>Loss</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other comprehensive income reflects foreign currency translation adjustments, primarily due to the strengthening of the sterling and the euro against the U.S. dollar.</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Net Income per Ordinary Share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ordinary share were computed as follows (in thousands, except per share amounts):</w:t>
      </w:r>
    </w:p>
    <w:tbl>
      <w:tblPr>
        <w:tblW w:w="9941" w:type="dxa"/>
        <w:jc w:val="left"/>
        <w:tblInd w:w="0" w:type="dxa"/>
        <w:tblCellMar>
          <w:top w:w="28" w:type="dxa"/>
          <w:left w:w="28" w:type="dxa"/>
          <w:bottom w:w="28" w:type="dxa"/>
          <w:right w:w="28" w:type="dxa"/>
        </w:tblCellMar>
      </w:tblPr>
      <w:tblGrid>
        <w:gridCol w:w="2460"/>
        <w:gridCol w:w="2167"/>
        <w:gridCol w:w="2183"/>
        <w:gridCol w:w="109"/>
        <w:gridCol w:w="109"/>
        <w:gridCol w:w="139"/>
        <w:gridCol w:w="139"/>
        <w:gridCol w:w="269"/>
        <w:gridCol w:w="919"/>
        <w:gridCol w:w="139"/>
        <w:gridCol w:w="109"/>
        <w:gridCol w:w="109"/>
        <w:gridCol w:w="109"/>
        <w:gridCol w:w="211"/>
        <w:gridCol w:w="616"/>
        <w:gridCol w:w="154"/>
      </w:tblGrid>
      <w:tr>
        <w:trPr/>
        <w:tc>
          <w:tcPr>
            <w:tcW w:w="2460"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interest on assumed conversions of Exchangeable Senior Notes,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dilutive net income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Exchangeable 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equity incentive and purchase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ordinary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Potentially dilutive ordinary shares from our employee equity incentive and purchase plans are determined by applying the treasury stock method to the assumed exercise of share options, the assumed vesting of outstanding Restricted Stock Units, or RSUs, and Performance-based restricted stock units, or PRSUs,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The potential issue of ordinary shares upon exchange of the Exchangeable Senior Notes was anti-dilutive and had no impact on diluted net income per ordinary share for the three months ended March 31,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weighted-average ordinary shares that were excluded from the calculation of diluted net income per ordinary share for the periods presented because including them would have an anti-dilutive effect (in thousands):</w:t>
      </w:r>
    </w:p>
    <w:tbl>
      <w:tblPr>
        <w:tblW w:w="6892" w:type="dxa"/>
        <w:jc w:val="left"/>
        <w:tblInd w:w="0" w:type="dxa"/>
        <w:tblCellMar>
          <w:top w:w="28" w:type="dxa"/>
          <w:left w:w="28" w:type="dxa"/>
          <w:bottom w:w="28" w:type="dxa"/>
          <w:right w:w="28" w:type="dxa"/>
        </w:tblCellMar>
      </w:tblPr>
      <w:tblGrid>
        <w:gridCol w:w="1415"/>
        <w:gridCol w:w="1246"/>
        <w:gridCol w:w="1254"/>
        <w:gridCol w:w="109"/>
        <w:gridCol w:w="109"/>
        <w:gridCol w:w="320"/>
        <w:gridCol w:w="320"/>
        <w:gridCol w:w="320"/>
        <w:gridCol w:w="320"/>
        <w:gridCol w:w="323"/>
        <w:gridCol w:w="109"/>
        <w:gridCol w:w="109"/>
        <w:gridCol w:w="109"/>
        <w:gridCol w:w="308"/>
        <w:gridCol w:w="308"/>
        <w:gridCol w:w="213"/>
      </w:tblGrid>
      <w:tr>
        <w:trPr/>
        <w:tc>
          <w:tcPr>
            <w:tcW w:w="1415"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6" w:type="dxa"/>
            <w:gridSpan w:val="6"/>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equity incentive and purchase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12. Revenues </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presents a summary of total revenues (in thousands):</w:t>
      </w:r>
      <w:r>
        <w:rPr>
          <w:color w:val="000000"/>
        </w:rPr>
        <w:t> </w:t>
      </w:r>
    </w:p>
    <w:tbl>
      <w:tblPr>
        <w:tblW w:w="7301" w:type="dxa"/>
        <w:jc w:val="left"/>
        <w:tblInd w:w="0" w:type="dxa"/>
        <w:tblCellMar>
          <w:top w:w="28" w:type="dxa"/>
          <w:left w:w="28" w:type="dxa"/>
          <w:bottom w:w="28" w:type="dxa"/>
          <w:right w:w="28" w:type="dxa"/>
        </w:tblCellMar>
      </w:tblPr>
      <w:tblGrid>
        <w:gridCol w:w="1275"/>
        <w:gridCol w:w="1120"/>
        <w:gridCol w:w="1130"/>
        <w:gridCol w:w="109"/>
        <w:gridCol w:w="109"/>
        <w:gridCol w:w="128"/>
        <w:gridCol w:w="128"/>
        <w:gridCol w:w="248"/>
        <w:gridCol w:w="972"/>
        <w:gridCol w:w="128"/>
        <w:gridCol w:w="109"/>
        <w:gridCol w:w="109"/>
        <w:gridCol w:w="109"/>
        <w:gridCol w:w="211"/>
        <w:gridCol w:w="826"/>
        <w:gridCol w:w="109"/>
        <w:gridCol w:w="109"/>
        <w:gridCol w:w="109"/>
        <w:gridCol w:w="109"/>
        <w:gridCol w:w="154"/>
      </w:tblGrid>
      <w:tr>
        <w:trPr/>
        <w:tc>
          <w:tcPr>
            <w:tcW w:w="127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Xywav</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277,761 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Xyrem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Oxybate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Epidiolex/Epidyolex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188,909 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Sativex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Sunosi</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Neuroscience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Defitelio/defibrotide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Oncology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884,219 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High-sodium oxybate AG royalty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royalty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892,812 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(1)Divestiture of Sunosi U.S. was completed in May 2022.</w:t>
      </w:r>
    </w:p>
    <w:p>
      <w:pPr>
        <w:pStyle w:val="TextBody"/>
        <w:spacing w:before="0" w:after="0"/>
        <w:rPr/>
      </w:pPr>
      <w:r>
        <w:rPr/>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presents a summary of total revenues attributed to geographic sources (in thousands):</w:t>
      </w:r>
      <w:r>
        <w:rPr>
          <w:color w:val="000000"/>
        </w:rPr>
        <w:t> </w:t>
      </w:r>
    </w:p>
    <w:tbl>
      <w:tblPr>
        <w:tblW w:w="4659" w:type="dxa"/>
        <w:jc w:val="left"/>
        <w:tblInd w:w="0" w:type="dxa"/>
        <w:tblCellMar>
          <w:top w:w="28" w:type="dxa"/>
          <w:left w:w="28" w:type="dxa"/>
          <w:bottom w:w="28" w:type="dxa"/>
          <w:right w:w="28" w:type="dxa"/>
        </w:tblCellMar>
      </w:tblPr>
      <w:tblGrid>
        <w:gridCol w:w="479"/>
        <w:gridCol w:w="419"/>
        <w:gridCol w:w="421"/>
        <w:gridCol w:w="109"/>
        <w:gridCol w:w="109"/>
        <w:gridCol w:w="128"/>
        <w:gridCol w:w="128"/>
        <w:gridCol w:w="248"/>
        <w:gridCol w:w="972"/>
        <w:gridCol w:w="128"/>
        <w:gridCol w:w="109"/>
        <w:gridCol w:w="109"/>
        <w:gridCol w:w="109"/>
        <w:gridCol w:w="211"/>
        <w:gridCol w:w="826"/>
        <w:gridCol w:w="154"/>
      </w:tblGrid>
      <w:tr>
        <w:trPr/>
        <w:tc>
          <w:tcPr>
            <w:tcW w:w="47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65,900 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892,812 </w:t>
            </w:r>
          </w:p>
        </w:tc>
        <w:tc>
          <w:tcPr>
            <w:tcW w:w="1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813,721 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pPr>
      <w:r>
        <w:rPr>
          <w:rFonts w:ascii="Times New Roman;sans-serif" w:hAnsi="Times New Roman;sans-serif"/>
          <w:b w:val="false"/>
          <w:color w:val="000000"/>
          <w:sz w:val="20"/>
        </w:rPr>
        <w:t>The following table presents a summary of the percentage of total revenues from customers that represented more than 10% of our total revenues:</w:t>
      </w:r>
      <w:r>
        <w:rPr>
          <w:color w:val="000000"/>
        </w:rPr>
        <w:t> </w:t>
      </w:r>
    </w:p>
    <w:tbl>
      <w:tblPr>
        <w:tblW w:w="3247" w:type="dxa"/>
        <w:jc w:val="left"/>
        <w:tblInd w:w="0" w:type="dxa"/>
        <w:tblCellMar>
          <w:top w:w="28" w:type="dxa"/>
          <w:left w:w="28" w:type="dxa"/>
          <w:bottom w:w="28" w:type="dxa"/>
          <w:right w:w="28" w:type="dxa"/>
        </w:tblCellMar>
      </w:tblPr>
      <w:tblGrid>
        <w:gridCol w:w="353"/>
        <w:gridCol w:w="310"/>
        <w:gridCol w:w="313"/>
        <w:gridCol w:w="180"/>
        <w:gridCol w:w="181"/>
        <w:gridCol w:w="333"/>
        <w:gridCol w:w="134"/>
        <w:gridCol w:w="134"/>
        <w:gridCol w:w="134"/>
        <w:gridCol w:w="180"/>
        <w:gridCol w:w="181"/>
        <w:gridCol w:w="333"/>
        <w:gridCol w:w="109"/>
        <w:gridCol w:w="109"/>
        <w:gridCol w:w="109"/>
        <w:gridCol w:w="154"/>
      </w:tblGrid>
      <w:tr>
        <w:trPr/>
        <w:tc>
          <w:tcPr>
            <w:tcW w:w="35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ESSDS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w:t>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694"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Financing and payment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payment terms vary by the type and location of our customer but payment is generally required in a term ranging from 30 to 45 days. </w:t>
      </w:r>
    </w:p>
    <w:p>
      <w:pPr>
        <w:pStyle w:val="TextBody"/>
        <w:spacing w:before="120" w:after="283"/>
        <w:ind w:left="0" w:right="0" w:firstLine="22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13. Share-Based Compensation </w:t>
      </w:r>
    </w:p>
    <w:p>
      <w:pPr>
        <w:pStyle w:val="TextBody"/>
        <w:spacing w:lineRule="auto" w:line="288" w:before="120" w:after="283"/>
        <w:ind w:left="0" w:right="0" w:firstLine="495"/>
        <w:rPr/>
      </w:pPr>
      <w:r>
        <w:rPr>
          <w:rFonts w:ascii="Times New Roman;sans-serif" w:hAnsi="Times New Roman;sans-serif"/>
          <w:b w:val="false"/>
          <w:color w:val="000000"/>
          <w:sz w:val="20"/>
        </w:rPr>
        <w:t>Share-based compensation expense related to share options, RSUs, PRSUs and grants under our ESPP was as follows (in thousands):</w:t>
      </w:r>
      <w:r>
        <w:rPr>
          <w:color w:val="000000"/>
        </w:rPr>
        <w:t> </w:t>
      </w:r>
    </w:p>
    <w:tbl>
      <w:tblPr>
        <w:tblW w:w="8170" w:type="dxa"/>
        <w:jc w:val="left"/>
        <w:tblInd w:w="0" w:type="dxa"/>
        <w:tblCellMar>
          <w:top w:w="28" w:type="dxa"/>
          <w:left w:w="28" w:type="dxa"/>
          <w:bottom w:w="28" w:type="dxa"/>
          <w:right w:w="28" w:type="dxa"/>
        </w:tblCellMar>
      </w:tblPr>
      <w:tblGrid>
        <w:gridCol w:w="1788"/>
        <w:gridCol w:w="1571"/>
        <w:gridCol w:w="1575"/>
        <w:gridCol w:w="109"/>
        <w:gridCol w:w="109"/>
        <w:gridCol w:w="139"/>
        <w:gridCol w:w="139"/>
        <w:gridCol w:w="269"/>
        <w:gridCol w:w="919"/>
        <w:gridCol w:w="139"/>
        <w:gridCol w:w="109"/>
        <w:gridCol w:w="109"/>
        <w:gridCol w:w="109"/>
        <w:gridCol w:w="211"/>
        <w:gridCol w:w="721"/>
        <w:gridCol w:w="154"/>
      </w:tblGrid>
      <w:tr>
        <w:trPr/>
        <w:tc>
          <w:tcPr>
            <w:tcW w:w="1788"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pre-tax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from 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number of RSUs granted covering an equal number of our ordinary shares and the weighted-average grant date fair value of RSUs granted:</w:t>
      </w:r>
    </w:p>
    <w:tbl>
      <w:tblPr>
        <w:tblW w:w="5665" w:type="dxa"/>
        <w:jc w:val="left"/>
        <w:tblInd w:w="0" w:type="dxa"/>
        <w:tblCellMar>
          <w:top w:w="28" w:type="dxa"/>
          <w:left w:w="28" w:type="dxa"/>
          <w:bottom w:w="28" w:type="dxa"/>
          <w:right w:w="28" w:type="dxa"/>
        </w:tblCellMar>
      </w:tblPr>
      <w:tblGrid>
        <w:gridCol w:w="878"/>
        <w:gridCol w:w="773"/>
        <w:gridCol w:w="778"/>
        <w:gridCol w:w="109"/>
        <w:gridCol w:w="109"/>
        <w:gridCol w:w="139"/>
        <w:gridCol w:w="139"/>
        <w:gridCol w:w="269"/>
        <w:gridCol w:w="919"/>
        <w:gridCol w:w="139"/>
        <w:gridCol w:w="109"/>
        <w:gridCol w:w="109"/>
        <w:gridCol w:w="109"/>
        <w:gridCol w:w="211"/>
        <w:gridCol w:w="721"/>
        <w:gridCol w:w="154"/>
      </w:tblGrid>
      <w:tr>
        <w:trPr/>
        <w:tc>
          <w:tcPr>
            <w:tcW w:w="87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 of RSUs is determined on the date of grant based on the market price of our ordinary shares on that date. The fair value of RSUs is expensed ratably over the vesting period, generally over four years.</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2023, December 31, 2024, and December 31, 2025, respectively. Following the determination of the Company’s achievement with respect to the performance criteria, the amount of shares awarded will be subject to adjustment based on the application of a relative total shareholder return, or TSR modifier. The number of shares that may be earned ranges between 0% and 200% of the target number of PRSUs granted based on the degree of achievement of the applicable performance metric and the application of the relative TSR modifier.</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number of PRSUs granted covering an equal number of our ordinary shares and the weighted-average grant date fair value of PRSUs granted:</w:t>
      </w:r>
    </w:p>
    <w:tbl>
      <w:tblPr>
        <w:tblW w:w="5770" w:type="dxa"/>
        <w:jc w:val="left"/>
        <w:tblInd w:w="0" w:type="dxa"/>
        <w:tblCellMar>
          <w:top w:w="28" w:type="dxa"/>
          <w:left w:w="28" w:type="dxa"/>
          <w:bottom w:w="28" w:type="dxa"/>
          <w:right w:w="28" w:type="dxa"/>
        </w:tblCellMar>
      </w:tblPr>
      <w:tblGrid>
        <w:gridCol w:w="916"/>
        <w:gridCol w:w="806"/>
        <w:gridCol w:w="812"/>
        <w:gridCol w:w="109"/>
        <w:gridCol w:w="109"/>
        <w:gridCol w:w="139"/>
        <w:gridCol w:w="139"/>
        <w:gridCol w:w="269"/>
        <w:gridCol w:w="919"/>
        <w:gridCol w:w="139"/>
        <w:gridCol w:w="109"/>
        <w:gridCol w:w="109"/>
        <w:gridCol w:w="109"/>
        <w:gridCol w:w="211"/>
        <w:gridCol w:w="721"/>
        <w:gridCol w:w="154"/>
      </w:tblGrid>
      <w:tr>
        <w:trPr/>
        <w:tc>
          <w:tcPr>
            <w:tcW w:w="91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 granted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the PRSUs granted in each year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compensation cost not yet recognized related to unvested RSUs, PRSUs, share options and ESPP was $424.8 million, $67.4 million, $6.7 million and $4.5 million, respectively, which is expected to be recognized over a weighted-average period of 3.0 years, 1.9 years, 1.1 years and 0.9 year, respectively.</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 xml:space="preserve">14. Income Taxes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income tax benefit was $15.3 million for the three months ended March 31, 2023, compared to an income tax expense of $0.5 million for the same period in 2022, relating to tax arising on income or losses in Ireland, the U.K., the U.S. and certain other foreign jurisdictions, offset by deductions on subsidiary equity, foreign derived intangible income, or FDII, and patent box benefits. The increase in the income tax benefit resulted primarily from the mix of pre-tax income and losses incurred across tax jurisdictions and increases in our FDII and patent box benefits.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2018.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2018 and earlier may still be adjusted upon examination by the taxing authorities. Certain of our Luxembourg subsidiaries are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 $24.4 million, translated at the foreign exchange rate as March 31, 2023. We disagree with the proposed assessments and are contesting them vigorously.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1260"/>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pStyle w:val="TextBody"/>
        <w:spacing w:lineRule="auto" w:line="288" w:before="120" w:after="283"/>
        <w:ind w:left="0" w:right="0" w:firstLine="495"/>
        <w:rPr/>
      </w:pPr>
      <w:r>
        <w:rPr>
          <w:rFonts w:ascii="Times New Roman;sans-serif" w:hAnsi="Times New Roman;sans-serif"/>
          <w:b w:val="false"/>
          <w:i/>
          <w:color w:val="000000"/>
          <w:sz w:val="20"/>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noBreakHyphen/>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w:t>
      </w:r>
      <w:r>
        <w:rPr>
          <w:color w:val="000000"/>
        </w:rPr>
        <w:t> </w:t>
      </w:r>
      <w:r>
        <w:rPr>
          <w:rFonts w:ascii="Times New Roman;sans-serif" w:hAnsi="Times New Roman;sans-serif"/>
          <w:b w:val="false"/>
          <w:i/>
          <w:color w:val="000000"/>
          <w:sz w:val="20"/>
        </w:rPr>
        <w:t>10-K for the year ended December</w:t>
      </w:r>
      <w:r>
        <w:rPr>
          <w:color w:val="000000"/>
        </w:rPr>
        <w:t> </w:t>
      </w:r>
      <w:r>
        <w:rPr>
          <w:rFonts w:ascii="Times New Roman;sans-serif" w:hAnsi="Times New Roman;sans-serif"/>
          <w:b w:val="false"/>
          <w:i/>
          <w:color w:val="000000"/>
          <w:sz w:val="20"/>
        </w:rPr>
        <w:t>31,</w:t>
      </w:r>
      <w:r>
        <w:rPr>
          <w:color w:val="000000"/>
        </w:rPr>
        <w:t> </w:t>
      </w:r>
      <w:r>
        <w:rPr>
          <w:rFonts w:ascii="Times New Roman;sans-serif" w:hAnsi="Times New Roman;sans-serif"/>
          <w:b w:val="false"/>
          <w:i/>
          <w:color w:val="000000"/>
          <w:sz w:val="20"/>
        </w:rPr>
        <w:t>2022, as supplemented by the risks and uncertainties described in "Risk Factors" Item 1A. Risk Factors in Part II of this Quarterly Report on Form</w:t>
      </w:r>
      <w:r>
        <w:rPr>
          <w:color w:val="000000"/>
        </w:rPr>
        <w:t> </w:t>
      </w:r>
      <w:r>
        <w:rPr>
          <w:rFonts w:ascii="Times New Roman;sans-serif" w:hAnsi="Times New Roman;sans-serif"/>
          <w:b w:val="false"/>
          <w:i/>
          <w:color w:val="000000"/>
          <w:sz w:val="20"/>
        </w:rPr>
        <w:t>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noBreakHyphen/>
        <w:t>Q (unless another date is indicated), and we undertake no obligation to update or revise these statements in light of future developments.</w:t>
      </w:r>
    </w:p>
    <w:p>
      <w:pPr>
        <w:pStyle w:val="TextBody"/>
        <w:spacing w:lineRule="auto" w:line="288" w:before="12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 </w:t>
      </w:r>
    </w:p>
    <w:p>
      <w:pPr>
        <w:pStyle w:val="TextBody"/>
        <w:spacing w:lineRule="auto" w:line="288" w:before="120" w:after="283"/>
        <w:ind w:left="0" w:right="0" w:firstLine="495"/>
        <w:rPr/>
      </w:pPr>
      <w:r>
        <w:rPr>
          <w:rFonts w:ascii="Times New Roman;sans-serif" w:hAnsi="Times New Roman;sans-serif"/>
          <w:b w:val="false"/>
          <w:color w:val="000000"/>
          <w:sz w:val="20"/>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r>
        <w:rPr>
          <w:color w:val="FF0000"/>
        </w:rPr>
        <w:t xml:space="preserv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strategy to deliver sustainable growth and enhanced value is focused 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Strong commercial execution to drive diversified revenue growth and address unmet medical needs of our patients across our product portfolio, which focuses on neuroscience and oncology medicines;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Expanding and advancing our pipeline to achieve a valuable product portfolio of durable, highly differentiated programs;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Continuing to build a flexible, efficient and productive development engine for targeted therapeutic areas to identify and progress early-, mid- and late-stage assets;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Identifying and acquiring novel product candidates and approved therapies to complement our existing pipeline and commercial portfolio;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Investing in an efficient, scalable operating model and differentiated capabilities to enable growth;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Unlocking further value through indication expansion and entry into global markets.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consistent with our strategy, we are continuing to focus on research and development activities within our neuroscience and oncology therapeutic areas. </w:t>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TextBody"/>
        <w:spacing w:before="12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before="120" w:after="283"/>
        <w:ind w:left="0" w:right="0" w:firstLine="495"/>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lead marketed products, listed below, are approved in countries around the world to improve patient care.</w:t>
      </w:r>
    </w:p>
    <w:tbl>
      <w:tblPr>
        <w:tblW w:w="10205" w:type="dxa"/>
        <w:jc w:val="left"/>
        <w:tblInd w:w="0" w:type="dxa"/>
        <w:tblCellMar>
          <w:top w:w="28" w:type="dxa"/>
          <w:left w:w="28" w:type="dxa"/>
          <w:bottom w:w="28" w:type="dxa"/>
          <w:right w:w="28" w:type="dxa"/>
        </w:tblCellMar>
      </w:tblPr>
      <w:tblGrid>
        <w:gridCol w:w="924"/>
        <w:gridCol w:w="517"/>
        <w:gridCol w:w="522"/>
        <w:gridCol w:w="1962"/>
        <w:gridCol w:w="1537"/>
        <w:gridCol w:w="1542"/>
        <w:gridCol w:w="398"/>
        <w:gridCol w:w="361"/>
        <w:gridCol w:w="362"/>
        <w:gridCol w:w="676"/>
        <w:gridCol w:w="576"/>
        <w:gridCol w:w="828"/>
      </w:tblGrid>
      <w:tr>
        <w:trPr/>
        <w:tc>
          <w:tcPr>
            <w:tcW w:w="92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1963" w:type="dxa"/>
            <w:gridSpan w:val="3"/>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w:t>
            </w:r>
          </w:p>
        </w:tc>
        <w:tc>
          <w:tcPr>
            <w:tcW w:w="5041" w:type="dxa"/>
            <w:gridSpan w:val="3"/>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Indications</w:t>
            </w:r>
          </w:p>
        </w:tc>
        <w:tc>
          <w:tcPr>
            <w:tcW w:w="1121" w:type="dxa"/>
            <w:gridSpan w:val="3"/>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Initial Approval Date</w:t>
            </w:r>
          </w:p>
        </w:tc>
        <w:tc>
          <w:tcPr>
            <w:tcW w:w="2080" w:type="dxa"/>
            <w:gridSpan w:val="3"/>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Markets</w:t>
            </w:r>
          </w:p>
        </w:tc>
      </w:tr>
      <w:tr>
        <w:trPr/>
        <w:tc>
          <w:tcPr>
            <w:tcW w:w="10205" w:type="dxa"/>
            <w:gridSpan w:val="12"/>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NEUROSCIENCE</w:t>
            </w:r>
          </w:p>
        </w:tc>
      </w:tr>
      <w:tr>
        <w:trPr/>
        <w:tc>
          <w:tcPr>
            <w:tcW w:w="1963" w:type="dxa"/>
            <w:gridSpan w:val="3"/>
            <w:vMerge w:val="restart"/>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Xywav® (calcium, magnesium, potassium, and sodium oxybates) </w:t>
            </w:r>
          </w:p>
        </w:tc>
        <w:tc>
          <w:tcPr>
            <w:tcW w:w="504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or excessive daytime sleepiness, or EDS, in patients seven years of age and older with narcolepsy.</w:t>
            </w:r>
          </w:p>
        </w:tc>
        <w:tc>
          <w:tcPr>
            <w:tcW w:w="112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2080"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tcBorders>
            <w:shd w:fill="auto" w:val="clear"/>
            <w:tcMar>
              <w:top w:w="30" w:type="dxa"/>
              <w:bottom w:w="0" w:type="dxa"/>
              <w:right w:w="0" w:type="dxa"/>
            </w:tcMar>
            <w:vAlign w:val="center"/>
          </w:tcPr>
          <w:p>
            <w:pPr>
              <w:pStyle w:val="Normal"/>
              <w:rPr/>
            </w:pPr>
            <w:r>
              <w:rPr/>
            </w:r>
          </w:p>
        </w:tc>
        <w:tc>
          <w:tcPr>
            <w:tcW w:w="504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idiopathic hypersomnia, or IH, in adults.</w:t>
            </w:r>
          </w:p>
        </w:tc>
        <w:tc>
          <w:tcPr>
            <w:tcW w:w="112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2021</w:t>
            </w:r>
          </w:p>
        </w:tc>
        <w:tc>
          <w:tcPr>
            <w:tcW w:w="2080"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Xyrem® (sodium oxybate)</w:t>
            </w:r>
          </w:p>
        </w:tc>
        <w:tc>
          <w:tcPr>
            <w:tcW w:w="50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or EDS in patients seven years of age and older with narcolepsy.</w:t>
            </w:r>
          </w:p>
        </w:tc>
        <w:tc>
          <w:tcPr>
            <w:tcW w:w="112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2002</w:t>
            </w:r>
          </w:p>
        </w:tc>
        <w:tc>
          <w:tcPr>
            <w:tcW w:w="2080"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rPr/>
            </w:pPr>
            <w:r>
              <w:rPr/>
            </w:r>
          </w:p>
        </w:tc>
        <w:tc>
          <w:tcPr>
            <w:tcW w:w="50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in patients with narcolepsy.</w:t>
            </w:r>
          </w:p>
        </w:tc>
        <w:tc>
          <w:tcPr>
            <w:tcW w:w="112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2005</w:t>
            </w:r>
          </w:p>
        </w:tc>
        <w:tc>
          <w:tcPr>
            <w:tcW w:w="2080"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1963"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rPr/>
            </w:pPr>
            <w:r>
              <w:rPr/>
            </w:r>
          </w:p>
        </w:tc>
        <w:tc>
          <w:tcPr>
            <w:tcW w:w="50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narcolepsy with cataplexy in adult patients, adolescents and children from age of 7 years.</w:t>
            </w:r>
          </w:p>
        </w:tc>
        <w:tc>
          <w:tcPr>
            <w:tcW w:w="112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2005</w:t>
            </w:r>
          </w:p>
        </w:tc>
        <w:tc>
          <w:tcPr>
            <w:tcW w:w="2080"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or EU, Great Britain, other markets (through licensing agreement)</w:t>
            </w:r>
          </w:p>
        </w:tc>
      </w:tr>
      <w:tr>
        <w:trPr/>
        <w:tc>
          <w:tcPr>
            <w:tcW w:w="1963"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 (cannabidiol)</w:t>
            </w:r>
          </w:p>
        </w:tc>
        <w:tc>
          <w:tcPr>
            <w:tcW w:w="504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Treatment of seizures associated with Lennox-Gastaut syndrome, or LGS, Dravet syndrome, or DS, or tuberous sclerosis complex, or TSC, in patients 1 year of age and older. </w:t>
            </w:r>
          </w:p>
        </w:tc>
        <w:tc>
          <w:tcPr>
            <w:tcW w:w="112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2018</w:t>
            </w:r>
          </w:p>
        </w:tc>
        <w:tc>
          <w:tcPr>
            <w:tcW w:w="2080"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restart"/>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Epidyolex® (cannabidiol) </w:t>
            </w:r>
          </w:p>
        </w:tc>
        <w:tc>
          <w:tcPr>
            <w:tcW w:w="504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adjunctive therapy of seizures associated with LGS or DS, in conjunction with clobazam, for patients 2 years of age and older.*</w:t>
            </w:r>
          </w:p>
        </w:tc>
        <w:tc>
          <w:tcPr>
            <w:tcW w:w="112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2019</w:t>
            </w:r>
          </w:p>
        </w:tc>
        <w:tc>
          <w:tcPr>
            <w:tcW w:w="2080"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Great Britain, Israel, Switzerland, Australia and New Zealand</w:t>
            </w:r>
          </w:p>
        </w:tc>
      </w:tr>
      <w:tr>
        <w:trPr/>
        <w:tc>
          <w:tcPr>
            <w:tcW w:w="1963" w:type="dxa"/>
            <w:gridSpan w:val="3"/>
            <w:vMerge w:val="continue"/>
            <w:tcBorders>
              <w:top w:val="single" w:sz="8" w:space="0" w:color="B6B6B6"/>
              <w:left w:val="single" w:sz="8" w:space="0" w:color="B6B6B6"/>
            </w:tcBorders>
            <w:shd w:fill="auto" w:val="clear"/>
            <w:tcMar>
              <w:top w:w="30" w:type="dxa"/>
              <w:bottom w:w="0" w:type="dxa"/>
              <w:right w:w="0" w:type="dxa"/>
            </w:tcMar>
            <w:vAlign w:val="center"/>
          </w:tcPr>
          <w:p>
            <w:pPr>
              <w:pStyle w:val="Normal"/>
              <w:rPr/>
            </w:pPr>
            <w:r>
              <w:rPr/>
            </w:r>
          </w:p>
        </w:tc>
        <w:tc>
          <w:tcPr>
            <w:tcW w:w="5041" w:type="dxa"/>
            <w:gridSpan w:val="3"/>
            <w:tcBorders>
              <w:top w:val="single" w:sz="8" w:space="0" w:color="B6B6B6"/>
              <w:left w:val="single" w:sz="8" w:space="0" w:color="B6B6B6"/>
              <w:bottom w:val="single" w:sz="8" w:space="0" w:color="B6B6B6"/>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adjunctive therapy of seizures associated with TSC for patients 2 years of age and older.</w:t>
            </w:r>
          </w:p>
        </w:tc>
        <w:tc>
          <w:tcPr>
            <w:tcW w:w="1121" w:type="dxa"/>
            <w:gridSpan w:val="3"/>
            <w:tcBorders>
              <w:top w:val="single" w:sz="8" w:space="0" w:color="B6B6B6"/>
              <w:left w:val="single" w:sz="8" w:space="0" w:color="B6B6B6"/>
              <w:bottom w:val="single" w:sz="8" w:space="0" w:color="B6B6B6"/>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2021</w:t>
            </w:r>
          </w:p>
        </w:tc>
        <w:tc>
          <w:tcPr>
            <w:tcW w:w="2080" w:type="dxa"/>
            <w:gridSpan w:val="3"/>
            <w:tcBorders>
              <w:top w:val="single" w:sz="8" w:space="0" w:color="B6B6B6"/>
              <w:left w:val="single" w:sz="8" w:space="0" w:color="B6B6B6"/>
              <w:bottom w:val="single" w:sz="8" w:space="0" w:color="B6B6B6"/>
              <w:right w:val="single" w:sz="8" w:space="0" w:color="B6B6B6"/>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Great Britain, Israel and Switzerland</w:t>
            </w:r>
          </w:p>
        </w:tc>
      </w:tr>
      <w:tr>
        <w:trPr/>
        <w:tc>
          <w:tcPr>
            <w:tcW w:w="10205" w:type="dxa"/>
            <w:gridSpan w:val="12"/>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ONCOLOGY</w:t>
            </w:r>
          </w:p>
        </w:tc>
      </w:tr>
      <w:tr>
        <w:trPr/>
        <w:tc>
          <w:tcPr>
            <w:tcW w:w="1963" w:type="dxa"/>
            <w:gridSpan w:val="3"/>
            <w:vMerge w:val="restart"/>
            <w:tcBorders>
              <w:top w:val="single" w:sz="8" w:space="0" w:color="B6B6B6"/>
              <w:left w:val="single" w:sz="8" w:space="0" w:color="B6B6B6"/>
              <w:bottom w:val="single" w:sz="8" w:space="0" w:color="B6B6B6"/>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 (asparaginase erwinia chrysanthemi (recombinant)-</w:t>
              <w:br/>
              <w:t>rywn</w:t>
            </w:r>
          </w:p>
        </w:tc>
        <w:tc>
          <w:tcPr>
            <w:tcW w:w="504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component of a multi-agent chemotherapeutic regimen for the treatment of acute lymphoblastic leukemia, or ALL, and lymphoblastic lymphoma, or LBL, in adult and pediatric patients 1 month or older who have developed hypersensitivity to E. coli-derived asparaginase.</w:t>
            </w:r>
          </w:p>
        </w:tc>
        <w:tc>
          <w:tcPr>
            <w:tcW w:w="1121"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2021</w:t>
            </w:r>
          </w:p>
        </w:tc>
        <w:tc>
          <w:tcPr>
            <w:tcW w:w="2080"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bottom w:val="single" w:sz="8" w:space="0" w:color="B6B6B6"/>
            </w:tcBorders>
            <w:shd w:fill="auto" w:val="clear"/>
            <w:tcMar>
              <w:top w:w="30" w:type="dxa"/>
              <w:bottom w:w="30" w:type="dxa"/>
              <w:right w:w="0" w:type="dxa"/>
            </w:tcMar>
            <w:vAlign w:val="center"/>
          </w:tcPr>
          <w:p>
            <w:pPr>
              <w:pStyle w:val="Normal"/>
              <w:rPr/>
            </w:pPr>
            <w:r>
              <w:rPr/>
            </w:r>
          </w:p>
        </w:tc>
        <w:tc>
          <w:tcPr>
            <w:tcW w:w="5041" w:type="dxa"/>
            <w:gridSpan w:val="3"/>
            <w:tcBorders>
              <w:top w:val="single" w:sz="8" w:space="0" w:color="B6B6B6"/>
              <w:left w:val="single" w:sz="8" w:space="0" w:color="B6B6B6"/>
              <w:bottom w:val="single" w:sz="8" w:space="0" w:color="B6B6B6"/>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component of a multi-agent chemotherapeutic regimen for the treatment of ALL and LBL, in adults and pediatric patients 1 year or older who have developed hypersensitivity to</w:t>
              <w:br/>
              <w:t>E. coli-derived asparaginase.</w:t>
            </w:r>
          </w:p>
        </w:tc>
        <w:tc>
          <w:tcPr>
            <w:tcW w:w="1121" w:type="dxa"/>
            <w:gridSpan w:val="3"/>
            <w:tcBorders>
              <w:top w:val="single" w:sz="8" w:space="0" w:color="B6B6B6"/>
              <w:left w:val="single" w:sz="8" w:space="0" w:color="B6B6B6"/>
              <w:bottom w:val="single" w:sz="8" w:space="0" w:color="B6B6B6"/>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080" w:type="dxa"/>
            <w:gridSpan w:val="3"/>
            <w:tcBorders>
              <w:top w:val="single" w:sz="8" w:space="0" w:color="B6B6B6"/>
              <w:left w:val="single" w:sz="8" w:space="0" w:color="B6B6B6"/>
              <w:bottom w:val="single" w:sz="8" w:space="0" w:color="B6B6B6"/>
              <w:right w:val="single" w:sz="8" w:space="0" w:color="B6B6B6"/>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06"/>
        <w:gridCol w:w="907"/>
        <w:gridCol w:w="921"/>
        <w:gridCol w:w="1589"/>
        <w:gridCol w:w="1241"/>
        <w:gridCol w:w="1252"/>
        <w:gridCol w:w="399"/>
        <w:gridCol w:w="362"/>
        <w:gridCol w:w="363"/>
        <w:gridCol w:w="571"/>
        <w:gridCol w:w="571"/>
        <w:gridCol w:w="823"/>
      </w:tblGrid>
      <w:tr>
        <w:trPr/>
        <w:tc>
          <w:tcPr>
            <w:tcW w:w="1206"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r>
      <w:tr>
        <w:trPr/>
        <w:tc>
          <w:tcPr>
            <w:tcW w:w="3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w:t>
            </w:r>
          </w:p>
        </w:tc>
        <w:tc>
          <w:tcPr>
            <w:tcW w:w="4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Indications</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Initial Approval Date</w:t>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Markets</w:t>
            </w:r>
          </w:p>
        </w:tc>
      </w:tr>
      <w:tr>
        <w:trPr/>
        <w:tc>
          <w:tcPr>
            <w:tcW w:w="3034"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 (lurbinectedin)</w:t>
            </w:r>
          </w:p>
        </w:tc>
        <w:tc>
          <w:tcPr>
            <w:tcW w:w="4082"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 patients with metastatic small cell lung cancer, or SCLC, with disease progression on or after platinum-based chemotherapy.</w:t>
            </w:r>
          </w:p>
        </w:tc>
        <w:tc>
          <w:tcPr>
            <w:tcW w:w="112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2020</w:t>
            </w:r>
          </w:p>
        </w:tc>
        <w:tc>
          <w:tcPr>
            <w:tcW w:w="196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(licensed from PharmaMar)**</w:t>
            </w:r>
          </w:p>
        </w:tc>
      </w:tr>
      <w:tr>
        <w:trPr/>
        <w:tc>
          <w:tcPr>
            <w:tcW w:w="3034"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rPr/>
            </w:pPr>
            <w:r>
              <w:rPr/>
            </w:r>
          </w:p>
        </w:tc>
        <w:tc>
          <w:tcPr>
            <w:tcW w:w="4082"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adults with Stage III or metastatic SCLC who have progressed on or after platinum-containing therapy.</w:t>
            </w:r>
          </w:p>
        </w:tc>
        <w:tc>
          <w:tcPr>
            <w:tcW w:w="112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196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(licensed from PharmaMar)***</w:t>
            </w:r>
          </w:p>
        </w:tc>
      </w:tr>
      <w:tr>
        <w:trPr/>
        <w:tc>
          <w:tcPr>
            <w:tcW w:w="303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w:t>
            </w:r>
          </w:p>
        </w:tc>
        <w:tc>
          <w:tcPr>
            <w:tcW w:w="4082"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severe hepatic veno-occlusive disease, or VOD, also known as sinusoidal obstruction syndrome, or SOS, following hematopoietic stem cell transplantation, or HSCT, therapy.</w:t>
            </w:r>
          </w:p>
        </w:tc>
        <w:tc>
          <w:tcPr>
            <w:tcW w:w="112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2013</w:t>
            </w:r>
          </w:p>
        </w:tc>
        <w:tc>
          <w:tcPr>
            <w:tcW w:w="1965"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 Great Britain, Switzerland, Israel, Australia, South Korea, Saudi Arabia </w:t>
            </w:r>
          </w:p>
        </w:tc>
      </w:tr>
      <w:tr>
        <w:trPr/>
        <w:tc>
          <w:tcPr>
            <w:tcW w:w="303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sodium) </w:t>
            </w:r>
          </w:p>
        </w:tc>
        <w:tc>
          <w:tcPr>
            <w:tcW w:w="4082"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 and pediatric patients with hepatic VOD, also known as SOS, with renal or pulmonary dysfunction following HSCT.</w:t>
            </w:r>
          </w:p>
        </w:tc>
        <w:tc>
          <w:tcPr>
            <w:tcW w:w="112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2016</w:t>
            </w:r>
          </w:p>
        </w:tc>
        <w:tc>
          <w:tcPr>
            <w:tcW w:w="1965"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Brazil</w:t>
            </w:r>
          </w:p>
        </w:tc>
      </w:tr>
      <w:tr>
        <w:trPr/>
        <w:tc>
          <w:tcPr>
            <w:tcW w:w="303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sodium) </w:t>
            </w:r>
          </w:p>
        </w:tc>
        <w:tc>
          <w:tcPr>
            <w:tcW w:w="4082"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severe hepatic VOD, also known as SOS, following HSCT therapy.</w:t>
            </w:r>
          </w:p>
        </w:tc>
        <w:tc>
          <w:tcPr>
            <w:tcW w:w="112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2017</w:t>
            </w:r>
          </w:p>
        </w:tc>
        <w:tc>
          <w:tcPr>
            <w:tcW w:w="1965"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03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w:t>
            </w:r>
          </w:p>
        </w:tc>
        <w:tc>
          <w:tcPr>
            <w:tcW w:w="4082"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haptic sinusoidal obstruction syndrome (hepatic VOD).</w:t>
            </w:r>
          </w:p>
        </w:tc>
        <w:tc>
          <w:tcPr>
            <w:tcW w:w="1124" w:type="dxa"/>
            <w:gridSpan w:val="3"/>
            <w:tcBorders>
              <w:top w:val="single" w:sz="8" w:space="0" w:color="B6B6B6"/>
              <w:left w:val="single" w:sz="8" w:space="0" w:color="B6B6B6"/>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1965" w:type="dxa"/>
            <w:gridSpan w:val="3"/>
            <w:tcBorders>
              <w:top w:val="single" w:sz="8" w:space="0" w:color="B6B6B6"/>
              <w:left w:val="single" w:sz="8" w:space="0" w:color="B6B6B6"/>
              <w:right w:val="single" w:sz="8" w:space="0" w:color="B6B6B6"/>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03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Vyxeos® (daunorubicin and cytarabine) liposome for injection </w:t>
            </w:r>
          </w:p>
        </w:tc>
        <w:tc>
          <w:tcPr>
            <w:tcW w:w="4082"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newly-diagnosed therapy-related acute myeloid leukemia, or t-AML or AML-MRC in adults and pediatric patients one year and older.</w:t>
            </w:r>
          </w:p>
        </w:tc>
        <w:tc>
          <w:tcPr>
            <w:tcW w:w="112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2017</w:t>
            </w:r>
          </w:p>
        </w:tc>
        <w:tc>
          <w:tcPr>
            <w:tcW w:w="196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03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liposomal</w:t>
              <w:br/>
              <w:t>44 mg/100 mg powder for concentrate for solution for infusion</w:t>
            </w:r>
          </w:p>
        </w:tc>
        <w:tc>
          <w:tcPr>
            <w:tcW w:w="4082"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adults with newly-diagnosed t-AML or AML-MRC.</w:t>
            </w:r>
          </w:p>
        </w:tc>
        <w:tc>
          <w:tcPr>
            <w:tcW w:w="112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2018</w:t>
            </w:r>
          </w:p>
        </w:tc>
        <w:tc>
          <w:tcPr>
            <w:tcW w:w="196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Great Britain, Switzerland, Israel, Australia, South Korea</w:t>
            </w:r>
          </w:p>
        </w:tc>
      </w:tr>
      <w:tr>
        <w:trPr/>
        <w:tc>
          <w:tcPr>
            <w:tcW w:w="3034"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Daunorubicin and cytarabine liposome for injection Powder, 44 mg daunorubicin and 100 mg cytarabine per vial, intravenous infusion</w:t>
            </w:r>
          </w:p>
        </w:tc>
        <w:tc>
          <w:tcPr>
            <w:tcW w:w="4082"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adults with newly diagnosed therapy-related t-AML or AML with AML-MRC.</w:t>
            </w:r>
          </w:p>
        </w:tc>
        <w:tc>
          <w:tcPr>
            <w:tcW w:w="1124"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2021</w:t>
            </w:r>
          </w:p>
        </w:tc>
        <w:tc>
          <w:tcPr>
            <w:tcW w:w="1965" w:type="dxa"/>
            <w:gridSpan w:val="3"/>
            <w:tcBorders>
              <w:top w:val="single" w:sz="8" w:space="0" w:color="B6B6B6"/>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clobazam restriction limited to EU and Great Britain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**Accelerated approval received from U.S. Food and Drug Administration, or FDA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***Conditional approval received from Health Canada</w:t>
      </w:r>
    </w:p>
    <w:p>
      <w:pPr>
        <w:pStyle w:val="TextBody"/>
        <w:spacing w:lineRule="auto" w:line="288" w:before="12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Neuroscience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the global leader in the development and commercialization of oxybate therapy for patients with sleep disorders. Xyrem was approved by FDA in 2002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view the adoption of Xywav in narcolepsy as a positive indication that physicians and patients appreciate the benefits of a low-sodium oxybate option. We continue to see Xywav adoption among existing Xyrem patients, as well as the majority of new-to-oxybate narcolepsy patients.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June 2021, FDA recognized seven years of Orphan Drug Exclusivity, or ODE, for Xywav in narcolepsy, which extends through July 2027. Lumryz, a fixed-dose, high-sodium oxybate, was approved by FDA on May 1, 2023, for treatment of cataplexy or EDS in adults with narcolepsy.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August 12, 2021, FDA approved Xywav for the treatment of IH in adults. Xywav is the first and only FDA-approved therapy to treat IH. We initiated the U.S. commercial launch of Xywav for the treatment of IH in adults on November 1,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seen strong adoption of Xywav in narcolepsy since its launch in November 2020, and increasing adoption in IH since its launch in November 2021. Exiting the first quarter of 2023, there were approximately 11,050 patients taking Xywav, including approximately 9,050 patients with narcolepsy and approximately 2,000 patients with IH. With respect to Xywav and Xyrem in the aggregate, the average number of active Jazz oxybate patients on therapy was approximately 17,400 in the first quarter of 2023.</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Switzerland, Australia and New Zealand.</w:t>
      </w:r>
    </w:p>
    <w:p>
      <w:pPr>
        <w:pStyle w:val="TextBody"/>
        <w:spacing w:lineRule="auto" w:line="288" w:before="12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Oncology</w:t>
      </w:r>
    </w:p>
    <w:p>
      <w:pPr>
        <w:pStyle w:val="TextBody"/>
        <w:spacing w:lineRule="auto" w:line="288" w:before="120" w:after="283"/>
        <w:ind w:left="0" w:right="0" w:firstLine="495"/>
        <w:rPr/>
      </w:pPr>
      <w:r>
        <w:rPr>
          <w:rFonts w:ascii="Times New Roman;sans-serif" w:hAnsi="Times New Roman;sans-serif"/>
          <w:b w:val="false"/>
          <w:color w:val="000000"/>
          <w:sz w:val="20"/>
        </w:rPr>
        <w:t xml:space="preserve">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w:t>
      </w:r>
      <w:r>
        <w:rPr>
          <w:rFonts w:ascii="Times New Roman;sans-serif" w:hAnsi="Times New Roman;sans-serif"/>
          <w:b w:val="false"/>
          <w:i/>
          <w:color w:val="000000"/>
          <w:sz w:val="20"/>
        </w:rPr>
        <w:t>E. coli</w:t>
      </w:r>
      <w:r>
        <w:rPr>
          <w:rFonts w:ascii="Times New Roman;sans-serif" w:hAnsi="Times New Roman;sans-serif"/>
          <w:b w:val="false"/>
          <w:color w:val="000000"/>
          <w:sz w:val="20"/>
        </w:rPr>
        <w:t xml:space="preserve">-derived asparaginase. Rylaze is the only recombinant </w:t>
      </w:r>
      <w:r>
        <w:rPr>
          <w:rFonts w:ascii="Times New Roman;sans-serif" w:hAnsi="Times New Roman;sans-serif"/>
          <w:b w:val="false"/>
          <w:i/>
          <w:color w:val="000000"/>
          <w:sz w:val="20"/>
        </w:rPr>
        <w:t>erwinia</w:t>
      </w:r>
      <w:r>
        <w:rPr>
          <w:color w:val="000000"/>
        </w:rPr>
        <w:t xml:space="preserve"> </w:t>
      </w:r>
      <w:r>
        <w:rPr>
          <w:rFonts w:ascii="Times New Roman;sans-serif" w:hAnsi="Times New Roman;sans-serif"/>
          <w:b w:val="false"/>
          <w:color w:val="000000"/>
          <w:sz w:val="20"/>
        </w:rPr>
        <w:t xml:space="preserve">asparaginase manufactured product that maintains a clinically meaningful level of asparaginase activity throughout the entire duration of treatment. We developed Rylaze to address the needs of patients and health care providers for an innovative, high-quality </w:t>
      </w:r>
      <w:r>
        <w:rPr>
          <w:rFonts w:ascii="Times New Roman;sans-serif" w:hAnsi="Times New Roman;sans-serif"/>
          <w:b w:val="false"/>
          <w:i/>
          <w:color w:val="000000"/>
          <w:sz w:val="20"/>
        </w:rPr>
        <w:t>erwinia</w:t>
      </w:r>
      <w:r>
        <w:rPr>
          <w:color w:val="000000"/>
        </w:rPr>
        <w:t xml:space="preserve"> </w:t>
      </w:r>
      <w:r>
        <w:rPr>
          <w:rFonts w:ascii="Times New Roman;sans-serif" w:hAnsi="Times New Roman;sans-serif"/>
          <w:b w:val="false"/>
          <w:color w:val="000000"/>
          <w:sz w:val="20"/>
        </w:rPr>
        <w:t xml:space="preserve">asparaginase with reliable supply. The initial approved recommended dosage of Rylaze was for an intramuscular, or IM, administration of 25 mg/m2 every 48 hours. In November 2022, FDA approved a supplemental Biologics License Application, or sBLA, for a Monday/Wednesday/Friday, or M/W/F, IM dosing schedule. In April 2022, we submitted a separate sBLA for intravenous, or IV, administration. In February 2023, we received a complete response letter from FDA requesting additional clinical data on the IV administration of Rylaze. There is no impact on the approved product labeling for Rylaze IM administration. We also completed a Marketing Authorization Application, or MAA, submission to the European Medicines Agency, or EMA, in May 2022 for M/W/F and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every 48-hour dosing schedules and IV and IM administration, with potential for approval in 2023. We are also continuing to evaluate patient need in other geographies.</w:t>
      </w:r>
    </w:p>
    <w:p>
      <w:pPr>
        <w:pStyle w:val="TextBody"/>
        <w:spacing w:lineRule="auto" w:line="288" w:before="120" w:after="283"/>
        <w:ind w:left="0" w:right="0" w:firstLine="495"/>
        <w:rPr/>
      </w:pPr>
      <w:r>
        <w:rPr>
          <w:rFonts w:ascii="Times New Roman;sans-serif" w:hAnsi="Times New Roman;sans-serif"/>
          <w:b w:val="false"/>
          <w:color w:val="000000"/>
          <w:sz w:val="20"/>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and see continued opportunities for growth in second-line share and overall demand, reflecting the significant unmet need and favorable Zepzelca product profile. In collaboration with F. Hoffmann-La Roche Ltd (Roche), we have an ongoing Phase 3 pivotal clinical trial in first-line extensive stage SCLC of Zepzelca in combination with Tecentriq</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(atezolizumab). We are also developing Zepzelca in additional indications.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Defitelio is the first and only approved treatment for patients with VOD following HSCT. There was a significant decline in the number of patients receiving HSCT due to the effects of the COVID-19 pandemic. Moving forward, we expect changes in chemotherapy regimens and the increasing use of cell therapies to potentially lower the incidence of VOD; additionally, there has been a reduction of prophylactic use of Defitelio in Europe.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Vyxeos is a treatment for adults with newly-diagnosed t-AML, or AML-MRC. In March 2021, FDA approved a revised label to include a new indication to treat newly-diagnosed t-AML, or AML-MRC, in pediatric patients aged one year and older. We have a number of ongoing development activities and continue to expand into new markets internationally. Despite an ongoing trend in the U.S. towards lower-intensity treatments and away from Vyxeos that accelerated due to the COVID-19 pandemic, we continue to see recovery in demand for Vyxeos and expect future demand for appropriate secondary AML patients to remain steady. </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Research and Development Progress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our proprietary GW Cannabinoid Platform,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neuroscience R&amp;D efforts include the initiation in August 2022 of an ongoing pivotal Phase 3 clinical trial of Epidiolex for the treatment of Epilepsy with Myoclonic-Atonic Seizures, or EMAS, also known as Doose syndrome. This trial is evaluating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 We enrolled the first patient in a Phase 3 trial of Epidyolex for LGS, DS and TSC in Japan in October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December 2021 we initiated Phase 2 clinical trials for suvecaltamide, or JZP385, for essential tremor, or ET, and for JZP150 for post-traumatic stress disorder, or PTSD. Additionally, in November 2022, we initiated a Phase 2 trial of suvecaltamide in patients with Parkinson's disease tremor. These patient populations suffer significant impacts to their quality of life and there are limited current treatment options. We are also pursuing early-stage activities related to the development of JZP324, an extended-release low sodium, oxybate formulation that we believe could provide a clinically meaningful option for narcolepsy patients.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In November 2022, the first participant was enrolled in a Phase 1 development program to assess the safety, tolerability, pharmacokinetics and pharmacodynamics of JZP441 in sleep-deprived healthy volunteers.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Jazz's net sales of JZP441.</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oncology R&amp;D program, in November 2022, FDA approved an sBLA for Rylaze, with a M/W/F IM dosing schedule. In April 2022, we submitted a separate sBLA for IV administration. In February 2023, we received a complete response letter from FDA requesting additional clinical data on the IV administration of Rylaze. There is no impact on the approved product labeling for Rylaze IM administration. We completed a MAA submission to the EMA in May 2022 for M/W/F and every 48-hour dosing schedules and IV and IM administration.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executing a robust development plan for Zepzelca. We are collaborating with Roche on a pivotal Phase 3 clinical trial evaluating Zepzelca in combination with Tecentriq in first-line extensive stage SCLC. In December 2021, our licensor Pharma Mar, S.A., or PharmaMar, initiated a confirmatory trial in second-line SCLC.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2022, we initiated a Phase 2 basket trial to explore Zepzelca monotherapy in patients with select advanced or metastatic solid tumors. Cohorts include advanced urothelial cancer, poorly differentiated neuroendocrine carcinomas, or PD-NECs, and homologous recombination deficient, or HRD, cancers. In addition, we have initiated a Phase 4 observational study to collect real world safety and outcome data in adult Zepzelca monotherapy patients with SCLC who progress on or after prior platinum-containing chemotherapy.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Zanidatamab is a bispecific antibody that can simultaneously bind two non-overlapping epitopes of HER2, known as biparatopic binding.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On April 25, 2023, Jazz and Zymeworks entered into a Stock and Asset Purchase Agreement to, among other things, transfer to Jazz certain assets, contracts and employees associated with the development of zanidatamab.</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April 2022, we announced that we had entered into a licensing and collaboration agreement with Werewolf Therapeutics, Inc., or Werewolf, to acquire exclusive global development and commercialization rights to Werewolf's investigational WTX-613, now referred to as JZP898. JZP898 is a differentiated, conditionally-activated interferon alpha, or IFNα, INDUKINE™ molecule.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key ongoing and planned development projects related to our products and pipeline and their corresponding current stages of development:</w:t>
      </w:r>
    </w:p>
    <w:tbl>
      <w:tblPr>
        <w:tblW w:w="8324" w:type="dxa"/>
        <w:jc w:val="left"/>
        <w:tblInd w:w="0" w:type="dxa"/>
        <w:tblCellMar>
          <w:top w:w="28" w:type="dxa"/>
          <w:left w:w="28" w:type="dxa"/>
          <w:bottom w:w="28" w:type="dxa"/>
          <w:right w:w="28" w:type="dxa"/>
        </w:tblCellMar>
      </w:tblPr>
      <w:tblGrid>
        <w:gridCol w:w="760"/>
        <w:gridCol w:w="667"/>
        <w:gridCol w:w="672"/>
        <w:gridCol w:w="1819"/>
        <w:gridCol w:w="1819"/>
        <w:gridCol w:w="2587"/>
      </w:tblGrid>
      <w:tr>
        <w:trPr/>
        <w:tc>
          <w:tcPr>
            <w:tcW w:w="7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Candidates</w:t>
            </w:r>
          </w:p>
        </w:tc>
        <w:tc>
          <w:tcPr>
            <w:tcW w:w="6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3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NEUROSCIENCE</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3</w:t>
            </w:r>
          </w:p>
        </w:tc>
        <w:tc>
          <w:tcPr>
            <w:tcW w:w="6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w:t>
            </w:r>
          </w:p>
        </w:tc>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EMAS, also known as Doose syndrome (ongoing trial)</w:t>
              <w:br/>
              <w:t>LGS, TSC and DS (ongoing trial in Japan)</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2b</w:t>
            </w:r>
          </w:p>
        </w:tc>
        <w:tc>
          <w:tcPr>
            <w:tcW w:w="6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Suvecaltamide (JZP385)</w:t>
            </w:r>
          </w:p>
        </w:tc>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 (ongoing trial)</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w:t>
            </w:r>
          </w:p>
        </w:tc>
        <w:tc>
          <w:tcPr>
            <w:tcW w:w="6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Suvecaltamide (JZP385)</w:t>
            </w:r>
          </w:p>
        </w:tc>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Parkinson's disease tremor (ongoing trial)</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JZP150 </w:t>
            </w:r>
          </w:p>
        </w:tc>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PTSD (ongoing trial)</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JZP541</w:t>
            </w:r>
          </w:p>
        </w:tc>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Irritability associated with autism spectrum disorder, or ASD (planned trial)</w:t>
            </w:r>
          </w:p>
        </w:tc>
      </w:tr>
    </w:tbl>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675"/>
        <w:gridCol w:w="495"/>
        <w:gridCol w:w="498"/>
        <w:gridCol w:w="2570"/>
        <w:gridCol w:w="2537"/>
        <w:gridCol w:w="3430"/>
      </w:tblGrid>
      <w:tr>
        <w:trPr/>
        <w:tc>
          <w:tcPr>
            <w:tcW w:w="67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3430" w:type="dxa"/>
            <w:tcBorders/>
            <w:shd w:fill="auto" w:val="clear"/>
            <w:vAlign w:val="center"/>
          </w:tcPr>
          <w:p>
            <w:pPr>
              <w:pStyle w:val="TableContents"/>
              <w:spacing w:before="0" w:after="283"/>
              <w:rPr>
                <w:sz w:val="4"/>
                <w:szCs w:val="4"/>
              </w:rPr>
            </w:pPr>
            <w:r>
              <w:rPr>
                <w:sz w:val="4"/>
                <w:szCs w:val="4"/>
              </w:rPr>
            </w:r>
          </w:p>
        </w:tc>
      </w:tr>
      <w:tr>
        <w:trPr/>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Candidates</w:t>
            </w:r>
          </w:p>
        </w:tc>
        <w:tc>
          <w:tcPr>
            <w:tcW w:w="8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cannabinoids</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ASD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1</w:t>
            </w:r>
          </w:p>
        </w:tc>
        <w:tc>
          <w:tcPr>
            <w:tcW w:w="8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JZP324</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Oxybate extended-release formulation (planned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JZP441*</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 highly selective oral orexin-2 receptor agonist (ongoing trials in Japan and the U.S.)</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cannabinoids</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Neuropsychiatry targets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Preclinical</w:t>
            </w:r>
          </w:p>
        </w:tc>
        <w:tc>
          <w:tcPr>
            <w:tcW w:w="8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Undisclosed targets </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Neuroscience</w:t>
              <w:br/>
              <w:t xml:space="preserve">Cannabinoids </w:t>
            </w:r>
          </w:p>
        </w:tc>
      </w:tr>
      <w:tr>
        <w:trPr/>
        <w:tc>
          <w:tcPr>
            <w:tcW w:w="1020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ONCOLOGY</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Regulatory Review</w:t>
            </w:r>
          </w:p>
        </w:tc>
        <w:tc>
          <w:tcPr>
            <w:tcW w:w="8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ALL/LBL</w:t>
              <w:br/>
              <w:t>FDA approval in June 2021; approval for M/W/F IM dosing schedule in November 2022; submitted an sBLA for IV administration in April 2022; received complete response letter from FDA requesting additional data on IV administration in February 2023; submitted MAA to EMA in May 2022</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3</w:t>
            </w:r>
          </w:p>
        </w:tc>
        <w:tc>
          <w:tcPr>
            <w:tcW w:w="8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First-line extensive stage SCLC in combination with Tecentriq (collaboration with Roche) (ongoing trial)</w:t>
              <w:br/>
              <w:t>Confirmatory Study (PharmaMar study) (ongoing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HER2-positive gastroesophageal adenocarcinoma, or GEA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AML or high-risk Myelodysplastic Syndrome, or MDS (AML18) (cooperative group studies) (ongoing trial) Newly diagnosed adults with standard- and high-risk AML (AML Study Group cooperative group study) (ongoing trial) Newly diagnosed pediatric patients with AML (Children’s Oncology Group cooperative group study) (ongoing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Pivotal Phase 2</w:t>
            </w:r>
          </w:p>
        </w:tc>
        <w:tc>
          <w:tcPr>
            <w:tcW w:w="8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treated, advanced HER2-expressing biliary tract cancer, or BTC (ongoing trial) (pivotal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w:t>
            </w:r>
          </w:p>
        </w:tc>
        <w:tc>
          <w:tcPr>
            <w:tcW w:w="8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Basket trial including urothelial cancer, PD-NECs, and HRD cancers (ongoing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High-risk MDS (European Myelodysplastic Syndromes) (cooperative group study) (ongoing trial)</w:t>
              <w:br/>
              <w:t>Newly diagnosed untreated patients with high-risk AML (cooperative group study) (planned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 venetoclax</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 novo or relapsed/refractory, or R/R, AML (MD Anderson collaboration study) (ongoing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HER2-expressing GEA, BTC or colorectal cancer in combination with standard first-line chemotherapy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2a</w:t>
            </w:r>
          </w:p>
        </w:tc>
        <w:tc>
          <w:tcPr>
            <w:tcW w:w="8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treated HER2+HR+ breast cancer in combination with palbociclib</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1b/2</w:t>
            </w:r>
          </w:p>
        </w:tc>
        <w:tc>
          <w:tcPr>
            <w:tcW w:w="8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First-line breast cancer and GEA (BeiGene trial)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HER2-expressing breast cancer in combination with ALX148 (ongoing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 other approved therapies</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First-line, fit AML (ongoing trial)</w:t>
              <w:br/>
              <w:t>Low intensity therapy for first-line, unfit AML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1</w:t>
            </w:r>
          </w:p>
        </w:tc>
        <w:tc>
          <w:tcPr>
            <w:tcW w:w="8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 intensity dosing for higher risk MDS (MD Anderson collaboration study) (ongoing trial)</w:t>
            </w:r>
          </w:p>
        </w:tc>
      </w:tr>
      <w:tr>
        <w:trPr/>
        <w:tc>
          <w:tcPr>
            <w:tcW w:w="16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 other approved therapies</w:t>
            </w:r>
          </w:p>
        </w:tc>
        <w:tc>
          <w:tcPr>
            <w:tcW w:w="8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R/R AML or hypomethylating agent failure MDS (MD Anderson collaboration study) (ongoing trial)</w:t>
            </w:r>
          </w:p>
        </w:tc>
      </w:tr>
      <w:tr>
        <w:trPr/>
        <w:tc>
          <w:tcPr>
            <w:tcW w:w="16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JZP815</w:t>
            </w:r>
          </w:p>
        </w:tc>
        <w:tc>
          <w:tcPr>
            <w:tcW w:w="8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Raf and Ras mutant tumors (acquired from Redx Pharma plc, or Redx) (ongoing trial)</w:t>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037"/>
        <w:gridCol w:w="873"/>
        <w:gridCol w:w="879"/>
        <w:gridCol w:w="2361"/>
        <w:gridCol w:w="2080"/>
        <w:gridCol w:w="2975"/>
      </w:tblGrid>
      <w:tr>
        <w:trPr/>
        <w:tc>
          <w:tcPr>
            <w:tcW w:w="103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Candidates</w:t>
            </w:r>
          </w:p>
        </w:tc>
        <w:tc>
          <w:tcPr>
            <w:tcW w:w="74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7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previously treated metastatic HER2-expressing cancers in combination with select antineoplastic therapies (ongoing trial)</w:t>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JZP341 (long-acting </w:t>
            </w:r>
            <w:r>
              <w:rPr>
                <w:rFonts w:ascii="Times New Roman;sans-serif" w:hAnsi="Times New Roman;sans-serif"/>
                <w:b w:val="false"/>
                <w:i/>
                <w:color w:val="000000"/>
                <w:sz w:val="20"/>
              </w:rPr>
              <w:t>Erwinia</w:t>
            </w:r>
            <w:r>
              <w:rPr>
                <w:color w:val="000000"/>
              </w:rPr>
              <w:t xml:space="preserve"> </w:t>
            </w:r>
            <w:r>
              <w:rPr>
                <w:rFonts w:ascii="Times New Roman;sans-serif" w:hAnsi="Times New Roman;sans-serif"/>
                <w:b w:val="false"/>
                <w:color w:val="000000"/>
                <w:sz w:val="20"/>
              </w:rPr>
              <w:t>asparaginase)</w:t>
            </w:r>
          </w:p>
        </w:tc>
        <w:tc>
          <w:tcPr>
            <w:tcW w:w="7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tumors (licensed from Ligand Pharmaceuticals Incorporated, or Ligand) (ongoing trial)</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Preclinical</w:t>
            </w:r>
          </w:p>
        </w:tc>
        <w:tc>
          <w:tcPr>
            <w:tcW w:w="7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CombiPlex</w:t>
            </w:r>
            <w:r>
              <w:rPr>
                <w:rFonts w:ascii="Times New Roman;sans-serif" w:hAnsi="Times New Roman;sans-serif"/>
                <w:b w:val="false"/>
                <w:color w:val="000000"/>
                <w:sz w:val="13"/>
              </w:rPr>
              <w:t>®</w:t>
            </w:r>
          </w:p>
        </w:tc>
        <w:tc>
          <w:tcPr>
            <w:tcW w:w="7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Hematology/oncology exploratory activities</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JZP898</w:t>
            </w:r>
          </w:p>
        </w:tc>
        <w:tc>
          <w:tcPr>
            <w:tcW w:w="7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Conditionally-activated IFNα INDUKINE™ molecule</w:t>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Undisclosed target</w:t>
            </w:r>
          </w:p>
        </w:tc>
        <w:tc>
          <w:tcPr>
            <w:tcW w:w="7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Ras/Raf/MAP kinase pathway (collaboration with Redx)</w:t>
              <w:br/>
              <w:t>Oncology</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Undisclosed targets</w:t>
            </w:r>
          </w:p>
        </w:tc>
        <w:tc>
          <w:tcPr>
            <w:tcW w:w="7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Oncology</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*Also known as DSP-0187</w:t>
      </w:r>
    </w:p>
    <w:p>
      <w:pPr>
        <w:pStyle w:val="TextBody"/>
        <w:spacing w:lineRule="auto" w:line="288" w:before="280" w:after="283"/>
        <w:ind w:left="0" w:right="0" w:firstLine="225"/>
        <w:rPr>
          <w:rFonts w:ascii="Times New Roman;sans-serif" w:hAnsi="Times New Roman;sans-serif"/>
          <w:b/>
          <w:i/>
          <w:color w:val="000000"/>
          <w:sz w:val="20"/>
        </w:rPr>
      </w:pPr>
      <w:r>
        <w:rPr>
          <w:rFonts w:ascii="Times New Roman;sans-serif" w:hAnsi="Times New Roman;sans-serif"/>
          <w:b/>
          <w:i/>
          <w:color w:val="000000"/>
          <w:sz w:val="20"/>
        </w:rPr>
        <w:t xml:space="preserve">Operational Excellence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reaching our key audiences through both in-person and virtual initiatives. This includes maintaining a virtual presence at scientific congresses, when appropriate, designed to ensure we can continue to provide promotional and non-promotional interactions and supporting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are increasing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pStyle w:val="TextBody"/>
        <w:spacing w:lineRule="auto" w:line="288" w:before="280" w:after="283"/>
        <w:ind w:left="0" w:right="0" w:firstLine="225"/>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Other Challenges, Risks and Trends Related to Our Business</w:t>
      </w:r>
    </w:p>
    <w:p>
      <w:pPr>
        <w:pStyle w:val="TextBody"/>
        <w:spacing w:lineRule="auto" w:line="288" w:before="120" w:after="283"/>
        <w:ind w:left="0" w:right="0" w:firstLine="495"/>
        <w:rPr/>
      </w:pPr>
      <w:r>
        <w:rPr>
          <w:rFonts w:ascii="Times New Roman;sans-serif" w:hAnsi="Times New Roman;sans-serif"/>
          <w:b w:val="false"/>
          <w:color w:val="000000"/>
          <w:sz w:val="20"/>
        </w:rPr>
        <w:t xml:space="preserve">Historically, our business has been substantially dependent on Xyrem </w:t>
      </w:r>
      <w:r>
        <w:rPr>
          <w:rFonts w:ascii="Times New Roman;sans-serif" w:hAnsi="Times New Roman;sans-serif"/>
          <w:b w:val="false"/>
          <w:color w:val="000000"/>
          <w:sz w:val="20"/>
          <w:highlight w:val="white"/>
        </w:rPr>
        <w:t>and our financial results have been significantly influenced by sales of Xyrem</w:t>
      </w:r>
      <w:r>
        <w:rPr>
          <w:rFonts w:ascii="Times New Roman;sans-serif" w:hAnsi="Times New Roman;sans-serif"/>
          <w:b w:val="false"/>
          <w:color w:val="000000"/>
          <w:sz w:val="20"/>
        </w:rPr>
        <w:t xml:space="preserve">. Our operating plan assumes that Xywav, with 92% lower sodium compared to Xyrem,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be substantially dependent on oxybate product sales, there is no guarantee that we can maintain oxybate sales at or near historical levels, or that oxybate sales will continue to grow.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commercialize Xywav will depend on, among other things, our ability to maintain adequate payor coverage and reimbursement for Xywav and acceptance of Xywav by physicians and patients, including of Xywav for the treatment of IH in adults. In an effort to support strong adoption of Xywav, we are focused on providing robust patient copay and savings programs and facilitating payor coverage for Xywav.</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Xywav and Xyrem also face increased competition from new branded products for treatment of cataplexy and/or EDS in narcolepsy, such as Avadel’s recently approved Lumryz, in the U.S. market.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in January 2023 our oxybate products began to face competition from an authorized generic, or AG, version of high-sodium oxybate pursuant to a settlement agreement we entered into with an abbreviated new drug application, or ANDA, filer, and, in the future, we expect our oxybate products to face competition from additional AG versions of high-sodium oxybate and from generic versions of high-sodium oxybate pursuant to settlement agreements we entered into with multiple ANDA filers. Generic competition can decrease the prices at which Xywav and Xyrem are sold and the number of prescriptions written for Xywav and Xyrem. Moreover,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institutional formularies. Entering into agreements with PBMs or similar organizations and payors to ensure patient access has and will likely continue to result in higher gross to net deductions.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condition, results of operations and growth prospects are also dependent on our ability to maintain or increase sales of Epidiolex/Epidyolex in the U.S. and Europe, which is subject to many risks and there is no guarantee that we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key aspect of our growth strategy is our continued investment in our evolving and expanding R&amp;D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the GW Acquisition will depend, in part, on our ability to realize the anticipated benefits from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on August 16, 2022, President Biden signed the Inflation Reduction Act of 2022 into law, which,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 </w:t>
      </w:r>
    </w:p>
    <w:p>
      <w:pPr>
        <w:pStyle w:val="TextBody"/>
        <w:spacing w:lineRule="auto" w:line="288" w:before="120" w:after="283"/>
        <w:ind w:left="0" w:right="0" w:firstLine="495"/>
        <w:rPr/>
      </w:pPr>
      <w:r>
        <w:rPr>
          <w:rFonts w:ascii="Times New Roman;sans-serif" w:hAnsi="Times New Roman;sans-serif"/>
          <w:b w:val="false"/>
          <w:color w:val="000000"/>
          <w:sz w:val="20"/>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9, Commitments and Contingencies-Legal Proceedings of the Notes to Condensed Consolidated Financial Statements, included in Part I of this Quarterly Report on Form 10</w:t>
        <w:noBreakHyphen/>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w:t>
      </w:r>
      <w:r>
        <w:rPr>
          <w:color w:val="000000"/>
        </w:rPr>
        <w:t xml:space="preserve"> </w:t>
      </w:r>
      <w:r>
        <w:rPr>
          <w:rFonts w:ascii="Times New Roman;sans-serif" w:hAnsi="Times New Roman;sans-serif"/>
          <w:b w:val="false"/>
          <w:color w:val="000000"/>
          <w:sz w:val="20"/>
        </w:rPr>
        <w:t xml:space="preserve">Any of the foregoing risks and uncertainties could have a material adverse effect on our business, financial condition, results of operations and growth prospects.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of these risks and uncertainties are discussed in greater detail, along with other risks and uncertainties, in “Risk Factors” in Part I, Item 1A of our Annual Report on Form 10-K for the year ended December 31, 2022, as supplemented by the risks and uncertainties described in "Risk Factors" Item 1A. Risk Factors in Part II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presents our revenues and expenses (in thousands, except percentages):</w:t>
      </w:r>
      <w:r>
        <w:rPr>
          <w:color w:val="000000"/>
        </w:rPr>
        <w:t> </w:t>
      </w:r>
    </w:p>
    <w:tbl>
      <w:tblPr>
        <w:tblW w:w="10205" w:type="dxa"/>
        <w:jc w:val="left"/>
        <w:tblInd w:w="0" w:type="dxa"/>
        <w:tblCellMar>
          <w:top w:w="28" w:type="dxa"/>
          <w:left w:w="28" w:type="dxa"/>
          <w:bottom w:w="28" w:type="dxa"/>
          <w:right w:w="28" w:type="dxa"/>
        </w:tblCellMar>
      </w:tblPr>
      <w:tblGrid>
        <w:gridCol w:w="2052"/>
        <w:gridCol w:w="1683"/>
        <w:gridCol w:w="1690"/>
        <w:gridCol w:w="109"/>
        <w:gridCol w:w="109"/>
        <w:gridCol w:w="109"/>
        <w:gridCol w:w="109"/>
        <w:gridCol w:w="123"/>
        <w:gridCol w:w="123"/>
        <w:gridCol w:w="238"/>
        <w:gridCol w:w="934"/>
        <w:gridCol w:w="123"/>
        <w:gridCol w:w="109"/>
        <w:gridCol w:w="109"/>
        <w:gridCol w:w="109"/>
        <w:gridCol w:w="211"/>
        <w:gridCol w:w="826"/>
        <w:gridCol w:w="109"/>
        <w:gridCol w:w="109"/>
        <w:gridCol w:w="109"/>
        <w:gridCol w:w="109"/>
        <w:gridCol w:w="233"/>
        <w:gridCol w:w="233"/>
        <w:gridCol w:w="537"/>
      </w:tblGrid>
      <w:tr>
        <w:trPr/>
        <w:tc>
          <w:tcPr>
            <w:tcW w:w="2052"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5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1330" w:type="dxa"/>
            <w:gridSpan w:val="6"/>
            <w:tcBorders/>
            <w:shd w:fill="auto" w:val="clear"/>
          </w:tcPr>
          <w:p>
            <w:pPr>
              <w:pStyle w:val="TableContents"/>
              <w:spacing w:before="0" w:after="283"/>
              <w:rPr>
                <w:sz w:val="4"/>
                <w:szCs w:val="4"/>
              </w:rPr>
            </w:pPr>
            <w:r>
              <w:rPr>
                <w:sz w:val="4"/>
                <w:szCs w:val="4"/>
              </w:rPr>
            </w:r>
          </w:p>
        </w:tc>
      </w:tr>
      <w:tr>
        <w:trPr/>
        <w:tc>
          <w:tcPr>
            <w:tcW w:w="5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5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(excluding amortization of acquired developed technologies)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128,644 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297,917 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5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(gain)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5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5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(1)Comparison to prior period not meaningful.</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net product sales, royalties and contract revenues, and total revenues (in thousands, except percentages):</w:t>
      </w:r>
    </w:p>
    <w:tbl>
      <w:tblPr>
        <w:tblW w:w="8374" w:type="dxa"/>
        <w:jc w:val="left"/>
        <w:tblInd w:w="0" w:type="dxa"/>
        <w:tblCellMar>
          <w:top w:w="28" w:type="dxa"/>
          <w:left w:w="28" w:type="dxa"/>
          <w:bottom w:w="28" w:type="dxa"/>
          <w:right w:w="28" w:type="dxa"/>
        </w:tblCellMar>
      </w:tblPr>
      <w:tblGrid>
        <w:gridCol w:w="1275"/>
        <w:gridCol w:w="1120"/>
        <w:gridCol w:w="1130"/>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39"/>
        <w:gridCol w:w="227"/>
        <w:gridCol w:w="543"/>
      </w:tblGrid>
      <w:tr>
        <w:trPr/>
        <w:tc>
          <w:tcPr>
            <w:tcW w:w="127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1336" w:type="dxa"/>
            <w:gridSpan w:val="6"/>
            <w:tcBorders/>
            <w:shd w:fill="auto" w:val="clea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Xywav</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277,761 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Xyrem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Oxybate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Epidiolex/Epidyolex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188,909 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Sativex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Sunosi</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Neuroscience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Defitelio/defibrotide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Oncology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884,219 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High-sodium oxybate AG royalty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N/A(2)</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royalty and contract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892,812 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(1)Divestiture of Sunosi U.S. was completed in May 2022</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(2)Comparison to prior period not meaningful</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Sales, Net </w:t>
      </w:r>
    </w:p>
    <w:p>
      <w:pPr>
        <w:pStyle w:val="TextBody"/>
        <w:spacing w:lineRule="auto" w:line="288" w:before="120" w:after="283"/>
        <w:ind w:left="0" w:right="0" w:firstLine="495"/>
        <w:rPr/>
      </w:pPr>
      <w:r>
        <w:rPr>
          <w:rFonts w:ascii="Times New Roman;sans-serif" w:hAnsi="Times New Roman;sans-serif"/>
          <w:b w:val="false"/>
          <w:color w:val="000000"/>
          <w:sz w:val="20"/>
        </w:rPr>
        <w:t>Total oxybate product sales increased by $22.3 million in the three months ended March 31, 2023, compared to the same period in 2022. Average active oxybate patients on therapy were approximately 17,400 in the first quarter of 2023, an increase of approxima</w:t>
      </w:r>
      <w:r>
        <w:rPr>
          <w:rFonts w:ascii="Times New Roman;sans-serif" w:hAnsi="Times New Roman;sans-serif"/>
          <w:b w:val="false"/>
          <w:color w:val="000000"/>
          <w:sz w:val="20"/>
          <w:highlight w:val="white"/>
        </w:rPr>
        <w:t xml:space="preserve">tely 5% compared to the same period in 2022. </w:t>
      </w:r>
      <w:r>
        <w:rPr>
          <w:rFonts w:ascii="Times New Roman;sans-serif" w:hAnsi="Times New Roman;sans-serif"/>
          <w:b w:val="false"/>
          <w:color w:val="000000"/>
          <w:sz w:val="20"/>
        </w:rPr>
        <w:t xml:space="preserve">Xywav product sales increased in the three months ended March 31, 2023 compared to the same period in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 xml:space="preserve">primarily due to a 43% increase in sales volumes. We continue to see Xywav adoption among existing Xyrem patients, as well as the majority of new-to-oxybate narcolepsy patients, driven by educational initiatives around the benefit of lowering sodium intake. In addition, Xywav product sales were positively impacted by Xywav for IH as we see continued growth of new prescribers. Xyrem product sales decreased in the three months ended March 31, 2023 compared to the same period in 2022, primarily due to a decrease in sales volume of 31%, reflecting the continued adoption of Xywav by existing Xyrem patients and the launch of a high-sodium oxybate AG in January 2023, partially offset by a higher average selling price. Price increases were instituted in January 2022 and January 2023. Epidiolex/Epidyolex product sales increased by $31.0 million in the three months ended March 31, 2023 compared to the same period in 2022, primarily due to </w:t>
      </w:r>
      <w:r>
        <w:rPr>
          <w:rFonts w:ascii="Times New Roman;sans-serif" w:hAnsi="Times New Roman;sans-serif"/>
          <w:b w:val="false"/>
          <w:color w:val="000000"/>
          <w:sz w:val="20"/>
          <w:highlight w:val="white"/>
        </w:rPr>
        <w:t xml:space="preserve">an increase in commercial sales volumes of 24%. </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 xml:space="preserve">Rylaze product sales in the </w:t>
      </w:r>
      <w:r>
        <w:rPr>
          <w:rFonts w:ascii="Times New Roman;sans-serif" w:hAnsi="Times New Roman;sans-serif"/>
          <w:b w:val="false"/>
          <w:color w:val="000000"/>
          <w:sz w:val="20"/>
        </w:rPr>
        <w:t xml:space="preserve">three months ended March 31, 2023 </w:t>
      </w:r>
      <w:r>
        <w:rPr>
          <w:rFonts w:ascii="Times New Roman;sans-serif" w:hAnsi="Times New Roman;sans-serif"/>
          <w:b w:val="false"/>
          <w:color w:val="000000"/>
          <w:sz w:val="20"/>
          <w:highlight w:val="white"/>
        </w:rPr>
        <w:t xml:space="preserve">increased </w:t>
      </w:r>
      <w:r>
        <w:rPr>
          <w:rFonts w:ascii="Times New Roman;sans-serif" w:hAnsi="Times New Roman;sans-serif"/>
          <w:b w:val="false"/>
          <w:color w:val="000000"/>
          <w:sz w:val="20"/>
        </w:rPr>
        <w:t xml:space="preserve">compared to the same period in 2022, primarily due to higher sales volumes reflecting the significant unmet patient need for a high-quality, reliable supply of Erwinia asparaginase for patients with ALL. </w:t>
      </w:r>
      <w:r>
        <w:rPr>
          <w:rFonts w:ascii="Times New Roman;sans-serif" w:hAnsi="Times New Roman;sans-serif"/>
          <w:b w:val="false"/>
          <w:color w:val="000000"/>
          <w:sz w:val="20"/>
          <w:highlight w:val="white"/>
        </w:rPr>
        <w:t xml:space="preserve">Zepzelca product sales in the </w:t>
      </w:r>
      <w:r>
        <w:rPr>
          <w:rFonts w:ascii="Times New Roman;sans-serif" w:hAnsi="Times New Roman;sans-serif"/>
          <w:b w:val="false"/>
          <w:color w:val="000000"/>
          <w:sz w:val="20"/>
        </w:rPr>
        <w:t xml:space="preserve">three months ended March 31, 2023 increased compared to the same </w:t>
      </w:r>
      <w:r>
        <w:rPr>
          <w:rFonts w:ascii="Times New Roman;sans-serif" w:hAnsi="Times New Roman;sans-serif"/>
          <w:b w:val="false"/>
          <w:color w:val="000000"/>
          <w:sz w:val="20"/>
          <w:highlight w:val="white"/>
        </w:rPr>
        <w:t xml:space="preserve">period in </w:t>
      </w:r>
      <w:r>
        <w:rPr>
          <w:rFonts w:ascii="Times New Roman;sans-serif" w:hAnsi="Times New Roman;sans-serif"/>
          <w:b w:val="false"/>
          <w:color w:val="000000"/>
          <w:sz w:val="20"/>
        </w:rPr>
        <w:t>2022, primarily due to higher sales volumes and a higher average selling price, partially offset by higher gross to net deductions. P</w:t>
      </w:r>
      <w:r>
        <w:rPr>
          <w:rFonts w:ascii="Times New Roman;sans-serif" w:hAnsi="Times New Roman;sans-serif"/>
          <w:b w:val="false"/>
          <w:color w:val="000000"/>
          <w:sz w:val="20"/>
          <w:highlight w:val="white"/>
        </w:rPr>
        <w:t xml:space="preserve">rice increases were instituted in January 2022, July 2022 and January 2023. Defitelio/defibrotide product sales in the </w:t>
      </w:r>
      <w:r>
        <w:rPr>
          <w:rFonts w:ascii="Times New Roman;sans-serif" w:hAnsi="Times New Roman;sans-serif"/>
          <w:b w:val="false"/>
          <w:color w:val="000000"/>
          <w:sz w:val="20"/>
        </w:rPr>
        <w:t xml:space="preserve">three months ended March 31, 2023 </w:t>
      </w:r>
      <w:r>
        <w:rPr>
          <w:rFonts w:ascii="Times New Roman;sans-serif" w:hAnsi="Times New Roman;sans-serif"/>
          <w:b w:val="false"/>
          <w:color w:val="000000"/>
          <w:sz w:val="20"/>
          <w:highlight w:val="white"/>
        </w:rPr>
        <w:t>decreased</w:t>
      </w:r>
      <w:r>
        <w:rPr>
          <w:color w:val="000000"/>
        </w:rPr>
        <w:t xml:space="preserve"> </w:t>
      </w:r>
      <w:r>
        <w:rPr>
          <w:rFonts w:ascii="Times New Roman;sans-serif" w:hAnsi="Times New Roman;sans-serif"/>
          <w:b w:val="false"/>
          <w:color w:val="000000"/>
          <w:sz w:val="20"/>
        </w:rPr>
        <w:t xml:space="preserve">compared to the same period in 2022, primarily due to a decrease in sales volumes, partially offset by a higher average selling price. Price increases were instituted in January 2022, July 2022 and January 2023. </w:t>
      </w:r>
      <w:r>
        <w:rPr>
          <w:rFonts w:ascii="Times New Roman;sans-serif" w:hAnsi="Times New Roman;sans-serif"/>
          <w:b w:val="false"/>
          <w:color w:val="000000"/>
          <w:sz w:val="20"/>
          <w:highlight w:val="white"/>
        </w:rPr>
        <w:t xml:space="preserve">Vyxeos product sales in the </w:t>
      </w:r>
      <w:r>
        <w:rPr>
          <w:rFonts w:ascii="Times New Roman;sans-serif" w:hAnsi="Times New Roman;sans-serif"/>
          <w:b w:val="false"/>
          <w:color w:val="000000"/>
          <w:sz w:val="20"/>
        </w:rPr>
        <w:t xml:space="preserve">three months ended March 31, 2023 </w:t>
      </w:r>
      <w:r>
        <w:rPr>
          <w:rFonts w:ascii="Times New Roman;sans-serif" w:hAnsi="Times New Roman;sans-serif"/>
          <w:b w:val="false"/>
          <w:color w:val="000000"/>
          <w:sz w:val="20"/>
          <w:highlight w:val="white"/>
        </w:rPr>
        <w:t xml:space="preserve">increased </w:t>
      </w:r>
      <w:r>
        <w:rPr>
          <w:rFonts w:ascii="Times New Roman;sans-serif" w:hAnsi="Times New Roman;sans-serif"/>
          <w:b w:val="false"/>
          <w:color w:val="000000"/>
          <w:sz w:val="20"/>
        </w:rPr>
        <w:t>compared to the same period in 2022, primarily due to higher sales volumes and a higher average selling price, partially offset by higher gross to net deductions. P</w:t>
      </w:r>
      <w:r>
        <w:rPr>
          <w:rFonts w:ascii="Times New Roman;sans-serif" w:hAnsi="Times New Roman;sans-serif"/>
          <w:b w:val="false"/>
          <w:color w:val="000000"/>
          <w:sz w:val="20"/>
          <w:highlight w:val="white"/>
        </w:rPr>
        <w:t xml:space="preserve">rice increases were instituted in January 2022, July 2022 and January 2023.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expect total product sales will increase in 2023 over 2022, primarily due to an increase in product sales of Xywav due to continuing growth in IH and as patients continue to transition to Xywav from Xyrem, expected growth in Epidiolex and our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oncology products, primarily Rylaze and Zepzelca, offset by the continued decline in Xyrem due to strong Xywav adoption and availability of high-sodium oxybate AG and branded fixed-dose, high-sodium oxybate.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Royalties and Contract Revenues</w:t>
      </w:r>
    </w:p>
    <w:p>
      <w:pPr>
        <w:pStyle w:val="TextBody"/>
        <w:spacing w:lineRule="auto" w:line="288" w:before="120" w:after="283"/>
        <w:ind w:left="0" w:right="0" w:firstLine="495"/>
        <w:rPr/>
      </w:pPr>
      <w:r>
        <w:rPr>
          <w:rFonts w:ascii="Times New Roman;sans-serif" w:hAnsi="Times New Roman;sans-serif"/>
          <w:b w:val="false"/>
          <w:color w:val="000000"/>
          <w:sz w:val="20"/>
        </w:rPr>
        <w:t>Royalties</w:t>
      </w:r>
      <w:r>
        <w:rPr>
          <w:color w:val="000000"/>
          <w:highlight w:val="white"/>
        </w:rPr>
        <w:t xml:space="preserve"> </w:t>
      </w:r>
      <w:r>
        <w:rPr>
          <w:rFonts w:ascii="Times New Roman;sans-serif" w:hAnsi="Times New Roman;sans-serif"/>
          <w:b w:val="false"/>
          <w:color w:val="000000"/>
          <w:sz w:val="20"/>
          <w:highlight w:val="white"/>
        </w:rPr>
        <w:t xml:space="preserve">and contract revenues increased in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compared to the same period in </w:t>
      </w:r>
      <w:r>
        <w:rPr>
          <w:rFonts w:ascii="Times New Roman;sans-serif" w:hAnsi="Times New Roman;sans-serif"/>
          <w:b w:val="false"/>
          <w:color w:val="000000"/>
          <w:sz w:val="20"/>
        </w:rPr>
        <w:t>2022</w:t>
      </w:r>
      <w:r>
        <w:rPr>
          <w:color w:val="000000"/>
          <w:highlight w:val="white"/>
        </w:rPr>
        <w:t xml:space="preserve"> </w:t>
      </w:r>
      <w:r>
        <w:rPr>
          <w:rFonts w:ascii="Times New Roman;sans-serif" w:hAnsi="Times New Roman;sans-serif"/>
          <w:b w:val="false"/>
          <w:color w:val="000000"/>
          <w:sz w:val="20"/>
          <w:highlight w:val="white"/>
        </w:rPr>
        <w:t>primarily due to royalty revenue received from Hikm</w:t>
      </w:r>
      <w:r>
        <w:rPr>
          <w:rFonts w:ascii="Times New Roman;sans-serif" w:hAnsi="Times New Roman;sans-serif"/>
          <w:b w:val="false"/>
          <w:color w:val="000000"/>
          <w:sz w:val="20"/>
        </w:rPr>
        <w:t xml:space="preserve">a Pharmaceuticals plc on net sales of their </w:t>
      </w:r>
      <w:r>
        <w:rPr>
          <w:rFonts w:ascii="Times New Roman;sans-serif" w:hAnsi="Times New Roman;sans-serif"/>
          <w:b w:val="false"/>
          <w:color w:val="000000"/>
          <w:sz w:val="20"/>
          <w:highlight w:val="white"/>
        </w:rPr>
        <w:t xml:space="preserve">high-sodium oxybate AG and higher contract revenues resulting from the achievement of a sales-based milestone. </w:t>
      </w:r>
      <w:r>
        <w:rPr>
          <w:rFonts w:ascii="Times New Roman;sans-serif" w:hAnsi="Times New Roman;sans-serif"/>
          <w:b w:val="false"/>
          <w:color w:val="000000"/>
          <w:sz w:val="20"/>
        </w:rPr>
        <w:t>We expect royalties and contract revenues to increase in 2023 compared to 2022 primarily due to increased royalty revenues arising from the launch of a high-sodium oxybate AG.</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Sales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Cost of product sales increased in the three months ended March 31, 2023 compared to the same period in 2022 primarily due to changes in product mix. Gross margin as a percentage of net product sales of 85.5% was in line with the same period in 2022. We expect our cost of product sales to decrease in 2023 compared to 2022 primarily driven by a reduction in the acquisition accounting inventory fair value step-up expense.</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Expenses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in the three months ended March 31, 2023 compared to the same period in 2022, primarily due to transaction and integration expenses related to the acquisition of GW of $9.6 million and Sunosi related spend incurred in the three months ended March 31, 2022, partially offset by increased investment in our priority programs.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expect selling, general and administrative expenses in 2023 to decrease compared to 2022, primarily due to the removal of costs relating to the Sunosi business following its disposal, together with synergies realized following the GW Acquisition, continued disciplined approach in our capital allocation and our focus on operational efficiencies.</w:t>
      </w:r>
    </w:p>
    <w:p>
      <w:pPr>
        <w:pStyle w:val="TextBody"/>
        <w:spacing w:lineRule="auto" w:line="288" w:before="28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Research and Development Expenses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 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breakout of our research and development expenses by major categories of expense (in thousands):</w:t>
      </w:r>
    </w:p>
    <w:tbl>
      <w:tblPr>
        <w:tblW w:w="6414" w:type="dxa"/>
        <w:jc w:val="left"/>
        <w:tblInd w:w="0" w:type="dxa"/>
        <w:tblCellMar>
          <w:top w:w="28" w:type="dxa"/>
          <w:left w:w="28" w:type="dxa"/>
          <w:bottom w:w="28" w:type="dxa"/>
          <w:right w:w="28" w:type="dxa"/>
        </w:tblCellMar>
      </w:tblPr>
      <w:tblGrid>
        <w:gridCol w:w="1114"/>
        <w:gridCol w:w="976"/>
        <w:gridCol w:w="984"/>
        <w:gridCol w:w="109"/>
        <w:gridCol w:w="109"/>
        <w:gridCol w:w="128"/>
        <w:gridCol w:w="128"/>
        <w:gridCol w:w="248"/>
        <w:gridCol w:w="972"/>
        <w:gridCol w:w="128"/>
        <w:gridCol w:w="109"/>
        <w:gridCol w:w="109"/>
        <w:gridCol w:w="109"/>
        <w:gridCol w:w="211"/>
        <w:gridCol w:w="826"/>
        <w:gridCol w:w="154"/>
      </w:tblGrid>
      <w:tr>
        <w:trPr/>
        <w:tc>
          <w:tcPr>
            <w:tcW w:w="111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studies and outside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$59.4 million in the three months ended March 31, 2023, compared to the same period in 2022. Clinical studies and outside services costs increased in the three months ended March 31, 2023, compared to the same period in 2022, primarily due to the inclusion of costs related to zanidatamab, as well as, JZP815, JZP898 and JZP441, offset by a decrease in costs related to JZP458.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2023, we expect that our research and development expenses will continue to increase from previous levels as we prepare for anticipated data read-outs from clinical trials, initiate and undertake additional clinical trials and related development work primarily relating to zanidatamab and JZP441 and additional spend on new product candidates acquired.</w:t>
      </w:r>
    </w:p>
    <w:p>
      <w:pPr>
        <w:pStyle w:val="TextBody"/>
        <w:spacing w:lineRule="auto" w:line="288" w:before="28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Intangible Asset Amortization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decreased by $22.3 million in the three months ended March 31, 2023, compared to the same period in 2022, primarily due to the inclusion of amortization relating to the Sunosi intangible asset in the three months ended March 31, 2022 and the positive movements in foreign exchange rates. Intangible asset amortization for 2023 is expected to be in line with 2022.</w:t>
      </w:r>
    </w:p>
    <w:p>
      <w:pPr>
        <w:pStyle w:val="TextBody"/>
        <w:spacing w:lineRule="auto" w:line="288" w:before="28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Interest Expense, Net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 the three months ended March 31, 2023 increased by $3.5 million, compared to the same period in 2022, primarily driven by higher interest rates on our outstanding term loan borrowings, partially offset by the inclusion of interest expense on the now repaid seven-year €625.0 million term loan B facility, or the Euro Term Loan, in the three months ended March 31, 2022 and higher interest income on investments in the three months ended March 31, 2023. We expect interest expense, net for 2023 to increase compared to 2022 primarily due to higher interest rates on our term loan borrowings. </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Exchange Loss (Gain)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foreign exchange loss (gain)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(Benefit)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income tax benefit was $15.3 million for the three months ended March 31, 2023, compared to an income tax expense of $0.5 million for the same period in 2022, relating to tax arising on income or losses in Ireland, the U.K., the U.S. and certain other foreign jurisdictions, offset by deductions on subsidiary equity, Foreign Derived Intangible Income, or FDII, and patent box benefits. The increase in the income tax benefit resulted primarily from the mix of pre-tax income and losses incurred across tax jurisdictions and increases in our FDII and patent box benefits. We do not provide for Irish income taxes on undistributed earnings of our foreign operations that are intended to be indefinitely reinvested in our foreign subsidiaries.</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$1,167.9 million, borrowing availability under our revolving credit facility of $500.0 million and long-term debt principal balance of $5.8 billion. Our long-term debt included $2.8 billion aggregate principal amount of the seven-year $3.1 billion in aggregate term loan B facility, or the Dollar Term Loan, $1.5 billion in aggregate principal amount of 4.375% senior secured notes, due 2029, or the Secured Notes, $1.0 billion principal amount on our 2.00% exchangeable senior notes due 2026 and $575.0 million principal amount on our 1.50% exchangeable senior notes due 2024. We generated cash flows from operations of $320.7 million during the three months ended March 31, 2023, and we expect to continue to generate positive cash flows from operations which will enable us to operate our business and de-lever our balance sheet over time.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Since the closing of the acquisition of GW in May 2021, we have made voluntary repayments of €625.0 million, or $753.0 million, relating to the Euro Term Loan and voluntary and mandatory repayments of $300.0 million and $54.3 million, respectively, relating to the Dollar Term Loan.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a more detailed description of our debt arrangements, including information relating to our scheduled maturities with respect to our long-term debt, see Note 8, Debt, of the notes to the condensed consolidated financial statements, included in Part I, Item 1 of this Quarterly Report on Form 10</w:t>
        <w:noBreakHyphen/>
        <w:t>Q. This substantial level of debt could have important consequences to our business, including, but not limited to the factors set forth in “Risk Factors” of our Annual Report on Form 10-K for the year ended December 31, 2022 under the heading “We have incurred substantial debt, which could impair our flexibility and access to capital and adversely affect our financial position, and our business would be adversely affected if we are unable to service our debt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balance,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to our Lead Products and Product Candidates” in Part I, Item 1A of our Annual Report on Form 10-K for the year ended December 31, 2022, as supplemented by the risks described in “Risk Factors" under the heading "The introduction of new products in the U.S. market that compete with, or otherwise disrupt the market for, our oxybate products and product candidates would adversely affect sales of our oxybate products and product candidates” in Part II, Item 1A of this Quarterly Report on Form 10-Q, as well as those factors set forth in “Risk Factors" under the heading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2022.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with disruptions to, and volatility in, the credit and financial markets in the U.S. and worldwide resulting from the effects of inflationary pressures, the COVID-19 pandemic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January 2024.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our cash flows for the periods indicated (in thousands): </w:t>
      </w:r>
    </w:p>
    <w:tbl>
      <w:tblPr>
        <w:tblW w:w="7193" w:type="dxa"/>
        <w:jc w:val="left"/>
        <w:tblInd w:w="0" w:type="dxa"/>
        <w:tblCellMar>
          <w:top w:w="28" w:type="dxa"/>
          <w:left w:w="28" w:type="dxa"/>
          <w:bottom w:w="28" w:type="dxa"/>
          <w:right w:w="28" w:type="dxa"/>
        </w:tblCellMar>
      </w:tblPr>
      <w:tblGrid>
        <w:gridCol w:w="1612"/>
        <w:gridCol w:w="1419"/>
        <w:gridCol w:w="1423"/>
        <w:gridCol w:w="211"/>
        <w:gridCol w:w="826"/>
        <w:gridCol w:w="109"/>
        <w:gridCol w:w="109"/>
        <w:gridCol w:w="109"/>
        <w:gridCol w:w="109"/>
        <w:gridCol w:w="211"/>
        <w:gridCol w:w="901"/>
        <w:gridCol w:w="154"/>
      </w:tblGrid>
      <w:tr>
        <w:trPr/>
        <w:tc>
          <w:tcPr>
            <w:tcW w:w="1612"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and cash equivalents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280" w:after="283"/>
        <w:rPr/>
      </w:pPr>
      <w:r>
        <w:rPr>
          <w:rFonts w:ascii="Times New Roman;sans-serif" w:hAnsi="Times New Roman;sans-serif"/>
          <w:b w:val="false"/>
          <w:i/>
          <w:color w:val="000000"/>
          <w:sz w:val="20"/>
        </w:rPr>
        <w:t>Operating</w:t>
      </w:r>
      <w:r>
        <w:rPr>
          <w:color w:val="000000"/>
        </w:rPr>
        <w:t xml:space="preserve"> </w:t>
      </w:r>
      <w:r>
        <w:rPr>
          <w:rFonts w:ascii="Times New Roman;sans-serif" w:hAnsi="Times New Roman;sans-serif"/>
          <w:b w:val="false"/>
          <w:i/>
          <w:color w:val="000000"/>
          <w:sz w:val="20"/>
        </w:rPr>
        <w:t>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increased by $111.7 million in the three months ended March 31, 2023 compared to the same period in 2022, primarily due to an increase in net cash inflow related to changes in operating assets and liabilities. </w:t>
      </w:r>
    </w:p>
    <w:p>
      <w:pPr>
        <w:pStyle w:val="TextBody"/>
        <w:spacing w:lineRule="auto" w:line="288" w:before="280" w:after="283"/>
        <w:rPr/>
      </w:pPr>
      <w:r>
        <w:rPr>
          <w:rFonts w:ascii="Times New Roman;sans-serif" w:hAnsi="Times New Roman;sans-serif"/>
          <w:b w:val="false"/>
          <w:i/>
          <w:color w:val="000000"/>
          <w:sz w:val="20"/>
        </w:rPr>
        <w:t>Investing</w:t>
      </w:r>
      <w:r>
        <w:rPr>
          <w:color w:val="000000"/>
        </w:rPr>
        <w:t xml:space="preserve"> </w:t>
      </w:r>
      <w:r>
        <w:rPr>
          <w:rFonts w:ascii="Times New Roman;sans-serif" w:hAnsi="Times New Roman;sans-serif"/>
          <w:b w:val="false"/>
          <w:i/>
          <w:color w:val="000000"/>
          <w:sz w:val="20"/>
        </w:rPr>
        <w:t>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$32.5 million in the three months ended March 31, 2023 compared to the same period in 2022, primarily due to a $25.0 million milestone payment to PharmaMar in relation to our first sales-based milestone for Zepzelca in the three months ended March 31, 2022.</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by $241.0 million in the three months ended March 31, 2023 compared to the same period in 2022, primarily due to repayments of long-term debt of $7.8 million in the three months ended March 31, 2023, compared to $258.8 million in the three months ended March 31,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Debt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summary of our outstanding indebtedness and scheduled maturities with respect to our long-term debt principal balances is included in Note 8, Debt, of the Notes to Condensed Consolidated Financial Statements included in Part I, Item 1 of this Quarterly Report on Form 10-Q. During the three months ended March 31, 2023, there were no changes to the credit agreement and our other financing arrangements, as set forth in Note 12, Debt, of the Notes to Consolidated Financial Statements included in our Annual Report on Form 10-K for the year ended December 31, 2022.</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material changes to our contractual obligations as set forth in Part II, Item 7 “Management’s Discussion and Analysis of Financial Condition and Results of Operations” in our Annual Report on Form 10-K for the year ended December 31, 2022.</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significant estimates are detailed in our Annual Report on Form 10</w:t>
        <w:noBreakHyphen/>
        <w:t>K for the year ended December 31, 2022. Our critical accounting policies and significant estimates have not changed substantially from those previously disclosed in our Annual Report on Form 10</w:t>
        <w:noBreakHyphen/>
        <w:t>K for the year ended December 31, 2022.</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20" w:after="283"/>
        <w:ind w:left="0" w:right="0" w:firstLine="495"/>
        <w:rPr/>
      </w:pPr>
      <w:r>
        <w:rPr>
          <w:rFonts w:ascii="Times New Roman;sans-serif" w:hAnsi="Times New Roman;sans-serif"/>
          <w:b w:val="false"/>
          <w:color w:val="000000"/>
          <w:sz w:val="20"/>
        </w:rPr>
        <w:t>This Quarterly Report on Form 10</w:t>
        <w:noBreakHyphen/>
        <w:t xml:space="preserve">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t>
      </w:r>
      <w:r>
        <w:rPr>
          <w:rFonts w:ascii="Times New Roman;sans-serif" w:hAnsi="Times New Roman;sans-serif"/>
          <w:b w:val="false"/>
          <w:color w:val="000000"/>
          <w:sz w:val="20"/>
          <w:highlight w:val="white"/>
        </w:rPr>
        <w:t>These known and unknown risks, uncertainties and other factors include, without limitation:</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inability to maintain or increase sales from our oxybate franchise would have a material adverse effect on our business, financial condition, results of operations and growth prospects.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introduction of new products in the U.S. market that compete with, or otherwise disrupt the market for, our oxybate products and product candidates would adversely affect sales of our oxybate products and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distribution and sale of our oxybate products are subject to significant regulatory restrictions, including the requirements of a risk evaluation and mitigation strategy, or REMS, and safety reporting requirements, and these regulatory and safety requirements subject us to risks and uncertainties, any of which could negatively impact sales of Xywav and Xyrem.</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While we expect our oxybate products and Epidiolex/Epidyolex to remain our largest products, our success also depends on our ability to effectively commercialize our other existing products and potential future products.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face substantial competition from other companies, including companies with larger sales organizations and more experience working with large and diverse product portfolios, and competition from generic drugs.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 addition to access, coverage and reimbursement, the commercial success of our products depends upon their market acceptance by physicians, patients, third party payors and the medical community.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success depends on our ability to successfully develop and obtain and maintain regulatory approvals for our late-stage product candidates and, if approved, to successfully launch and commercialize those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not be able to successfully identify and acquire or in-license additional products or product candidates to grow our business, and, even if we are able to do so, we may otherwise fail to realize the anticipated benefits of these transactions.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It is difficult and costly to protect our proprietary rights, and we may not be able to ensure their protection.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disruptions of information technology systems or data security breaches could adversely affect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are subject to significant ongoing regulatory obligations and oversight, which may subject us to civil or criminal proceedings, investigations, or penalties and may result in significant additional expense and limit our ability to commercialize our products.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incurred substantial debt, which could impair our flexibility and access to capital and adversely affect our financial position, and our business would be adversely affected if we are unable to service our debt obligations.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To continue to grow our business, we will need to commit substantial resources, which could result in future losses or otherwise limit our opportunities or affect our ability to operate and grow our business.</w:t>
      </w:r>
    </w:p>
    <w:p>
      <w:pPr>
        <w:pStyle w:val="TextBody"/>
        <w:spacing w:lineRule="auto" w:line="288" w:before="120" w:after="283"/>
        <w:ind w:left="0" w:right="0" w:firstLine="495"/>
        <w:rPr/>
      </w:pPr>
      <w:r>
        <w:rPr>
          <w:rFonts w:ascii="Times New Roman;sans-serif" w:hAnsi="Times New Roman;sans-serif"/>
          <w:b w:val="false"/>
          <w:color w:val="000000"/>
          <w:sz w:val="20"/>
          <w:highlight w:val="white"/>
        </w:rPr>
        <w:t xml:space="preserve">Additional discussion of the risks, uncertainties and other factors described above, as well as other risks material to our business, can be found under “Risk Factors” in Part I, Item 1A </w:t>
      </w:r>
      <w:r>
        <w:rPr>
          <w:rFonts w:ascii="Times New Roman;sans-serif" w:hAnsi="Times New Roman;sans-serif"/>
          <w:b w:val="false"/>
          <w:color w:val="000000"/>
          <w:sz w:val="20"/>
        </w:rPr>
        <w:t xml:space="preserve">of our Annual Report on Form 10-K for the year ended December 31, 2022, as supplemented by the risks and uncertainties described in "Risk Factors" Item 1A. Risk Factors in Part II of this Quarterly Report on Form 10-Q. </w:t>
      </w:r>
    </w:p>
    <w:p>
      <w:pPr>
        <w:pStyle w:val="TextBody"/>
        <w:spacing w:lineRule="auto" w:line="288" w:before="120" w:after="283"/>
        <w:ind w:left="0" w:right="0" w:firstLine="495"/>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noBreakHyphen/>
        <w:t xml:space="preserve">Q completely and with the understanding that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170"/>
        <w:rPr>
          <w:rFonts w:ascii="Times New Roman;sans-serif" w:hAnsi="Times New Roman;sans-serif"/>
          <w:b/>
          <w:color w:val="000000"/>
          <w:sz w:val="20"/>
        </w:rPr>
      </w:pPr>
      <w:r>
        <w:rPr>
          <w:rFonts w:ascii="Times New Roman;sans-serif" w:hAnsi="Times New Roman;sans-serif"/>
          <w:b/>
          <w:color w:val="000000"/>
          <w:sz w:val="20"/>
        </w:rPr>
        <w:t xml:space="preserve">Item 3.Quantitative and Qualitative Disclosures About Market Risk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there were no material changes to our market risk disclosures as set forth in Part II, Item 7A“Quantitative and Qualitative Disclosures About Market Risk” in our Annual Report on Form 10-K for the year ended December 31, 2022. </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170"/>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spacing w:lineRule="auto" w:line="288" w:before="120" w:after="283"/>
        <w:ind w:left="0" w:right="0" w:firstLine="495"/>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We have carried out an evaluation under the supervision and with the participation of management, including our principal executive officer and principal financial officer, of our disclosure controls and procedures (as defined in Rule 13a-15(e) and 15d-15(e) of the Exchange Act) as of the end of the period covered by this Quarterly Report on Form 10</w:t>
        <w:noBreakHyphen/>
        <w:t>Q. Based on their evaluation, our principal executive officer and principal financial officer concluded that our disclosure controls and procedures were effective as of March 31, 2023.</w:t>
      </w:r>
    </w:p>
    <w:p>
      <w:pPr>
        <w:pStyle w:val="TextBody"/>
        <w:spacing w:lineRule="auto" w:line="288" w:before="120" w:after="283"/>
        <w:ind w:left="0" w:right="0" w:firstLine="495"/>
        <w:rPr/>
      </w:pPr>
      <w:r>
        <w:rPr>
          <w:rFonts w:ascii="Times New Roman;sans-serif" w:hAnsi="Times New Roman;sans-serif"/>
          <w:b w:val="false"/>
          <w:i/>
          <w:color w:val="000000"/>
          <w:sz w:val="20"/>
        </w:rPr>
        <w:t>Limitations on the Effectiveness of Controls</w:t>
      </w:r>
      <w:r>
        <w:rPr>
          <w:rFonts w:ascii="Times New Roman;sans-serif" w:hAnsi="Times New Roman;sans-serif"/>
          <w:b w:val="false"/>
          <w:color w:val="000000"/>
          <w:sz w:val="20"/>
        </w:rPr>
        <w:t>.  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pStyle w:val="TextBody"/>
        <w:spacing w:lineRule="auto" w:line="288" w:before="120" w:after="283"/>
        <w:ind w:left="0" w:right="0" w:firstLine="495"/>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During the quarter ended March 31, 2023, there were no changes to our internal control over financial reporting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260"/>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set forth under this Item 1 is incorporated by reference to Note 9, Commitments and Contingencies—Legal Proceedings of the Notes to Condensed Consolidated Financial Statements included in Part I, Item 1 of this Quarterly Report on Form 10</w:t>
        <w:noBreakHyphen/>
        <w:t>Q.</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ind w:left="0" w:right="0" w:hanging="126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1A.Risk Factors</w:t>
      </w:r>
    </w:p>
    <w:p>
      <w:pPr>
        <w:pStyle w:val="TextBody"/>
        <w:spacing w:lineRule="auto" w:line="288" w:before="120" w:after="120"/>
        <w:ind w:left="0" w:right="0" w:firstLine="495"/>
        <w:rPr/>
      </w:pPr>
      <w:r>
        <w:rPr>
          <w:rFonts w:ascii="Times New Roman;sans-serif" w:hAnsi="Times New Roman;sans-serif"/>
          <w:b w:val="false"/>
          <w:color w:val="000000"/>
          <w:sz w:val="20"/>
        </w:rPr>
        <w:t xml:space="preserve">Below we are providing, in supplemental form, changes to our risk factors from those previously disclosed in </w:t>
      </w:r>
      <w:r>
        <w:rPr>
          <w:rFonts w:ascii="Times New Roman;sans-serif" w:hAnsi="Times New Roman;sans-serif"/>
          <w:b w:val="false"/>
          <w:color w:val="000000"/>
          <w:sz w:val="20"/>
          <w:highlight w:val="white"/>
        </w:rPr>
        <w:t xml:space="preserve">Part I, Item 1A </w:t>
      </w:r>
      <w:r>
        <w:rPr>
          <w:rFonts w:ascii="Times New Roman;sans-serif" w:hAnsi="Times New Roman;sans-serif"/>
          <w:b w:val="false"/>
          <w:color w:val="000000"/>
          <w:sz w:val="20"/>
        </w:rPr>
        <w:t xml:space="preserve">of our Annual Report on Form 10-K for the year ended December 31, 2022. Our risk factors disclosed in </w:t>
      </w:r>
      <w:r>
        <w:rPr>
          <w:rFonts w:ascii="Times New Roman;sans-serif" w:hAnsi="Times New Roman;sans-serif"/>
          <w:b w:val="false"/>
          <w:color w:val="000000"/>
          <w:sz w:val="20"/>
          <w:highlight w:val="white"/>
        </w:rPr>
        <w:t xml:space="preserve">Part I, Item 1A </w:t>
      </w:r>
      <w:r>
        <w:rPr>
          <w:rFonts w:ascii="Times New Roman;sans-serif" w:hAnsi="Times New Roman;sans-serif"/>
          <w:b w:val="false"/>
          <w:color w:val="000000"/>
          <w:sz w:val="20"/>
        </w:rPr>
        <w:t xml:space="preserve">of our Annual Report on Form 10-K for the year ended December 31, 2022 provide additional discussion regarding these supplemental risks and we encourage you to read and carefully consider all of the risk factors disclosed in </w:t>
      </w:r>
      <w:r>
        <w:rPr>
          <w:rFonts w:ascii="Times New Roman;sans-serif" w:hAnsi="Times New Roman;sans-serif"/>
          <w:b w:val="false"/>
          <w:color w:val="000000"/>
          <w:sz w:val="20"/>
          <w:highlight w:val="white"/>
        </w:rPr>
        <w:t xml:space="preserve">Part I, Item 1A </w:t>
      </w:r>
      <w:r>
        <w:rPr>
          <w:rFonts w:ascii="Times New Roman;sans-serif" w:hAnsi="Times New Roman;sans-serif"/>
          <w:b w:val="false"/>
          <w:color w:val="000000"/>
          <w:sz w:val="20"/>
        </w:rPr>
        <w:t xml:space="preserve">of our Annual Report on Form 10-K for the year ended December 31, 2022, together with the below, for a more complete understanding of the risks and uncertainties material to our business. </w:t>
      </w:r>
    </w:p>
    <w:p>
      <w:pPr>
        <w:pStyle w:val="TextBody"/>
        <w:spacing w:lineRule="auto" w:line="288" w:before="120" w:after="283"/>
        <w:ind w:left="0" w:right="0" w:firstLine="495"/>
        <w:rPr>
          <w:rFonts w:ascii="Times New Roman;sans-serif" w:hAnsi="Times New Roman;sans-serif"/>
          <w:b/>
          <w:i/>
          <w:color w:val="000000"/>
          <w:sz w:val="20"/>
        </w:rPr>
      </w:pPr>
      <w:r>
        <w:rPr>
          <w:rFonts w:ascii="Times New Roman;sans-serif" w:hAnsi="Times New Roman;sans-serif"/>
          <w:b/>
          <w:i/>
          <w:color w:val="000000"/>
          <w:sz w:val="20"/>
        </w:rPr>
        <w:t>The introduction of new products in the U.S. market that compete with, or otherwise disrupt the market for, our oxybate products and product candidates would adversely affect sales of our oxybate products and product candidates.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New treatment options for cataplexy and EDS in narcolepsy have been commercially launched, and in the future, other products may be launched that are competitive with or disrupt the market for our oxybate products.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Nine companies have sent us notices that they had filed abbreviated new drug applications, or ANDAs, seeking approval to market a generic version of Xyrem, and we have filed and settled patent lawsuits with all nine companies. To date, the U.S. Food and Drug Administration, or FDA, has approved or tentatively approved four of these ANDAs, and we believe that it is likely that FDA will approve or tentatively approve some or all of the others. Pursuant to our patent litigation settlement with the first filer, a wholly owned subsidiary of Hikma Pharmaceuticals PLC, or Hikma, Hikma launched an authorized generic product, or AG Product, in the U.S. beginning on January 1, 2023. Accordingly, beginning in January 2023, Xywav and Xyrem face competition from an authorized generic version of high-sodium oxybate and in the future, we expect to compete with other authorized generic and generic versions of high-sodium oxybate. Hikma has a right to elect to continue to sell the Hikma AG Product, with royalties back to us, for a total of up to five years. We will receive a meaningful royalty from Hikma on net sales of the Hikma AG Product, with the royalty rate increasing during the initial six-month term based on increased net sales of the Hikma AG Product; if Hikma elects to extend the term for the remainder of the first year, the rate will become fixed. There will also be a substantial increase in the royalty rate should the term be extended beyond one year. We will also be paid for supply of the Hikma AG Product and will be reimbursed by Hikma for a portion of the services costs associated with the operation of the Xywav and Xyrem REMS and distribution of the Hikma AG Product. We also granted Hikma a license to launch its own generic high-sodium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and ending on December 31, 2025, with royalties back to us. AG Products will be distributed through the same risk evaluation and mitigation strategy, or REMS, as Xywav and Xyrem. We also granted each of Amneal, Lupin and Par a license to launch its own generic high-sodium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high-sodium oxybate product under its ANDA on or after December 31, 2025, or earlier under certain circumstances, including circumstances where Hikma launches its own generic high-sodium oxybate product. It is possible that additional companies may file ANDAs seeking to market a generic version of Xyrem which could lead to additional patent litigation or challenges with respect to Xyrem.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Any ANDA holder launching an AG Product or another generic high-sodium oxybate product will independently establish the price of the AG Product and/or its own generic high-sodium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 wholesalers or direct purchasers in the U.S. (without discounts, rebates or other reductions) referred to as the Wholesale Acquisition Cost, or WAC. In this regard, Hikma launched the Hikma AG Product at a WAC that was less than 15% lower than the WAC for Xyrem.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 </w:t>
      </w:r>
    </w:p>
    <w:p>
      <w:pPr>
        <w:pStyle w:val="TextBody"/>
        <w:spacing w:lineRule="auto" w:line="288" w:before="120" w:after="283"/>
        <w:ind w:left="0" w:right="0" w:firstLine="495"/>
        <w:rPr/>
      </w:pPr>
      <w:r>
        <w:rPr>
          <w:rFonts w:ascii="Times New Roman;sans-serif" w:hAnsi="Times New Roman;sans-serif"/>
          <w:b w:val="false"/>
          <w:color w:val="000000"/>
          <w:sz w:val="20"/>
        </w:rPr>
        <w:t>Other companies may develop high-sodium oxybate products for treatment of narcolepsy, using an alternative formulation or a different delivery technology, and seek approval in the U.S. using a new drug application, or NDA, approval pathway under Section 505(b)(2) and referencing the safety and efficacy data for Xyrem. For example, on May 1, 2023, Avadel announced that it had received approval and orphan drug exclusivity through May 1, 2030 for Lumryz, a fixed-dose, high-sodium oxybate which uses its proprietary technology for the treatment of EDS and cataplexy in patients with narcolepsy, and we expect to begin to face competition from Avadel in the coming months. For additional information on litigation involving this matter, see “</w:t>
      </w:r>
      <w:r>
        <w:rPr>
          <w:rFonts w:ascii="Times New Roman;sans-serif" w:hAnsi="Times New Roman;sans-serif"/>
          <w:b w:val="false"/>
          <w:i/>
          <w:color w:val="000000"/>
          <w:sz w:val="20"/>
        </w:rPr>
        <w:t>Avadel Patent Litigation</w:t>
      </w:r>
      <w:r>
        <w:rPr>
          <w:color w:val="000000"/>
        </w:rPr>
        <w:t xml:space="preserve">” </w:t>
      </w:r>
      <w:r>
        <w:rPr>
          <w:rFonts w:ascii="Times New Roman;sans-serif" w:hAnsi="Times New Roman;sans-serif"/>
          <w:b w:val="false"/>
          <w:color w:val="000000"/>
          <w:sz w:val="20"/>
        </w:rPr>
        <w:t>in Note 9, Commitments and Contingencies-Legal Proceedings of the Notes to Consolidated Financial Statements, included in Part I of our Quarterly Report on Form 10</w:t>
        <w:noBreakHyphen/>
        <w:t xml:space="preserve">Q for the quarter ended March 31, 2023. Xyrem and Xywav also face increased competition from other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Xywav for the treatment of both cataplexy and EDS in patients with narcolepsy will continue to face competition from generic or authorized generic high-sodium oxybate products or new branded entrants in narcolepsy such as Avadel’s recently approved Lumryz notwithstanding FDA recognizing Orphan Drug Exclusivity for Xywav. For example, we received notice in June 2021 that Lupin filed an ANDA for a generic version of Xywav. Additional companies may file ANDAs seeking to market a generic version of Xywav which could lead to additional patent litigation or challenges with respect to Xywav.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Moreover, non-oxybate products intended for the treatment of EDS or cataplexy in narcolepsy or idiopathic hypersomnia, or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Examples of such new market entrants include pitolisant, a drug that was approved by FDA in 2019 for the treatment of EDS in adult patients with narcolepsy and approved by FDA in 2020 for an adult cataplexy indication in the U.S. Pitolisant has also been approved and marketed in Europe to treat adult patients with narcolepsy, with or without cataplexy, and to treat EDS in obstructive sleep apnea. Pitolisant is also in late stage development for the treatment of IH.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“Business—Competition” in Part I, Item 1 of our Annual Report on Form 10</w:t>
        <w:noBreakHyphen/>
        <w:t>K for the year ended December 31,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 approval and launch of the Hikma AG Product, another AG Product or other generic version of Xyrem and the approval and launch of any other high-sodium oxybate product (including Avadel’s recently approved Lumryz) or alternative product that treats narcolepsy could have a material adverse effect on our sales of Xywav and Xyrem and on our business, financial condition, results of operations and growth prospects. </w:t>
      </w:r>
    </w:p>
    <w:p>
      <w:pPr>
        <w:pStyle w:val="TextBody"/>
        <w:spacing w:before="120" w:after="283"/>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260"/>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November 2016, our board of directors authorized a share repurchase program and as of March 31, 2023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March 31, 2023, we did not repurchase any of our ordinary shares. As of March 31, 2023, the remaining amount authorized under the share repurchase program was $431.2 million.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center"/>
        <w:tblInd w:w="0" w:type="dxa"/>
        <w:tblCellMar>
          <w:top w:w="28" w:type="dxa"/>
          <w:left w:w="28" w:type="dxa"/>
          <w:bottom w:w="28" w:type="dxa"/>
          <w:right w:w="28" w:type="dxa"/>
        </w:tblCellMar>
      </w:tblPr>
      <w:tblGrid>
        <w:gridCol w:w="269"/>
        <w:gridCol w:w="238"/>
        <w:gridCol w:w="239"/>
        <w:gridCol w:w="2865"/>
        <w:gridCol w:w="2810"/>
        <w:gridCol w:w="3784"/>
      </w:tblGrid>
      <w:tr>
        <w:trPr/>
        <w:tc>
          <w:tcPr>
            <w:tcW w:w="26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10" w:type="dxa"/>
            <w:tcBorders/>
            <w:shd w:fill="auto" w:val="clear"/>
            <w:vAlign w:val="center"/>
          </w:tcPr>
          <w:p>
            <w:pPr>
              <w:pStyle w:val="TableContents"/>
              <w:spacing w:before="0" w:after="283"/>
              <w:rPr>
                <w:sz w:val="4"/>
                <w:szCs w:val="4"/>
              </w:rPr>
            </w:pPr>
            <w:r>
              <w:rPr>
                <w:sz w:val="4"/>
                <w:szCs w:val="4"/>
              </w:rPr>
            </w:r>
          </w:p>
        </w:tc>
        <w:tc>
          <w:tcPr>
            <w:tcW w:w="3784" w:type="dxa"/>
            <w:tcBorders/>
            <w:shd w:fill="auto" w:val="clear"/>
            <w:vAlign w:val="center"/>
          </w:tcPr>
          <w:p>
            <w:pPr>
              <w:pStyle w:val="TableContents"/>
              <w:spacing w:before="0" w:after="283"/>
              <w:rPr>
                <w:sz w:val="4"/>
                <w:szCs w:val="4"/>
              </w:rPr>
            </w:pPr>
            <w:r>
              <w:rPr>
                <w:sz w:val="4"/>
                <w:szCs w:val="4"/>
              </w:rPr>
            </w:r>
          </w:p>
        </w:tc>
      </w:tr>
      <w:tr>
        <w:trPr/>
        <w:tc>
          <w:tcPr>
            <w:tcW w:w="7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Number</w:t>
            </w:r>
          </w:p>
        </w:tc>
        <w:tc>
          <w:tcPr>
            <w:tcW w:w="9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Document</w:t>
            </w:r>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Transaction Agreement, dated as of February 3, 2021, by and among Jazz Pharmaceuticals UK Holdings Limited, Jazz Pharmaceuticals Public Limited Company and GW Pharmaceuticals PLC (incorporated herein by reference to Exhibit 2.1 in Jazz Pharmaceuticals plc’s Current Report on Form 8-K (File No. 001-33500), as filed with the SEC on February 4, 2021).</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Memorandum and Articles of Association of Jazz Pharmaceuticals plc, as amended on August 4, 2016 (incorporated herein by reference to Exhibit 3.1 in Jazz Pharmaceuticals plc’s Quarterly Report on Form 10-Q (File No. 001-33500) for the period ended June 30, 2016, as filed with the SEC on August 9, 2016).</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Reference is made to Exhibit 3.1.</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4.2A</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Indenture, dated as of April 29, 2021, among Jazz Securities Designated Activity Company, the guarantors party thereto, U.S. Bank National Association, as trustee and acknowledged by U.S. Bank National Association, as collateral trustee. (incorporated herein by reference to Exhibit 4.1 in Jazz Pharmaceuticals plc’s Current Report on Form 8-K (File No. 001-033500), as filed with the SEC on April 29, 2021).</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4.2B</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Form of 4.375% Senior Notes due 2029 (incorporated herein by reference to Exhibit 4.2 in Jazz Pharmaceuticals plc’s Current Report on Form 8-K (File No. 001-033500), as filed with the SEC on April 29, 2021).</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4.2C</w:t>
            </w:r>
          </w:p>
        </w:tc>
        <w:tc>
          <w:tcPr>
            <w:tcW w:w="945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7">
              <w:r>
                <w:rPr>
                  <w:rStyle w:val="InternetLink"/>
                </w:rPr>
                <w:t xml:space="preserve">First Supplemental Indenture, dated as of July 21, 2021, among </w:t>
              </w:r>
            </w:hyperlink>
            <w:hyperlink r:id="rId8">
              <w:r>
                <w:rPr>
                  <w:rStyle w:val="InternetLink"/>
                </w:rPr>
                <w:t xml:space="preserve">GW Pharmaceuticals Limited, GW Global Services (International) Limited, GW Pharma Limited, GW Research Limited, GW UK Services Limited and Greenwich Biosciences, Inc., </w:t>
              </w:r>
            </w:hyperlink>
            <w:hyperlink r:id="rId9">
              <w:r>
                <w:rPr>
                  <w:rStyle w:val="InternetLink"/>
                </w:rPr>
                <w:t>Jazz Securities Designated Activity Company</w:t>
              </w:r>
            </w:hyperlink>
            <w:hyperlink r:id="rId10">
              <w:r>
                <w:rPr>
                  <w:rStyle w:val="InternetLink"/>
                </w:rPr>
                <w:t>, and U.S. Bank National Association, as trustee under the Indenture, dated as of April 29, 2021.</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jazzq12023ex311.htm">
              <w:r>
                <w:rPr>
                  <w:rStyle w:val="InternetLink"/>
                  <w:rFonts w:ascii="Times New Roman;sans-serif" w:hAnsi="Times New Roman;sans-serif"/>
                  <w:b w:val="false"/>
                  <w:color w:val="0000FF"/>
                  <w:sz w:val="20"/>
                  <w:u w:val="single"/>
                </w:rPr>
                <w:t>Certification of Chief Executive Officer pursuant to Rules 13a-14(a) and 15d-14(a) promulgated under the Securities Exchange Act of 1934, as amended.</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jazzq12023ex312.htm">
              <w:r>
                <w:rPr>
                  <w:rStyle w:val="InternetLink"/>
                  <w:rFonts w:ascii="Times New Roman;sans-serif" w:hAnsi="Times New Roman;sans-serif"/>
                  <w:b w:val="false"/>
                  <w:color w:val="0000FF"/>
                  <w:sz w:val="20"/>
                  <w:u w:val="single"/>
                </w:rPr>
                <w:t>Certification of Chief Financial Officer pursuant to Rules 13a-14(a) and 15d-14(a) promulgated under the Securities Exchange Act of 1934, as amended.</w:t>
              </w:r>
            </w:hyperlink>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jazzq12023ex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before="0" w:after="0"/>
        <w:rPr/>
      </w:pPr>
      <w:r>
        <w:rPr/>
      </w:r>
    </w:p>
    <w:p>
      <w:pPr>
        <w:pStyle w:val="TextBody"/>
        <w:spacing w:lineRule="auto" w:line="288" w:before="0" w:after="60"/>
        <w:ind w:left="0" w:right="0" w:hanging="540"/>
        <w:rPr>
          <w:color w:val="000000"/>
        </w:rPr>
      </w:pPr>
      <w:r>
        <w:rPr>
          <w:color w:val="000000"/>
        </w:rPr>
        <w:t>‡    </w:t>
      </w:r>
      <w:r>
        <w:rPr>
          <w:rFonts w:ascii="Times New Roman;sans-serif" w:hAnsi="Times New Roman;sans-serif"/>
          <w:b w:val="false"/>
          <w:color w:val="000000"/>
          <w:sz w:val="20"/>
        </w:rPr>
        <w:t>Certain portions of this exhibit have been omitted pursuant to Item 601(b)(2) of Regulation S-K.</w:t>
      </w:r>
    </w:p>
    <w:p>
      <w:pPr>
        <w:pStyle w:val="TextBody"/>
        <w:spacing w:lineRule="auto" w:line="288" w:before="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Portions of this document (indicated by “[*]”) have been omitted pursuant to Item 601(b)(10) of Regulations S-K because they are both not material and are the type that the Company treats as private and confidential.</w:t>
      </w:r>
    </w:p>
    <w:p>
      <w:pPr>
        <w:pStyle w:val="TextBody"/>
        <w:spacing w:lineRule="auto" w:line="288" w:before="0" w:after="6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The certification attached as Exhibit 32.1 accompanies this Quarterly Report on Form 10</w:t>
        <w:noBreakHyphen/>
        <w:t>Q pursuant to 18 U.S.C. Section 1350, as adopted pursuant to Section 906 of the Sarbanes-Oxley Act of 2002, and shall not be deemed “filed” by the Registrant for purposes of Section 18 of the Securities Exchange Act of 1934, as amended.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fa1addfe11904724846c1317b31cda3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10, 2023 </w:t>
      </w:r>
    </w:p>
    <w:p>
      <w:pPr>
        <w:pStyle w:val="TextBody"/>
        <w:spacing w:lineRule="auto" w:line="288" w:before="0" w:after="0"/>
        <w:rPr>
          <w:color w:val="000000"/>
        </w:rPr>
      </w:pPr>
      <w:r>
        <w:rPr>
          <w:color w:val="000000"/>
        </w:rPr>
        <w:t> </w:t>
      </w:r>
    </w:p>
    <w:tbl>
      <w:tblPr>
        <w:tblW w:w="5429" w:type="dxa"/>
        <w:jc w:val="right"/>
        <w:tblInd w:w="0" w:type="dxa"/>
        <w:tblCellMar>
          <w:top w:w="28" w:type="dxa"/>
          <w:left w:w="28" w:type="dxa"/>
          <w:bottom w:w="28" w:type="dxa"/>
          <w:right w:w="28" w:type="dxa"/>
        </w:tblCellMar>
      </w:tblPr>
      <w:tblGrid>
        <w:gridCol w:w="1738"/>
        <w:gridCol w:w="1528"/>
        <w:gridCol w:w="2163"/>
      </w:tblGrid>
      <w:tr>
        <w:trPr/>
        <w:tc>
          <w:tcPr>
            <w:tcW w:w="1738"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JAZZ PHARMACEUTICALS PUBLIC LIMITED COMPANY</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C. Cozadd</w:t>
            </w:r>
          </w:p>
        </w:tc>
      </w:tr>
      <w:tr>
        <w:trPr/>
        <w:tc>
          <w:tcPr>
            <w:tcW w:w="5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C. Cozadd</w:t>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Chairman and Chief Executive Officer and Director</w:t>
              <w:br/>
              <w:t>(Principal Executive Officer)</w:t>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Renée Galá</w:t>
            </w:r>
          </w:p>
        </w:tc>
      </w:tr>
      <w:tr>
        <w:trPr/>
        <w:tc>
          <w:tcPr>
            <w:tcW w:w="5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Renée Galá</w:t>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w:t>
              <w:br/>
              <w:t>(Principal Financial Officer)</w:t>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Carr</w:t>
            </w:r>
          </w:p>
        </w:tc>
      </w:tr>
      <w:tr>
        <w:trPr/>
        <w:tc>
          <w:tcPr>
            <w:tcW w:w="5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Carr</w:t>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Chief Accounting Officer</w:t>
              <w:b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Bruce C. Cozadd, certify that: </w:t>
      </w:r>
    </w:p>
    <w:p>
      <w:pPr>
        <w:pStyle w:val="TextBody"/>
        <w:spacing w:before="0" w:after="0"/>
        <w:rPr/>
      </w:pPr>
      <w:r>
        <w:rPr/>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Jazz Pharmaceuticals public limited company;</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60" w:after="283"/>
        <w:ind w:left="0" w:right="0" w:hanging="36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color w:val="000000"/>
        </w:rPr>
        <w:t>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6073" w:type="dxa"/>
        <w:jc w:val="left"/>
        <w:tblInd w:w="0" w:type="dxa"/>
        <w:tblCellMar>
          <w:top w:w="28" w:type="dxa"/>
          <w:left w:w="28" w:type="dxa"/>
          <w:bottom w:w="28" w:type="dxa"/>
          <w:right w:w="28" w:type="dxa"/>
        </w:tblCellMar>
      </w:tblPr>
      <w:tblGrid>
        <w:gridCol w:w="629"/>
        <w:gridCol w:w="554"/>
        <w:gridCol w:w="557"/>
        <w:gridCol w:w="134"/>
        <w:gridCol w:w="134"/>
        <w:gridCol w:w="136"/>
        <w:gridCol w:w="1150"/>
        <w:gridCol w:w="1150"/>
        <w:gridCol w:w="1629"/>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Cozadd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0"/>
              <w:rPr/>
            </w:pPr>
            <w:r>
              <w:rPr/>
            </w:r>
          </w:p>
          <w:p>
            <w:pPr>
              <w:pStyle w:val="TableContents"/>
              <w:spacing w:before="0" w:after="0"/>
              <w:rPr/>
            </w:pPr>
            <w:r>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Bruce C. Cozadd</w:t>
              <w:br/>
              <w:t>Chairman and Chief Executive Officer and Director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Renée Galá, certify that: </w:t>
      </w:r>
    </w:p>
    <w:p>
      <w:pPr>
        <w:pStyle w:val="TextBody"/>
        <w:spacing w:lineRule="auto" w:line="288" w:before="0" w:after="0"/>
        <w:rPr>
          <w:color w:val="000000"/>
        </w:rPr>
      </w:pPr>
      <w:r>
        <w:rPr>
          <w:color w:val="000000"/>
        </w:rPr>
        <w:t>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Jazz Pharmaceuticals public limited company;</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color w:val="000000"/>
        </w:rPr>
        <w:t> </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60" w:after="283"/>
        <w:ind w:left="0" w:right="0" w:hanging="36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r>
        <w:rPr>
          <w:color w:val="000000"/>
        </w:rPr>
        <w:t> </w:t>
      </w:r>
    </w:p>
    <w:p>
      <w:pPr>
        <w:pStyle w:val="TextBody"/>
        <w:spacing w:before="0" w:after="0"/>
        <w:rPr/>
      </w:pPr>
      <w:r>
        <w:rPr/>
      </w:r>
    </w:p>
    <w:p>
      <w:pPr>
        <w:pStyle w:val="TextBody"/>
        <w:spacing w:lineRule="auto" w:line="288" w:before="0" w:after="0"/>
        <w:rPr>
          <w:color w:val="000000"/>
        </w:rPr>
      </w:pPr>
      <w:r>
        <w:rPr>
          <w:color w:val="000000"/>
        </w:rPr>
        <w:t> </w:t>
      </w:r>
    </w:p>
    <w:tbl>
      <w:tblPr>
        <w:tblW w:w="6119" w:type="dxa"/>
        <w:jc w:val="left"/>
        <w:tblInd w:w="0" w:type="dxa"/>
        <w:tblCellMar>
          <w:top w:w="28" w:type="dxa"/>
          <w:left w:w="28" w:type="dxa"/>
          <w:bottom w:w="28" w:type="dxa"/>
          <w:right w:w="28" w:type="dxa"/>
        </w:tblCellMar>
      </w:tblPr>
      <w:tblGrid>
        <w:gridCol w:w="629"/>
        <w:gridCol w:w="554"/>
        <w:gridCol w:w="557"/>
        <w:gridCol w:w="134"/>
        <w:gridCol w:w="134"/>
        <w:gridCol w:w="136"/>
        <w:gridCol w:w="1162"/>
        <w:gridCol w:w="1162"/>
        <w:gridCol w:w="1651"/>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Renée Galá</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Renée Galá</w:t>
              <w:br/>
              <w:t>Executive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180" w:after="283"/>
        <w:jc w:val="center"/>
        <w:rPr/>
      </w:pPr>
      <w:r>
        <w:rPr>
          <w:rFonts w:ascii="Times New Roman;sans-serif" w:hAnsi="Times New Roman;sans-serif"/>
          <w:b/>
          <w:color w:val="000000"/>
          <w:sz w:val="20"/>
        </w:rPr>
        <w:t>CERTIFICATION</w:t>
      </w:r>
      <w:r>
        <w:rPr>
          <w:rFonts w:ascii="Times New Roman;sans-serif" w:hAnsi="Times New Roman;sans-serif"/>
          <w:b/>
          <w:color w:val="000000"/>
          <w:sz w:val="13"/>
        </w:rPr>
        <w:t>(1)</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 </w:t>
      </w:r>
    </w:p>
    <w:p>
      <w:pPr>
        <w:pStyle w:val="TextBody"/>
        <w:spacing w:lineRule="auto" w:line="288" w:before="0" w:after="0"/>
        <w:rPr>
          <w:color w:val="000000"/>
        </w:rPr>
      </w:pPr>
      <w:r>
        <w:rPr>
          <w:color w:val="000000"/>
        </w:rPr>
        <w:t> </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March 31, 2023, to which this Certification is attached as Exhibit 32.1 (the “Periodic Report”), fully complies with the requirements of Section 13(a) or Section 15(d) of the Exchange Act;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spacing w:before="200" w:after="283"/>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10, 2023 </w:t>
      </w:r>
    </w:p>
    <w:p>
      <w:pPr>
        <w:pStyle w:val="TextBody"/>
        <w:spacing w:lineRule="auto" w:line="288" w:before="0" w:after="0"/>
        <w:rPr>
          <w:color w:val="000000"/>
        </w:rPr>
      </w:pPr>
      <w:r>
        <w:rPr>
          <w:color w:val="000000"/>
        </w:rPr>
        <w:t> </w:t>
      </w:r>
    </w:p>
    <w:tbl>
      <w:tblPr>
        <w:tblW w:w="3989" w:type="dxa"/>
        <w:jc w:val="left"/>
        <w:tblInd w:w="0" w:type="dxa"/>
        <w:tblCellMar>
          <w:top w:w="28" w:type="dxa"/>
          <w:left w:w="28" w:type="dxa"/>
          <w:bottom w:w="28" w:type="dxa"/>
          <w:right w:w="28" w:type="dxa"/>
        </w:tblCellMar>
      </w:tblPr>
      <w:tblGrid>
        <w:gridCol w:w="1278"/>
        <w:gridCol w:w="1120"/>
        <w:gridCol w:w="1591"/>
      </w:tblGrid>
      <w:tr>
        <w:trPr/>
        <w:tc>
          <w:tcPr>
            <w:tcW w:w="1278"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Cozadd</w:t>
            </w:r>
          </w:p>
        </w:tc>
      </w:tr>
      <w:tr>
        <w:trPr/>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Bruce C. Cozadd</w:t>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Chairman and Chief Executive Officer and Director</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Renée Galá</w:t>
            </w:r>
          </w:p>
        </w:tc>
      </w:tr>
      <w:tr>
        <w:trPr/>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Renée Galá</w:t>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bl>
    <w:p>
      <w:pPr>
        <w:pStyle w:val="TextBody"/>
        <w:spacing w:lineRule="auto" w:line="240" w:before="0" w:after="4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2524/000119312521027577/d117870dex21.htm" TargetMode="External"/><Relationship Id="rId3" Type="http://schemas.openxmlformats.org/officeDocument/2006/relationships/hyperlink" Target="http://www.sec.gov/Archives/edgar/data/1232524/000123252416000303/jazzq22016ex31.htm" TargetMode="External"/><Relationship Id="rId4" Type="http://schemas.openxmlformats.org/officeDocument/2006/relationships/hyperlink" Target="http://www.sec.gov/Archives/edgar/data/1232524/000123252416000303/jazzq22016ex31.htm" TargetMode="External"/><Relationship Id="rId5" Type="http://schemas.openxmlformats.org/officeDocument/2006/relationships/hyperlink" Target="https://www.sec.gov/Archives/edgar/data/0001232524/000119312521140517/d191392dex41.htm" TargetMode="External"/><Relationship Id="rId6" Type="http://schemas.openxmlformats.org/officeDocument/2006/relationships/hyperlink" Target="https://www.sec.gov/Archives/edgar/data/0001232524/000119312521140517/d191392dex41.htm" TargetMode="External"/><Relationship Id="rId7" Type="http://schemas.openxmlformats.org/officeDocument/2006/relationships/hyperlink" Target="https://www.sec.gov/Archives/edgar/data/0001232524/000123252421000045/jazzq22021ex45c.htm" TargetMode="External"/><Relationship Id="rId8" Type="http://schemas.openxmlformats.org/officeDocument/2006/relationships/hyperlink" Target="https://www.sec.gov/Archives/edgar/data/0001232524/000123252421000045/jazzq22021ex45c.htm" TargetMode="External"/><Relationship Id="rId9" Type="http://schemas.openxmlformats.org/officeDocument/2006/relationships/hyperlink" Target="https://www.sec.gov/Archives/edgar/data/0001232524/000123252421000045/jazzq22021ex45c.htm" TargetMode="External"/><Relationship Id="rId10" Type="http://schemas.openxmlformats.org/officeDocument/2006/relationships/hyperlink" Target="https://www.sec.gov/Archives/edgar/data/0001232524/000123252421000045/jazzq22021ex45c.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28421</Words>
  <CharactersWithSpaces>186639</CharactersWithSpaces>
  <Paragraphs>2267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