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149860</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127000</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5" w:lineRule="exact"/>
        <w:rPr>
          <w:sz w:val="24"/>
          <w:szCs w:val="24"/>
          <w:color w:val="auto"/>
        </w:rPr>
      </w:pPr>
    </w:p>
    <w:tbl>
      <w:tblPr>
        <w:tblLayout w:type="fixed"/>
        <w:tblInd w:w="186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54"/>
        </w:trPr>
        <w:tc>
          <w:tcPr>
            <w:tcW w:w="20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Ireland</w:t>
            </w:r>
          </w:p>
        </w:tc>
        <w:tc>
          <w:tcPr>
            <w:tcW w:w="5080" w:type="dxa"/>
            <w:vAlign w:val="bottom"/>
          </w:tcPr>
          <w:p>
            <w:pPr>
              <w:jc w:val="center"/>
              <w:ind w:left="3864"/>
              <w:spacing w:after="0"/>
              <w:rPr>
                <w:sz w:val="20"/>
                <w:szCs w:val="20"/>
                <w:color w:val="auto"/>
              </w:rPr>
            </w:pPr>
            <w:r>
              <w:rPr>
                <w:rFonts w:ascii="Arial" w:cs="Arial" w:eastAsia="Arial" w:hAnsi="Arial"/>
                <w:sz w:val="18"/>
                <w:szCs w:val="18"/>
                <w:b w:val="1"/>
                <w:bCs w:val="1"/>
                <w:color w:val="auto"/>
                <w:w w:val="89"/>
              </w:rPr>
              <w:t>98-1032470</w:t>
            </w:r>
          </w:p>
        </w:tc>
      </w:tr>
      <w:tr>
        <w:trPr>
          <w:trHeight w:val="144"/>
        </w:trPr>
        <w:tc>
          <w:tcPr>
            <w:tcW w:w="202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8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107950</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7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4" w:lineRule="exact"/>
        <w:rPr>
          <w:sz w:val="24"/>
          <w:szCs w:val="24"/>
          <w:color w:val="auto"/>
        </w:rPr>
      </w:pPr>
    </w:p>
    <w:p>
      <w:pPr>
        <w:ind w:right="4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ind w:right="4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27, 2021, 61,148,558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84"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JUNE 30,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9680" w:type="dxa"/>
            <w:vAlign w:val="bottom"/>
            <w:gridSpan w:val="19"/>
          </w:tcPr>
          <w:p>
            <w:pPr>
              <w:spacing w:after="0" w:line="17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204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 June 30, 2021 and December 31, 2020</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Condensed Consolidated Statements of Income (Loss) – Three and Six Months Ended June 30, 2021 and 2020</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Comprehensive Income (Loss) – Three and Six Months Ended June 30, 2021</w:t>
              </w:r>
            </w:hyperlink>
          </w:p>
        </w:tc>
        <w:tc>
          <w:tcPr>
            <w:tcW w:w="840" w:type="dxa"/>
            <w:vAlign w:val="bottom"/>
            <w:gridSpan w:val="4"/>
            <w:vMerge w:val="restart"/>
          </w:tcPr>
          <w:p>
            <w:pPr>
              <w:jc w:val="center"/>
              <w:ind w:left="592"/>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4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and 2020</w:t>
              </w:r>
            </w:hyperlink>
          </w:p>
        </w:tc>
        <w:tc>
          <w:tcPr>
            <w:tcW w:w="16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 Shareholders’ Equity - Three and Six Months Ended June 30, 2021 and 2020</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6980" w:type="dxa"/>
            <w:vAlign w:val="bottom"/>
            <w:gridSpan w:val="14"/>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 – Six Months Ended June 30, 2021 and 2020</w:t>
              </w:r>
            </w:hyperlink>
          </w:p>
        </w:tc>
        <w:tc>
          <w:tcPr>
            <w:tcW w:w="14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980" w:type="dxa"/>
            <w:vAlign w:val="bottom"/>
            <w:gridSpan w:val="9"/>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3000" w:type="dxa"/>
            <w:vAlign w:val="bottom"/>
            <w:gridSpan w:val="5"/>
          </w:tcPr>
          <w:p>
            <w:pPr>
              <w:spacing w:after="0"/>
              <w:rPr>
                <w:sz w:val="18"/>
                <w:szCs w:val="18"/>
                <w:color w:val="auto"/>
              </w:rPr>
            </w:pPr>
          </w:p>
        </w:tc>
        <w:tc>
          <w:tcPr>
            <w:tcW w:w="1580" w:type="dxa"/>
            <w:vAlign w:val="bottom"/>
            <w:gridSpan w:val="4"/>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Quantitative and Qualitative Disclosures About Market Risk</w:t>
              </w:r>
            </w:hyperlink>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Controls and Procedures</w:t>
              </w:r>
            </w:hyperlink>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19"/>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PART II – OTHER INFORMATION</w:t>
              </w:r>
            </w:hyperlink>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54">
              <w:r>
                <w:rPr>
                  <w:rFonts w:ascii="Arial" w:cs="Arial" w:eastAsia="Arial" w:hAnsi="Arial"/>
                  <w:sz w:val="18"/>
                  <w:szCs w:val="18"/>
                  <w:color w:val="0000FF"/>
                  <w:w w:val="87"/>
                </w:rPr>
                <w:t>Legal Proceedings</w:t>
              </w:r>
            </w:hyperlink>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560" w:type="dxa"/>
            <w:vAlign w:val="bottom"/>
            <w:gridSpan w:val="1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Risk Factors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gridSpan w:val="18"/>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Unregistered Sales of Equity Securities and Use of Proceeds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89</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Other Information</w:t>
              </w:r>
            </w:hyperlink>
          </w:p>
        </w:tc>
        <w:tc>
          <w:tcPr>
            <w:tcW w:w="3020" w:type="dxa"/>
            <w:vAlign w:val="bottom"/>
            <w:tcBorders>
              <w:top w:val="single" w:sz="8" w:color="0000FF"/>
            </w:tcBorders>
            <w:gridSpan w:val="7"/>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89</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bottom w:val="single" w:sz="8" w:color="0000FF"/>
            </w:tcBorders>
          </w:tcPr>
          <w:p>
            <w:pPr>
              <w:spacing w:after="0"/>
              <w:rPr>
                <w:rFonts w:ascii="Arial" w:cs="Arial" w:eastAsia="Arial" w:hAnsi="Arial"/>
                <w:sz w:val="18"/>
                <w:szCs w:val="18"/>
                <w:color w:val="0000FF"/>
                <w:w w:val="95"/>
              </w:rPr>
            </w:pPr>
            <w:hyperlink w:anchor="page91">
              <w:r>
                <w:rPr>
                  <w:rFonts w:ascii="Arial" w:cs="Arial" w:eastAsia="Arial" w:hAnsi="Arial"/>
                  <w:sz w:val="18"/>
                  <w:szCs w:val="18"/>
                  <w:color w:val="0000FF"/>
                  <w:w w:val="95"/>
                </w:rPr>
                <w:t>Exhibits</w:t>
              </w:r>
            </w:hyperlink>
          </w:p>
        </w:tc>
        <w:tc>
          <w:tcPr>
            <w:tcW w:w="7920" w:type="dxa"/>
            <w:vAlign w:val="bottom"/>
            <w:gridSpan w:val="1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91</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rFonts w:ascii="Arial" w:cs="Arial" w:eastAsia="Arial" w:hAnsi="Arial"/>
                <w:sz w:val="18"/>
                <w:szCs w:val="18"/>
                <w:color w:val="0000FF"/>
                <w:w w:val="92"/>
              </w:rPr>
            </w:pPr>
            <w:hyperlink w:anchor="page94">
              <w:r>
                <w:rPr>
                  <w:rFonts w:ascii="Arial" w:cs="Arial" w:eastAsia="Arial" w:hAnsi="Arial"/>
                  <w:sz w:val="18"/>
                  <w:szCs w:val="18"/>
                  <w:color w:val="0000FF"/>
                  <w:w w:val="92"/>
                </w:rPr>
                <w:t>SIGNATURES</w:t>
              </w:r>
            </w:hyperlink>
          </w:p>
        </w:tc>
        <w:tc>
          <w:tcPr>
            <w:tcW w:w="8560" w:type="dxa"/>
            <w:vAlign w:val="bottom"/>
            <w:gridSpan w:val="1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94</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445"/>
        <w:spacing w:after="0" w:line="204" w:lineRule="auto"/>
        <w:rPr>
          <w:sz w:val="20"/>
          <w:szCs w:val="20"/>
          <w:color w:val="auto"/>
        </w:rPr>
      </w:pPr>
      <w:r>
        <w:rPr>
          <w:rFonts w:ascii="Arial" w:cs="Arial" w:eastAsia="Arial" w:hAnsi="Arial"/>
          <w:sz w:val="17"/>
          <w:szCs w:val="17"/>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7"/>
          <w:szCs w:val="17"/>
          <w:color w:val="auto"/>
        </w:rPr>
        <w:t>,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Xywav™ (calcium, magnesium, potassium, and sodium oxybates) oral solution, 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 oral solution, Epidyolex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trade name in Europe for Epidiolex), Sunosi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(solriamfetol),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CombiPlex</w:t>
      </w:r>
      <w:r>
        <w:rPr>
          <w:rFonts w:ascii="Arial" w:cs="Arial" w:eastAsia="Arial" w:hAnsi="Arial"/>
          <w:sz w:val="22"/>
          <w:szCs w:val="22"/>
          <w:color w:val="auto"/>
          <w:vertAlign w:val="superscript"/>
        </w:rPr>
        <w:t>®</w:t>
      </w:r>
      <w:r>
        <w:rPr>
          <w:rFonts w:ascii="Arial" w:cs="Arial" w:eastAsia="Arial" w:hAnsi="Arial"/>
          <w:sz w:val="17"/>
          <w:szCs w:val="17"/>
          <w:color w:val="auto"/>
        </w:rPr>
        <w:t>,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(daunorubicin and cytarabine) liposome for injection,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liposomal 44 mg/100 mg powder for concentrate for solution for infusion, Zepzelca™ (lurbinectedin), Rylaze™ (recombinant Erwinia asparaginase) and Sativex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(delta-9-tetrahydrocannabinol/cannabidiol) oral solution.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1,057,769</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396,490</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1,251,259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95,396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152,491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2,839,568</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277,066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127,935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7,588,029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254,916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13,212,993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6,535,901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64,826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26,945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246,322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653,745</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1,848,516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140,035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130,397</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132,507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101,148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Non-voting euro deferred shares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redemption reserve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3,403,482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2,633,670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1,159,894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4,131,490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3,659,745</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13,212,993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6,535,901</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748,340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558,203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1,351,871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1,088,408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751,811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1,359,392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1,097,162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119,194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28,008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159,383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56,665</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technologies)</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399,806</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132,696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209,269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165,029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208,672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125,821</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205,250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821,401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364,310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1,266,863</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1,088,710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(44,706)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156"/>
        </w:trPr>
        <w:tc>
          <w:tcPr>
            <w:tcW w:w="5620" w:type="dxa"/>
            <w:vAlign w:val="bottom"/>
          </w:tcPr>
          <w:p>
            <w:pPr>
              <w:ind w:left="20"/>
              <w:spacing w:after="0" w:line="156" w:lineRule="exact"/>
              <w:rPr>
                <w:sz w:val="20"/>
                <w:szCs w:val="20"/>
                <w:color w:val="auto"/>
              </w:rPr>
            </w:pPr>
            <w:r>
              <w:rPr>
                <w:rFonts w:ascii="Arial" w:cs="Arial" w:eastAsia="Arial" w:hAnsi="Arial"/>
                <w:sz w:val="18"/>
                <w:szCs w:val="18"/>
                <w:color w:val="auto"/>
              </w:rPr>
              <w:t>Income (loss) before income tax provision and equity in (gain) loss of</w:t>
            </w:r>
          </w:p>
        </w:tc>
        <w:tc>
          <w:tcPr>
            <w:tcW w:w="3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(136,060)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171,452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(37,850)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investees</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(gain) loss of investees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(363,316)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114,801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(241,484)</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Weighted-average ordinary shares used in per share calculations -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59,448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55,413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57,966</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55,684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0" w:type="dxa"/>
            <w:vAlign w:val="bottom"/>
          </w:tcPr>
          <w:p>
            <w:pPr>
              <w:spacing w:after="0"/>
              <w:rPr>
                <w:sz w:val="1"/>
                <w:szCs w:val="1"/>
                <w:color w:val="auto"/>
              </w:rPr>
            </w:pPr>
          </w:p>
        </w:tc>
      </w:tr>
      <w:tr>
        <w:trPr>
          <w:trHeight w:val="175"/>
        </w:trPr>
        <w:tc>
          <w:tcPr>
            <w:tcW w:w="5940" w:type="dxa"/>
            <w:vAlign w:val="bottom"/>
          </w:tcPr>
          <w:p>
            <w:pPr>
              <w:ind w:left="140"/>
              <w:spacing w:after="0" w:line="176" w:lineRule="exact"/>
              <w:rPr>
                <w:sz w:val="20"/>
                <w:szCs w:val="20"/>
                <w:color w:val="auto"/>
              </w:rPr>
            </w:pPr>
            <w:r>
              <w:rPr>
                <w:rFonts w:ascii="Arial" w:cs="Arial" w:eastAsia="Arial" w:hAnsi="Arial"/>
                <w:sz w:val="18"/>
                <w:szCs w:val="18"/>
                <w:color w:val="auto"/>
              </w:rPr>
              <w:t>Unrealized gain (loss) on cash flow hedging activities, net of income tax</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provision (benefit) of $168, $85, $331 and ($494), respectively</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Unrealized loss on fair value hedging activities, net of income tax benefit of</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($125), $—, ($125) and $—, respectively</w:t>
            </w: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(56,583)</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8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7"/>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(45,076)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(45,076)</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20"/>
                <w:szCs w:val="20"/>
                <w:color w:val="auto"/>
              </w:rPr>
            </w:pPr>
            <w:r>
              <w:rPr>
                <w:rFonts w:ascii="Arial" w:cs="Arial" w:eastAsia="Arial" w:hAnsi="Arial"/>
                <w:sz w:val="14"/>
                <w:szCs w:val="14"/>
                <w:b w:val="1"/>
                <w:bCs w:val="1"/>
                <w:color w:val="auto"/>
              </w:rPr>
              <w:t>Balance at March 31,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56,873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2,694,858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(179,428)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1,281,726</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3,797,689</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connection with the acquisition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608,456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608,456</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of GW Pharmaceuticals plc</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Share-based payment - pre-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combination service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connection with the acquisition</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3,555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of GW Pharmaceuticals plc</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w w:val="92"/>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8,282</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(11,507)</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(363,316)</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b w:val="1"/>
                <w:bCs w:val="1"/>
                <w:color w:val="auto"/>
              </w:rPr>
              <w:t>Balance at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61,115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3,403,482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(190,935)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918,410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4,131,490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3,110,981</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13,264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13,264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(13,547)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(13,547)</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28,731</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(139,053)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(139,053)</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(157,833)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(157,833)</w:t>
            </w:r>
          </w:p>
        </w:tc>
        <w:tc>
          <w:tcPr>
            <w:tcW w:w="0" w:type="dxa"/>
            <w:vAlign w:val="bottom"/>
          </w:tcPr>
          <w:p>
            <w:pPr>
              <w:spacing w:after="0"/>
              <w:rPr>
                <w:sz w:val="1"/>
                <w:szCs w:val="1"/>
                <w:color w:val="auto"/>
              </w:rPr>
            </w:pPr>
          </w:p>
        </w:tc>
      </w:tr>
      <w:tr>
        <w:trPr>
          <w:trHeight w:val="186"/>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55,368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2,294,474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770,929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2,808,500</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w w:val="92"/>
              </w:rPr>
              <w:t>Issuance of Exchangeable Senior</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176,260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176,260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Notes, due 2026</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Partial repurchase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4"/>
              </w:rPr>
              <w:t>Exchangeable Senior Notes, due</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4,440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30,599</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21,327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21,327</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114,801</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b w:val="1"/>
                <w:bCs w:val="1"/>
                <w:color w:val="auto"/>
              </w:rPr>
              <w:t>Balance at June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55,456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2,499,135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(236,109)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878,246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3,141,805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(241,484)</w:t>
            </w:r>
          </w:p>
        </w:tc>
        <w:tc>
          <w:tcPr>
            <w:tcW w:w="10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(43,032)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Intangible asset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208,672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125,821</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provision (benefit)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(82,768)</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82,648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59,258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accounting inventory fair value step-up adjustment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Non-cash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38,010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29,268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9,266</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Provision for losses on accounts receivable and inventory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4,078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charge</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136,139</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205,250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non-cash transactions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(29,402)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(18,826)</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(44,853)</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Operating lease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6,422</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5,264</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(6,972)</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Income taxes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45,481</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Operating lease liabilities, less current portion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(6,978)</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25,912</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326,692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455,488</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Proceeds from maturity of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565,000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a business, net of cash acquired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(6,234,792)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(205,250)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intangible assets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(113,000)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(1,040,475)</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(5,175,238)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(801,245)</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Net proceeds from issuance of borrowings under credit agreement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3,719,930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proceeds from issuance of Senior Secured Notes, due 2029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1,471,533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Net proceeds from issuance of Exchangeable Senior Notes, due 2026</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981,381</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proceeds from revolving credit facility</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Proceeds from employee equity incentive and purchase plans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102,289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24,251</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employee withholding taxes related to share-based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(14,663)</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(584,268)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(16,693)</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 repurchases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(146,537)</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Payments for partial repurchase of Exchangeable Senior Notes, due 2021</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(332,888)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under revolving credit facility</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4,682,312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494,851</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209"/>
        </w:trPr>
        <w:tc>
          <w:tcPr>
            <w:tcW w:w="82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(166,369)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148,738</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1,057,769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637,344</w:t>
            </w:r>
          </w:p>
        </w:tc>
      </w:tr>
      <w:tr>
        <w:trPr>
          <w:trHeight w:val="209"/>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891,400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786,082</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right="180" w:firstLine="243"/>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are identifying new options for patients by actively exploring small molecules and biologics, and through innovative delivery technologies and cannabinoid science.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40" w:right="80" w:hanging="327"/>
        <w:spacing w:after="0" w:line="312"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Xyrem® (sodium oxybate) oral solution</w:t>
      </w:r>
      <w:r>
        <w:rPr>
          <w:rFonts w:ascii="Arial" w:cs="Arial" w:eastAsia="Arial" w:hAnsi="Arial"/>
          <w:sz w:val="17"/>
          <w:szCs w:val="17"/>
          <w:color w:val="auto"/>
        </w:rPr>
        <w:t>, a product approved by the U.S. Food and Drug Administration, or FDA, and marketed in the U.S.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both cataplexy and excessive daytime sleepiness, or EDS, in narcolepsy patients seven years of age and older;</w:t>
      </w:r>
    </w:p>
    <w:p>
      <w:pPr>
        <w:spacing w:after="0" w:line="31" w:lineRule="exact"/>
        <w:rPr>
          <w:rFonts w:ascii="Arial" w:cs="Arial" w:eastAsia="Arial" w:hAnsi="Arial"/>
          <w:sz w:val="17"/>
          <w:szCs w:val="17"/>
          <w:color w:val="auto"/>
        </w:rPr>
      </w:pPr>
    </w:p>
    <w:p>
      <w:pPr>
        <w:ind w:left="740" w:right="260" w:hanging="327"/>
        <w:spacing w:after="0" w:line="266"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Xywav™ (calcium, magnesium, potassium, and sodium oxybates) oral solution</w:t>
      </w:r>
      <w:r>
        <w:rPr>
          <w:rFonts w:ascii="Arial" w:cs="Arial" w:eastAsia="Arial" w:hAnsi="Arial"/>
          <w:sz w:val="18"/>
          <w:szCs w:val="18"/>
          <w:color w:val="auto"/>
        </w:rPr>
        <w:t>, a product that contains 92% less sodium than Xyrem,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FDA and launched in the U.S. in November 2020 for the treatment of cataplexy or EDS in narcolepsy patients seven years of age and older;</w:t>
      </w:r>
    </w:p>
    <w:p>
      <w:pPr>
        <w:spacing w:after="0" w:line="67" w:lineRule="exact"/>
        <w:rPr>
          <w:rFonts w:ascii="Arial" w:cs="Arial" w:eastAsia="Arial" w:hAnsi="Arial"/>
          <w:sz w:val="18"/>
          <w:szCs w:val="18"/>
          <w:color w:val="auto"/>
        </w:rPr>
      </w:pPr>
    </w:p>
    <w:p>
      <w:pPr>
        <w:ind w:left="740" w:right="80" w:hanging="327"/>
        <w:spacing w:after="0" w:line="289"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Epidiolex® (cannabidiol) oral solution</w:t>
      </w:r>
      <w:r>
        <w:rPr>
          <w:rFonts w:ascii="Arial" w:cs="Arial" w:eastAsia="Arial" w:hAnsi="Arial"/>
          <w:sz w:val="17"/>
          <w:szCs w:val="17"/>
          <w:color w:val="auto"/>
        </w:rPr>
        <w:t>, a product approved by FDA and launched in the U.S. in 2018 by GW Pharmaceuticals plc, or GW, and</w:t>
      </w:r>
      <w:r>
        <w:rPr>
          <w:rFonts w:ascii="Arial" w:cs="Arial" w:eastAsia="Arial" w:hAnsi="Arial"/>
          <w:sz w:val="17"/>
          <w:szCs w:val="17"/>
          <w:b w:val="1"/>
          <w:bCs w:val="1"/>
          <w:color w:val="auto"/>
        </w:rPr>
        <w:t xml:space="preserve"> </w:t>
      </w:r>
      <w:r>
        <w:rPr>
          <w:rFonts w:ascii="Arial" w:cs="Arial" w:eastAsia="Arial" w:hAnsi="Arial"/>
          <w:sz w:val="17"/>
          <w:szCs w:val="17"/>
          <w:color w:val="auto"/>
        </w:rPr>
        <w:t>in Europe (where it is marketed as Epidyolex®), for the treatments of seizures associated with Lennox-Gastaut syndrome, Dravet syndrome, or tuberous sclerosis complex in patients one year of age or older, and certain forms of childhood-onset epilepsy;</w:t>
      </w:r>
    </w:p>
    <w:p>
      <w:pPr>
        <w:spacing w:after="0" w:line="49" w:lineRule="exact"/>
        <w:rPr>
          <w:rFonts w:ascii="Arial" w:cs="Arial" w:eastAsia="Arial" w:hAnsi="Arial"/>
          <w:sz w:val="17"/>
          <w:szCs w:val="17"/>
          <w:color w:val="auto"/>
        </w:rPr>
      </w:pPr>
    </w:p>
    <w:p>
      <w:pPr>
        <w:ind w:left="740" w:right="80" w:hanging="327"/>
        <w:spacing w:after="0" w:line="282"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Sunosi® (solriamfetol)</w:t>
      </w:r>
      <w:r>
        <w:rPr>
          <w:rFonts w:ascii="Arial" w:cs="Arial" w:eastAsia="Arial" w:hAnsi="Arial"/>
          <w:sz w:val="18"/>
          <w:szCs w:val="18"/>
          <w:color w:val="auto"/>
        </w:rPr>
        <w:t>, a product approved by FDA and marketed in the U.S. and in Europe to improve wakefulness in adult patients with EDS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narcolepsy or obstructive sleep apnea;</w:t>
      </w:r>
    </w:p>
    <w:p>
      <w:pPr>
        <w:spacing w:after="0" w:line="53" w:lineRule="exact"/>
        <w:rPr>
          <w:rFonts w:ascii="Arial" w:cs="Arial" w:eastAsia="Arial" w:hAnsi="Arial"/>
          <w:sz w:val="18"/>
          <w:szCs w:val="18"/>
          <w:color w:val="auto"/>
        </w:rPr>
      </w:pPr>
    </w:p>
    <w:p>
      <w:pPr>
        <w:ind w:left="740" w:right="180" w:hanging="327"/>
        <w:spacing w:after="0" w:line="312"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Zepzelca™ (lurbinectedin)</w:t>
      </w:r>
      <w:r>
        <w:rPr>
          <w:rFonts w:ascii="Arial" w:cs="Arial" w:eastAsia="Arial" w:hAnsi="Arial"/>
          <w:sz w:val="17"/>
          <w:szCs w:val="17"/>
          <w:color w:val="auto"/>
        </w:rPr>
        <w:t>, a product approved by FDA in June 2020 and launched in the U.S. in July 2020 for the treatment of adult patients</w:t>
      </w:r>
      <w:r>
        <w:rPr>
          <w:rFonts w:ascii="Arial" w:cs="Arial" w:eastAsia="Arial" w:hAnsi="Arial"/>
          <w:sz w:val="17"/>
          <w:szCs w:val="17"/>
          <w:b w:val="1"/>
          <w:bCs w:val="1"/>
          <w:color w:val="auto"/>
        </w:rPr>
        <w:t xml:space="preserve"> </w:t>
      </w:r>
      <w:r>
        <w:rPr>
          <w:rFonts w:ascii="Arial" w:cs="Arial" w:eastAsia="Arial" w:hAnsi="Arial"/>
          <w:sz w:val="17"/>
          <w:szCs w:val="17"/>
          <w:color w:val="auto"/>
        </w:rPr>
        <w:t>with metastatic small cell lung cancer, or SCLC, with disease progression on or after platinum-based chemotherapy;</w:t>
      </w:r>
    </w:p>
    <w:p>
      <w:pPr>
        <w:spacing w:after="0" w:line="31" w:lineRule="exact"/>
        <w:rPr>
          <w:rFonts w:ascii="Arial" w:cs="Arial" w:eastAsia="Arial" w:hAnsi="Arial"/>
          <w:sz w:val="17"/>
          <w:szCs w:val="17"/>
          <w:color w:val="auto"/>
        </w:rPr>
      </w:pPr>
    </w:p>
    <w:p>
      <w:pPr>
        <w:ind w:left="740" w:right="240" w:hanging="327"/>
        <w:spacing w:after="0" w:line="266"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Vyxeos®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 liposomal 44 mg/100 mg powder for concentrate for solution for infusion) for the treatment of adults with newly-diagnosed therapy-related acute myeloid leukemia, or AML, or AML with myelodysplasia-related changes;</w:t>
      </w:r>
    </w:p>
    <w:p>
      <w:pPr>
        <w:spacing w:after="0" w:line="67" w:lineRule="exact"/>
        <w:rPr>
          <w:rFonts w:ascii="Arial" w:cs="Arial" w:eastAsia="Arial" w:hAnsi="Arial"/>
          <w:sz w:val="18"/>
          <w:szCs w:val="18"/>
          <w:color w:val="auto"/>
        </w:rPr>
      </w:pPr>
    </w:p>
    <w:p>
      <w:pPr>
        <w:ind w:left="740" w:right="20" w:hanging="327"/>
        <w:spacing w:after="0" w:line="261"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 (defibrotide)) for the treatment of severe VOD in adults and children following HSCT therapy;</w:t>
      </w:r>
    </w:p>
    <w:p>
      <w:pPr>
        <w:spacing w:after="0" w:line="71" w:lineRule="exact"/>
        <w:rPr>
          <w:rFonts w:ascii="Arial" w:cs="Arial" w:eastAsia="Arial" w:hAnsi="Arial"/>
          <w:sz w:val="18"/>
          <w:szCs w:val="18"/>
          <w:color w:val="auto"/>
        </w:rPr>
      </w:pPr>
    </w:p>
    <w:p>
      <w:pPr>
        <w:ind w:left="740" w:right="120" w:hanging="327"/>
        <w:spacing w:after="0" w:line="314"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Sativex® (delta-9-tetrahydrocannabinol/cannabidiol) oral solution</w:t>
      </w:r>
      <w:r>
        <w:rPr>
          <w:rFonts w:ascii="Arial" w:cs="Arial" w:eastAsia="Arial" w:hAnsi="Arial"/>
          <w:sz w:val="16"/>
          <w:szCs w:val="16"/>
          <w:color w:val="auto"/>
        </w:rPr>
        <w:t>, a product marketed in Europe as treatment for symptom improvement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adult patients with moderate to severe spasticity due to multiple sclerosis, or MS, who have not responded adequately to other anti-spasticity medication and who demonstrate clinically significant improvement in spasticity-related symptoms during an initial trial of therapy; and</w:t>
      </w:r>
    </w:p>
    <w:p>
      <w:pPr>
        <w:spacing w:after="0" w:line="33" w:lineRule="exact"/>
        <w:rPr>
          <w:rFonts w:ascii="Arial" w:cs="Arial" w:eastAsia="Arial" w:hAnsi="Arial"/>
          <w:sz w:val="16"/>
          <w:szCs w:val="16"/>
          <w:color w:val="auto"/>
        </w:rPr>
      </w:pPr>
    </w:p>
    <w:p>
      <w:pPr>
        <w:ind w:left="740" w:hanging="327"/>
        <w:spacing w:after="0" w:line="289"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Rylaze™ </w:t>
      </w:r>
      <w:r>
        <w:rPr>
          <w:rFonts w:ascii="Arial" w:cs="Arial" w:eastAsia="Arial" w:hAnsi="Arial"/>
          <w:sz w:val="17"/>
          <w:szCs w:val="17"/>
          <w:color w:val="auto"/>
        </w:rPr>
        <w:t>(recombinant Erwinia asparaginase), a product approved by FDA and launched in the U.S. in July 2021 for use as a component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multi-agent chemotherapeutic regimen for the treatment of acute lymphoblastic leukemia, or ALL, or lymphoblastic lymphoma, or LBL, in adults and pediatric patients who have developed hypersensitivity or silent inactivation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w:t>
      </w:r>
    </w:p>
    <w:p>
      <w:pPr>
        <w:spacing w:after="0" w:line="54" w:lineRule="exact"/>
        <w:rPr>
          <w:sz w:val="20"/>
          <w:szCs w:val="20"/>
          <w:color w:val="auto"/>
        </w:rPr>
      </w:pPr>
    </w:p>
    <w:p>
      <w:pPr>
        <w:ind w:right="280" w:firstLine="445"/>
        <w:spacing w:after="0" w:line="311" w:lineRule="auto"/>
        <w:rPr>
          <w:sz w:val="20"/>
          <w:szCs w:val="20"/>
          <w:color w:val="auto"/>
        </w:rPr>
      </w:pPr>
      <w:r>
        <w:rPr>
          <w:rFonts w:ascii="Arial" w:cs="Arial" w:eastAsia="Arial" w:hAnsi="Arial"/>
          <w:sz w:val="16"/>
          <w:szCs w:val="16"/>
          <w:color w:val="auto"/>
        </w:rPr>
        <w:t>In May 2021, we acquired GW with the objectives of broadening our neuroscience portfolio, further diversifying our revenue and driving sustainable, long-term value creation opportunities. The total consideration paid by us for the entire issued share capital of GW was $7.2 billion. The acquisition, which we refer to as the GW Acquisition, closed on May 5, 2021. For further information regarding the GW Acquisition, please see Note 2.</w:t>
      </w:r>
    </w:p>
    <w:p>
      <w:pPr>
        <w:spacing w:after="0" w:line="41"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10-K for the year ended December 31, 2020.</w:t>
      </w:r>
    </w:p>
    <w:p>
      <w:pPr>
        <w:spacing w:after="0" w:line="97" w:lineRule="exact"/>
        <w:rPr>
          <w:sz w:val="20"/>
          <w:szCs w:val="20"/>
          <w:color w:val="auto"/>
        </w:rPr>
      </w:pPr>
    </w:p>
    <w:p>
      <w:pPr>
        <w:ind w:right="220" w:firstLine="445"/>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six months ended June 30, 2021 are not necessarily indicative of the results to be expected for the year ending December 31, 2021, for any other interim period or for any future period.</w:t>
      </w:r>
    </w:p>
    <w:p>
      <w:pPr>
        <w:spacing w:after="0" w:line="63"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10-K for the year ended December 31, 2020, other than as described below.</w:t>
      </w:r>
    </w:p>
    <w:p>
      <w:pPr>
        <w:spacing w:after="0" w:line="62"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60" w:firstLine="445"/>
        <w:spacing w:after="0" w:line="342" w:lineRule="auto"/>
        <w:rPr>
          <w:sz w:val="20"/>
          <w:szCs w:val="20"/>
          <w:color w:val="auto"/>
        </w:rPr>
      </w:pPr>
      <w:r>
        <w:rPr>
          <w:rFonts w:ascii="Arial" w:cs="Arial" w:eastAsia="Arial" w:hAnsi="Arial"/>
          <w:sz w:val="16"/>
          <w:szCs w:val="16"/>
          <w:color w:val="auto"/>
        </w:rPr>
        <w:t>The results of operations of the acquired GW business, along with the estimated fair values of the assets acquired and liabilities assumed in the GW Acquisition, have been included in our condensed consolidated financial statements since the closing of the GW Acquisition on May 5, 2021.</w:t>
      </w:r>
    </w:p>
    <w:p>
      <w:pPr>
        <w:spacing w:after="0" w:line="16"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December 2019, the Financial Accounting Standards Board, or FASB, issued ASU No. 2019-12, "Income Taxes (Topic 740): Simplifying the Accounting for Income Taxes", which simplifies the accounting for income taxes by removing certain exceptions to the general principles in the existing guidance for income taxes and making other minor improvements. We adopted this standard on January 1, 2021 and adoption did not have a material impact on our consolidated financial statements.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 Awards</w:t>
      </w:r>
    </w:p>
    <w:p>
      <w:pPr>
        <w:spacing w:after="0" w:line="11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Performance-based restricted stock units, or PRSUs, awarded to employees vest upon the achievement of certain performance criteria at the end of a specified performance period, subject to a relative total shareholder return, or TSR, modifier. The estimated fair value of these PRSUs is based on a Monte Carlo simulation model. Compensation expense for PRSUs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If our estimate of future demand changes, we consider the impact on the reserve for excess inventory and adjust the reserve as required. Increases in the reserve are recorded as charges in cost of product sales.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condensed consolidated balance sheets as of June 30, 2021 or December 31, 2020.</w:t>
      </w:r>
    </w:p>
    <w:p>
      <w:pPr>
        <w:spacing w:after="0" w:line="68" w:lineRule="exact"/>
        <w:rPr>
          <w:sz w:val="20"/>
          <w:szCs w:val="20"/>
          <w:color w:val="auto"/>
        </w:rPr>
      </w:pPr>
    </w:p>
    <w:p>
      <w:pPr>
        <w:ind w:right="160" w:firstLine="445"/>
        <w:spacing w:after="0" w:line="248" w:lineRule="auto"/>
        <w:rPr>
          <w:sz w:val="20"/>
          <w:szCs w:val="20"/>
          <w:color w:val="auto"/>
        </w:rPr>
      </w:pPr>
      <w:r>
        <w:rPr>
          <w:rFonts w:ascii="Arial" w:cs="Arial" w:eastAsia="Arial" w:hAnsi="Arial"/>
          <w:sz w:val="18"/>
          <w:szCs w:val="18"/>
          <w:color w:val="auto"/>
        </w:rPr>
        <w:t>Our inventory production process for our cannabinoid products includes the cultivation of botanical raw material. Because of the duration of the cultivation process, a portion of our inventory will not be sold within one year. Consistent with the practice in other industries that cultivate botanical raw materials, all inventory is classified as a current asset.</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We record the fair value of derivative instruments as either assets or liabilities on the condensed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w:t>
      </w:r>
    </w:p>
    <w:p>
      <w:pPr>
        <w:spacing w:after="0" w:line="49" w:lineRule="exact"/>
        <w:rPr>
          <w:sz w:val="20"/>
          <w:szCs w:val="20"/>
          <w:color w:val="auto"/>
        </w:rPr>
      </w:pPr>
    </w:p>
    <w:p>
      <w:pPr>
        <w:ind w:right="540" w:firstLine="445"/>
        <w:spacing w:after="0" w:line="277" w:lineRule="auto"/>
        <w:rPr>
          <w:sz w:val="20"/>
          <w:szCs w:val="20"/>
          <w:color w:val="auto"/>
        </w:rPr>
      </w:pPr>
      <w:r>
        <w:rPr>
          <w:rFonts w:ascii="Arial" w:cs="Arial" w:eastAsia="Arial" w:hAnsi="Arial"/>
          <w:sz w:val="18"/>
          <w:szCs w:val="18"/>
          <w:color w:val="auto"/>
        </w:rPr>
        <w:t>For derivatives formally designated as hedges, we assess both at inception and quarterly thereafter, whether the hedging derivatives are highly effective in offsetting changes in either the fair value or cash flows of the hedged item.</w:t>
      </w:r>
    </w:p>
    <w:p>
      <w:pPr>
        <w:spacing w:after="0" w:line="62"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w:t>
      </w:r>
    </w:p>
    <w:p>
      <w:pPr>
        <w:spacing w:after="0" w:line="76"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We designate cross-currency interest rate swaps as fair value hedges to hedge foreign currency risks related to our borrowings denominated in currencies other than the U.S. dollar. Fair value hedge amounts included in the assessment of hedge effectiveness are recognized in foreign exchange gain (loss) within the condensed consolidated statements of income (loss), along with the offsetting gains and losses of the related hedged item. We have elected to exclude the total forward points or currency basis from the assessment of hedge effectiveness and account for them as excluded components. The initial fair value of the excluded component is amortized to foreign exchange gain (loss) and the difference between changes in fair value of the excluded component and the amount recorded in earnings is recorded in other comprehensive income (loss).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Derivatives that are not designated and do not qualify as hedges are adjusted to fair value through current earnings.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In the six months ended June 30, 2021, we invested in a cell of a protected cell company, or the protected cell, as part of our directors’ and officers’ liability risk financing strategy. Based on our control and the structure of the protected cell, we concluded that Jazz is the primary beneficiary of the protected cell and is required to consolidate the protected cell. The insurance premium payable to the protected cell for the three and six months ended June 30, 2021 and the protected cell’s assets and liabilities as of June 30, 2021 were immaterial.</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We have experienced limited negative impacts to our business due to the pandemic. We expect that our business, financial condition, results of operations and growth prospects may continue to be impacted on a limited basis by the pandemic. With respect to our commercialization activities, while there continues to be some impact on demand arising from the pandemic, we have seen improvements as healthcare systems have adapted to cope with the ongoing situation. The COVID-19 pandemic has had a negative impact on demand, new patient starts and treatments for our products, primarily due to the inherent limitations of telemedicine and a reprioritization of healthcare resources toward COVID-19. The extent of the impact on our ability to generate sales of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vaccination programs and other actions taken globally to contain and treat the disease.</w:t>
      </w:r>
    </w:p>
    <w:p>
      <w:pPr>
        <w:spacing w:after="0" w:line="71"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Our business has been substantially dependent on Xyrem and while we expect that our business will continue to be substantially dependent on oxybate product sales from both Xyrem and Xywav, there is no guarantee that we can maintain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oxybate sales at or near historical levels, or that oxybate sales will continue to grow. Our ability to maintain or increase oxybate sales is subject to a number of risks and uncertainties including, without limitation, those related to the introduction of authorized generic and generic versions of sodium oxybate and new products for treatment of cataplexy and/or EDS in narcolepsy in the U.S. market, increased pricing pressure from, changes in policies by, or restrictions on reimbursement imposed by, third party payors, including our ability to maintain adequate coverage and reimbursement for Xywav, challenges to our intellectual property around Xyrem and Xywav, and continued acceptance of Xyrem by physicians and patients and acceptance of Xywav by payors, physicians and patients.</w:t>
      </w:r>
    </w:p>
    <w:p>
      <w:pPr>
        <w:spacing w:after="0" w:line="84"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In addition to risks related specifically to Xyrem and Xywav, we are subject to other challenges and risks related to successfully commercializing a portfolio of oncology products and other neuroscience products, including Epidiolex, Sunosi, Defitelio, Vyxeos, Rylaze and Zepzelca,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candidates; effectively commercializing our recently approved products such as Epidiolex, Sunosi, Zepzelca, Rylaze and Xywav; obtaining and maintaining adequate coverage and reimbursement for our products; increasing scrutiny of pharmaceutical product pricing and resulting changes in healthcare laws and policy; market acceptance; regulatory concerns with cannabinoid products generally and the potential for abuse; future legislation or FDA action authorizing the sale, distribution, use, and insurance reimbursement of non-FDA approved cannabinoid products;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anticipated benefits to us of the GW Acquisition may not be realized fully within the expected timeframe or at all or may take longer to realize or cost more than expected, which could materially and adversely affect our business, financial condition, results of operations and growth prospects. Moreover, to the extent the COVID-19 pandemic continues to adversely affect our business and results of operations, it may also have the effect of heightening many of the other risks and uncertainties discussed above.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June 30, 2021, we had foreign exchange forward contracts with notional amounts totaling $427.3 million. As of June 30, 2021, the outstanding foreign exchange forward contracts had a net liability fair value of $5.2 million. As of June 30, 2021, we had interest rate swap contracts with notional amounts totaling $300.0 million. These outstanding interest rate swap contracts had a net liability fair value of $0.2 million as of June 30, 2021. As of June 30, 2021, we had a cross-currency interest rate swap contract with a notional amount of $753.0 million. This outstanding cross-currency interest rate swap contract had a net liability fair value of $10.8 million as of June 30, 2021. The counterparties to these contracts are large multinational commercial banks, and we believe the risk of nonperformance is not significant.</w:t>
      </w:r>
    </w:p>
    <w:p>
      <w:pPr>
        <w:spacing w:after="0" w:line="84"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June 30, 2021 and December 31, 2020, allowances on receivables were not material. As of June 30, 2021, three customers accounted for 74% of gross accounts receivable, Express Scripts Specialty Distribution Services, Inc. and its affiliates, or ESSDS, which accounted for 56% of gross accounts receivable, McKesson Corporation and affiliates, or McKesson, which accounted for 10% of gross accounts receivable, and Cardinal Health, Inc., or Cardinal, which accounted for 8% of gross accounts receivable. As of December 31, 2020, three customers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accounted for 84% of gross accounts receivable, ESSDS, which accounted for 68% of gross accounts receivable, McKesson, which accounted for 12% of gross accounts receivable, and Cardinal, which accounted for 4% of gross accounts receivable.</w:t>
      </w:r>
    </w:p>
    <w:p>
      <w:pPr>
        <w:spacing w:after="0" w:line="62"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eliminates the treasury stock method to calculate diluted earnings per share for convertible instruments and requires the use of the if-converted method. This new standard will be effective for us for fiscal years beginning after December 15, 2021, including interim periods within those fiscal years. Early adoption is permitted, but no earlier than the fiscal year beginning after December 15, 2020. We may elect to apply the amendments on a retrospective or modified retrospective basis. We are currently evaluating the timing, method of adoption and overall impact of this standard on our consolidated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GW Acquisition</w:t>
      </w:r>
    </w:p>
    <w:p>
      <w:pPr>
        <w:spacing w:after="0" w:line="117"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On May 5, 2021, or the Closing Date, we acquired the entire issued share capital of GW. As a result, GW became an indirect wholly owned subsidiary of the Company.</w:t>
      </w:r>
    </w:p>
    <w:p>
      <w:pPr>
        <w:spacing w:after="0" w:line="62" w:lineRule="exact"/>
        <w:rPr>
          <w:sz w:val="20"/>
          <w:szCs w:val="20"/>
          <w:color w:val="auto"/>
        </w:rPr>
      </w:pPr>
    </w:p>
    <w:p>
      <w:pPr>
        <w:ind w:right="300" w:firstLine="445"/>
        <w:spacing w:after="0" w:line="286" w:lineRule="auto"/>
        <w:rPr>
          <w:sz w:val="20"/>
          <w:szCs w:val="20"/>
          <w:color w:val="auto"/>
        </w:rPr>
      </w:pPr>
      <w:r>
        <w:rPr>
          <w:rFonts w:ascii="Arial" w:cs="Arial" w:eastAsia="Arial" w:hAnsi="Arial"/>
          <w:sz w:val="17"/>
          <w:szCs w:val="17"/>
          <w:color w:val="auto"/>
        </w:rPr>
        <w:t>We acquired GW with the objective of broadening our neuroscience portfolio, further diversifying our revenue and driving sustainable, long-term value creation opportunities. GW was a global leader in discovering, developing, manufacturing and commercializing novel, regulatory approved therapeutics from its proprietary cannabinoid research platform to address a broad range of diseases.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consideration for the GW Acquisition was $7.2 billion as follows (all amounts in thousands except American Depositary Shares,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ADS, and per GW ADS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 ADS outstanding May 5, 2021</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31,556,200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per GW ADS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 to GW ADS holders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6,311,240</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to GW share option holders (inclusive of payroll taxes)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267,450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6,578,690</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Equity consideration to GW ADS 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right="3491"/>
        <w:spacing w:after="0" w:line="296" w:lineRule="auto"/>
        <w:rPr>
          <w:sz w:val="20"/>
          <w:szCs w:val="20"/>
          <w:color w:val="auto"/>
        </w:rPr>
      </w:pPr>
      <w:r>
        <w:rPr>
          <w:rFonts w:ascii="Arial" w:cs="Arial" w:eastAsia="Arial" w:hAnsi="Arial"/>
          <w:sz w:val="18"/>
          <w:szCs w:val="18"/>
          <w:color w:val="auto"/>
        </w:rPr>
        <w:t>Consideration related to replacement share option pre-combination service Total 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purchase consideration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608,456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612,011</w:t>
      </w:r>
    </w:p>
    <w:p>
      <w:pPr>
        <w:spacing w:after="0" w:line="36" w:lineRule="exact"/>
        <w:rPr>
          <w:sz w:val="20"/>
          <w:szCs w:val="20"/>
          <w:color w:val="auto"/>
        </w:rPr>
      </w:pPr>
    </w:p>
    <w:p>
      <w:pPr>
        <w:ind w:left="829" w:hanging="829"/>
        <w:spacing w:after="0"/>
        <w:tabs>
          <w:tab w:leader="none" w:pos="829" w:val="left"/>
        </w:tabs>
        <w:numPr>
          <w:ilvl w:val="0"/>
          <w:numId w:val="4"/>
        </w:numPr>
        <w:rPr>
          <w:rFonts w:ascii="Arial" w:cs="Arial" w:eastAsia="Arial" w:hAnsi="Arial"/>
          <w:sz w:val="16"/>
          <w:szCs w:val="16"/>
          <w:color w:val="auto"/>
        </w:rPr>
      </w:pPr>
      <w:r>
        <w:rPr>
          <w:rFonts w:ascii="Arial" w:cs="Arial" w:eastAsia="Arial" w:hAnsi="Arial"/>
          <w:sz w:val="16"/>
          <w:szCs w:val="16"/>
          <w:color w:val="auto"/>
        </w:rPr>
        <w:t>7,190,701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045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8891" w:space="720"/>
            <w:col w:w="1629"/>
          </w:cols>
          <w:pgMar w:left="320" w:top="125" w:right="339" w:bottom="1440" w:gutter="0" w:footer="0" w:header="0"/>
          <w:type w:val="continuous"/>
        </w:sectPr>
      </w:pPr>
    </w:p>
    <w:p>
      <w:pPr>
        <w:ind w:right="140" w:firstLine="8"/>
        <w:spacing w:after="0" w:line="262"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3.8 million ordinary shares were issued to GW ADS holders. The closing price of the ordinary shares on May 4, 2021 ($160.20) was used to determine the fair value of this equity consideration because the closing of the transaction on May 5, 2021 occurred prior to the opening of regular trading.</w:t>
      </w:r>
    </w:p>
    <w:p>
      <w:pPr>
        <w:spacing w:after="0" w:line="7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April 2021, we closed an offering of $1.5 billion in aggregate principal amount of 4.375% senior secured notes, due 2029, or the Secured Notes. In May 2021, we entered into a credit agreement, or the Credit Agreement, that provides for (i) a seven-year $3.1 billion term loan B facility, or the Dollar Term Loan, (ii) a seven-year €625.0 million term loan B facility, or the Euro Term Loan and, together with the Dollar Term Loan, collectively known as the Term Loan and (iii) a five-year $500.0 million revolving credit facility, or the Revolving Credit Facility. We financed the cash portion of the GW Acquisition consideration through a combination of cash on hand and borrowings under the Term Loan and the Secured Notes. For further information on the Term Loan and the Secured Notes, please see Note 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The GW Acquisition was accounted for as a business combination using the acquisition method under which assets and liabilities of GW were recorded at their respective estimated fair values as of the Closing Date and added to the assets and liabilities of the Company, including an amount for goodwill representing the difference between the acquisition consideration and the estimated fair value of the identifiable net assets. The results of operations of GW and the estimated fair values of the assets acquired and liabilities assumed have been included in our condensed consolidated financial statements since the Closing Date.</w:t>
      </w:r>
    </w:p>
    <w:p>
      <w:pPr>
        <w:spacing w:after="0" w:line="80"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In the three and six months ended June 30, 2021, we incurred $77.1 million and $84.0 million, respectively, in acquisition-related costs related to the GW Acquisition, which primarily consisted of banking, legal, accounting and valuation-related expenses. These expenses were recorded in selling, general and administrative expense in the accompanying condensed consolidated statements of income (loss).</w:t>
      </w:r>
    </w:p>
    <w:p>
      <w:pPr>
        <w:spacing w:after="0" w:line="76"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During both the three and six months ended June 30, 2021, our condensed consolidated statements of income (loss) included revenues of $111.4 million and a net loss of $134.4 million from the acquired GW business, as measured from the Closing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assets acquired and liabilities assumed at the Closing Date are summarized below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 fair values of</w:t>
            </w:r>
          </w:p>
        </w:tc>
      </w:tr>
      <w:tr>
        <w:trPr>
          <w:trHeight w:val="135"/>
        </w:trPr>
        <w:tc>
          <w:tcPr>
            <w:tcW w:w="9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89"/>
              </w:rPr>
              <w:t>assets acquired and</w:t>
            </w:r>
          </w:p>
        </w:tc>
      </w:tr>
      <w:tr>
        <w:trPr>
          <w:trHeight w:val="188"/>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liabilities assumed</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343,898</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76,355</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1,206,290</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72,758</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154,407</w:t>
            </w:r>
          </w:p>
        </w:tc>
      </w:tr>
      <w:tr>
        <w:trPr>
          <w:trHeight w:val="229"/>
        </w:trPr>
        <w:tc>
          <w:tcPr>
            <w:tcW w:w="9600" w:type="dxa"/>
            <w:vAlign w:val="bottom"/>
          </w:tcPr>
          <w:p>
            <w:pPr>
              <w:ind w:left="140"/>
              <w:spacing w:after="0"/>
              <w:rPr>
                <w:sz w:val="20"/>
                <w:szCs w:val="20"/>
                <w:color w:val="auto"/>
              </w:rPr>
            </w:pPr>
            <w:r>
              <w:rPr>
                <w:rFonts w:ascii="Arial" w:cs="Arial" w:eastAsia="Arial" w:hAnsi="Arial"/>
                <w:sz w:val="18"/>
                <w:szCs w:val="18"/>
                <w:color w:val="auto"/>
              </w:rPr>
              <w:t>Acquired developed technologies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5,480,000</w:t>
            </w:r>
          </w:p>
        </w:tc>
      </w:tr>
      <w:tr>
        <w:trPr>
          <w:trHeight w:val="243"/>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r>
      <w:tr>
        <w:trPr>
          <w:trHeight w:val="223"/>
        </w:trPr>
        <w:tc>
          <w:tcPr>
            <w:tcW w:w="9600" w:type="dxa"/>
            <w:vAlign w:val="bottom"/>
          </w:tcPr>
          <w:p>
            <w:pPr>
              <w:ind w:left="140"/>
              <w:spacing w:after="0"/>
              <w:rPr>
                <w:sz w:val="20"/>
                <w:szCs w:val="20"/>
                <w:color w:val="auto"/>
              </w:rPr>
            </w:pPr>
            <w:r>
              <w:rPr>
                <w:rFonts w:ascii="Arial" w:cs="Arial" w:eastAsia="Arial" w:hAnsi="Arial"/>
                <w:sz w:val="18"/>
                <w:szCs w:val="18"/>
                <w:color w:val="auto"/>
              </w:rPr>
              <w:t>Total acquired identifiable intangible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5,640,000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947,831</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(1,083,673)</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(131,971)</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7,190,701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color w:val="auto"/>
        </w:rPr>
        <w:t>The fair value estimates for the assets acquired and liabilities assumed were based upon preliminary calculations, and our estimates and assumptions are subject to change as we obtain additional information for our estimates during the measurement period (up to one year from the Closing Date).</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Inventories acquired included raw materials, work in progress and finished goods. Inventories were recorded at their estimated fair values. The inventory was valued at estimated selling price less the estimated costs to be incurred to complete (in the case of work in progress) and sell the inventory, the associated margins on these activities and holding costs. A step-up in value of inventory of $1,062.6 million was recorded in connection with the GW Acquisition. The step-up expense will be recorded in cost of product sales on our condensed consolidated statements of income (loss) as the inventory is sold to customers from the Closing Date.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fair value of acquired intangible assets was $5,640.0 million. The intangible assets include acquired developed technologies, primarily related to Epidiolex, and in-process research and development, or IPR&amp;D.</w:t>
      </w:r>
    </w:p>
    <w:p>
      <w:pPr>
        <w:spacing w:after="0" w:line="6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fair value of the Epidiolex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9.4% that reflects the return requirements of the market. This intangible asset is being amortized over an estimated useful life of 12 years.</w:t>
      </w:r>
    </w:p>
    <w:p>
      <w:pPr>
        <w:spacing w:after="0" w:line="79"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Acquired IPR&amp;D relates to nabiximols, which is currently in Phase 3 clinical trials for the treatment of spasticity associated with multiple sclerosis and spinal cord injury. The fair value of acquired IPR&amp;D was determined using the income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approach, including the application of probability factors related to the likelihood of success of nabiximols reaching final development and commercialization. The fair value of acquired IPR&amp;D was capitalized as of the Closing Date and is subsequently accounted for as an indefinite-lived intangible asset until completion or abandonment of the associated research and development efforts. Accordingly, during the development period after the Closing Date, this asset will not be amortized into earnings; instead, it will be subject to periodic impairment testing.</w:t>
      </w:r>
    </w:p>
    <w:p>
      <w:pPr>
        <w:spacing w:after="0" w:line="63"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Some of the more significant assumptions inherent in the development of intangible asset fair values include: the amount and timing of projected future cash flows (including revenue, cost of sales, research and development cost and sales and marketing expenses); probability of success; the discount rate selected to measure inherent risk of future cash flows; and the assessment of the asset’s life cycle and the competitive trends impacting the asset, among other factors.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 net</w:t>
      </w:r>
    </w:p>
    <w:p>
      <w:pPr>
        <w:spacing w:after="0" w:line="121"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net deferred tax liability relates to the difference between the book basis and tax basis of acquired intangible assets and inventory, partially offset by acquired net operating losses and temporary differences.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tangible assets and liabilities</w:t>
      </w:r>
    </w:p>
    <w:p>
      <w:pPr>
        <w:spacing w:after="0" w:line="121"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Other tangible assets and liabilities were valued at their respective carrying amounts as management believes that these amounts approximated their acquisition-date fair values.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60" w:firstLine="445"/>
        <w:spacing w:after="0" w:line="286" w:lineRule="auto"/>
        <w:rPr>
          <w:sz w:val="20"/>
          <w:szCs w:val="20"/>
          <w:color w:val="auto"/>
        </w:rPr>
      </w:pPr>
      <w:r>
        <w:rPr>
          <w:rFonts w:ascii="Arial" w:cs="Arial" w:eastAsia="Arial" w:hAnsi="Arial"/>
          <w:sz w:val="17"/>
          <w:szCs w:val="17"/>
          <w:color w:val="auto"/>
        </w:rPr>
        <w:t>Goodwill represents the excess of the total purchase consideration over the estimated fair value of net assets acquired and was recorded in the consolidated balance sheet as of the Closing Date. The goodwill was primarily attributable to the establishment of the deferred tax liability for the acquired intangible assets and inventory. We do not expect any portion of this goodwill to be deductible for tax purposes.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 Forma Financial Information (Unaudited)</w:t>
      </w:r>
    </w:p>
    <w:p>
      <w:pPr>
        <w:spacing w:after="0" w:line="12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following unaudited supplemental pro forma information presents the combined historical results of income (loss) of the Company and GW for the three and six months ended June 30, 2021 and 2020, respectively, as if the GW Acquisition had been completed on January 1, 2020. The primary pro forma adjustments include:</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exclusion of acquisition-related and integration expenses of $280.1 million and $299.9 million in the three and six months ended</w:t>
      </w:r>
    </w:p>
    <w:p>
      <w:pPr>
        <w:spacing w:after="0" w:line="23" w:lineRule="exact"/>
        <w:rPr>
          <w:rFonts w:ascii="Arial" w:cs="Arial" w:eastAsia="Arial" w:hAnsi="Arial"/>
          <w:sz w:val="18"/>
          <w:szCs w:val="18"/>
          <w:color w:val="auto"/>
        </w:rPr>
      </w:pPr>
    </w:p>
    <w:p>
      <w:pPr>
        <w:jc w:val="both"/>
        <w:ind w:left="660" w:right="200"/>
        <w:spacing w:after="0" w:line="255" w:lineRule="auto"/>
        <w:rPr>
          <w:rFonts w:ascii="Arial" w:cs="Arial" w:eastAsia="Arial" w:hAnsi="Arial"/>
          <w:sz w:val="18"/>
          <w:szCs w:val="18"/>
          <w:color w:val="auto"/>
        </w:rPr>
      </w:pPr>
      <w:r>
        <w:rPr>
          <w:rFonts w:ascii="Arial" w:cs="Arial" w:eastAsia="Arial" w:hAnsi="Arial"/>
          <w:sz w:val="18"/>
          <w:szCs w:val="18"/>
          <w:color w:val="auto"/>
        </w:rPr>
        <w:t>June 30, 2021 and related tax provision of $19.1 million and $18.0 million in each period, respectively. The inclusion of acquisition-related and integration expenses of $29.0 million and $346.9 million in the three and six months ended June 30, 2020 and related tax benefit of $2.4 million and $26.8 million in each period, respectively.</w:t>
      </w:r>
    </w:p>
    <w:p>
      <w:pPr>
        <w:spacing w:after="0" w:line="81" w:lineRule="exact"/>
        <w:rPr>
          <w:rFonts w:ascii="Arial" w:cs="Arial" w:eastAsia="Arial" w:hAnsi="Arial"/>
          <w:sz w:val="18"/>
          <w:szCs w:val="18"/>
          <w:color w:val="auto"/>
        </w:rPr>
      </w:pPr>
    </w:p>
    <w:p>
      <w:pPr>
        <w:ind w:left="660" w:right="20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in amortization expense of $43.0 million and $159.1 million in the three and six months ended June 30, 2021 and related tax benefit of $8.2 million and $30.2 million, in each period, respectively. An increase in amortization expense of $116.2 million and $232.3 million in the three and six months ended June 30, 2020 and related tax benefit of $22.1 million and $44.1 million, in each period, respectively.</w:t>
      </w:r>
    </w:p>
    <w:p>
      <w:pPr>
        <w:spacing w:after="0" w:line="40" w:lineRule="exact"/>
        <w:rPr>
          <w:rFonts w:ascii="Arial" w:cs="Arial" w:eastAsia="Arial" w:hAnsi="Arial"/>
          <w:sz w:val="16"/>
          <w:szCs w:val="16"/>
          <w:color w:val="auto"/>
        </w:rPr>
      </w:pPr>
    </w:p>
    <w:p>
      <w:pPr>
        <w:ind w:left="660" w:right="14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in cost of product sales of $13.4 million and $92.8 million in the three and six months ended June 30, 2021 and related tax benefit of $0.8 million and $15.9 million, in each period, respectively. An increase in cost of product sales of $76.5 million and $153.0 million in the three and six months ended June 30, 2020 and related tax benefit of $15.3 million and $30.7 million, in each period, respectively.</w:t>
      </w:r>
    </w:p>
    <w:p>
      <w:pPr>
        <w:spacing w:after="0" w:line="40" w:lineRule="exact"/>
        <w:rPr>
          <w:rFonts w:ascii="Arial" w:cs="Arial" w:eastAsia="Arial" w:hAnsi="Arial"/>
          <w:sz w:val="16"/>
          <w:szCs w:val="16"/>
          <w:color w:val="auto"/>
        </w:rPr>
      </w:pPr>
    </w:p>
    <w:p>
      <w:pPr>
        <w:ind w:left="660" w:right="100" w:hanging="328"/>
        <w:spacing w:after="0" w:line="30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in interest expense of $17.0 million and $74.9 million in the three and six months ended June 30, 2021 and related tax benefit of $3.8 million and $16.5 million, in each period, respectively. An increase in interest expense of $55.5 million and $114.5 million in the three and six months ended June 30, 2020 and related tax benefit of $12.4 million and $25.5 million, in each period, respectively. The increase in interest arose on additional borrowings made to partially fund the GW Acquisition as if the borrowings had occurred on January 1, 2020.</w:t>
      </w:r>
    </w:p>
    <w:p>
      <w:pPr>
        <w:spacing w:after="0" w:line="49"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 unaudited pro forma results do not assume any operating efficiencies as a result of the consolidation of operations and are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799,803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1,559,851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1,339,092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(333,160)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(119,048)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(417,868)</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(777,675)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Cash and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1"/>
                <w:szCs w:val="11"/>
                <w:color w:val="auto"/>
              </w:rPr>
            </w:pPr>
          </w:p>
        </w:tc>
        <w:tc>
          <w:tcPr>
            <w:tcW w:w="10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Equivalents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586,527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5"/>
              </w:rPr>
              <w:t>586,527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w w:val="95"/>
              </w:rPr>
              <w:t>140,000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5"/>
              </w:rPr>
              <w:t>164,872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Totals</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891,400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5"/>
              </w:rPr>
              <w:t>891,400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34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Cash and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1"/>
                <w:szCs w:val="11"/>
                <w:color w:val="auto"/>
              </w:rPr>
            </w:pPr>
          </w:p>
        </w:tc>
        <w:tc>
          <w:tcPr>
            <w:tcW w:w="10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Equivalents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5"/>
              </w:rPr>
              <w:t>517,117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1,360,000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255,652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4"/>
              </w:rPr>
              <w:t>2,132,769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$0.4 million and $1.5 million in the three and six months ended June 30, 2021, respectively, and $3.1 million and $7.6 million in the three and six months ended June 30, 2020,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June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that were measured at fair value on a recurring basis and were categorized using the fair value hierarchy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Quoted</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10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Identical</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7"/>
              </w:rPr>
              <w:t>Assets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2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1,360,000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141,346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1,371,907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1,627,559</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As of June 30, 2021,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obtained from various third party data providers, represent quoted prices for similar assets in active markets, or these inputs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were derived from observable market data, or if not directly observable, were derived from or corroborated by other observable market data.</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Our derivative assets and liabilities include cross-currency interest rate, foreign exchange and interest rate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2021 or 2020.</w:t>
      </w:r>
    </w:p>
    <w:p>
      <w:pPr>
        <w:spacing w:after="0" w:line="117" w:lineRule="exact"/>
        <w:rPr>
          <w:sz w:val="20"/>
          <w:szCs w:val="20"/>
          <w:color w:val="auto"/>
        </w:rPr>
      </w:pPr>
    </w:p>
    <w:p>
      <w:pPr>
        <w:ind w:right="360" w:firstLine="445"/>
        <w:spacing w:after="0" w:line="263" w:lineRule="auto"/>
        <w:rPr>
          <w:sz w:val="20"/>
          <w:szCs w:val="20"/>
          <w:color w:val="auto"/>
        </w:rPr>
      </w:pPr>
      <w:r>
        <w:rPr>
          <w:rFonts w:ascii="Arial" w:cs="Arial" w:eastAsia="Arial" w:hAnsi="Arial"/>
          <w:sz w:val="18"/>
          <w:szCs w:val="18"/>
          <w:color w:val="auto"/>
        </w:rPr>
        <w:t>As of June 30, 2021, the carrying amount of investments measured using the measurement alternative for equity investments without a readily determinable fair value was $4.5 million. The carrying amount, which is recorded within other non-current assets, represents the purchase price paid in 2018.</w:t>
      </w:r>
    </w:p>
    <w:p>
      <w:pPr>
        <w:spacing w:after="0" w:line="7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As of June 30, 2021, the estimated fair values of our 1.875% exchangeable senior notes due 2021, or the 2021 Notes, our 1.50% exchangeable senior notes due 2024, or the 2024 Notes, and our 2.00% exchangeable senior notes due 2026, or the 2026 Notes, collectively known as the Exchangeable Senior Notes, were approximately $221 million, $633 million and $1.3 billion, respectively. The estimated fair value of the Secured Notes was approximately $1.6 billion. The estimated fair value of our Dollar Term Loan and our Euro Term Loan, were approximately $3.1 billion and $742 million, respectively. The fair value of each of these debt facilities was estimated using quoted market prices obtained from brokers (Level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are exposed to certain risks arising from operating internationally, including fluctuations in foreign exchange rates primarily related to the translation of our Euro Term Loan and euro 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79"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In order to hedge our exposure to foreign currency exchange risk associated with our Euro Term Loan, we entered into a cross-currency interest rate swap contract in May 2021 with a maturity date of March 31, 2022. The terms of this contract convert the principal repayments and interest payments on our Euro Term Loan into U.S. dollar. As of June 30, 2021, the cross-currency interest rate swap had a notional amount of $753.0 million which is designated for accounting purposes as a fair value hedge. The carrying amount of the Euro Term Loan and the fair value of the cross-currency interest rate swap contract will be remeasured with changes in the euro to U.S. dollar foreign exchange rates recognized within foreign exchange gain (loss) in the condensed consolidated statements of income (loss).</w:t>
      </w:r>
    </w:p>
    <w:p>
      <w:pPr>
        <w:spacing w:after="0" w:line="8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impact on accumulated other comprehensive income (loss) and earnings from the cross-currency interest rate swap contract for the three months and six months ended June 30, 2021 was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Three and Six Months</w:t>
            </w:r>
          </w:p>
        </w:tc>
        <w:tc>
          <w:tcPr>
            <w:tcW w:w="0" w:type="dxa"/>
            <w:vAlign w:val="bottom"/>
          </w:tcPr>
          <w:p>
            <w:pPr>
              <w:spacing w:after="0"/>
              <w:rPr>
                <w:sz w:val="1"/>
                <w:szCs w:val="1"/>
                <w:color w:val="auto"/>
              </w:rPr>
            </w:pPr>
          </w:p>
        </w:tc>
      </w:tr>
      <w:tr>
        <w:trPr>
          <w:trHeight w:val="135"/>
        </w:trPr>
        <w:tc>
          <w:tcPr>
            <w:tcW w:w="9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Cross-Currency Interest Rate Contract:</w:t>
            </w:r>
          </w:p>
        </w:tc>
        <w:tc>
          <w:tcPr>
            <w:tcW w:w="120" w:type="dxa"/>
            <w:vAlign w:val="bottom"/>
          </w:tcPr>
          <w:p>
            <w:pPr>
              <w:spacing w:after="0"/>
              <w:rPr>
                <w:sz w:val="11"/>
                <w:szCs w:val="11"/>
                <w:color w:val="auto"/>
              </w:rPr>
            </w:pPr>
          </w:p>
        </w:tc>
        <w:tc>
          <w:tcPr>
            <w:tcW w:w="154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8"/>
        </w:trPr>
        <w:tc>
          <w:tcPr>
            <w:tcW w:w="95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224"/>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accumulated other comprehensive income (loss),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Loss recognized in foreign exchange gain (loss)</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During the next 12 months, we expect to reclassify $0.4 million of losses, net of tax, on the cross-currency interest rate contract recognized in accumulated other comprehensive income (loss) to foreign exchange gain (loss).</w:t>
      </w:r>
    </w:p>
    <w:p>
      <w:pPr>
        <w:spacing w:after="0" w:line="62"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We also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June 30, 2021 and December 31, 2020, the notional amount of foreign exchange contracts where hedge accounting is not applied was $427.3 million and $357.4 million, respectively.</w:t>
      </w:r>
    </w:p>
    <w:p>
      <w:pPr>
        <w:spacing w:after="0" w:line="80"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foreign exchange gain (loss) in our condensed consolidated statements of income (loss) included the following gains (losses) associated with foreign exchange contracts not designated as hedging instruments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4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741"/>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gain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0" w:type="dxa"/>
            <w:vAlign w:val="bottom"/>
          </w:tcPr>
          <w:p>
            <w:pPr>
              <w:spacing w:after="0"/>
              <w:rPr>
                <w:sz w:val="19"/>
                <w:szCs w:val="19"/>
                <w:color w:val="auto"/>
              </w:rPr>
            </w:pPr>
          </w:p>
        </w:tc>
      </w:tr>
      <w:tr>
        <w:trPr>
          <w:trHeight w:val="85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0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cash flow effects of our derivative contracts for the six months ended June 30, 2021 and 2020 are included within net cash provided by operating activities in the condensed consolidated statements of cash flows.</w:t>
      </w:r>
    </w:p>
    <w:p>
      <w:pPr>
        <w:spacing w:after="0" w:line="62" w:lineRule="exact"/>
        <w:rPr>
          <w:sz w:val="20"/>
          <w:szCs w:val="20"/>
          <w:color w:val="auto"/>
        </w:rPr>
      </w:pPr>
    </w:p>
    <w:p>
      <w:pPr>
        <w:ind w:right="240" w:firstLine="445"/>
        <w:spacing w:after="0" w:line="275" w:lineRule="auto"/>
        <w:rPr>
          <w:sz w:val="20"/>
          <w:szCs w:val="20"/>
          <w:color w:val="auto"/>
        </w:rPr>
      </w:pPr>
      <w:r>
        <w:rPr>
          <w:rFonts w:ascii="Arial" w:cs="Arial" w:eastAsia="Arial" w:hAnsi="Arial"/>
          <w:sz w:val="17"/>
          <w:szCs w:val="17"/>
          <w:color w:val="auto"/>
        </w:rPr>
        <w:t>To achieve a desired mix of floating and fixed interest rates on our variable rate debt, we entered into interest rate swap agreements in March 2017 with a maturity date of July 12, 2021. These agreements hedged contractual term loan interest rates. As of June 30, 2021 and December 31, 2020, the interest rate swap agreements had a notional amount of $300.0 million. As a result of these agreements, the interest rate on a portion of our term loan borrowings was fixed at 1.895%, plus the borrowing spread, until July 12, 2021. In May 2021, we repaid the term loan to which these interest rate swap agreements related, at which point the interest rate swap contracts were de-designated as cash flow hedges.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impact on accumulated other comprehensive income (loss) and earnings from interest rate swap contracts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was as follows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74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Interest Rate Contracts: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57"/>
        </w:trPr>
        <w:tc>
          <w:tcPr>
            <w:tcW w:w="51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4"/>
              </w:rPr>
              <w:t>Gain (loss) recognized in accumulated other comprehensive income</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net of tax</w:t>
            </w: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0"/>
              </w:rPr>
              <w:t>Gain (loss) reclassified from accumulated other comprehensive income</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(loss) to interest expense, net of tax</w:t>
            </w: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00" w:firstLine="445"/>
        <w:spacing w:after="0" w:line="342" w:lineRule="auto"/>
        <w:rPr>
          <w:sz w:val="20"/>
          <w:szCs w:val="20"/>
          <w:color w:val="auto"/>
        </w:rPr>
      </w:pPr>
      <w:r>
        <w:rPr>
          <w:rFonts w:ascii="Arial" w:cs="Arial" w:eastAsia="Arial" w:hAnsi="Arial"/>
          <w:sz w:val="15"/>
          <w:szCs w:val="15"/>
          <w:color w:val="auto"/>
        </w:rPr>
        <w:t>A</w:t>
      </w:r>
      <w:r>
        <w:rPr>
          <w:rFonts w:ascii="Arial" w:cs="Arial" w:eastAsia="Arial" w:hAnsi="Arial"/>
          <w:sz w:val="16"/>
          <w:szCs w:val="16"/>
          <w:color w:val="auto"/>
        </w:rPr>
        <w:t>ssuming no change in London Inter-Bank Offered Rate, or LIBOR, based interest rates from market rates as of June 30, 2021, $0.2 million of</w:t>
      </w:r>
      <w:r>
        <w:rPr>
          <w:rFonts w:ascii="Arial" w:cs="Arial" w:eastAsia="Arial" w:hAnsi="Arial"/>
          <w:sz w:val="15"/>
          <w:szCs w:val="15"/>
          <w:color w:val="auto"/>
        </w:rPr>
        <w:t xml:space="preserve"> </w:t>
      </w:r>
      <w:r>
        <w:rPr>
          <w:rFonts w:ascii="Arial" w:cs="Arial" w:eastAsia="Arial" w:hAnsi="Arial"/>
          <w:sz w:val="16"/>
          <w:szCs w:val="16"/>
          <w:color w:val="auto"/>
        </w:rPr>
        <w:t>losses, net of tax, recognized in accumulated other comprehensive income (loss) will be reclassified to earnings over the period to maturity.</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2"/>
              </w:rPr>
              <w:t>June 30, 2021</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Balance Sheet Location</w:t>
            </w:r>
          </w:p>
        </w:tc>
        <w:tc>
          <w:tcPr>
            <w:tcW w:w="280" w:type="dxa"/>
            <w:vAlign w:val="bottom"/>
          </w:tcPr>
          <w:p>
            <w:pPr>
              <w:spacing w:after="0"/>
              <w:rPr>
                <w:sz w:val="15"/>
                <w:szCs w:val="15"/>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80" w:type="dxa"/>
            <w:vAlign w:val="bottom"/>
          </w:tcPr>
          <w:p>
            <w:pPr>
              <w:spacing w:after="0"/>
              <w:rPr>
                <w:sz w:val="15"/>
                <w:szCs w:val="15"/>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Foreign exchange forward contracts</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w:t>
            </w: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7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Balance Sheet Location</w:t>
            </w:r>
          </w:p>
        </w:tc>
        <w:tc>
          <w:tcPr>
            <w:tcW w:w="280" w:type="dxa"/>
            <w:vAlign w:val="bottom"/>
          </w:tcPr>
          <w:p>
            <w:pPr>
              <w:spacing w:after="0"/>
              <w:rPr>
                <w:sz w:val="15"/>
                <w:szCs w:val="15"/>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80" w:type="dxa"/>
            <w:vAlign w:val="bottom"/>
          </w:tcPr>
          <w:p>
            <w:pPr>
              <w:spacing w:after="0"/>
              <w:rPr>
                <w:sz w:val="15"/>
                <w:szCs w:val="15"/>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forward contracts</w:t>
            </w:r>
          </w:p>
        </w:tc>
        <w:tc>
          <w:tcPr>
            <w:tcW w:w="16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contracts and foreign exchange forward contracts subject to such provisions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756"/>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9"/>
          </w:tcPr>
          <w:p>
            <w:pPr>
              <w:jc w:val="center"/>
              <w:ind w:right="55"/>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4"/>
              <w:spacing w:after="0"/>
              <w:rPr>
                <w:sz w:val="20"/>
                <w:szCs w:val="20"/>
                <w:color w:val="auto"/>
              </w:rPr>
            </w:pPr>
            <w:r>
              <w:rPr>
                <w:rFonts w:ascii="Arial" w:cs="Arial" w:eastAsia="Arial" w:hAnsi="Arial"/>
                <w:sz w:val="14"/>
                <w:szCs w:val="14"/>
                <w:b w:val="1"/>
                <w:bCs w:val="1"/>
                <w:color w:val="auto"/>
                <w:w w:val="89"/>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76"/>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1"/>
                <w:szCs w:val="11"/>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040" w:type="dxa"/>
            <w:vAlign w:val="bottom"/>
            <w:gridSpan w:val="2"/>
          </w:tcPr>
          <w:p>
            <w:pPr>
              <w:jc w:val="center"/>
              <w:ind w:right="56"/>
              <w:spacing w:after="0" w:line="135"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0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center"/>
              <w:ind w:left="382"/>
              <w:spacing w:after="0"/>
              <w:rPr>
                <w:sz w:val="20"/>
                <w:szCs w:val="20"/>
                <w:color w:val="auto"/>
              </w:rPr>
            </w:pPr>
            <w:r>
              <w:rPr>
                <w:rFonts w:ascii="Arial" w:cs="Arial" w:eastAsia="Arial" w:hAnsi="Arial"/>
                <w:sz w:val="18"/>
                <w:szCs w:val="18"/>
                <w:color w:val="auto"/>
                <w:w w:val="94"/>
              </w:rPr>
              <w:t>(1,346)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left="402"/>
              <w:spacing w:after="0"/>
              <w:rPr>
                <w:sz w:val="20"/>
                <w:szCs w:val="20"/>
                <w:color w:val="auto"/>
              </w:rPr>
            </w:pPr>
            <w:r>
              <w:rPr>
                <w:rFonts w:ascii="Arial" w:cs="Arial" w:eastAsia="Arial" w:hAnsi="Arial"/>
                <w:sz w:val="18"/>
                <w:szCs w:val="18"/>
                <w:color w:val="auto"/>
                <w:w w:val="88"/>
              </w:rPr>
              <w:t>1,346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92"/>
              </w:rPr>
              <w:t>(16,143)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9"/>
          </w:tcPr>
          <w:p>
            <w:pPr>
              <w:jc w:val="center"/>
              <w:ind w:right="55"/>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4"/>
              <w:spacing w:after="0"/>
              <w:rPr>
                <w:sz w:val="20"/>
                <w:szCs w:val="20"/>
                <w:color w:val="auto"/>
              </w:rPr>
            </w:pPr>
            <w:r>
              <w:rPr>
                <w:rFonts w:ascii="Arial" w:cs="Arial" w:eastAsia="Arial" w:hAnsi="Arial"/>
                <w:sz w:val="14"/>
                <w:szCs w:val="14"/>
                <w:b w:val="1"/>
                <w:bCs w:val="1"/>
                <w:color w:val="auto"/>
                <w:w w:val="89"/>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76"/>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1"/>
                <w:szCs w:val="11"/>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040" w:type="dxa"/>
            <w:vAlign w:val="bottom"/>
            <w:gridSpan w:val="2"/>
          </w:tcPr>
          <w:p>
            <w:pPr>
              <w:jc w:val="center"/>
              <w:ind w:right="56"/>
              <w:spacing w:after="0" w:line="135"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0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center"/>
              <w:ind w:left="382"/>
              <w:spacing w:after="0"/>
              <w:rPr>
                <w:sz w:val="20"/>
                <w:szCs w:val="20"/>
                <w:color w:val="auto"/>
              </w:rPr>
            </w:pPr>
            <w:r>
              <w:rPr>
                <w:rFonts w:ascii="Arial" w:cs="Arial" w:eastAsia="Arial" w:hAnsi="Arial"/>
                <w:sz w:val="18"/>
                <w:szCs w:val="18"/>
                <w:color w:val="auto"/>
                <w:w w:val="94"/>
              </w:rPr>
              <w:t>(2,207)</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left="402"/>
              <w:spacing w:after="0"/>
              <w:rPr>
                <w:sz w:val="20"/>
                <w:szCs w:val="20"/>
                <w:color w:val="auto"/>
              </w:rPr>
            </w:pPr>
            <w:r>
              <w:rPr>
                <w:rFonts w:ascii="Arial" w:cs="Arial" w:eastAsia="Arial" w:hAnsi="Arial"/>
                <w:sz w:val="18"/>
                <w:szCs w:val="18"/>
                <w:color w:val="auto"/>
                <w:w w:val="88"/>
              </w:rPr>
              <w:t>2,207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1"/>
              </w:rPr>
              <w:t>(1,418)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356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4"/>
          </w:tcPr>
          <w:p>
            <w:pPr>
              <w:ind w:left="46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4"/>
          </w:tcPr>
          <w:p>
            <w:pPr>
              <w:ind w:left="56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3"/>
                <w:szCs w:val="23"/>
                <w:color w:val="auto"/>
              </w:rPr>
            </w:pPr>
          </w:p>
        </w:tc>
        <w:tc>
          <w:tcPr>
            <w:tcW w:w="128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24,598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4"/>
              </w:rPr>
              <w:t>16,003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1,112,195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4"/>
              </w:rPr>
              <w:t>45,758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114,466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4"/>
              </w:rPr>
              <w:t>33,635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1,251,259</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95,396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60" w:firstLine="445"/>
        <w:spacing w:after="0" w:line="277" w:lineRule="auto"/>
        <w:rPr>
          <w:sz w:val="20"/>
          <w:szCs w:val="20"/>
          <w:color w:val="auto"/>
        </w:rPr>
      </w:pPr>
      <w:r>
        <w:rPr>
          <w:rFonts w:ascii="Arial" w:cs="Arial" w:eastAsia="Arial" w:hAnsi="Arial"/>
          <w:sz w:val="18"/>
          <w:szCs w:val="18"/>
          <w:color w:val="auto"/>
        </w:rPr>
        <w:t>As of June 30, 2021, inventories included $992.5 million related to the purchase accounting inventory fair value step-up on inventory acquired in the GW Acquisition.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7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Goodwill arising from the GW Acquisition</w:t>
            </w:r>
          </w:p>
        </w:tc>
        <w:tc>
          <w:tcPr>
            <w:tcW w:w="5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5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52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220" w:type="dxa"/>
            <w:vAlign w:val="bottom"/>
            <w:vMerge w:val="restart"/>
          </w:tcPr>
          <w:p>
            <w:pPr>
              <w:jc w:val="right"/>
              <w:ind w:right="3750"/>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34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7"/>
        </w:trPr>
        <w:tc>
          <w:tcPr>
            <w:tcW w:w="22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Acquired developed</w:t>
            </w:r>
          </w:p>
        </w:tc>
        <w:tc>
          <w:tcPr>
            <w:tcW w:w="12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11.9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8,330,958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(902,182)</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7,428,776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3,379,162</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(1,184,111)</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8,346,586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(917,810)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7,428,776</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3,395,214</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(1,200,163)</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 assets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8,505,839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(917,810)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7,588,029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3,395,214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(1,200,163)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100" w:firstLine="445"/>
        <w:spacing w:after="0" w:line="311" w:lineRule="auto"/>
        <w:rPr>
          <w:sz w:val="20"/>
          <w:szCs w:val="20"/>
          <w:color w:val="auto"/>
        </w:rPr>
      </w:pPr>
      <w:r>
        <w:rPr>
          <w:rFonts w:ascii="Arial" w:cs="Arial" w:eastAsia="Arial" w:hAnsi="Arial"/>
          <w:sz w:val="16"/>
          <w:szCs w:val="16"/>
          <w:color w:val="auto"/>
        </w:rPr>
        <w:t>The increase in the gross carrying amount of intangible assets as of June 30, 2021 compared to December 31, 2020 primarily reflects the intangible assets arising from the GW Acquisition, as described in Note 2, partially offset by the de-recognition of the fully amortized Erwinaze intangible assets and the negative impact of foreign currency translation adjustments due to the weakening of sterling and euro against the U.S. dollar.</w:t>
      </w:r>
    </w:p>
    <w:p>
      <w:pPr>
        <w:spacing w:after="0" w:line="4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Based on finite-lived intangible assets recorded as of June 30, 2021, and assuming the underlying assets will not be impaired and that we will not change the expected lives of the assets, future amortization expenses were estimated as follows (in thousands):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8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 Amortization</w:t>
            </w:r>
          </w:p>
        </w:tc>
        <w:tc>
          <w:tcPr>
            <w:tcW w:w="0" w:type="dxa"/>
            <w:vAlign w:val="bottom"/>
          </w:tcPr>
          <w:p>
            <w:pPr>
              <w:spacing w:after="0"/>
              <w:rPr>
                <w:sz w:val="1"/>
                <w:szCs w:val="1"/>
                <w:color w:val="auto"/>
              </w:rPr>
            </w:pPr>
          </w:p>
        </w:tc>
      </w:tr>
      <w:tr>
        <w:trPr>
          <w:trHeight w:val="153"/>
        </w:trPr>
        <w:tc>
          <w:tcPr>
            <w:tcW w:w="1660" w:type="dxa"/>
            <w:vAlign w:val="bottom"/>
            <w:tcBorders>
              <w:bottom w:val="single" w:sz="8" w:color="auto"/>
            </w:tcBorders>
            <w:vMerge w:val="continue"/>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2021 (remainder)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consisted of the following (in thousands):</w:t>
      </w:r>
    </w:p>
    <w:p>
      <w:pPr>
        <w:spacing w:after="0" w:line="20" w:lineRule="exact"/>
        <w:rPr>
          <w:sz w:val="20"/>
          <w:szCs w:val="20"/>
          <w:color w:val="auto"/>
        </w:rPr>
      </w:pPr>
      <w:r>
        <w:rPr>
          <w:sz w:val="20"/>
          <w:szCs w:val="20"/>
          <w:color w:val="auto"/>
        </w:rPr>
        <w:br w:type="column"/>
      </w:r>
    </w:p>
    <w:p>
      <w:pPr>
        <w:ind w:left="2200" w:hanging="976"/>
        <w:spacing w:after="0"/>
        <w:tabs>
          <w:tab w:leader="none" w:pos="2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318,335</w:t>
      </w:r>
    </w:p>
    <w:p>
      <w:pPr>
        <w:spacing w:after="0" w:line="45" w:lineRule="exact"/>
        <w:rPr>
          <w:rFonts w:ascii="Arial" w:cs="Arial" w:eastAsia="Arial" w:hAnsi="Arial"/>
          <w:sz w:val="16"/>
          <w:szCs w:val="16"/>
          <w:color w:val="auto"/>
        </w:rPr>
      </w:pPr>
    </w:p>
    <w:p>
      <w:pPr>
        <w:ind w:left="2200"/>
        <w:spacing w:after="0"/>
        <w:rPr>
          <w:rFonts w:ascii="Arial" w:cs="Arial" w:eastAsia="Arial" w:hAnsi="Arial"/>
          <w:sz w:val="16"/>
          <w:szCs w:val="16"/>
          <w:color w:val="auto"/>
        </w:rPr>
      </w:pPr>
      <w:r>
        <w:rPr>
          <w:rFonts w:ascii="Arial" w:cs="Arial" w:eastAsia="Arial" w:hAnsi="Arial"/>
          <w:sz w:val="16"/>
          <w:szCs w:val="16"/>
          <w:color w:val="auto"/>
        </w:rPr>
        <w:t>636,670</w:t>
      </w:r>
    </w:p>
    <w:p>
      <w:pPr>
        <w:spacing w:after="0" w:line="45" w:lineRule="exact"/>
        <w:rPr>
          <w:rFonts w:ascii="Arial" w:cs="Arial" w:eastAsia="Arial" w:hAnsi="Arial"/>
          <w:sz w:val="16"/>
          <w:szCs w:val="16"/>
          <w:color w:val="auto"/>
        </w:rPr>
      </w:pPr>
    </w:p>
    <w:p>
      <w:pPr>
        <w:ind w:left="2200"/>
        <w:spacing w:after="0"/>
        <w:rPr>
          <w:rFonts w:ascii="Arial" w:cs="Arial" w:eastAsia="Arial" w:hAnsi="Arial"/>
          <w:sz w:val="16"/>
          <w:szCs w:val="16"/>
          <w:color w:val="auto"/>
        </w:rPr>
      </w:pPr>
      <w:r>
        <w:rPr>
          <w:rFonts w:ascii="Arial" w:cs="Arial" w:eastAsia="Arial" w:hAnsi="Arial"/>
          <w:sz w:val="16"/>
          <w:szCs w:val="16"/>
          <w:color w:val="auto"/>
        </w:rPr>
        <w:t>636,670</w:t>
      </w:r>
    </w:p>
    <w:p>
      <w:pPr>
        <w:spacing w:after="0" w:line="45" w:lineRule="exact"/>
        <w:rPr>
          <w:rFonts w:ascii="Arial" w:cs="Arial" w:eastAsia="Arial" w:hAnsi="Arial"/>
          <w:sz w:val="16"/>
          <w:szCs w:val="16"/>
          <w:color w:val="auto"/>
        </w:rPr>
      </w:pPr>
    </w:p>
    <w:p>
      <w:pPr>
        <w:ind w:left="2200"/>
        <w:spacing w:after="0"/>
        <w:rPr>
          <w:rFonts w:ascii="Arial" w:cs="Arial" w:eastAsia="Arial" w:hAnsi="Arial"/>
          <w:sz w:val="16"/>
          <w:szCs w:val="16"/>
          <w:color w:val="auto"/>
        </w:rPr>
      </w:pPr>
      <w:r>
        <w:rPr>
          <w:rFonts w:ascii="Arial" w:cs="Arial" w:eastAsia="Arial" w:hAnsi="Arial"/>
          <w:sz w:val="16"/>
          <w:szCs w:val="16"/>
          <w:color w:val="auto"/>
        </w:rPr>
        <w:t>636,670</w:t>
      </w:r>
    </w:p>
    <w:p>
      <w:pPr>
        <w:spacing w:after="0" w:line="45" w:lineRule="exact"/>
        <w:rPr>
          <w:rFonts w:ascii="Arial" w:cs="Arial" w:eastAsia="Arial" w:hAnsi="Arial"/>
          <w:sz w:val="16"/>
          <w:szCs w:val="16"/>
          <w:color w:val="auto"/>
        </w:rPr>
      </w:pPr>
    </w:p>
    <w:p>
      <w:pPr>
        <w:ind w:left="2200"/>
        <w:spacing w:after="0"/>
        <w:rPr>
          <w:rFonts w:ascii="Arial" w:cs="Arial" w:eastAsia="Arial" w:hAnsi="Arial"/>
          <w:sz w:val="16"/>
          <w:szCs w:val="16"/>
          <w:color w:val="auto"/>
        </w:rPr>
      </w:pPr>
      <w:r>
        <w:rPr>
          <w:rFonts w:ascii="Arial" w:cs="Arial" w:eastAsia="Arial" w:hAnsi="Arial"/>
          <w:sz w:val="16"/>
          <w:szCs w:val="16"/>
          <w:color w:val="auto"/>
        </w:rPr>
        <w:t>636,670</w:t>
      </w:r>
    </w:p>
    <w:p>
      <w:pPr>
        <w:spacing w:after="0" w:line="46"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4,563,761</w:t>
      </w:r>
    </w:p>
    <w:p>
      <w:pPr>
        <w:spacing w:after="0" w:line="58" w:lineRule="exact"/>
        <w:rPr>
          <w:sz w:val="20"/>
          <w:szCs w:val="20"/>
          <w:color w:val="auto"/>
        </w:rPr>
      </w:pPr>
    </w:p>
    <w:p>
      <w:pPr>
        <w:ind w:left="2060" w:hanging="836"/>
        <w:spacing w:after="0"/>
        <w:tabs>
          <w:tab w:leader="none" w:pos="2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7,428,776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55245</wp:posOffset>
            </wp:positionV>
            <wp:extent cx="1045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ind w:left="120"/>
        <w:spacing w:after="0"/>
        <w:tabs>
          <w:tab w:leader="none" w:pos="18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9" w:lineRule="exact"/>
        <w:rPr>
          <w:sz w:val="20"/>
          <w:szCs w:val="20"/>
          <w:color w:val="auto"/>
        </w:rPr>
      </w:pPr>
    </w:p>
    <w:p>
      <w:pPr>
        <w:sectPr>
          <w:pgSz w:w="11900" w:h="16838" w:orient="portrait"/>
          <w:cols w:equalWidth="0" w:num="2">
            <w:col w:w="7640" w:space="720"/>
            <w:col w:w="28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83,637</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3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Manufacturing equipment and machinery</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64,575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3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354,025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277,066</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80" w:type="dxa"/>
            <w:vAlign w:val="bottom"/>
            <w:vMerge w:val="restart"/>
          </w:tcPr>
          <w:p>
            <w:pPr>
              <w:jc w:val="right"/>
              <w:ind w:right="1990"/>
              <w:spacing w:after="0"/>
              <w:rPr>
                <w:sz w:val="20"/>
                <w:szCs w:val="20"/>
                <w:color w:val="auto"/>
              </w:rPr>
            </w:pPr>
            <w:r>
              <w:rPr>
                <w:rFonts w:ascii="Arial" w:cs="Arial" w:eastAsia="Arial" w:hAnsi="Arial"/>
                <w:sz w:val="18"/>
                <w:szCs w:val="18"/>
                <w:color w:val="auto"/>
              </w:rPr>
              <w:t>20</w:t>
            </w: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5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 for taxes on intercompany profit</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2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200,190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152,491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Accrued liabilities consisted of the following (in thousands):</w:t>
            </w:r>
          </w:p>
        </w:tc>
        <w:tc>
          <w:tcPr>
            <w:tcW w:w="2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18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26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117,570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102,601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returns reserve</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Clinical trial accruals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lease liabilities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Consulting and professional services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 accruals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Derivative instrument liabilities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Inventory-related accruals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Accrued construction-in-progress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collaboration expenses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Accrued growing fees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milestones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561,091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5"/>
        </w:trPr>
        <w:tc>
          <w:tcPr>
            <w:tcW w:w="51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8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r>
      <w:tr>
        <w:trPr>
          <w:trHeight w:val="230"/>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2021 Notes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212,929</w:t>
            </w:r>
          </w:p>
        </w:tc>
      </w:tr>
      <w:tr>
        <w:trPr>
          <w:trHeight w:val="270"/>
        </w:trPr>
        <w:tc>
          <w:tcPr>
            <w:tcW w:w="38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2024 Notes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(95,275)</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479,725</w:t>
            </w:r>
          </w:p>
        </w:tc>
      </w:tr>
      <w:tr>
        <w:trPr>
          <w:trHeight w:val="270"/>
        </w:trPr>
        <w:tc>
          <w:tcPr>
            <w:tcW w:w="38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2026 Notes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(179,518)</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820,482</w:t>
            </w:r>
          </w:p>
        </w:tc>
      </w:tr>
      <w:tr>
        <w:trPr>
          <w:trHeight w:val="270"/>
        </w:trPr>
        <w:tc>
          <w:tcPr>
            <w:tcW w:w="778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Notes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3,722,395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581,702</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6,737,900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2,094,838</w:t>
            </w: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246,322</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6,489,315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1,848,516</w:t>
            </w:r>
          </w:p>
        </w:tc>
      </w:tr>
      <w:tr>
        <w:trPr>
          <w:trHeight w:val="21"/>
        </w:trPr>
        <w:tc>
          <w:tcPr>
            <w:tcW w:w="3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On May 5, 2021, the Company, Jazz Financing Lux S.à.r.l., or Jazz Lux, and certain of our other subsidiaries, as borrowers, (collectively with the Company and Jazz Lux, the “Borrowers”), entered into the Credit Agreement, that provides for (i) the Dollar Term Loan which was drawn by Jazz Lux on the Closing Date in U.S. dollars (ii) the Euro Term Loan which was drawn by Jazz Lux on the Closing Date in Euros and (iii) the Revolving Credit Facility, which is available to be drawn by any Borrower in U.S. dollars.</w:t>
      </w:r>
    </w:p>
    <w:p>
      <w:pPr>
        <w:spacing w:after="0" w:line="79"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We used the proceeds from the Term Loan (i) to repay in full $575.9 million under that certain credit agreement, dated as of June 18, 2015 (as amended) among the Company, and certain of our other subsidiaries as borrowers, the lenders party thereto and Bank of America, N.A., as administrative agent and collateral agent, or the Existing Credit Agreement, (ii) to fund, in part, the cash consideration payable in connection with the GW Acquisition and</w:t>
      </w:r>
    </w:p>
    <w:p>
      <w:pPr>
        <w:spacing w:after="0" w:line="2" w:lineRule="exact"/>
        <w:rPr>
          <w:sz w:val="20"/>
          <w:szCs w:val="20"/>
          <w:color w:val="auto"/>
        </w:rPr>
      </w:pPr>
    </w:p>
    <w:p>
      <w:pPr>
        <w:ind w:right="260" w:firstLine="8"/>
        <w:spacing w:after="0" w:line="260"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pay related fees and expenses. Upon the repayment in full of loans under the Existing Credit Agreement, it was terminated and all guarantees and liens thereunder were released.</w:t>
      </w:r>
    </w:p>
    <w:p>
      <w:pPr>
        <w:spacing w:after="0" w:line="77"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Loans under the Term Loan and Revolving Credit Facility bear interest at a rate equal to (A) in the case of the Dollar Term Loan and the Revolving Credit Facility, at the applicable Borrower’s option, either (a) LIBOR or (b) the prime lending rate and (B) in the case of the Euro Term Loan, Euro Inter-Bank Offered Rate, or EURIBOR, in each case, plus an applicable margin. The applicable margin for the Term Loan is 3.50% (in the case of LIBOR or EURIBOR borrowings) and 2.50% (in the case of borrowings at the prime lending rate). The applicable margin for the Revolving Credit Facility ranges from 3.25% to 2.75% (in the case of LIBOR borrowings) and 2.25% to 1.75% (in the case of borrowings at the prime lending rate), depending on our first lien secured net leverage ratio level. The Dollar Term Loan is subject to a LIBOR floor of 0.50%, the Euro Term Loan and loans under the Revolving Credit Facility are not subject to a EURIBOR or LIBOR (as applicable) floor. The Revolving Credit Facility has a commitment fee payable on the undrawn amount ranging from 0.50% to 0.40% per annum based upon our first lien secured net leverage ratio.</w:t>
      </w:r>
    </w:p>
    <w:p>
      <w:pPr>
        <w:spacing w:after="0" w:line="70"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As of June 30, 2021, the interest rate and effective interest rate on the Dollar Term Loan were 4.00% and 4.55%, respectively. The interest rate and effective interest rate on the Euro Term Loan were 4.39% and 4.93%, respectively. As of June 30, 2021, we had an undrawn Revolving Credit Facility totaling $500.0 million.</w:t>
      </w:r>
    </w:p>
    <w:p>
      <w:pPr>
        <w:spacing w:after="0" w:line="76"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Borrowers’ obligations under the Credit Agreement and any hedging or cash management obligations entered into with any lender thereunder are guaranteed by the Company, the other borrowers, and each of the Company’s other existing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subsequently acquired or organized direct and indirect subsidiaries (subject to certain exceptions), or the Guarantors. We refer to the Borrowers and the Guarantors collectively as the “Loan Parties.”</w:t>
      </w:r>
    </w:p>
    <w:p>
      <w:pPr>
        <w:spacing w:after="0" w:line="62"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Loan Parties’ obligations under the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76"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We may make voluntary prepayments at any time without payment of a premium or penalty, subject to certain exceptions, and are required to make certain mandatory prepayments of outstanding indebtedness under the Credit Agreement in certain circumstances.</w:t>
      </w:r>
    </w:p>
    <w:p>
      <w:pPr>
        <w:spacing w:after="0" w:line="62" w:lineRule="exact"/>
        <w:rPr>
          <w:sz w:val="20"/>
          <w:szCs w:val="20"/>
          <w:color w:val="auto"/>
        </w:rPr>
      </w:pPr>
    </w:p>
    <w:p>
      <w:pPr>
        <w:jc w:val="both"/>
        <w:ind w:right="580" w:firstLine="445"/>
        <w:spacing w:after="0" w:line="263" w:lineRule="auto"/>
        <w:rPr>
          <w:sz w:val="20"/>
          <w:szCs w:val="20"/>
          <w:color w:val="auto"/>
        </w:rPr>
      </w:pPr>
      <w:r>
        <w:rPr>
          <w:rFonts w:ascii="Arial" w:cs="Arial" w:eastAsia="Arial" w:hAnsi="Arial"/>
          <w:sz w:val="18"/>
          <w:szCs w:val="18"/>
          <w:color w:val="auto"/>
        </w:rPr>
        <w:t>Principal repayments of the Dollar Term Loan, which are due quarterly, will begin in September 2021 and are equal to 1.0% per annum of the original principal amount of $3.1 billion with any remaining balance payable on the maturity date. The Euro Term Loan does not have any required principal repayments during its term.</w:t>
      </w:r>
    </w:p>
    <w:p>
      <w:pPr>
        <w:spacing w:after="0" w:line="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Credit Agreement contains customary representations and warranties and customary affirmative and negative covenants applicable to the</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Company and its restricted subsidiaries, including, among other things, restrictions on indebtedness, liens, investments, mergers, dispositions, prepayment</w:t>
      </w:r>
    </w:p>
    <w:p>
      <w:pPr>
        <w:spacing w:after="0" w:line="58"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of junior indebtedness and dividends and other distributions. The Credit Agreement contains financial covenants that require the Company and its restricted subsidiaries to (a) not exceed a maximum first lien secured net leverage ratio and (b) not fall below a minimum interest coverage ratio, provided that such covenants apply only to the Revolving Credit Facility and are applicable only if amounts are drawn (or non-cash collateralized letters of credit in excess of</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$50 million are outstanding) under the Revolving Credit Facility. The Credit Agreement also contains customary events of default relating to, among other things, failure to make payments, breach of covenants and breach of representations.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2029 Senior Secured Notes</w:t>
      </w:r>
    </w:p>
    <w:p>
      <w:pPr>
        <w:spacing w:after="0" w:line="117"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On April 29, 2021, Jazz Securities Designated Activity Company, or Jazz Securities, a direct wholly owned subsidiary of the Company, closed the offering of the Secured Notes in a private placement. We used the proceeds from the Secured Notes to fund, in part, the cash consideration payable in connection with the GW Acquisition.</w:t>
      </w:r>
    </w:p>
    <w:p>
      <w:pPr>
        <w:spacing w:after="0" w:line="76"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Interest on the Secured Notes is payable semi-annually in arrears on January 15 and July 15 of each year, beginning on January 15, 2022, at a rate of 4.375% per year. The Secured Notes mature on January 15, 2029.</w:t>
      </w:r>
    </w:p>
    <w:p>
      <w:pPr>
        <w:spacing w:after="0" w:line="62" w:lineRule="exact"/>
        <w:rPr>
          <w:sz w:val="20"/>
          <w:szCs w:val="20"/>
          <w:color w:val="auto"/>
        </w:rPr>
      </w:pPr>
    </w:p>
    <w:p>
      <w:pPr>
        <w:jc w:val="both"/>
        <w:ind w:right="300" w:firstLine="445"/>
        <w:spacing w:after="0" w:line="311" w:lineRule="auto"/>
        <w:rPr>
          <w:sz w:val="20"/>
          <w:szCs w:val="20"/>
          <w:color w:val="auto"/>
        </w:rPr>
      </w:pPr>
      <w:r>
        <w:rPr>
          <w:rFonts w:ascii="Arial" w:cs="Arial" w:eastAsia="Arial" w:hAnsi="Arial"/>
          <w:sz w:val="16"/>
          <w:szCs w:val="16"/>
          <w:color w:val="auto"/>
        </w:rPr>
        <w:t>The Secured Notes are jointly and severally guaranteed by the Company and each of its restricted subsidiaries, other than Jazz Securities, that is a borrower, or a guarantor, under the Credit Agreement. The Secured Notes and related guarantees are secured by a first priority lien (subject to permitted liens and certain other exceptions), equally and ratably with the Credit Agreement, on the collateral securing the Credit Agreement.</w:t>
      </w:r>
    </w:p>
    <w:p>
      <w:pPr>
        <w:spacing w:after="0" w:line="41" w:lineRule="exact"/>
        <w:rPr>
          <w:sz w:val="20"/>
          <w:szCs w:val="20"/>
          <w:color w:val="auto"/>
        </w:rPr>
      </w:pPr>
    </w:p>
    <w:p>
      <w:pPr>
        <w:ind w:right="60" w:firstLine="445"/>
        <w:spacing w:after="0" w:line="288" w:lineRule="auto"/>
        <w:rPr>
          <w:sz w:val="20"/>
          <w:szCs w:val="20"/>
          <w:color w:val="auto"/>
        </w:rPr>
      </w:pPr>
      <w:r>
        <w:rPr>
          <w:rFonts w:ascii="Arial" w:cs="Arial" w:eastAsia="Arial" w:hAnsi="Arial"/>
          <w:sz w:val="16"/>
          <w:szCs w:val="16"/>
          <w:color w:val="auto"/>
        </w:rPr>
        <w:t>Except as described below, the Secured Notes may not be optionally redeemed before July 15, 2024. Thereafter, some or all of the Secured Notes, may be redeemed at any time and from time to time at a specified redemption prices, plus accrued and unpaid interest, if any, to, but excluding, to the redemption date. Jazz Securities may redeem all but not part of the Secured Notes at its option at any time in connection with certain tax-related events and may redeem some or all of the Secured Notes at any time and from time to time prior to July 15, 2024 at a price equal to 100% of the principal amount of the Secured Notes to be redeemed plus a “make whole” premium, plus accrued and unpaid interest, if any, to, but excluding, the redemption date. In addition, Jazz Securities may redeem up to 40% of the aggregate principal amount of the Secured Notes at any time and from time to time prior to July 15, 2024, with the net proceeds of certain equity offerings at a price of 104.375% of the principal amount of such Secured Notes, plus accrued and unpaid interest, if any, to, but excluding, the redemption date. In addition, during each of the three consecutive twelve-month periods commencing on the issue date of the Secured Notes, Jazz Securities may redeem up to 10% of the original aggregate initial principal amount of the Secured Notes at a redemption price of 103% of the principal amount of such Secured Notes, plus accrued and unpaid interest, if any, to, but excluding, the redemption date.</w:t>
      </w:r>
    </w:p>
    <w:p>
      <w:pPr>
        <w:spacing w:after="0" w:line="60" w:lineRule="exact"/>
        <w:rPr>
          <w:sz w:val="20"/>
          <w:szCs w:val="20"/>
          <w:color w:val="auto"/>
        </w:rPr>
      </w:pPr>
    </w:p>
    <w:p>
      <w:pPr>
        <w:jc w:val="both"/>
        <w:ind w:right="320" w:firstLine="445"/>
        <w:spacing w:after="0" w:line="263" w:lineRule="auto"/>
        <w:rPr>
          <w:sz w:val="20"/>
          <w:szCs w:val="20"/>
          <w:color w:val="auto"/>
        </w:rPr>
      </w:pPr>
      <w:r>
        <w:rPr>
          <w:rFonts w:ascii="Arial" w:cs="Arial" w:eastAsia="Arial" w:hAnsi="Arial"/>
          <w:sz w:val="18"/>
          <w:szCs w:val="18"/>
          <w:color w:val="auto"/>
        </w:rPr>
        <w:t>If Jazz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76"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indenture governing the Secured Notes contains customary affirmative covenants and negative covenants applicable to the Company and its restricted subsidiaries, including, among other things, restrictions on indebtedness, liens, investments, mergers, dispositions, prepayment of junior indebtedness and dividends and other distributions. If Jazz Securities or the Company’s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2021, the interest rate and effective interest rate on the Secured Notes were 4.375% and 4.64%, respectively.</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The Exchangeable Senior Notes were issued by Jazz Investments I Limited, or the Issuer, a 100%-owned finance subsidiary of the Company. The Exchangeable Senior Notes are senior unsecured obligations of the Issuer and are fully and unconditionally guaranteed on a senior unsecured basis by the Company. No subsidiary of the Company guaranteed the Exchangeable Senior Notes. Subject to certain local law restrictions on payment of dividends, among other things, and potential negative tax consequences, we are not aware of any significant restrictions on the ability of the Company to obtain funds from the Issuer or the Company’s other subsidiaries by dividend or loan, or any legal or economic restrictions on the ability of the Issuer or the Company’s other subsidiaries to transfer funds to the Company in the form of cash dividends, loans or advances. There is no assurance that in the future such restrictions will not be adopted.</w:t>
      </w:r>
    </w:p>
    <w:p>
      <w:pPr>
        <w:spacing w:after="0" w:line="8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As of June 30, 2021, the carrying values of the equity component of the 2021 Notes, 2024 Notes and the 2026 Notes, net of equity issuance costs, were $114.4 million, $149.8 million and $176.3 million,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Scheduled maturities with respect to our long-term debt principal balances outstanding as of June 30, 2021 were as follows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(remainder)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234,312</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6,203,250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7,136,562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lease expense for the three and six months ended June 30, 2021 and 2020 were as follows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208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5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Pr>
          <w:p>
            <w:pPr>
              <w:spacing w:after="0"/>
              <w:rPr>
                <w:sz w:val="16"/>
                <w:szCs w:val="16"/>
                <w:color w:val="auto"/>
              </w:rPr>
            </w:pPr>
          </w:p>
        </w:tc>
        <w:tc>
          <w:tcPr>
            <w:tcW w:w="2080" w:type="dxa"/>
            <w:vAlign w:val="bottom"/>
          </w:tcPr>
          <w:p>
            <w:pPr>
              <w:jc w:val="center"/>
              <w:ind w:right="828"/>
              <w:spacing w:after="0"/>
              <w:rPr>
                <w:sz w:val="20"/>
                <w:szCs w:val="20"/>
                <w:color w:val="auto"/>
              </w:rPr>
            </w:pPr>
            <w:r>
              <w:rPr>
                <w:rFonts w:ascii="Arial" w:cs="Arial" w:eastAsia="Arial" w:hAnsi="Arial"/>
                <w:sz w:val="14"/>
                <w:szCs w:val="14"/>
                <w:b w:val="1"/>
                <w:bCs w:val="1"/>
                <w:color w:val="auto"/>
                <w:w w:val="89"/>
              </w:rPr>
              <w:t>June 30,</w:t>
            </w:r>
          </w:p>
        </w:tc>
      </w:tr>
      <w:tr>
        <w:trPr>
          <w:trHeight w:val="183"/>
        </w:trPr>
        <w:tc>
          <w:tcPr>
            <w:tcW w:w="5180" w:type="dxa"/>
            <w:vAlign w:val="bottom"/>
          </w:tcPr>
          <w:p>
            <w:pPr>
              <w:spacing w:after="0"/>
              <w:rPr>
                <w:sz w:val="20"/>
                <w:szCs w:val="20"/>
                <w:color w:val="auto"/>
              </w:rPr>
            </w:pPr>
            <w:r>
              <w:rPr>
                <w:rFonts w:ascii="Arial" w:cs="Arial" w:eastAsia="Arial" w:hAnsi="Arial"/>
                <w:sz w:val="14"/>
                <w:szCs w:val="14"/>
                <w:b w:val="1"/>
                <w:bCs w:val="1"/>
                <w:color w:val="auto"/>
              </w:rPr>
              <w:t>Lease Cost</w:t>
            </w: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92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8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20" w:type="dxa"/>
            <w:vAlign w:val="bottom"/>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1,761</w:t>
            </w:r>
          </w:p>
        </w:tc>
        <w:tc>
          <w:tcPr>
            <w:tcW w:w="2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income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Finance Lease Cost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2"/>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20" w:type="dxa"/>
            <w:vAlign w:val="bottom"/>
          </w:tcPr>
          <w:p>
            <w:pPr>
              <w:spacing w:after="0"/>
              <w:rPr>
                <w:sz w:val="21"/>
                <w:szCs w:val="2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7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operating and finance leases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54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ind w:left="2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gridSpan w:val="2"/>
            <w:vMerge w:val="continue"/>
          </w:tcPr>
          <w:p>
            <w:pPr>
              <w:spacing w:after="0"/>
              <w:rPr>
                <w:sz w:val="16"/>
                <w:szCs w:val="16"/>
                <w:color w:val="auto"/>
              </w:rPr>
            </w:pPr>
          </w:p>
        </w:tc>
        <w:tc>
          <w:tcPr>
            <w:tcW w:w="544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Operating lease assets</w:t>
            </w: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Operating lease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149,254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assets</w:t>
            </w:r>
          </w:p>
        </w:tc>
        <w:tc>
          <w:tcPr>
            <w:tcW w:w="5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Property, plant and equipment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5,485</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Total lease assets</w:t>
            </w:r>
          </w:p>
        </w:tc>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154,739</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Operating lease liabilities</w:t>
            </w: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20,497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5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5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Operating lease liabilities, less current portion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156,556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Finance lease liabilities</w:t>
            </w:r>
          </w:p>
        </w:tc>
        <w:tc>
          <w:tcPr>
            <w:tcW w:w="54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6,015</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5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183,450</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gridSpan w:val="2"/>
            <w:vMerge w:val="continue"/>
          </w:tcPr>
          <w:p>
            <w:pPr>
              <w:spacing w:after="0"/>
              <w:rPr>
                <w:sz w:val="16"/>
                <w:szCs w:val="16"/>
                <w:color w:val="auto"/>
              </w:rPr>
            </w:pPr>
          </w:p>
        </w:tc>
        <w:tc>
          <w:tcPr>
            <w:tcW w:w="5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8220" w:type="dxa"/>
            <w:vAlign w:val="bottom"/>
            <w:gridSpan w:val="4"/>
          </w:tcPr>
          <w:p>
            <w:pPr>
              <w:ind w:left="440"/>
              <w:spacing w:after="0"/>
              <w:rPr>
                <w:sz w:val="20"/>
                <w:szCs w:val="20"/>
                <w:color w:val="auto"/>
              </w:rPr>
            </w:pPr>
            <w:r>
              <w:rPr>
                <w:rFonts w:ascii="Arial" w:cs="Arial" w:eastAsia="Arial" w:hAnsi="Arial"/>
                <w:sz w:val="18"/>
                <w:szCs w:val="18"/>
                <w:color w:val="auto"/>
                <w:w w:val="91"/>
              </w:rPr>
              <w:t>Supplemental cash flow information related to operating and finance leases were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0" w:type="dxa"/>
            <w:vAlign w:val="bottom"/>
            <w:gridSpan w:val="8"/>
          </w:tcPr>
          <w:p>
            <w:pPr>
              <w:jc w:val="right"/>
              <w:ind w:right="834"/>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12,824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Operating cash outflows from finance leases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rPr>
              <w:t>Financing cash outflows from finance leases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4"/>
          </w:tcPr>
          <w:p>
            <w:pPr>
              <w:ind w:left="12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5,225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8220" w:type="dxa"/>
            <w:vAlign w:val="bottom"/>
            <w:gridSpan w:val="4"/>
          </w:tcPr>
          <w:p>
            <w:pPr>
              <w:ind w:left="440"/>
              <w:spacing w:after="0"/>
              <w:rPr>
                <w:sz w:val="20"/>
                <w:szCs w:val="20"/>
                <w:color w:val="auto"/>
              </w:rPr>
            </w:pPr>
            <w:r>
              <w:rPr>
                <w:rFonts w:ascii="Arial" w:cs="Arial" w:eastAsia="Arial" w:hAnsi="Arial"/>
                <w:sz w:val="18"/>
                <w:szCs w:val="18"/>
                <w:color w:val="auto"/>
              </w:rPr>
              <w:t>Maturities of operating and finance lease liabilities were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Finance Leases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1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28,450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27,849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1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29,136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23,076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99,899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221,457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5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(44,404)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5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177,053</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June 30, 2021 and December 31, 2020.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As of June 30, 2021, we had $88.8 million of noncancelable purchase commitments due within one year, primarily related to agreements with third party manufacturers.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Xyrem Class Action</w:t>
      </w:r>
    </w:p>
    <w:p>
      <w:pPr>
        <w:spacing w:after="0" w:line="117"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From June 2020 to March 2021, a number of class action lawsuits were filed on behalf of purported direct and indirect Xyrem purchasers, alleging that the patent litigation settlement agreements we entered with generic drug manufacturers who had filed Abbreviated New Drug Applications, or ANDA, filers violate state and federal antitrust and consumer protection laws, as follows:</w:t>
      </w:r>
    </w:p>
    <w:p>
      <w:pPr>
        <w:spacing w:after="0" w:line="76"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80" w:lineRule="exact"/>
        <w:rPr>
          <w:sz w:val="20"/>
          <w:szCs w:val="20"/>
          <w:color w:val="auto"/>
        </w:rPr>
      </w:pPr>
    </w:p>
    <w:p>
      <w:pPr>
        <w:ind w:right="50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the Self-Insured Schools Lawsuit).</w:t>
      </w:r>
    </w:p>
    <w:p>
      <w:pPr>
        <w:spacing w:after="0" w:line="87"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right="80" w:firstLine="445"/>
        <w:spacing w:after="0" w:line="286" w:lineRule="auto"/>
        <w:rPr>
          <w:sz w:val="20"/>
          <w:szCs w:val="20"/>
          <w:color w:val="auto"/>
        </w:rPr>
      </w:pPr>
      <w:r>
        <w:rPr>
          <w:rFonts w:ascii="Arial" w:cs="Arial" w:eastAsia="Arial" w:hAnsi="Arial"/>
          <w:sz w:val="17"/>
          <w:szCs w:val="17"/>
          <w:color w:val="auto"/>
        </w:rPr>
        <w:t>In December 2020, the above cases were centralized and transferred to the United States District Court for the Northern District of California, where the multidistrict litigation will proceed for the purpose of discovery and pre-trial proceedings. In January 2021, the United States District Court for the Northern District of California issued a Case Management Order that schedules this case for trial in February 2023.</w:t>
      </w:r>
    </w:p>
    <w:p>
      <w:pPr>
        <w:spacing w:after="0" w:line="5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GW Acquisition Litigation</w:t>
      </w:r>
    </w:p>
    <w:p>
      <w:pPr>
        <w:spacing w:after="0" w:line="11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62"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New York by James Farrell, referred to as the Farrell Lawsuit, and an additional suit was filed in New York state court by Brian Levy, or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62"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57"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We do not believe any of GW’s supplemental disclosures were material or required by law, and we further believe that the claims in the Transaction Litigation are meritless.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Avadel Patent Litigation</w:t>
      </w:r>
    </w:p>
    <w:p>
      <w:pPr>
        <w:spacing w:after="0" w:line="117"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On May 13, 2021, we filed a patent infringement suit against Avadel Pharmaceuticals plc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Canopy Patent Litigation</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December 2020, Canopy Growth Corporation filed a complaint against our subsidiary, GW, in the Western District of Texas, alleging infringement of its patent, U.S. Patent No. 10,870,632. Canopy claims that our extraction process used to produce material used to produce Epidiolex infringes its patent. Canopy seeks a judgment that we have infringed their patent and an award of monetary damages. On July 28, 2021, we filed an answer to the amended complaint, and counterclaims seeking judgment that the ‘632 patent is invalid and that we have not infringed the patent. We believe Canopy’s claims are meritless.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Lupin Patent Litigation</w:t>
      </w:r>
    </w:p>
    <w:p>
      <w:pPr>
        <w:spacing w:after="0" w:line="117" w:lineRule="exact"/>
        <w:rPr>
          <w:sz w:val="20"/>
          <w:szCs w:val="20"/>
          <w:color w:val="auto"/>
        </w:rPr>
      </w:pPr>
    </w:p>
    <w:p>
      <w:pPr>
        <w:ind w:right="220" w:firstLine="445"/>
        <w:spacing w:after="0" w:line="296" w:lineRule="auto"/>
        <w:rPr>
          <w:sz w:val="20"/>
          <w:szCs w:val="20"/>
          <w:color w:val="auto"/>
        </w:rPr>
      </w:pPr>
      <w:r>
        <w:rPr>
          <w:rFonts w:ascii="Arial" w:cs="Arial" w:eastAsia="Arial" w:hAnsi="Arial"/>
          <w:sz w:val="16"/>
          <w:szCs w:val="16"/>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 A paragraph IV certification is a certification by a generic applicant that alleges that patents covering the branded product are invalid, unenforceable, and/or will not be infringed by the manufacture, use or sale of the generic product.</w:t>
      </w:r>
    </w:p>
    <w:p>
      <w:pPr>
        <w:spacing w:after="0" w:line="53"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On July 28, 2021, we filed a patent infringement suit against Lupin in the United States District Court for the District of New Jersey. The complaint alleges that by filing its ANDA, Lupin has infringed ten of our Orange Book listed patents,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vigorously enforces its intellectual property rights, but cannot predict the outcome of these matters.</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In November 2016, our board of directors authorized a share repurchase program and as of June 30, 2021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Credit Agreement, corporate and regulatory requirements and market conditions. The share repurchase program may be modified, suspended or discontinued at any time without prior notice. During the three and six months ended June 30, 2021, we did not repurchase any of our ordinary shares under the share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repurchase program. As of June 30, 2021, the remaining amount authorized under the share repurchase program was $431.2 million.</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other comprehensive income (loss) as of June 30, 2021 and December 31, 2020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(58,912)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(58,523)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(56,583)</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(190,935)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During the six months ended June 30, 2021, other comprehensive loss primarily reflects foreign currency translation adjustments, primarily due to the weakening of sterling and euro against the U.S. dollar.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Ordinary Share</w:t>
      </w:r>
    </w:p>
    <w:p>
      <w:pPr>
        <w:spacing w:after="0" w:line="121" w:lineRule="exact"/>
        <w:rPr>
          <w:sz w:val="20"/>
          <w:szCs w:val="20"/>
          <w:color w:val="auto"/>
        </w:rPr>
      </w:pPr>
    </w:p>
    <w:p>
      <w:pPr>
        <w:ind w:right="280" w:firstLine="445"/>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(241,484)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140"/>
              <w:spacing w:after="0" w:line="17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59,448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55,413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57,966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55,684</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Dilutive effect of employee equity incentive and purchase plans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160" w:type="dxa"/>
            <w:vAlign w:val="bottom"/>
          </w:tcPr>
          <w:p>
            <w:pPr>
              <w:ind w:left="140"/>
              <w:spacing w:after="0" w:line="15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59,448</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55,864</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57,966</w:t>
            </w: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55,684</w:t>
            </w: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 per ordinary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60" w:firstLine="445"/>
        <w:spacing w:after="0" w:line="269" w:lineRule="auto"/>
        <w:rPr>
          <w:sz w:val="20"/>
          <w:szCs w:val="20"/>
          <w:color w:val="auto"/>
        </w:rPr>
      </w:pPr>
      <w:r>
        <w:rPr>
          <w:rFonts w:ascii="Arial" w:cs="Arial" w:eastAsia="Arial" w:hAnsi="Arial"/>
          <w:sz w:val="17"/>
          <w:szCs w:val="17"/>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and PRSUs, the assumed issuance of ordinary shares under our employee stock purchase plan, or ESPP, and the assumed issuance of ordinary shares upon exchange of the Exchangeable Senior Notes. The average price of our ordinary shares for the three and six months ended June 30, 2021 exceeded the effective exchange price per ordinary share of the 2026 Notes. However, the potential ordinary shares issuable upon exchange were excluded from the calculation of diluted net loss per share because their effect would have been anti-dilutive. The average price of our ordinary shares during three and six months ended June 30, 2021 did not exceed the effective exchange price per ordinary share of the 2021 Notes and 2024 Notes. The potential issue of ordinary shares issuable upon exchange of the Exchangeable Senior Notes had no effect on diluted net income (loss) for the three and six months ended June 30, 2020 as the average price of our ordinary shares during those periods did not exceed the effective exchange price per ordinary share of the Exchangeable Senior Notes.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20" w:type="dxa"/>
            <w:vAlign w:val="bottom"/>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Employee equity incentive and purchase plans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6,120</w:t>
            </w:r>
          </w:p>
        </w:tc>
        <w:tc>
          <w:tcPr>
            <w:tcW w:w="20" w:type="dxa"/>
            <w:vAlign w:val="bottom"/>
          </w:tcPr>
          <w:p>
            <w:pPr>
              <w:spacing w:after="0"/>
              <w:rPr>
                <w:sz w:val="20"/>
                <w:szCs w:val="20"/>
                <w:color w:val="auto"/>
              </w:rPr>
            </w:pPr>
          </w:p>
        </w:tc>
      </w:tr>
      <w:tr>
        <w:trPr>
          <w:trHeight w:val="553"/>
        </w:trPr>
        <w:tc>
          <w:tcPr>
            <w:tcW w:w="5180" w:type="dxa"/>
            <w:vAlign w:val="bottom"/>
          </w:tcPr>
          <w:p>
            <w:pPr>
              <w:spacing w:after="0"/>
              <w:rPr>
                <w:sz w:val="20"/>
                <w:szCs w:val="20"/>
                <w:color w:val="auto"/>
              </w:rPr>
            </w:pPr>
            <w:r>
              <w:rPr>
                <w:rFonts w:ascii="Arial" w:cs="Arial" w:eastAsia="Arial" w:hAnsi="Arial"/>
                <w:sz w:val="18"/>
                <w:szCs w:val="18"/>
                <w:b w:val="1"/>
                <w:bCs w:val="1"/>
                <w:color w:val="auto"/>
              </w:rPr>
              <w:t>14. Revenues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5740" w:type="dxa"/>
            <w:vAlign w:val="bottom"/>
            <w:gridSpan w:val="3"/>
          </w:tcPr>
          <w:p>
            <w:pPr>
              <w:ind w:left="460"/>
              <w:spacing w:after="0"/>
              <w:rPr>
                <w:sz w:val="20"/>
                <w:szCs w:val="20"/>
                <w:color w:val="auto"/>
              </w:rPr>
            </w:pPr>
            <w:r>
              <w:rPr>
                <w:rFonts w:ascii="Arial" w:cs="Arial" w:eastAsia="Arial" w:hAnsi="Arial"/>
                <w:sz w:val="18"/>
                <w:szCs w:val="18"/>
                <w:color w:val="auto"/>
                <w:w w:val="90"/>
              </w:rPr>
              <w:t>The following table presents a summary of total revenues (in thousands):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500" w:type="dxa"/>
            <w:vAlign w:val="bottom"/>
            <w:gridSpan w:val="8"/>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8"/>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5"/>
                <w:szCs w:val="15"/>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854,683</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Xywav</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458,346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869,312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854,683</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109,481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Sativex</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581,912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455,386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1,004,484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865,185</w:t>
            </w: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Zepzelca</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Vyxeos</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59,288</w:t>
            </w:r>
          </w:p>
        </w:tc>
        <w:tc>
          <w:tcPr>
            <w:tcW w:w="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90,146</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Erwinaze/Erwinase</w:t>
            </w: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Oncology</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163,787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219,849</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748,340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1,351,871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1,088,408</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and contract revenues</w:t>
            </w: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751,811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1,359,392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1,097,162</w:t>
            </w:r>
          </w:p>
        </w:tc>
        <w:tc>
          <w:tcPr>
            <w:tcW w:w="20" w:type="dxa"/>
            <w:vAlign w:val="bottom"/>
            <w:tcBorders>
              <w:bottom w:val="single" w:sz="8" w:color="auto"/>
            </w:tcBorders>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993,191</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94,503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78,508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751,811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1,359,392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1,097,162</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3"/>
          </w:tcPr>
          <w:p>
            <w:pPr>
              <w:jc w:val="center"/>
              <w:ind w:left="861"/>
              <w:spacing w:after="0"/>
              <w:rPr>
                <w:sz w:val="20"/>
                <w:szCs w:val="20"/>
                <w:color w:val="auto"/>
              </w:rPr>
            </w:pPr>
            <w:r>
              <w:rPr>
                <w:rFonts w:ascii="Arial" w:cs="Arial" w:eastAsia="Arial" w:hAnsi="Arial"/>
                <w:sz w:val="14"/>
                <w:szCs w:val="14"/>
                <w:b w:val="1"/>
                <w:bCs w:val="1"/>
                <w:color w:val="auto"/>
                <w:w w:val="93"/>
              </w:rPr>
              <w:t>Six Months Ended</w:t>
            </w:r>
          </w:p>
        </w:tc>
        <w:tc>
          <w:tcPr>
            <w:tcW w:w="940" w:type="dxa"/>
            <w:vAlign w:val="bottom"/>
          </w:tcPr>
          <w:p>
            <w:pPr>
              <w:spacing w:after="0"/>
              <w:rPr>
                <w:sz w:val="14"/>
                <w:szCs w:val="14"/>
                <w:color w:val="auto"/>
              </w:rPr>
            </w:pPr>
          </w:p>
        </w:tc>
      </w:tr>
      <w:tr>
        <w:trPr>
          <w:trHeight w:val="188"/>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49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863"/>
        </w:trPr>
        <w:tc>
          <w:tcPr>
            <w:tcW w:w="5820" w:type="dxa"/>
            <w:vAlign w:val="bottom"/>
            <w:gridSpan w:val="2"/>
          </w:tcPr>
          <w:p>
            <w:pPr>
              <w:ind w:left="5540"/>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260" w:firstLine="445"/>
        <w:spacing w:after="0" w:line="296" w:lineRule="auto"/>
        <w:rPr>
          <w:sz w:val="20"/>
          <w:szCs w:val="20"/>
          <w:color w:val="auto"/>
        </w:rPr>
      </w:pPr>
      <w:r>
        <w:rPr>
          <w:rFonts w:ascii="Arial" w:cs="Arial" w:eastAsia="Arial" w:hAnsi="Arial"/>
          <w:sz w:val="16"/>
          <w:szCs w:val="16"/>
          <w:color w:val="auto"/>
        </w:rPr>
        <w:t>The deferred revenue balance as of June 30, 2021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$0.8 million and $1.4 million during the three and six months ended June 30, 2021, respectively, relating to these upfront payments. The deferred revenue balances are being recognized over an average of four years representing the period over which we expect to perform our research and developments obligations under each agreement.</w:t>
      </w:r>
    </w:p>
    <w:p>
      <w:pPr>
        <w:spacing w:after="0" w:line="53"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six months ended June 30, 2021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5"/>
              </w:rPr>
              <w:t>Contract Liabilities</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Balance as of June 30,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r>
      <w:tr>
        <w:trPr>
          <w:trHeight w:val="21"/>
        </w:trPr>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Share-based compensation expense related to share options, RSUs, PRSUs and grants under our ESPP was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41,616</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11,240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14,048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48,163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30,604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59,258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(8,374)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39,789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27,297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52,830</w:t>
            </w: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color w:val="auto"/>
        </w:rPr>
        <w:t>The table below shows the number of shares underlying options granted to purchase our ordinary shares, the weighted-average assumptions used in the Black-Scholes option pricing model and the resulting weighted-average grant date fair value of share options granted: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3"/>
              </w:rPr>
              <w:t>Six Months Ended</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8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options granted (in thousands)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9"/>
                <w:szCs w:val="19"/>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33.61</w:t>
            </w:r>
          </w:p>
        </w:tc>
        <w:tc>
          <w:tcPr>
            <w:tcW w:w="20" w:type="dxa"/>
            <w:vAlign w:val="bottom"/>
          </w:tcPr>
          <w:p>
            <w:pPr>
              <w:spacing w:after="0"/>
              <w:rPr>
                <w:sz w:val="19"/>
                <w:szCs w:val="19"/>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 option pricing model assumption information: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32 %</w:t>
            </w:r>
          </w:p>
        </w:tc>
        <w:tc>
          <w:tcPr>
            <w:tcW w:w="20" w:type="dxa"/>
            <w:vAlign w:val="bottom"/>
          </w:tcPr>
          <w:p>
            <w:pPr>
              <w:spacing w:after="0"/>
              <w:rPr>
                <w:sz w:val="19"/>
                <w:szCs w:val="19"/>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term (years)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Range of risk-free rates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0.3-1.6%</w:t>
            </w:r>
          </w:p>
        </w:tc>
        <w:tc>
          <w:tcPr>
            <w:tcW w:w="2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864"/>
        </w:trPr>
        <w:tc>
          <w:tcPr>
            <w:tcW w:w="4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5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Nominal Strike Price Options</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During the second quarter of 2021, we issued nominal strike price share options to replace certain unvested GW awards in connection with the GW Acquisition.</w:t>
      </w:r>
    </w:p>
    <w:p>
      <w:pPr>
        <w:spacing w:after="0" w:line="62"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The table below shows the number of nominal strike price options granted covering an equal number of our ordinary shares and the weighted-average grant date fair value:</w:t>
      </w:r>
    </w:p>
    <w:p>
      <w:pPr>
        <w:spacing w:after="0" w:line="84"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Three and Six Months</w:t>
      </w:r>
    </w:p>
    <w:p>
      <w:pPr>
        <w:jc w:val="center"/>
        <w:ind w:left="9580"/>
        <w:spacing w:after="0" w:line="201" w:lineRule="auto"/>
        <w:rPr>
          <w:sz w:val="20"/>
          <w:szCs w:val="20"/>
          <w:color w:val="auto"/>
        </w:rPr>
      </w:pPr>
      <w:r>
        <w:rPr>
          <w:rFonts w:ascii="Arial" w:cs="Arial" w:eastAsia="Arial" w:hAnsi="Arial"/>
          <w:sz w:val="14"/>
          <w:szCs w:val="14"/>
          <w:b w:val="1"/>
          <w:bCs w:val="1"/>
          <w:color w:val="auto"/>
        </w:rPr>
        <w:t>Ended</w:t>
      </w:r>
    </w:p>
    <w:p>
      <w:pPr>
        <w:jc w:val="center"/>
        <w:ind w:left="9580"/>
        <w:spacing w:after="0"/>
        <w:rPr>
          <w:sz w:val="20"/>
          <w:szCs w:val="20"/>
          <w:color w:val="auto"/>
        </w:rPr>
      </w:pPr>
      <w:r>
        <w:rPr>
          <w:rFonts w:ascii="Arial" w:cs="Arial" w:eastAsia="Arial" w:hAnsi="Arial"/>
          <w:sz w:val="14"/>
          <w:szCs w:val="14"/>
          <w:b w:val="1"/>
          <w:bCs w:val="1"/>
          <w:color w:val="auto"/>
        </w:rPr>
        <w:t>June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Nominal strike price share options granted (in thousands)</w:t>
            </w:r>
          </w:p>
        </w:tc>
        <w:tc>
          <w:tcPr>
            <w:tcW w:w="5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170.82</w:t>
            </w:r>
          </w:p>
        </w:tc>
      </w:tr>
    </w:tbl>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170.55</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108.20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170.05</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113.48</w:t>
            </w:r>
          </w:p>
        </w:tc>
      </w:tr>
    </w:tbl>
    <w:p>
      <w:pPr>
        <w:spacing w:after="0" w:line="187"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In May 2021, the Compensation &amp; Management Development Committee of our board of directors approved awards of PRSU's to certain employees of the Company, subject to vesting on the achievement of certain commercial and pipeline performance criteria to be assessed over a performance period from the date of the grant to December 31, 2023. Following the determination of the Company’s achievement with respect to the performance criteria, the amount of shares awarded will be subject to adjustment based on the application of a relative TSR modifier. The number of shares that may be earned ranges between 0% and 200% of the target number of PRSUs granted based on the degree of achievement of the applicable performance metric and the application of the relative TSR modifier.</w:t>
      </w:r>
    </w:p>
    <w:p>
      <w:pPr>
        <w:spacing w:after="0" w:line="84"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The table below shows the number of PRSUs granted covering an equal number of our ordinary shares and the weighted-average grant date fair value of PRSUs granted:</w:t>
      </w:r>
    </w:p>
    <w:p>
      <w:pPr>
        <w:spacing w:after="0" w:line="84" w:lineRule="exact"/>
        <w:rPr>
          <w:sz w:val="20"/>
          <w:szCs w:val="20"/>
          <w:color w:val="auto"/>
        </w:rPr>
      </w:pPr>
    </w:p>
    <w:p>
      <w:pPr>
        <w:jc w:val="center"/>
        <w:ind w:left="9580"/>
        <w:spacing w:after="0"/>
        <w:rPr>
          <w:sz w:val="20"/>
          <w:szCs w:val="20"/>
          <w:color w:val="auto"/>
        </w:rPr>
      </w:pPr>
      <w:r>
        <w:rPr>
          <w:rFonts w:ascii="Arial" w:cs="Arial" w:eastAsia="Arial" w:hAnsi="Arial"/>
          <w:sz w:val="14"/>
          <w:szCs w:val="14"/>
          <w:b w:val="1"/>
          <w:bCs w:val="1"/>
          <w:color w:val="auto"/>
        </w:rPr>
        <w:t>Three and Six Months</w:t>
      </w:r>
    </w:p>
    <w:p>
      <w:pPr>
        <w:jc w:val="center"/>
        <w:ind w:left="9580"/>
        <w:spacing w:after="0" w:line="201" w:lineRule="auto"/>
        <w:rPr>
          <w:sz w:val="20"/>
          <w:szCs w:val="20"/>
          <w:color w:val="auto"/>
        </w:rPr>
      </w:pPr>
      <w:r>
        <w:rPr>
          <w:rFonts w:ascii="Arial" w:cs="Arial" w:eastAsia="Arial" w:hAnsi="Arial"/>
          <w:sz w:val="14"/>
          <w:szCs w:val="14"/>
          <w:b w:val="1"/>
          <w:bCs w:val="1"/>
          <w:color w:val="auto"/>
        </w:rPr>
        <w:t>Ended</w:t>
      </w:r>
    </w:p>
    <w:p>
      <w:pPr>
        <w:jc w:val="center"/>
        <w:ind w:left="9580"/>
        <w:spacing w:after="0"/>
        <w:rPr>
          <w:sz w:val="20"/>
          <w:szCs w:val="20"/>
          <w:color w:val="auto"/>
        </w:rPr>
      </w:pPr>
      <w:r>
        <w:rPr>
          <w:rFonts w:ascii="Arial" w:cs="Arial" w:eastAsia="Arial" w:hAnsi="Arial"/>
          <w:sz w:val="14"/>
          <w:szCs w:val="14"/>
          <w:b w:val="1"/>
          <w:bCs w:val="1"/>
          <w:color w:val="auto"/>
        </w:rPr>
        <w:t>June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PRSUs granted (in thousands)</w:t>
            </w:r>
          </w:p>
        </w:tc>
        <w:tc>
          <w:tcPr>
            <w:tcW w:w="5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190.81</w:t>
            </w:r>
          </w:p>
        </w:tc>
      </w:tr>
    </w:tbl>
    <w:p>
      <w:pPr>
        <w:spacing w:after="0" w:line="187" w:lineRule="exact"/>
        <w:rPr>
          <w:sz w:val="20"/>
          <w:szCs w:val="20"/>
          <w:color w:val="auto"/>
        </w:rPr>
      </w:pPr>
    </w:p>
    <w:p>
      <w:pPr>
        <w:jc w:val="both"/>
        <w:ind w:right="700" w:firstLine="459"/>
        <w:spacing w:after="0" w:line="311" w:lineRule="auto"/>
        <w:rPr>
          <w:sz w:val="20"/>
          <w:szCs w:val="20"/>
          <w:color w:val="auto"/>
        </w:rPr>
      </w:pPr>
      <w:r>
        <w:rPr>
          <w:rFonts w:ascii="Arial" w:cs="Arial" w:eastAsia="Arial" w:hAnsi="Arial"/>
          <w:sz w:val="16"/>
          <w:szCs w:val="16"/>
          <w:color w:val="auto"/>
        </w:rPr>
        <w:t>As the PRSUs granted in May 2021 are subject to a market condition, the grant date fair value for such PRSUs was based on a Monte Carlo simulation model. The Company evaluated the performance targets in the context of its current long-range financial plan and its product candidate development pipeline and determined that attainment of each performance metric was probable at the target level of 100% as of June 30, 2021.</w:t>
      </w:r>
    </w:p>
    <w:p>
      <w:pPr>
        <w:spacing w:after="0" w:line="41" w:lineRule="exact"/>
        <w:rPr>
          <w:sz w:val="20"/>
          <w:szCs w:val="20"/>
          <w:color w:val="auto"/>
        </w:rPr>
      </w:pPr>
    </w:p>
    <w:p>
      <w:pPr>
        <w:ind w:right="280" w:firstLine="445"/>
        <w:spacing w:after="0" w:line="342" w:lineRule="auto"/>
        <w:rPr>
          <w:sz w:val="20"/>
          <w:szCs w:val="20"/>
          <w:color w:val="auto"/>
        </w:rPr>
      </w:pPr>
      <w:r>
        <w:rPr>
          <w:rFonts w:ascii="Arial" w:cs="Arial" w:eastAsia="Arial" w:hAnsi="Arial"/>
          <w:sz w:val="16"/>
          <w:szCs w:val="16"/>
          <w:color w:val="auto"/>
        </w:rPr>
        <w:t>As of June 30, 2021, compensation cost not yet recognized related to unvested share options, RSUs and PRSUs was $59.5 million, $298.1 million and $29.9 million, respectively, which is expected to be recognized over a weighted-average period of 1.9 years, 2.9 years and 2.5 years,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Our income tax provision was $228.6 million and $246.6 million in the three and six months ended June 30, 2021, respectively, compared to $54.8 million and $3.5 million for the same periods in 2020. Our income tax provision for the three and six months ended June 30, 2021 included an expense of $251.4 million arising on the remeasurement of our U.K. net deferred tax liability, which arose primarily in relation to the GW Acquisition, due to a change in the statutory tax rate in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U.K. following enactment of the U.K. Finance Act 2021. Due to the impact of this expense, our effective tax rates for the three and six months ended June 30, 2021 are not meaningful metrics. The effective tax rates in the three and six months ended June 30, 2020 were 31.9% and (9.2)%, respectively. The effective tax rate for the three months ended June 30, 2020 was higher than the Irish statutory rate of 12.5% primarily due to the impact of the disallowance of certain interest deductions and provision for the settlement reached with the French tax authorities. The effective tax rate for the six months ended June 30, 2020 was lower than the Irish statutory rate of 12.5% primarily due to the impact of the defibrotide acquired IPR&amp;D asset impairment charge and the impact of the acquired IPR&amp;D expense related to the Pharma Mar, S.A. transaction, partially offset by the impact of certain interest disallowance provision and provision for the settlement reached with the French tax authorities. We do not provide for Irish income taxes on undistributed earnings of our foreign operations that are intended to be indefinitely reinvested in our foreign subsidiaries.</w:t>
      </w:r>
    </w:p>
    <w:p>
      <w:pPr>
        <w:spacing w:after="0" w:line="70"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foreign and U.S.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the U.S. (both at the federal level and in various state jurisdictions) and the U.K. In Ireland we are no longer subject to income tax audits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2016 and earlier may still be adjusted upon examination by the tax authorities. In the U.K. we are no longer subject to income tax audits by taxing authorities for the years prior to 2017. During the six months ended June 30, 2021 certain of our subsidiaries were under examination by the French tax authorities for the years ended December 31, 2012, 2013 and 2015 through 2019. Due to the subjective nature of the transfer pricing issues involved, the Company reached an agreement with the French tax authorities to settle the audits for all open years. The settlement agreements in respect of 2012, 2013 and 2015 through 2017 have been finalized and the Company paid incremental taxes, interest and penalties of</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$19.3 million during the six months ended June 30, 2021 to close the audit of those periods. Settlements in respect of 2018 and 2019 are also expected to be finalized and paid in 2021, and $0.4 million has been accrued in this respect. Certain of our Italian subsidiaries are currently under examination by the Italian tax authorities for the year ended December 31, 2017. Certain of our Luxembourg subsidiaries are currently under examination by the Luxembourg tax authorities for the years ended December 31, 2017 and 2018. Our German subsidiary is currently under examination by the German tax authorities for the years ended December 31, 2017,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are identifying new options for patients by actively exploring small molecules and biologics, and through innovative delivery technologies and cannabinoid science.</w:t>
      </w:r>
    </w:p>
    <w:p>
      <w:pPr>
        <w:spacing w:after="0" w:line="80"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Our continued growth is rooted in executing commercial launches; delivering positive clinical results; effectively deploying capital to strengthen the prospects of achieving our short- and long-term goals through strategic and capital-efficient corporate development; and delivering strong financial performance.</w:t>
      </w:r>
    </w:p>
    <w:p>
      <w:pPr>
        <w:spacing w:after="0" w:line="76"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In our core therapeutic areas we apply this approach to bring new medicines to patients and to create sustainable shareholder value. Most critically, we focus on patient populations with high unmet needs. We identify and develop differentiated therapies for these patients that we can support with an efficient sales force and that we expect will be long-lived, durable assets. In addition, we leverage our integrated capabilities and global infrastructure to effectively reach patients around the world.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 Achievements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marketed products are approved in countries around the world to improve patient care.</w:t>
      </w:r>
    </w:p>
    <w:p>
      <w:pPr>
        <w:sectPr>
          <w:pgSz w:w="11900" w:h="16838" w:orient="portrait"/>
          <w:cols w:equalWidth="0" w:num="1">
            <w:col w:w="11240"/>
          </w:cols>
          <w:pgMar w:left="320" w:top="125" w:right="33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Product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NEUROSCIENCE</w:t>
      </w:r>
    </w:p>
    <w:p>
      <w:pPr>
        <w:spacing w:after="0" w:line="103" w:lineRule="exact"/>
        <w:rPr>
          <w:sz w:val="20"/>
          <w:szCs w:val="20"/>
          <w:color w:val="auto"/>
        </w:rPr>
      </w:pPr>
    </w:p>
    <w:p>
      <w:pPr>
        <w:ind w:left="20"/>
        <w:spacing w:after="0" w:line="289" w:lineRule="auto"/>
        <w:rPr>
          <w:sz w:val="20"/>
          <w:szCs w:val="20"/>
          <w:color w:val="auto"/>
        </w:rPr>
      </w:pPr>
      <w:r>
        <w:rPr>
          <w:rFonts w:ascii="Arial" w:cs="Arial" w:eastAsia="Arial" w:hAnsi="Arial"/>
          <w:sz w:val="16"/>
          <w:szCs w:val="16"/>
          <w:color w:val="auto"/>
        </w:rPr>
        <w:t>Xywav™ (calcium, magnesium, potassium, and sodium oxybates)</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7"/>
          <w:szCs w:val="17"/>
          <w:color w:val="auto"/>
        </w:rPr>
        <w:t>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 (U.S.)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17145</wp:posOffset>
            </wp:positionV>
            <wp:extent cx="711517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3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Treatment of cataplexy or excessive daytime sleepiness (EDS), in patients seven years of age and older with narcolepsy.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1270</wp:posOffset>
            </wp:positionV>
            <wp:extent cx="7115175" cy="651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651510"/>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7"/>
          <w:szCs w:val="17"/>
          <w:color w:val="auto"/>
        </w:rPr>
        <w:t>Treatment of cataplexy or EDS in patients seven years of age and older with narcolepsy.</w:t>
      </w:r>
    </w:p>
    <w:p>
      <w:pPr>
        <w:spacing w:after="0" w:line="17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For the treatment of cataplexy in patients with narcolepsy.</w:t>
      </w:r>
    </w:p>
    <w:p>
      <w:pPr>
        <w:spacing w:after="0" w:line="8"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Treatment of seizures associated with Lennox-Gastaut syndrome (LGS), or Dravet syndrome (DS), or tuberous sclerosis complex (TSC), in patients 1 year of age and older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Initial Approval Date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Markets</w:t>
            </w:r>
          </w:p>
        </w:tc>
      </w:tr>
      <w:tr>
        <w:trPr>
          <w:trHeight w:val="655"/>
        </w:trPr>
        <w:tc>
          <w:tcPr>
            <w:tcW w:w="2020" w:type="dxa"/>
            <w:vAlign w:val="bottom"/>
            <w:gridSpan w:val="2"/>
          </w:tcPr>
          <w:p>
            <w:pPr>
              <w:spacing w:after="0"/>
              <w:rPr>
                <w:sz w:val="20"/>
                <w:szCs w:val="20"/>
                <w:color w:val="auto"/>
              </w:rPr>
            </w:pPr>
            <w:r>
              <w:rPr>
                <w:rFonts w:ascii="Arial" w:cs="Arial" w:eastAsia="Arial" w:hAnsi="Arial"/>
                <w:sz w:val="18"/>
                <w:szCs w:val="18"/>
                <w:color w:val="auto"/>
              </w:rPr>
              <w:t>July 2020</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U.S.</w:t>
            </w:r>
          </w:p>
        </w:tc>
      </w:tr>
      <w:tr>
        <w:trPr>
          <w:trHeight w:val="405"/>
        </w:trPr>
        <w:tc>
          <w:tcPr>
            <w:tcW w:w="2020" w:type="dxa"/>
            <w:vAlign w:val="bottom"/>
            <w:gridSpan w:val="2"/>
          </w:tcPr>
          <w:p>
            <w:pPr>
              <w:spacing w:after="0"/>
              <w:rPr>
                <w:sz w:val="20"/>
                <w:szCs w:val="20"/>
                <w:color w:val="auto"/>
              </w:rPr>
            </w:pPr>
            <w:r>
              <w:rPr>
                <w:rFonts w:ascii="Arial" w:cs="Arial" w:eastAsia="Arial" w:hAnsi="Arial"/>
                <w:sz w:val="18"/>
                <w:szCs w:val="18"/>
                <w:color w:val="auto"/>
              </w:rPr>
              <w:t>July 2002 (U.S.)</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U.S.</w:t>
            </w:r>
          </w:p>
        </w:tc>
      </w:tr>
      <w:tr>
        <w:trPr>
          <w:trHeight w:val="702"/>
        </w:trPr>
        <w:tc>
          <w:tcPr>
            <w:tcW w:w="2020" w:type="dxa"/>
            <w:vAlign w:val="bottom"/>
            <w:gridSpan w:val="2"/>
          </w:tcPr>
          <w:p>
            <w:pPr>
              <w:spacing w:after="0"/>
              <w:rPr>
                <w:sz w:val="20"/>
                <w:szCs w:val="20"/>
                <w:color w:val="auto"/>
              </w:rPr>
            </w:pPr>
            <w:r>
              <w:rPr>
                <w:rFonts w:ascii="Arial" w:cs="Arial" w:eastAsia="Arial" w:hAnsi="Arial"/>
                <w:sz w:val="18"/>
                <w:szCs w:val="18"/>
                <w:color w:val="auto"/>
              </w:rPr>
              <w:t>August 2005 (CA)</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Canada</w:t>
            </w:r>
          </w:p>
        </w:tc>
      </w:tr>
      <w:tr>
        <w:trPr>
          <w:trHeight w:val="324"/>
        </w:trPr>
        <w:tc>
          <w:tcPr>
            <w:tcW w:w="2020" w:type="dxa"/>
            <w:vAlign w:val="bottom"/>
            <w:gridSpan w:val="2"/>
          </w:tcPr>
          <w:p>
            <w:pPr>
              <w:spacing w:after="0"/>
              <w:rPr>
                <w:sz w:val="20"/>
                <w:szCs w:val="20"/>
                <w:color w:val="auto"/>
              </w:rPr>
            </w:pPr>
            <w:r>
              <w:rPr>
                <w:rFonts w:ascii="Arial" w:cs="Arial" w:eastAsia="Arial" w:hAnsi="Arial"/>
                <w:sz w:val="18"/>
                <w:szCs w:val="18"/>
                <w:color w:val="auto"/>
              </w:rPr>
              <w:t>June 2018</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U.S.</w:t>
            </w:r>
          </w:p>
        </w:tc>
      </w:tr>
    </w:tbl>
    <w:p>
      <w:pPr>
        <w:spacing w:after="0" w:line="733" w:lineRule="exact"/>
        <w:rPr>
          <w:sz w:val="20"/>
          <w:szCs w:val="20"/>
          <w:color w:val="auto"/>
        </w:rPr>
      </w:pPr>
    </w:p>
    <w:p>
      <w:pPr>
        <w:sectPr>
          <w:pgSz w:w="11900" w:h="16838" w:orient="portrait"/>
          <w:cols w:equalWidth="0" w:num="3">
            <w:col w:w="2420" w:space="400"/>
            <w:col w:w="3480" w:space="200"/>
            <w:col w:w="4740"/>
          </w:cols>
          <w:pgMar w:left="320" w:top="125" w:right="339" w:bottom="1440" w:gutter="0" w:footer="0" w:header="0"/>
          <w:type w:val="continuous"/>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For use as an adjunctive therapy of seizures</w:t>
            </w:r>
          </w:p>
        </w:tc>
        <w:tc>
          <w:tcPr>
            <w:tcW w:w="2100" w:type="dxa"/>
            <w:vAlign w:val="bottom"/>
            <w:vMerge w:val="restart"/>
          </w:tcPr>
          <w:p>
            <w:pPr>
              <w:ind w:left="120"/>
              <w:spacing w:after="0"/>
              <w:rPr>
                <w:sz w:val="20"/>
                <w:szCs w:val="20"/>
                <w:color w:val="auto"/>
              </w:rPr>
            </w:pPr>
            <w:r>
              <w:rPr>
                <w:rFonts w:ascii="Arial" w:cs="Arial" w:eastAsia="Arial" w:hAnsi="Arial"/>
                <w:sz w:val="18"/>
                <w:szCs w:val="18"/>
                <w:color w:val="auto"/>
              </w:rPr>
              <w:t>September 2019 (EU)</w:t>
            </w:r>
          </w:p>
        </w:tc>
        <w:tc>
          <w:tcPr>
            <w:tcW w:w="2760" w:type="dxa"/>
            <w:vAlign w:val="bottom"/>
            <w:vMerge w:val="restart"/>
          </w:tcPr>
          <w:p>
            <w:pPr>
              <w:ind w:left="380"/>
              <w:spacing w:after="0"/>
              <w:rPr>
                <w:sz w:val="20"/>
                <w:szCs w:val="20"/>
                <w:color w:val="auto"/>
              </w:rPr>
            </w:pPr>
            <w:r>
              <w:rPr>
                <w:rFonts w:ascii="Arial" w:cs="Arial" w:eastAsia="Arial" w:hAnsi="Arial"/>
                <w:sz w:val="18"/>
                <w:szCs w:val="18"/>
                <w:color w:val="auto"/>
              </w:rPr>
              <w:t>EU, U.K., other markets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3700" w:type="dxa"/>
            <w:vAlign w:val="bottom"/>
          </w:tcPr>
          <w:p>
            <w:pPr>
              <w:ind w:left="140"/>
              <w:spacing w:after="0" w:line="176" w:lineRule="exact"/>
              <w:rPr>
                <w:sz w:val="20"/>
                <w:szCs w:val="20"/>
                <w:color w:val="auto"/>
              </w:rPr>
            </w:pPr>
            <w:r>
              <w:rPr>
                <w:rFonts w:ascii="Arial" w:cs="Arial" w:eastAsia="Arial" w:hAnsi="Arial"/>
                <w:sz w:val="18"/>
                <w:szCs w:val="18"/>
                <w:color w:val="auto"/>
                <w:w w:val="95"/>
              </w:rPr>
              <w:t>associated with LGS or DS, in conjunction with</w:t>
            </w:r>
          </w:p>
        </w:tc>
        <w:tc>
          <w:tcPr>
            <w:tcW w:w="2100" w:type="dxa"/>
            <w:vAlign w:val="bottom"/>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3"/>
              </w:rPr>
              <w:t>clobazam, for patients 2 years of age and older.</w:t>
            </w:r>
          </w:p>
        </w:tc>
        <w:tc>
          <w:tcPr>
            <w:tcW w:w="2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680" w:type="dxa"/>
            <w:vAlign w:val="bottom"/>
            <w:vMerge w:val="restart"/>
          </w:tcPr>
          <w:p>
            <w:pPr>
              <w:ind w:left="20"/>
              <w:spacing w:after="0"/>
              <w:rPr>
                <w:sz w:val="20"/>
                <w:szCs w:val="20"/>
                <w:color w:val="auto"/>
              </w:rPr>
            </w:pPr>
            <w:r>
              <w:rPr>
                <w:rFonts w:ascii="Arial" w:cs="Arial" w:eastAsia="Arial" w:hAnsi="Arial"/>
                <w:sz w:val="18"/>
                <w:szCs w:val="18"/>
                <w:color w:val="auto"/>
                <w:w w:val="96"/>
              </w:rPr>
              <w:t>Epidyolex</w:t>
            </w:r>
            <w:r>
              <w:rPr>
                <w:rFonts w:ascii="Arial" w:cs="Arial" w:eastAsia="Arial" w:hAnsi="Arial"/>
                <w:sz w:val="23"/>
                <w:szCs w:val="23"/>
                <w:color w:val="auto"/>
                <w:w w:val="96"/>
                <w:vertAlign w:val="superscript"/>
              </w:rPr>
              <w:t>®</w:t>
            </w:r>
            <w:r>
              <w:rPr>
                <w:rFonts w:ascii="Arial" w:cs="Arial" w:eastAsia="Arial" w:hAnsi="Arial"/>
                <w:sz w:val="18"/>
                <w:szCs w:val="18"/>
                <w:color w:val="auto"/>
                <w:w w:val="96"/>
              </w:rPr>
              <w:t xml:space="preserve"> (cannabidiol) (Europe)</w:t>
            </w:r>
          </w:p>
        </w:tc>
        <w:tc>
          <w:tcPr>
            <w:tcW w:w="3700" w:type="dxa"/>
            <w:vAlign w:val="bottom"/>
          </w:tcPr>
          <w:p>
            <w:pPr>
              <w:ind w:left="140"/>
              <w:spacing w:after="0"/>
              <w:rPr>
                <w:sz w:val="20"/>
                <w:szCs w:val="20"/>
                <w:color w:val="auto"/>
              </w:rPr>
            </w:pPr>
            <w:r>
              <w:rPr>
                <w:rFonts w:ascii="Arial" w:cs="Arial" w:eastAsia="Arial" w:hAnsi="Arial"/>
                <w:sz w:val="18"/>
                <w:szCs w:val="18"/>
                <w:color w:val="auto"/>
              </w:rPr>
              <w:t>For use as an adjunctive therapy of seizures</w:t>
            </w: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80" w:type="dxa"/>
            <w:vAlign w:val="bottom"/>
            <w:vMerge w:val="continue"/>
          </w:tcPr>
          <w:p>
            <w:pPr>
              <w:spacing w:after="0"/>
              <w:rPr>
                <w:sz w:val="15"/>
                <w:szCs w:val="15"/>
                <w:color w:val="auto"/>
              </w:rPr>
            </w:pPr>
          </w:p>
        </w:tc>
        <w:tc>
          <w:tcPr>
            <w:tcW w:w="3700" w:type="dxa"/>
            <w:vAlign w:val="bottom"/>
          </w:tcPr>
          <w:p>
            <w:pPr>
              <w:ind w:left="140"/>
              <w:spacing w:after="0" w:line="176" w:lineRule="exact"/>
              <w:rPr>
                <w:sz w:val="20"/>
                <w:szCs w:val="20"/>
                <w:color w:val="auto"/>
              </w:rPr>
            </w:pPr>
            <w:r>
              <w:rPr>
                <w:rFonts w:ascii="Arial" w:cs="Arial" w:eastAsia="Arial" w:hAnsi="Arial"/>
                <w:sz w:val="18"/>
                <w:szCs w:val="18"/>
                <w:color w:val="auto"/>
                <w:w w:val="93"/>
              </w:rPr>
              <w:t>associated with TSC for patients 2 years of age</w:t>
            </w:r>
          </w:p>
        </w:tc>
        <w:tc>
          <w:tcPr>
            <w:tcW w:w="2100" w:type="dxa"/>
            <w:vAlign w:val="bottom"/>
            <w:vMerge w:val="restart"/>
          </w:tcPr>
          <w:p>
            <w:pPr>
              <w:ind w:left="120"/>
              <w:spacing w:after="0"/>
              <w:rPr>
                <w:sz w:val="20"/>
                <w:szCs w:val="20"/>
                <w:color w:val="auto"/>
              </w:rPr>
            </w:pPr>
            <w:r>
              <w:rPr>
                <w:rFonts w:ascii="Arial" w:cs="Arial" w:eastAsia="Arial" w:hAnsi="Arial"/>
                <w:sz w:val="18"/>
                <w:szCs w:val="18"/>
                <w:color w:val="auto"/>
              </w:rPr>
              <w:t>April 2021 (EU)</w:t>
            </w:r>
          </w:p>
        </w:tc>
        <w:tc>
          <w:tcPr>
            <w:tcW w:w="2760" w:type="dxa"/>
            <w:vAlign w:val="bottom"/>
            <w:vMerge w:val="restart"/>
          </w:tcPr>
          <w:p>
            <w:pPr>
              <w:ind w:left="380"/>
              <w:spacing w:after="0"/>
              <w:rPr>
                <w:sz w:val="20"/>
                <w:szCs w:val="20"/>
                <w:color w:val="auto"/>
              </w:rPr>
            </w:pPr>
            <w:r>
              <w:rPr>
                <w:rFonts w:ascii="Arial" w:cs="Arial" w:eastAsia="Arial" w:hAnsi="Arial"/>
                <w:sz w:val="18"/>
                <w:szCs w:val="18"/>
                <w:color w:val="auto"/>
              </w:rPr>
              <w:t>EU</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and older.</w:t>
            </w:r>
          </w:p>
        </w:tc>
        <w:tc>
          <w:tcPr>
            <w:tcW w:w="2100" w:type="dxa"/>
            <w:vAlign w:val="bottom"/>
            <w:vMerge w:val="continue"/>
          </w:tcPr>
          <w:p>
            <w:pPr>
              <w:spacing w:after="0"/>
              <w:rPr>
                <w:sz w:val="20"/>
                <w:szCs w:val="20"/>
                <w:color w:val="auto"/>
              </w:rPr>
            </w:pP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2680" w:type="dxa"/>
            <w:vAlign w:val="bottom"/>
          </w:tcPr>
          <w:p>
            <w:pPr>
              <w:spacing w:after="0"/>
              <w:rPr>
                <w:sz w:val="24"/>
                <w:szCs w:val="24"/>
                <w:color w:val="auto"/>
              </w:rPr>
            </w:pPr>
          </w:p>
        </w:tc>
        <w:tc>
          <w:tcPr>
            <w:tcW w:w="3700" w:type="dxa"/>
            <w:vAlign w:val="bottom"/>
          </w:tcPr>
          <w:p>
            <w:pPr>
              <w:ind w:left="2860"/>
              <w:spacing w:after="0"/>
              <w:rPr>
                <w:sz w:val="20"/>
                <w:szCs w:val="20"/>
                <w:color w:val="auto"/>
              </w:rPr>
            </w:pPr>
            <w:r>
              <w:rPr>
                <w:rFonts w:ascii="Arial" w:cs="Arial" w:eastAsia="Arial" w:hAnsi="Arial"/>
                <w:sz w:val="18"/>
                <w:szCs w:val="18"/>
                <w:color w:val="auto"/>
              </w:rPr>
              <w:t>34</w:t>
            </w: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(solriamfetol)</w:t>
            </w:r>
          </w:p>
        </w:tc>
        <w:tc>
          <w:tcPr>
            <w:tcW w:w="41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Improve wakefulness in adult patients with EDS</w:t>
            </w:r>
          </w:p>
        </w:tc>
        <w:tc>
          <w:tcPr>
            <w:tcW w:w="19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March 2019 (U.S.)</w:t>
            </w:r>
          </w:p>
        </w:tc>
        <w:tc>
          <w:tcPr>
            <w:tcW w:w="286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U.S., EU, U.K.</w:t>
            </w:r>
          </w:p>
        </w:tc>
        <w:tc>
          <w:tcPr>
            <w:tcW w:w="0" w:type="dxa"/>
            <w:vAlign w:val="bottom"/>
          </w:tcPr>
          <w:p>
            <w:pPr>
              <w:spacing w:after="0"/>
              <w:rPr>
                <w:sz w:val="1"/>
                <w:szCs w:val="1"/>
                <w:color w:val="auto"/>
              </w:rPr>
            </w:pPr>
          </w:p>
        </w:tc>
      </w:tr>
      <w:tr>
        <w:trPr>
          <w:trHeight w:val="176"/>
        </w:trPr>
        <w:tc>
          <w:tcPr>
            <w:tcW w:w="2220" w:type="dxa"/>
            <w:vAlign w:val="bottom"/>
            <w:vMerge w:val="continue"/>
            <w:shd w:val="clear" w:color="auto" w:fill="CCEEFF"/>
          </w:tcPr>
          <w:p>
            <w:pPr>
              <w:spacing w:after="0"/>
              <w:rPr>
                <w:sz w:val="15"/>
                <w:szCs w:val="15"/>
                <w:color w:val="auto"/>
              </w:rPr>
            </w:pPr>
          </w:p>
        </w:tc>
        <w:tc>
          <w:tcPr>
            <w:tcW w:w="418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w w:val="94"/>
              </w:rPr>
              <w:t>associated with narcolepsy or obstructive sleep</w:t>
            </w:r>
          </w:p>
        </w:tc>
        <w:tc>
          <w:tcPr>
            <w:tcW w:w="1960" w:type="dxa"/>
            <w:vAlign w:val="bottom"/>
            <w:vMerge w:val="continue"/>
            <w:shd w:val="clear" w:color="auto" w:fill="CCEEFF"/>
          </w:tcPr>
          <w:p>
            <w:pPr>
              <w:spacing w:after="0"/>
              <w:rPr>
                <w:sz w:val="15"/>
                <w:szCs w:val="15"/>
                <w:color w:val="auto"/>
              </w:rPr>
            </w:pPr>
          </w:p>
        </w:tc>
        <w:tc>
          <w:tcPr>
            <w:tcW w:w="2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spacing w:after="0"/>
              <w:rPr>
                <w:sz w:val="19"/>
                <w:szCs w:val="19"/>
                <w:color w:val="auto"/>
              </w:rPr>
            </w:pPr>
          </w:p>
        </w:tc>
        <w:tc>
          <w:tcPr>
            <w:tcW w:w="4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apnea (OSA).</w:t>
            </w:r>
          </w:p>
        </w:tc>
        <w:tc>
          <w:tcPr>
            <w:tcW w:w="196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384" w:lineRule="exact"/>
        <w:rPr>
          <w:sz w:val="20"/>
          <w:szCs w:val="20"/>
          <w:color w:val="auto"/>
        </w:rPr>
      </w:pPr>
    </w:p>
    <w:p>
      <w:pPr>
        <w:ind w:left="20"/>
        <w:spacing w:after="0" w:line="238" w:lineRule="auto"/>
        <w:rPr>
          <w:sz w:val="20"/>
          <w:szCs w:val="20"/>
          <w:color w:val="auto"/>
        </w:rPr>
      </w:pPr>
      <w:r>
        <w:rPr>
          <w:rFonts w:ascii="Arial" w:cs="Arial" w:eastAsia="Arial" w:hAnsi="Arial"/>
          <w:sz w:val="16"/>
          <w:szCs w:val="16"/>
          <w:color w:val="auto"/>
        </w:rPr>
        <w:t>Sativex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(delta-9-tetrahydrocannabinol/cannabidiol)</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ONCOLOGY</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Zepzelca™ (lurbinectedin)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line="189" w:lineRule="exact"/>
              <w:rPr>
                <w:sz w:val="20"/>
                <w:szCs w:val="20"/>
                <w:color w:val="auto"/>
              </w:rPr>
            </w:pPr>
            <w:r>
              <w:rPr>
                <w:rFonts w:ascii="Arial" w:cs="Arial" w:eastAsia="Arial" w:hAnsi="Arial"/>
                <w:sz w:val="18"/>
                <w:szCs w:val="18"/>
                <w:color w:val="auto"/>
              </w:rPr>
              <w:t>Treatment for adult patients with moderate to</w:t>
            </w:r>
          </w:p>
        </w:tc>
        <w:tc>
          <w:tcPr>
            <w:tcW w:w="1320" w:type="dxa"/>
            <w:vAlign w:val="bottom"/>
          </w:tcPr>
          <w:p>
            <w:pPr>
              <w:spacing w:after="0"/>
              <w:rPr>
                <w:sz w:val="16"/>
                <w:szCs w:val="16"/>
                <w:color w:val="auto"/>
              </w:rPr>
            </w:pP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8"/>
                <w:szCs w:val="18"/>
                <w:color w:val="auto"/>
                <w:w w:val="94"/>
              </w:rPr>
              <w:t>severe spasticity due to multiple sclerosis (MS),</w:t>
            </w:r>
          </w:p>
        </w:tc>
        <w:tc>
          <w:tcPr>
            <w:tcW w:w="1320" w:type="dxa"/>
            <w:vAlign w:val="bottom"/>
          </w:tcPr>
          <w:p>
            <w:pPr>
              <w:spacing w:after="0"/>
              <w:rPr>
                <w:sz w:val="16"/>
                <w:szCs w:val="16"/>
                <w:color w:val="auto"/>
              </w:rPr>
            </w:pPr>
          </w:p>
        </w:tc>
      </w:tr>
      <w:tr>
        <w:trPr>
          <w:trHeight w:val="271"/>
        </w:trPr>
        <w:tc>
          <w:tcPr>
            <w:tcW w:w="3620" w:type="dxa"/>
            <w:vAlign w:val="bottom"/>
          </w:tcPr>
          <w:p>
            <w:pPr>
              <w:spacing w:after="0"/>
              <w:rPr>
                <w:sz w:val="20"/>
                <w:szCs w:val="20"/>
                <w:color w:val="auto"/>
              </w:rPr>
            </w:pPr>
            <w:r>
              <w:rPr>
                <w:rFonts w:ascii="Arial" w:cs="Arial" w:eastAsia="Arial" w:hAnsi="Arial"/>
                <w:sz w:val="18"/>
                <w:szCs w:val="18"/>
                <w:color w:val="auto"/>
                <w:w w:val="90"/>
              </w:rPr>
              <w:t>who have not responded adequately to other anti-</w:t>
            </w:r>
          </w:p>
        </w:tc>
        <w:tc>
          <w:tcPr>
            <w:tcW w:w="1320" w:type="dxa"/>
            <w:vAlign w:val="bottom"/>
          </w:tcPr>
          <w:p>
            <w:pPr>
              <w:ind w:left="60"/>
              <w:spacing w:after="0"/>
              <w:rPr>
                <w:sz w:val="20"/>
                <w:szCs w:val="20"/>
                <w:color w:val="auto"/>
              </w:rPr>
            </w:pPr>
            <w:r>
              <w:rPr>
                <w:rFonts w:ascii="Arial" w:cs="Arial" w:eastAsia="Arial" w:hAnsi="Arial"/>
                <w:sz w:val="18"/>
                <w:szCs w:val="18"/>
                <w:color w:val="auto"/>
                <w:w w:val="91"/>
              </w:rPr>
              <w:t>June 2010 (U.K.)</w:t>
            </w:r>
          </w:p>
        </w:tc>
      </w:tr>
      <w:tr>
        <w:trPr>
          <w:trHeight w:val="107"/>
        </w:trPr>
        <w:tc>
          <w:tcPr>
            <w:tcW w:w="3620" w:type="dxa"/>
            <w:vAlign w:val="bottom"/>
          </w:tcPr>
          <w:p>
            <w:pPr>
              <w:spacing w:after="0" w:line="107" w:lineRule="exact"/>
              <w:rPr>
                <w:sz w:val="20"/>
                <w:szCs w:val="20"/>
                <w:color w:val="auto"/>
              </w:rPr>
            </w:pPr>
            <w:r>
              <w:rPr>
                <w:rFonts w:ascii="Arial" w:cs="Arial" w:eastAsia="Arial" w:hAnsi="Arial"/>
                <w:sz w:val="12"/>
                <w:szCs w:val="12"/>
                <w:color w:val="auto"/>
              </w:rPr>
              <w:t>spasticity medication and who demonstrate</w:t>
            </w:r>
          </w:p>
        </w:tc>
        <w:tc>
          <w:tcPr>
            <w:tcW w:w="1320" w:type="dxa"/>
            <w:vAlign w:val="bottom"/>
          </w:tcPr>
          <w:p>
            <w:pPr>
              <w:spacing w:after="0"/>
              <w:rPr>
                <w:sz w:val="9"/>
                <w:szCs w:val="9"/>
                <w:color w:val="auto"/>
              </w:rPr>
            </w:pPr>
          </w:p>
        </w:tc>
      </w:tr>
      <w:tr>
        <w:trPr>
          <w:trHeight w:val="205"/>
        </w:trPr>
        <w:tc>
          <w:tcPr>
            <w:tcW w:w="3620" w:type="dxa"/>
            <w:vAlign w:val="bottom"/>
          </w:tcPr>
          <w:p>
            <w:pPr>
              <w:spacing w:after="0" w:line="205" w:lineRule="exact"/>
              <w:rPr>
                <w:sz w:val="20"/>
                <w:szCs w:val="20"/>
                <w:color w:val="auto"/>
              </w:rPr>
            </w:pPr>
            <w:r>
              <w:rPr>
                <w:rFonts w:ascii="Arial" w:cs="Arial" w:eastAsia="Arial" w:hAnsi="Arial"/>
                <w:sz w:val="18"/>
                <w:szCs w:val="18"/>
                <w:color w:val="auto"/>
              </w:rPr>
              <w:t>clinically significant improvement in spasticity</w:t>
            </w:r>
          </w:p>
        </w:tc>
        <w:tc>
          <w:tcPr>
            <w:tcW w:w="132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related symptoms during an initial trial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13335</wp:posOffset>
            </wp:positionV>
            <wp:extent cx="71151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Treatment of adult patients with metastatic small</w:t>
      </w:r>
    </w:p>
    <w:p>
      <w:pPr>
        <w:ind w:right="900"/>
        <w:spacing w:after="0" w:line="224" w:lineRule="auto"/>
        <w:rPr>
          <w:sz w:val="20"/>
          <w:szCs w:val="20"/>
          <w:color w:val="auto"/>
        </w:rPr>
      </w:pPr>
      <w:r>
        <w:rPr>
          <w:rFonts w:ascii="Arial" w:cs="Arial" w:eastAsia="Arial" w:hAnsi="Arial"/>
          <w:sz w:val="18"/>
          <w:szCs w:val="18"/>
          <w:color w:val="auto"/>
        </w:rPr>
        <w:t>cell lung cancer (SCLC), with disease progression June 2020 on or after platinum-based chemotherapy.</w:t>
      </w:r>
    </w:p>
    <w:p>
      <w:pPr>
        <w:spacing w:after="0" w:line="20" w:lineRule="exact"/>
        <w:rPr>
          <w:sz w:val="20"/>
          <w:szCs w:val="20"/>
          <w:color w:val="auto"/>
        </w:rPr>
      </w:pPr>
      <w:r>
        <w:rPr>
          <w:sz w:val="20"/>
          <w:szCs w:val="20"/>
          <w:color w:val="auto"/>
        </w:rPr>
        <w:br w:type="column"/>
      </w:r>
    </w:p>
    <w:p>
      <w:pPr>
        <w:ind w:right="300"/>
        <w:spacing w:after="0" w:line="237" w:lineRule="auto"/>
        <w:rPr>
          <w:sz w:val="20"/>
          <w:szCs w:val="20"/>
          <w:color w:val="auto"/>
        </w:rPr>
      </w:pPr>
      <w:r>
        <w:rPr>
          <w:rFonts w:ascii="Arial" w:cs="Arial" w:eastAsia="Arial" w:hAnsi="Arial"/>
          <w:sz w:val="17"/>
          <w:szCs w:val="17"/>
          <w:color w:val="auto"/>
        </w:rPr>
        <w:t>U.K. (other markets through licensing agreements with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U.S. (licensed from Pharma Mar, S.A., or PharmaMar)</w:t>
      </w:r>
    </w:p>
    <w:p>
      <w:pPr>
        <w:spacing w:after="0" w:line="54" w:lineRule="exact"/>
        <w:rPr>
          <w:sz w:val="20"/>
          <w:szCs w:val="20"/>
          <w:color w:val="auto"/>
        </w:rPr>
      </w:pPr>
    </w:p>
    <w:p>
      <w:pPr>
        <w:sectPr>
          <w:pgSz w:w="11900" w:h="16838" w:orient="portrait"/>
          <w:cols w:equalWidth="0" w:num="3">
            <w:col w:w="2500" w:space="320"/>
            <w:col w:w="5320" w:space="720"/>
            <w:col w:w="236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560" w:type="dxa"/>
            <w:vAlign w:val="bottom"/>
            <w:shd w:val="clear" w:color="auto" w:fill="CCEEFF"/>
          </w:tcPr>
          <w:p>
            <w:pPr>
              <w:spacing w:after="0"/>
              <w:rPr>
                <w:sz w:val="15"/>
                <w:szCs w:val="15"/>
                <w:color w:val="auto"/>
              </w:rPr>
            </w:pPr>
          </w:p>
        </w:tc>
        <w:tc>
          <w:tcPr>
            <w:tcW w:w="3860" w:type="dxa"/>
            <w:vAlign w:val="bottom"/>
            <w:shd w:val="clear" w:color="auto" w:fill="CCEEFF"/>
          </w:tcPr>
          <w:p>
            <w:pPr>
              <w:ind w:left="260"/>
              <w:spacing w:after="0" w:line="179" w:lineRule="exact"/>
              <w:rPr>
                <w:sz w:val="20"/>
                <w:szCs w:val="20"/>
                <w:color w:val="auto"/>
              </w:rPr>
            </w:pPr>
            <w:r>
              <w:rPr>
                <w:rFonts w:ascii="Arial" w:cs="Arial" w:eastAsia="Arial" w:hAnsi="Arial"/>
                <w:sz w:val="18"/>
                <w:szCs w:val="18"/>
                <w:color w:val="auto"/>
                <w:w w:val="93"/>
              </w:rPr>
              <w:t>A component of a multi-agent chemotherapeutic</w:t>
            </w:r>
          </w:p>
        </w:tc>
        <w:tc>
          <w:tcPr>
            <w:tcW w:w="16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Rylaze™ (asparaginase erwinia</w:t>
            </w:r>
          </w:p>
        </w:tc>
        <w:tc>
          <w:tcPr>
            <w:tcW w:w="38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2"/>
              </w:rPr>
              <w:t>regimen for the treatment of acute lymphoblastic</w:t>
            </w:r>
          </w:p>
        </w:tc>
        <w:tc>
          <w:tcPr>
            <w:tcW w:w="16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560" w:type="dxa"/>
            <w:vAlign w:val="bottom"/>
            <w:vMerge w:val="continue"/>
            <w:shd w:val="clear" w:color="auto" w:fill="CCEEFF"/>
          </w:tcPr>
          <w:p>
            <w:pPr>
              <w:spacing w:after="0"/>
              <w:rPr>
                <w:sz w:val="7"/>
                <w:szCs w:val="7"/>
                <w:color w:val="auto"/>
              </w:rPr>
            </w:pPr>
          </w:p>
        </w:tc>
        <w:tc>
          <w:tcPr>
            <w:tcW w:w="3860" w:type="dxa"/>
            <w:vAlign w:val="bottom"/>
            <w:vMerge w:val="restart"/>
            <w:shd w:val="clear" w:color="auto" w:fill="CCEEFF"/>
          </w:tcPr>
          <w:p>
            <w:pPr>
              <w:ind w:left="260"/>
              <w:spacing w:after="0" w:line="176" w:lineRule="exact"/>
              <w:rPr>
                <w:sz w:val="20"/>
                <w:szCs w:val="20"/>
                <w:color w:val="auto"/>
              </w:rPr>
            </w:pPr>
            <w:r>
              <w:rPr>
                <w:rFonts w:ascii="Arial" w:cs="Arial" w:eastAsia="Arial" w:hAnsi="Arial"/>
                <w:sz w:val="18"/>
                <w:szCs w:val="18"/>
                <w:color w:val="auto"/>
                <w:w w:val="98"/>
              </w:rPr>
              <w:t>leukemia (ALL), and lymphoblastic lymphoma</w:t>
            </w:r>
          </w:p>
        </w:tc>
        <w:tc>
          <w:tcPr>
            <w:tcW w:w="1640" w:type="dxa"/>
            <w:vAlign w:val="bottom"/>
            <w:shd w:val="clear" w:color="auto" w:fill="CCEEFF"/>
          </w:tcPr>
          <w:p>
            <w:pPr>
              <w:spacing w:after="0"/>
              <w:rPr>
                <w:sz w:val="7"/>
                <w:szCs w:val="7"/>
                <w:color w:val="auto"/>
              </w:rPr>
            </w:pPr>
          </w:p>
        </w:tc>
        <w:tc>
          <w:tcPr>
            <w:tcW w:w="3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chrysanthemi (recombinant)-</w:t>
            </w:r>
          </w:p>
        </w:tc>
        <w:tc>
          <w:tcPr>
            <w:tcW w:w="3860" w:type="dxa"/>
            <w:vAlign w:val="bottom"/>
            <w:vMerge w:val="continue"/>
            <w:shd w:val="clear" w:color="auto" w:fill="CCEEFF"/>
          </w:tcPr>
          <w:p>
            <w:pPr>
              <w:spacing w:after="0"/>
              <w:rPr>
                <w:sz w:val="8"/>
                <w:szCs w:val="8"/>
                <w:color w:val="auto"/>
              </w:rPr>
            </w:pPr>
          </w:p>
        </w:tc>
        <w:tc>
          <w:tcPr>
            <w:tcW w:w="16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June 2021</w:t>
            </w:r>
          </w:p>
        </w:tc>
        <w:tc>
          <w:tcPr>
            <w:tcW w:w="3160" w:type="dxa"/>
            <w:vAlign w:val="bottom"/>
            <w:vMerge w:val="restart"/>
            <w:shd w:val="clear" w:color="auto" w:fill="CCEEFF"/>
          </w:tcPr>
          <w:p>
            <w:pPr>
              <w:ind w:left="8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2560" w:type="dxa"/>
            <w:vAlign w:val="bottom"/>
            <w:vMerge w:val="continue"/>
            <w:shd w:val="clear" w:color="auto" w:fill="CCEEFF"/>
          </w:tcPr>
          <w:p>
            <w:pPr>
              <w:spacing w:after="0"/>
              <w:rPr>
                <w:sz w:val="15"/>
                <w:szCs w:val="15"/>
                <w:color w:val="auto"/>
              </w:rPr>
            </w:pPr>
          </w:p>
        </w:tc>
        <w:tc>
          <w:tcPr>
            <w:tcW w:w="38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4"/>
              </w:rPr>
              <w:t>(LBL), in adult and pediatric patients 1 month or</w:t>
            </w:r>
          </w:p>
        </w:tc>
        <w:tc>
          <w:tcPr>
            <w:tcW w:w="1640" w:type="dxa"/>
            <w:vAlign w:val="bottom"/>
            <w:vMerge w:val="continue"/>
            <w:shd w:val="clear" w:color="auto" w:fill="CCEEFF"/>
          </w:tcPr>
          <w:p>
            <w:pPr>
              <w:spacing w:after="0"/>
              <w:rPr>
                <w:sz w:val="15"/>
                <w:szCs w:val="15"/>
                <w:color w:val="auto"/>
              </w:rPr>
            </w:pPr>
          </w:p>
        </w:tc>
        <w:tc>
          <w:tcPr>
            <w:tcW w:w="3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rywn)</w:t>
            </w:r>
          </w:p>
        </w:tc>
        <w:tc>
          <w:tcPr>
            <w:tcW w:w="38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4"/>
              </w:rPr>
              <w:t xml:space="preserve">older who have developed hypersensitivity to </w:t>
            </w:r>
            <w:r>
              <w:rPr>
                <w:rFonts w:ascii="Arial" w:cs="Arial" w:eastAsia="Arial" w:hAnsi="Arial"/>
                <w:sz w:val="18"/>
                <w:szCs w:val="18"/>
                <w:i w:val="1"/>
                <w:iCs w:val="1"/>
                <w:color w:val="auto"/>
                <w:w w:val="94"/>
              </w:rPr>
              <w:t>E.</w:t>
            </w:r>
          </w:p>
        </w:tc>
        <w:tc>
          <w:tcPr>
            <w:tcW w:w="16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19"/>
                <w:szCs w:val="19"/>
                <w:color w:val="auto"/>
              </w:rPr>
            </w:pPr>
          </w:p>
        </w:tc>
        <w:tc>
          <w:tcPr>
            <w:tcW w:w="386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coli</w:t>
            </w:r>
            <w:r>
              <w:rPr>
                <w:rFonts w:ascii="Arial" w:cs="Arial" w:eastAsia="Arial" w:hAnsi="Arial"/>
                <w:sz w:val="18"/>
                <w:szCs w:val="18"/>
                <w:color w:val="auto"/>
              </w:rPr>
              <w:t>-derived asparaginase.</w:t>
            </w:r>
          </w:p>
        </w:tc>
        <w:tc>
          <w:tcPr>
            <w:tcW w:w="16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ind w:left="20" w:right="120"/>
        <w:spacing w:after="0" w:line="234" w:lineRule="auto"/>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w:t>
      </w:r>
    </w:p>
    <w:p>
      <w:pPr>
        <w:spacing w:after="0" w:line="200" w:lineRule="exact"/>
        <w:rPr>
          <w:sz w:val="20"/>
          <w:szCs w:val="20"/>
          <w:color w:val="auto"/>
        </w:rPr>
      </w:pPr>
    </w:p>
    <w:p>
      <w:pPr>
        <w:spacing w:after="0" w:line="227" w:lineRule="exact"/>
        <w:rPr>
          <w:sz w:val="20"/>
          <w:szCs w:val="20"/>
          <w:color w:val="auto"/>
        </w:rPr>
      </w:pPr>
    </w:p>
    <w:p>
      <w:pPr>
        <w:jc w:val="both"/>
        <w:ind w:left="20"/>
        <w:spacing w:after="0" w:line="207" w:lineRule="auto"/>
        <w:rPr>
          <w:sz w:val="20"/>
          <w:szCs w:val="20"/>
          <w:color w:val="auto"/>
        </w:rPr>
      </w:pPr>
      <w:r>
        <w:rPr>
          <w:rFonts w:ascii="Arial" w:cs="Arial" w:eastAsia="Arial" w:hAnsi="Arial"/>
          <w:sz w:val="18"/>
          <w:szCs w:val="18"/>
          <w:color w:val="auto"/>
        </w:rPr>
        <w:t>Vyxeos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liposomal 44 mg/100 mg powder for concentrate for solution for infusion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Newly-diagnosed therapy-related acute myeloid leukemia (t-AML) or AML with myelodysplasia-related changes (AML-MRC) in adults and pediatric patients one year and older.</w:t>
      </w:r>
    </w:p>
    <w:p>
      <w:pPr>
        <w:spacing w:after="0" w:line="11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Adults with newly-diagnosed t-AML or AML-MRC.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43180</wp:posOffset>
            </wp:positionV>
            <wp:extent cx="7115175" cy="1036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03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August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EU, U.K., Canada</w:t>
      </w:r>
    </w:p>
    <w:p>
      <w:pPr>
        <w:spacing w:after="0" w:line="181" w:lineRule="exact"/>
        <w:rPr>
          <w:sz w:val="20"/>
          <w:szCs w:val="20"/>
          <w:color w:val="auto"/>
        </w:rPr>
      </w:pPr>
    </w:p>
    <w:p>
      <w:pPr>
        <w:sectPr>
          <w:pgSz w:w="11900" w:h="16838" w:orient="portrait"/>
          <w:cols w:equalWidth="0" w:num="4">
            <w:col w:w="2580" w:space="240"/>
            <w:col w:w="3560" w:space="120"/>
            <w:col w:w="1640" w:space="720"/>
            <w:col w:w="2360"/>
          </w:cols>
          <w:pgMar w:left="320" w:top="125"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 sodium)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 (Europe)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Treatment of adult and pediatric patients with hepatic veno-occlusive disease (VOD), also known as sinusoidal obstruction syndrome (SOS), with renal or pulmonary dysfunction following hematopoietic stem-cell transplantation (HSCT).</w:t>
      </w:r>
    </w:p>
    <w:p>
      <w:pPr>
        <w:spacing w:after="0" w:line="11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Treatment of severe hepatic VOD, also known as SOS, following HSCT therapy.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October 2013 (EU)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EU, U.K., other markets</w:t>
      </w:r>
    </w:p>
    <w:p>
      <w:pPr>
        <w:spacing w:after="0" w:line="230" w:lineRule="exact"/>
        <w:rPr>
          <w:sz w:val="20"/>
          <w:szCs w:val="20"/>
          <w:color w:val="auto"/>
        </w:rPr>
      </w:pPr>
    </w:p>
    <w:p>
      <w:pPr>
        <w:sectPr>
          <w:pgSz w:w="11900" w:h="16838" w:orient="portrait"/>
          <w:cols w:equalWidth="0" w:num="4">
            <w:col w:w="2760" w:space="60"/>
            <w:col w:w="3600" w:space="80"/>
            <w:col w:w="1640" w:space="720"/>
            <w:col w:w="2360"/>
          </w:cols>
          <w:pgMar w:left="320" w:top="125" w:right="359"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21" w:lineRule="exact"/>
        <w:rPr>
          <w:sz w:val="20"/>
          <w:szCs w:val="20"/>
          <w:color w:val="auto"/>
        </w:rPr>
      </w:pPr>
    </w:p>
    <w:p>
      <w:pPr>
        <w:ind w:right="220" w:firstLine="445"/>
        <w:spacing w:after="0" w:line="255" w:lineRule="auto"/>
        <w:rPr>
          <w:sz w:val="20"/>
          <w:szCs w:val="20"/>
          <w:color w:val="auto"/>
        </w:rPr>
      </w:pPr>
      <w:r>
        <w:rPr>
          <w:rFonts w:ascii="Arial" w:cs="Arial" w:eastAsia="Arial" w:hAnsi="Arial"/>
          <w:sz w:val="18"/>
          <w:szCs w:val="18"/>
          <w:color w:val="auto"/>
        </w:rPr>
        <w:t>We are the global leader in the development and commercialization of oxybate therapy for patients with sleep disorders. We introduced Xyrem in 2002, which has become a standard of care for treating EDS and cataplexy in narcolepsy. In 2020, we received U.S. Food and Drug Administration, or FDA, approval for Xywav, an oxybate therapy that contains 92% less sodium than Xyrem. Since there is no cure for narcolepsy and long-term disease management is needed, we believe that Xywav represents an important new therapeutic option for patients. Our commercial efforts are focused on educating patients and physicians about the lifelong impact of high sodium, and how the use of Xywav enables them to address what is a modifiable risk factor.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June 2021, FDA recognized seven years of Orphan Drug Exclusivity for Xywav.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w:t>
      </w:r>
    </w:p>
    <w:p>
      <w:pPr>
        <w:spacing w:after="0" w:line="7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seen strong adoption of Xywav since its launch in November 2020. In the second quarter of 2021, there were 15,900 average active oxybate patients; exiting the quarter, there were 5,100 active Xywav patients. This increased from 3,900 active Xywav patients exiting the first quarter of 2021. We view this as a positive indication that physicians and patients appreciate the benefits of a lower-sodium oxybate option. We continue to see Xywav adoption among both existing and new-to-oxybate patients.</w:t>
      </w:r>
    </w:p>
    <w:p>
      <w:pPr>
        <w:spacing w:after="0" w:line="79"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We have also met our goal to obtain broad payor coverage for Xywav within six months of launch. We now have agreements in place with all three major pharmacy benefit managers, or PBMs, in the U.S. Commercial payor coverage exceeds 80% of covered lives.</w:t>
      </w:r>
    </w:p>
    <w:p>
      <w:pPr>
        <w:spacing w:after="0" w:line="62"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Sunosi was launched in the United States in 2019 as a therapy to improve wakefulness in adult patients with EDS associated with narcolepsy or OSA, and we remain focused on driving the next phase of its growth. We have established broad commercial payor coverage and have invested in an expanded and dedicated sales force and direct-to-consumer initiatives to raise awareness of EDS associated with narcolepsy or OSA. Sunosi was approved in Europe in 2020, and our rolling launch is ongoing.</w:t>
      </w:r>
    </w:p>
    <w:p>
      <w:pPr>
        <w:spacing w:after="0" w:line="7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Epidiolex (Epidyolex outside the U.S.) was acquired as part of the acquisition of GW Pharmaceuticals plc, or GW, which we refer to as the GW Acquisition, and expands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approval in September 2019.</w:t>
      </w:r>
    </w:p>
    <w:p>
      <w:pPr>
        <w:spacing w:after="0" w:line="84"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Sativex is approved in the European Union, or EU, U.K. and certain other countries for the treatment of adult patients with moderate to severe spasticity due to MS who have not responded adequately to other anti-spasticity medication. We market Sativex directly in the U.K. and through licensing agreements with partners across other countries. We are working toward approval of Sativex (nabiximols) in the U.S. with three Phase 3 clinical trials in progress.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seeing increased awareness of Zepzelca across academic and community cancer centers and continued growth in second-line share and overall demand, reflecting the significant unmet need and favorable Zepzelca product profile. We are also developing Zepzelca in additional indications.</w:t>
      </w:r>
    </w:p>
    <w:p>
      <w:pPr>
        <w:spacing w:after="0" w:line="80"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 xml:space="preserve">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w:t>
      </w:r>
      <w:r>
        <w:rPr>
          <w:rFonts w:ascii="Arial" w:cs="Arial" w:eastAsia="Arial" w:hAnsi="Arial"/>
          <w:sz w:val="18"/>
          <w:szCs w:val="18"/>
          <w:color w:val="auto"/>
        </w:rPr>
        <w:t>.</w:t>
      </w:r>
      <w:r>
        <w:rPr>
          <w:rFonts w:ascii="Arial" w:cs="Arial" w:eastAsia="Arial" w:hAnsi="Arial"/>
          <w:sz w:val="17"/>
          <w:szCs w:val="17"/>
          <w:color w:val="auto"/>
        </w:rPr>
        <w:t xml:space="preserve"> Rylaze is the only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manufactured product that maintains a clinically meaningful level of asparaginase activity throughout the entire duration of treatment. We developed Rylaze to address the needs of patients and healthcare providers for an innovative, high-quality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with reliable supply. We continue to work with FDA and plan to submit additional data to support dosing schedule updates and intravenous administration.</w:t>
      </w:r>
    </w:p>
    <w:p>
      <w:pPr>
        <w:spacing w:after="0" w:line="70" w:lineRule="exact"/>
        <w:rPr>
          <w:sz w:val="20"/>
          <w:szCs w:val="20"/>
          <w:color w:val="auto"/>
        </w:rPr>
      </w:pPr>
    </w:p>
    <w:p>
      <w:pPr>
        <w:ind w:right="280" w:firstLine="445"/>
        <w:spacing w:after="0" w:line="286" w:lineRule="auto"/>
        <w:rPr>
          <w:sz w:val="20"/>
          <w:szCs w:val="20"/>
          <w:color w:val="auto"/>
        </w:rPr>
      </w:pPr>
      <w:r>
        <w:rPr>
          <w:rFonts w:ascii="Arial" w:cs="Arial" w:eastAsia="Arial" w:hAnsi="Arial"/>
          <w:sz w:val="17"/>
          <w:szCs w:val="17"/>
          <w:color w:val="auto"/>
        </w:rPr>
        <w:t>Vyxeos is a treatment for adults with newly-diagnosed t-AML, or AML-MRC. In March 2021, FDA approved a revised label to include a new indication to treat newly-diagnosed therapy-related acute myeloid leukemia (t-AML) or AML with myelodysplasia-related changes in pediatric patients aged one year and older. We have a number of ongoing development activities and continue to expand into new markets internationally.</w:t>
      </w:r>
    </w:p>
    <w:p>
      <w:pPr>
        <w:spacing w:after="0" w:line="57"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Defitelio provides an important treatment option for patients with VOD following HSCT. There was a significant decline in the number of patients receiving HSCT due to the effects of the COVID-19 pandemic. We anticipate the use of Defitelio will increase to the extent that hospital systems globally are able to move forward with more HSCT procedures.</w:t>
      </w:r>
    </w:p>
    <w:p>
      <w:pPr>
        <w:spacing w:after="0" w:line="76"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Erwinaze, which is approved to treat a limited population of patients with ALL who have developed hypersensitivity to E. coli-derived asparaginase, was licensed from and manufactured by a single source, Porton Biopharma Limited, or PBL. Our license and supply agreement with PBL expired on December 31, 2020. We distributed our final inventory of Erwinaze in June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17"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and the GW cannabinoid research platform.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will generate additional data related to our products. We also seek out investment opportunities in support of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3"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With the approval and launch of Rylaze and the expected launch of Xywav in idiopathic hypersomnia, or IH, we remain on track to deliver five key product launches through 2020 and 2021. We have taken both Rylaze and Xywav from concept to commercial readiness.</w:t>
      </w:r>
    </w:p>
    <w:p>
      <w:pPr>
        <w:spacing w:after="0" w:line="6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After discussion with FDA, PharmaMar plans to initiate a confirmatory trial in second-line small cell lung cancer, or SCLC later this year. This is expected to be a three-arm trial comparing Zepzelca as either monotherapy or in combination with irinotecan to investigator's choice of irinotecan or topotecan. If positive, this trial would confirm the benefit of Zepzelca in the treatment of SCLC when patients progress following first-line treatment with a platinum-based regimen.</w:t>
      </w:r>
    </w:p>
    <w:p>
      <w:pPr>
        <w:spacing w:after="0" w:line="7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We have also initiated a Phase 4 observational study to collect real world safety and outcome data in adult Zepzelca monotherapy patients with extensive stage small cell lung cancer who progress on or after prior platinum-containing chemotherapy.</w:t>
      </w:r>
    </w:p>
    <w:p>
      <w:pPr>
        <w:spacing w:after="0" w:line="62"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At the American Academy of Neurology, or AAN, Annual Meeting in April 2021, we presented positive results from the Phase 3 clinical trial evaluating Xywav in adult patients with IH. IH is a chronic neurological disorder that is primarily characterized by EDS and that currently has no approved therapies in the U.S. FDA granted Fast Track designation for Xywav in IH in September 2020, and we completed the rolling submission of a supplemental new drug application, or sNDA, in February 2021. Subsequently, FDA granted Priority Review and a Prescription Drug User Fee Act, or PDUFA, action date of August 12, 2021. We are planning for a potential commercial launch in the fourth quarter of 2021.</w:t>
      </w:r>
    </w:p>
    <w:p>
      <w:pPr>
        <w:spacing w:after="0" w:line="68"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We continue to work with FDA on Rylaze and plan to submit additional data to support dosing schedule updates. Part two of the ongoing Rylaze study is evaluating intravenous administration.</w:t>
      </w:r>
    </w:p>
    <w:p>
      <w:pPr>
        <w:spacing w:after="0" w:line="62" w:lineRule="exact"/>
        <w:rPr>
          <w:sz w:val="20"/>
          <w:szCs w:val="20"/>
          <w:color w:val="auto"/>
        </w:rPr>
      </w:pPr>
    </w:p>
    <w:p>
      <w:pPr>
        <w:jc w:val="both"/>
        <w:ind w:right="500" w:firstLine="445"/>
        <w:spacing w:after="0" w:line="263" w:lineRule="auto"/>
        <w:rPr>
          <w:sz w:val="20"/>
          <w:szCs w:val="20"/>
          <w:color w:val="auto"/>
        </w:rPr>
      </w:pPr>
      <w:r>
        <w:rPr>
          <w:rFonts w:ascii="Arial" w:cs="Arial" w:eastAsia="Arial" w:hAnsi="Arial"/>
          <w:sz w:val="18"/>
          <w:szCs w:val="18"/>
          <w:color w:val="auto"/>
        </w:rPr>
        <w:t>Additionally we remain on track to begin planned Phase 2 trials for JZP385 and JZP150 this year for essential tremor and post-traumatic stress disorder, respectively. These are both patient populations who suffer significant impacts to their quality of life and for whom there are limited current treatment options.</w:t>
      </w:r>
    </w:p>
    <w:p>
      <w:pPr>
        <w:spacing w:after="0" w:line="76" w:lineRule="exact"/>
        <w:rPr>
          <w:sz w:val="20"/>
          <w:szCs w:val="20"/>
          <w:color w:val="auto"/>
        </w:rPr>
      </w:pPr>
    </w:p>
    <w:p>
      <w:pPr>
        <w:jc w:val="both"/>
        <w:ind w:right="48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8060" w:type="dxa"/>
            <w:vAlign w:val="bottom"/>
            <w:gridSpan w:val="4"/>
          </w:tcPr>
          <w:p>
            <w:pPr>
              <w:ind w:left="12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Regulatory Review</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Xywav</w:t>
            </w: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Idiopathic hypersomnia</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Epidiolex</w:t>
            </w: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Epilepsy with Myoclonic Atonic Seizures (EMAS), also known as Doose syndrome</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Nabiximols</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rPr>
              <w:t>MS Spasticity (multiple studies)</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Spinal cord injury spasticity (planned study)</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2b</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JZP385</w:t>
            </w:r>
          </w:p>
        </w:tc>
        <w:tc>
          <w:tcPr>
            <w:tcW w:w="7960" w:type="dxa"/>
            <w:vAlign w:val="bottom"/>
            <w:gridSpan w:val="3"/>
          </w:tcPr>
          <w:p>
            <w:pPr>
              <w:ind w:left="1280"/>
              <w:spacing w:after="0"/>
              <w:rPr>
                <w:sz w:val="20"/>
                <w:szCs w:val="20"/>
                <w:color w:val="auto"/>
              </w:rPr>
            </w:pPr>
            <w:r>
              <w:rPr>
                <w:rFonts w:ascii="Arial" w:cs="Arial" w:eastAsia="Arial" w:hAnsi="Arial"/>
                <w:sz w:val="18"/>
                <w:szCs w:val="18"/>
                <w:color w:val="auto"/>
              </w:rPr>
              <w:t>Essential tremor (planned study)</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2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JZP150</w:t>
            </w: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Post-traumatic stress disorder (planned study)</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Nabiximols</w:t>
            </w: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Post-traumatic stress disorder (planned study)</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Additional cannabinoids</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rPr>
              <w:t>Schizophrenia</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Autism spectrum disorders</w:t>
            </w:r>
          </w:p>
        </w:tc>
      </w:tr>
      <w:tr>
        <w:trPr>
          <w:trHeight w:val="85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960" w:type="dxa"/>
            <w:vAlign w:val="bottom"/>
            <w:gridSpan w:val="3"/>
          </w:tcPr>
          <w:p>
            <w:pPr>
              <w:jc w:val="right"/>
              <w:ind w:right="54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86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Candidates</w:t>
            </w:r>
          </w:p>
        </w:tc>
        <w:tc>
          <w:tcPr>
            <w:tcW w:w="7380" w:type="dxa"/>
            <w:vAlign w:val="bottom"/>
            <w:gridSpan w:val="4"/>
          </w:tcPr>
          <w:p>
            <w:pPr>
              <w:ind w:left="6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Phase 1</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JZP324</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Oxybate extended-release formulation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Additional cannabinoids</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rPr>
              <w:t>Neonatal hypoxic-ischemic encephalopathy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vMerge w:val="continue"/>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Neuropsychiatry targets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Preclinical</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rPr>
              <w:t>Neuroscience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Cannabinoids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ONCOLOGY</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Review</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Rylaze</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ALL/LBL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380" w:type="dxa"/>
            <w:vAlign w:val="bottom"/>
            <w:gridSpan w:val="4"/>
          </w:tcPr>
          <w:p>
            <w:pPr>
              <w:ind w:left="600"/>
              <w:spacing w:after="0"/>
              <w:rPr>
                <w:sz w:val="20"/>
                <w:szCs w:val="20"/>
                <w:color w:val="auto"/>
              </w:rPr>
            </w:pPr>
            <w:r>
              <w:rPr>
                <w:rFonts w:ascii="Arial" w:cs="Arial" w:eastAsia="Arial" w:hAnsi="Arial"/>
                <w:sz w:val="18"/>
                <w:szCs w:val="18"/>
                <w:color w:val="auto"/>
                <w:w w:val="93"/>
              </w:rPr>
              <w:t>FDA approval on June 30, 2021; plan to submit additional data to support U.S. label update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Zepzelca</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w w:val="99"/>
              </w:rPr>
              <w:t>First-line extensive stage SCLC in combination with immunotherapy (planned study)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5"/>
              </w:rPr>
              <w:t>AML or high-risk Myelodysplastic Syndrome, or MDS (AML18 and AML19) (cooperative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group studies)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3"/>
              </w:rPr>
              <w:t>Newly diagnosed adults with standard- and high-risk AML (AML Study Group cooperative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group study)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7"/>
              </w:rPr>
              <w:t>Newly diagnosed pediatric patients with AML (Children’s Oncology Group cooperative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group study)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Phase 2</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Zepzelca</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5"/>
              </w:rPr>
              <w:t>Basket trial including urothelial cancer, large cell neuroendocrine tumor of the lung, and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HRD+ (homologous recombinant deficient) cancers (planned study)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Vyxeos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6"/>
              </w:rPr>
              <w:t>High-risk MDS (European Myelodysplastic Syndromes Cooperative Group cooperative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80" w:type="dxa"/>
            <w:vAlign w:val="bottom"/>
            <w:gridSpan w:val="4"/>
          </w:tcPr>
          <w:p>
            <w:pPr>
              <w:ind w:left="600"/>
              <w:spacing w:after="0"/>
              <w:rPr>
                <w:sz w:val="20"/>
                <w:szCs w:val="20"/>
                <w:color w:val="auto"/>
              </w:rPr>
            </w:pPr>
            <w:r>
              <w:rPr>
                <w:rFonts w:ascii="Arial" w:cs="Arial" w:eastAsia="Arial" w:hAnsi="Arial"/>
                <w:sz w:val="18"/>
                <w:szCs w:val="18"/>
                <w:color w:val="auto"/>
              </w:rPr>
              <w:t>group study)</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380" w:type="dxa"/>
            <w:vAlign w:val="bottom"/>
            <w:gridSpan w:val="4"/>
          </w:tcPr>
          <w:p>
            <w:pPr>
              <w:ind w:left="600"/>
              <w:spacing w:after="0"/>
              <w:rPr>
                <w:sz w:val="20"/>
                <w:szCs w:val="20"/>
                <w:color w:val="auto"/>
              </w:rPr>
            </w:pPr>
            <w:r>
              <w:rPr>
                <w:rFonts w:ascii="Arial" w:cs="Arial" w:eastAsia="Arial" w:hAnsi="Arial"/>
                <w:sz w:val="18"/>
                <w:szCs w:val="18"/>
                <w:color w:val="auto"/>
              </w:rPr>
              <w:t>Newly diagnosed older adults with high-risk AML (planned cooperative group study)</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Vyxeos + venetoclax</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De novo or relapsed/refractory, or R/R, AML (MD Anderson collaboration study)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Phase 1</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Vyxeos</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Low intensity dosing for higher risk MDS (MD Anderson collaboration study)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Vyxeos + other approved therapies</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R/R AML or hypomethylating agent failure MDS (MD Anderson collaboration study)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380" w:type="dxa"/>
            <w:vAlign w:val="bottom"/>
            <w:gridSpan w:val="4"/>
          </w:tcPr>
          <w:p>
            <w:pPr>
              <w:ind w:left="600"/>
              <w:spacing w:after="0"/>
              <w:rPr>
                <w:sz w:val="20"/>
                <w:szCs w:val="20"/>
                <w:color w:val="auto"/>
              </w:rPr>
            </w:pPr>
            <w:r>
              <w:rPr>
                <w:rFonts w:ascii="Arial" w:cs="Arial" w:eastAsia="Arial" w:hAnsi="Arial"/>
                <w:sz w:val="18"/>
                <w:szCs w:val="18"/>
                <w:color w:val="auto"/>
              </w:rPr>
              <w:t>First-line, fit AML (Phase 1b study)</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380" w:type="dxa"/>
            <w:vAlign w:val="bottom"/>
            <w:gridSpan w:val="4"/>
          </w:tcPr>
          <w:p>
            <w:pPr>
              <w:ind w:left="600"/>
              <w:spacing w:after="0"/>
              <w:rPr>
                <w:sz w:val="20"/>
                <w:szCs w:val="20"/>
                <w:color w:val="auto"/>
              </w:rPr>
            </w:pPr>
            <w:r>
              <w:rPr>
                <w:rFonts w:ascii="Arial" w:cs="Arial" w:eastAsia="Arial" w:hAnsi="Arial"/>
                <w:sz w:val="18"/>
                <w:szCs w:val="18"/>
                <w:color w:val="auto"/>
              </w:rPr>
              <w:t>Low intensity therapy for first-line, unfit AML (Phase 1b study)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CombiPlex</w:t>
            </w:r>
            <w:r>
              <w:rPr>
                <w:rFonts w:ascii="Arial" w:cs="Arial" w:eastAsia="Arial" w:hAnsi="Arial"/>
                <w:sz w:val="23"/>
                <w:szCs w:val="23"/>
                <w:color w:val="auto"/>
                <w:vertAlign w:val="superscript"/>
              </w:rPr>
              <w:t>®</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Hematology/oncology exploratory activities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7"/>
              </w:rPr>
              <w:t>ALL and other hematological malignancies (collaboration with Ligand Pharmaceuticals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Incorporated, or Ligand)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Pan-Raf inhibitor program</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6"/>
              </w:rPr>
              <w:t>Raf and Ras mutant tumors (acquired from Redx Pharma, or Redx, which is continuing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380" w:type="dxa"/>
            <w:vAlign w:val="bottom"/>
            <w:gridSpan w:val="4"/>
          </w:tcPr>
          <w:p>
            <w:pPr>
              <w:ind w:left="6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Undisclosed targets</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Ras/Raf/MAP kinase pathway (collaboration with Redx)</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Exosome targets (NRAS and 3 others)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4"/>
              </w:rPr>
              <w:t>Hematological malignancies/solid tumors (collaboration with Codiak BioSciences, Inc., 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380" w:type="dxa"/>
            <w:vAlign w:val="bottom"/>
            <w:gridSpan w:val="4"/>
          </w:tcPr>
          <w:p>
            <w:pPr>
              <w:ind w:left="600"/>
              <w:spacing w:after="0"/>
              <w:rPr>
                <w:sz w:val="20"/>
                <w:szCs w:val="20"/>
                <w:color w:val="auto"/>
              </w:rPr>
            </w:pPr>
            <w:r>
              <w:rPr>
                <w:rFonts w:ascii="Arial" w:cs="Arial" w:eastAsia="Arial" w:hAnsi="Arial"/>
                <w:sz w:val="18"/>
                <w:szCs w:val="18"/>
                <w:color w:val="auto"/>
              </w:rPr>
              <w:t>Codiak)</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Defibrotide</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Exploratory activities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jc w:val="right"/>
              <w:ind w:right="54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 of GW Pharmaceuticals Plc</w:t>
      </w:r>
    </w:p>
    <w:p>
      <w:pPr>
        <w:spacing w:after="0" w:line="117" w:lineRule="exact"/>
        <w:rPr>
          <w:sz w:val="20"/>
          <w:szCs w:val="20"/>
          <w:color w:val="auto"/>
        </w:rPr>
      </w:pPr>
    </w:p>
    <w:p>
      <w:pPr>
        <w:jc w:val="both"/>
        <w:ind w:right="820" w:firstLine="445"/>
        <w:spacing w:after="0" w:line="342" w:lineRule="auto"/>
        <w:rPr>
          <w:sz w:val="20"/>
          <w:szCs w:val="20"/>
          <w:color w:val="auto"/>
        </w:rPr>
      </w:pPr>
      <w:r>
        <w:rPr>
          <w:rFonts w:ascii="Arial" w:cs="Arial" w:eastAsia="Arial" w:hAnsi="Arial"/>
          <w:sz w:val="16"/>
          <w:szCs w:val="16"/>
          <w:color w:val="auto"/>
        </w:rPr>
        <w:t>In May 2021, we acquired GW with the objectives of broadening our neuroscience portfolio, further diversifying our revenue and driving sustainable, long-term value creation opportunities. The total consideration paid by us for the entire issued share capital of GW was $7.2 billion.</w:t>
      </w:r>
    </w:p>
    <w:p>
      <w:pPr>
        <w:spacing w:after="0" w:line="16" w:lineRule="exact"/>
        <w:rPr>
          <w:sz w:val="20"/>
          <w:szCs w:val="20"/>
          <w:color w:val="auto"/>
        </w:rPr>
      </w:pPr>
    </w:p>
    <w:p>
      <w:pPr>
        <w:ind w:right="240" w:firstLine="445"/>
        <w:spacing w:after="0" w:line="274" w:lineRule="auto"/>
        <w:rPr>
          <w:sz w:val="20"/>
          <w:szCs w:val="20"/>
          <w:color w:val="auto"/>
        </w:rPr>
      </w:pPr>
      <w:r>
        <w:rPr>
          <w:rFonts w:ascii="Arial" w:cs="Arial" w:eastAsia="Arial" w:hAnsi="Arial"/>
          <w:sz w:val="17"/>
          <w:szCs w:val="17"/>
          <w:color w:val="auto"/>
        </w:rPr>
        <w:t>In connection with the financing of the transaction, in April 2021 we closed an offering of $1.5 billion in aggregate principal amount of 4.375% senior secured notes, due 2029, or the Secured Notes. In May 2021 we entered into a credit agreement, or the Credit Agreement, that provides for (i) a seven-year $3.1 billion term loan B facility, or the Dollar Term Loan, (ii) a seven-year €625 million term loan B facility, or the Euro Term Loan and, together with the Dollar Term Loan, collectively known as the Term Loan and (iii) a five-year $500 million revolving credit facility, or the Revolving Credit Facility. We funded the cash portion of the GW Acquisition consideration through a combination of cash on hand and borrowings under the Term Loan and the Secured Notes. The Revolving Credit Facility is currently undrawn</w:t>
      </w:r>
      <w:r>
        <w:rPr>
          <w:rFonts w:ascii="Arial" w:cs="Arial" w:eastAsia="Arial" w:hAnsi="Arial"/>
          <w:sz w:val="18"/>
          <w:szCs w:val="18"/>
          <w:color w:val="auto"/>
        </w:rPr>
        <w:t>.</w:t>
      </w:r>
    </w:p>
    <w:p>
      <w:pPr>
        <w:spacing w:after="0" w:line="65"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GW's lead product, Epidiolex (cannabidiol) oral solution, is approved in patients one-year and older for the treatment of seizures associated with LGS, DS and TSC, all of which are rare diseases characterized by severe early-onset epilepsy. Epidiolex was the first plant-derived cannabinoid medicine ever approved by FDA, and has also been approved in Europe under the trade name Epidyolex. In addition to the approved indications for Epidiolex, we believe there are considerable opportunities to pursue other indications within the epilepsy field, including other treatment-resistant epilepsies where significant unmet needs of patients exist. We plan to initiate a Phase 3 Epidiolex pivotal trial for the treatment of seizures associated with EMAS, known as Doose syndrome. EMAS represents the fourth target indication for Epidiolex.</w:t>
      </w:r>
    </w:p>
    <w:p>
      <w:pPr>
        <w:spacing w:after="0" w:line="70"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will continue to leverage the GW cannabinoid research platform and significant expertise in discovering, developing, manufacturing and commercializing therapeutics to address a broad range of diseases. This platform includes nabiximols, which is in Phase 3 clinical trials for the treatment of spasticity associated with multiple sclerosis with an additional planned Phase 3 clinical trial in spinal cord injury, as well as earlier-stage cannabinoid product candidates.</w:t>
      </w:r>
    </w:p>
    <w:p>
      <w:pPr>
        <w:spacing w:after="0" w:line="79"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view the transaction as consistent with our overall business and capital allocation strategy to expand our neuroscience portfolio and drive substantial value for our shareholders. We expect that product sales, operating expenses and interest expense will be significantly higher in 2021 than in 2020 due to the impact of the inclusion of GW's results of operations and the higher debt balance in connection with the GW Acquisition and the continued growth of the organization.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virtual scientific congresses designed to ensure we can continue to provide promotional and non-promotional interactions and have supported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We have implemented a comprehensive response strategy to effectively manage the impact of the COVID-19 pandemic on our employees, patients and our business. We have experienced limited negative impacts to our business due to the pandemic. We expect that our business, financial condition, results of operations, and growth prospects may continue to be impacted on a limited basis by the pandemic.</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Workplace and Employees</w:t>
      </w:r>
    </w:p>
    <w:p>
      <w:pPr>
        <w:spacing w:after="0" w:line="121"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We support broad public health strategies designed to prevent the spread of COVID-19 and are focused on the health and welfare of our employees. Our global organization has mobilized to enable our employees to accomplish our most critical goals through a combination of remote work and in-person initiatives. In addition to rolling out new technologies and collaboration tools, we have implemented processes and resources to support our employees in the event an employee receives a positive COVID-19 diagnosis. We have developed plans regarding the opening of our sites to enable our employees to return to work in our global offices, the field and our manufacturing facilities, which take into account applicable public health authority and local government guidelines and which are designed to ensure community and employee safety. We plan to move to a more flexible mix of virtual and in-person working to advance our culture, drive innovation and agility and enable greater balance and well-being for our workforce. This will also enable us to reconfigure our physical workspaces to optimize the footprint of our company-owned or leased office spaces.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While there continues to be some impact on demand arising from the pandemic, we have seen improvements as healthcare systems have adapted to cope with the ongoing situation. We are utilizing technology to continue to engage healthcare professionals and other customers virtually to support patient care. As more clinics and institutions begin to allow in-person interactions pursuant to local health authority and government guidelines, our field teams continue to resume in-person interactions with healthcare professionals and clinics combined with virtual engagement. The level of renewed in-person engagement varies by account, region and country. The lack of access to healthcare providers has caused, and may continue to cause, delays in appropriate diagnosis, treatment and ongoing care for some patients, which could subsequently impact prescribing and use of our products.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Our manufacturing facilities in Athlone, Ireland, which produces Xyrem and Xywav, Villa Guardia, Italy, which produces defibrotide, and Kent Science Park, U.K., which produces Epidiolex and Sativex, are operational with essential staff onsite and office-based staff working remotely. We currently expect to have adequate global supply of all products for the remainder of 2021.</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With respect to our clinical trial activities, we have taken measures to implement remote and virtual approaches, including remote data monitoring where possible, to maintain patient safety and trial continuity and to preserve study integrity. We have seen limited COVID-19-related impact to our mid-and late-stage clinical trial activity, despite delays in initiating trial sites.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Similarly, our ability to recruit and retain patients and principal investigators and site staff who, as healthcare providers, may have heightened exposure to COVID-19, may adversely impact our clinical trial operations.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121" w:lineRule="exact"/>
        <w:rPr>
          <w:sz w:val="20"/>
          <w:szCs w:val="20"/>
          <w:color w:val="auto"/>
        </w:rPr>
      </w:pPr>
    </w:p>
    <w:p>
      <w:pPr>
        <w:ind w:right="240" w:firstLine="445"/>
        <w:spacing w:after="0" w:line="275" w:lineRule="auto"/>
        <w:rPr>
          <w:sz w:val="20"/>
          <w:szCs w:val="20"/>
          <w:color w:val="auto"/>
        </w:rPr>
      </w:pPr>
      <w:r>
        <w:rPr>
          <w:rFonts w:ascii="Arial" w:cs="Arial" w:eastAsia="Arial" w:hAnsi="Arial"/>
          <w:sz w:val="17"/>
          <w:szCs w:val="17"/>
          <w:color w:val="auto"/>
        </w:rPr>
        <w:t>We anticipate having sufficient liquidity to continue to make planned investments in our business in support of our long-term growth strategy. However, the COVID-19 pandemic continues to rapidly evolve and has resulted in significant volatility in the global financial markets. If the disruption persists and deepens, we could experience an inability to access additional capital, which could in the future negatively affect our capacity for certain corporate development transactions or our ability to make other important, opportunistic investments. The effects of the pandemic could also impact our ability to do in-person due diligence, negotiations, and other interactions to identify new opportunities.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To this end, we have granted requests for several ISTs to evaluate the use of defibrotide in COVID-19 patients experiencing respiratory distress.</w:t>
      </w:r>
    </w:p>
    <w:p>
      <w:pPr>
        <w:spacing w:after="0" w:line="57" w:lineRule="exact"/>
        <w:rPr>
          <w:sz w:val="20"/>
          <w:szCs w:val="20"/>
          <w:color w:val="auto"/>
        </w:rPr>
      </w:pPr>
    </w:p>
    <w:p>
      <w:pPr>
        <w:ind w:right="180" w:firstLine="445"/>
        <w:spacing w:after="0" w:line="273" w:lineRule="auto"/>
        <w:rPr>
          <w:sz w:val="20"/>
          <w:szCs w:val="20"/>
          <w:color w:val="auto"/>
        </w:rPr>
      </w:pPr>
      <w:r>
        <w:rPr>
          <w:rFonts w:ascii="Arial" w:cs="Arial" w:eastAsia="Arial" w:hAnsi="Arial"/>
          <w:sz w:val="17"/>
          <w:szCs w:val="17"/>
          <w:color w:val="auto"/>
        </w:rPr>
        <w:t>In addition, we are supporting our local communities and patient-focused organizations in COVID-19 relief efforts including through corporate donations to charitable organizations providing food and medical relief to our communities in which we operate, and other localities where the needs related to the impact of COVID-19 are greatest. We are engaging with patient advocacy organizations to better understand the impact of COVID-19 and working to ensure that patients living with sleep disorders and hematology and oncology conditions continue to have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business has been substantially dependent on Xyrem. Our future plans assume that our newly launched oxybate product Xywav, with 92% lower sodium compared to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In June 2021, FDA recognized seven years of Orphan Drug Exclusivity for Xywav stating that Xywav is clinically superior to Xyrem by means of greater safety due to reduced chronic sodium burden. While we expect that our business will continue to be substantially dependent on oxybate product sales from both Xyrem and Xywav, there is no guarantee that we can maintain oxybate sales at or near historical levels, or that oxybate sales will continue to grow.</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88" w:lineRule="auto"/>
        <w:rPr>
          <w:sz w:val="20"/>
          <w:szCs w:val="20"/>
          <w:color w:val="auto"/>
        </w:rPr>
      </w:pPr>
      <w:r>
        <w:rPr>
          <w:rFonts w:ascii="Arial" w:cs="Arial" w:eastAsia="Arial" w:hAnsi="Arial"/>
          <w:sz w:val="16"/>
          <w:szCs w:val="16"/>
          <w:color w:val="auto"/>
        </w:rPr>
        <w:t>Our ability to successfully commercialize Xywav will depend on, among other things, our ability to maintain adequate coverage and reimbursement for Xywav and acceptance of Xywav by payors, physicians and patients. In an effort to support strong adoption of Xywav, we are focused on providing robust patient copay and savings programs and facilitating payor coverage for Xywav. Moreover, we have increasingly experienced pressure from third party payors to agree to discounts, rebates or restrictive pricing terms, and we cannot guarantee we will be able to agree to commercially reasonable terms with PBMs and other third party payors, or that we will be able to ensure patient access and acceptance on institutional formularies. Entering into agreements with PBMs and payors to ensure patient access has and will likely continue to result in higher gross to net deductions. In addition to the COVID-19 related impacts described above, in the future, we expect our oxybate products to face competition from generic and authorized generic versions of sodium oxybate pursuant to the settlement agreements we have entered into with multiple abbreviated new drug application filers. Generic competition can decrease the prices at which Xyrem and Xywav are sold and the number of prescriptions written for Xyrem and Xywav. Xyrem and Xywav may also face increased competition from new branded products for treatment of cataplexy and/or EDS in narcolepsy in the U.S. market.</w:t>
      </w:r>
    </w:p>
    <w:p>
      <w:pPr>
        <w:spacing w:after="0" w:line="6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Our financial condition, results of operations and growth prospects are also dependent on the successful commercialization of Epidiolex in the U.S. and Europe. Successful commercialization of Epidiolex is subject to many risks and there is no guarantee that we will be able to continue to successfully commercialize Epidiolex for its approved indications. We will need to continue to maintain and further develop the cannabinoid sales teams in order to successfully coordinate the commercialization of Epidiolex. Because no drug has previously been approved by FDA for the treatment of seizures associated with DS prior to 2018, it is especially difficult to estimate the market potential of Epidiolex. The commercial success of Epidiolex depends on the extent to which patients and physicians accept and adopt Epidiolex as a treatment for LGS, DS and TSC, and we do not know whether our or others’ estimates in this regard will be accurate. We have limited information about how physicians, patients and payors will respond to the pricing of Epidiolex. Physicians may not prescribe Epidiolex and patients may be unwilling to use Epidiolex if coverage is not provided or reimbursement is inadequate to cover a significant portion of the cost. Additionally, any negative development for Epidiolex in the market after launch, in clinical development for additional indications, or in regulatory processes in other jurisdictions, may adversely impact the commercial results and potential of Epidiolex. Thus, significant uncertainty remains regarding the commercial potential of Epidiolex.</w:t>
      </w:r>
    </w:p>
    <w:p>
      <w:pPr>
        <w:spacing w:after="0" w:line="74"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As for other products in our neuroscience therapeutic area, if we are unable to successfully commercialize Sunosi in the U.S. and Europe, or if sales of Sunosi do not reach the levels we expect, our anticipated revenue from Sunosi will be negatively affected, which would have a material adverse effect on our business, financial condition, results of operations and growth prospects.</w:t>
      </w:r>
    </w:p>
    <w:p>
      <w:pPr>
        <w:spacing w:after="0" w:line="76" w:lineRule="exact"/>
        <w:rPr>
          <w:sz w:val="20"/>
          <w:szCs w:val="20"/>
          <w:color w:val="auto"/>
        </w:rPr>
      </w:pPr>
    </w:p>
    <w:p>
      <w:pPr>
        <w:ind w:right="40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Vyxeos, Rylaze and Zepzelca. An inability to effectively commercialize Defitelio, Vyxeos, Rylaze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Our license and supply agreement with PBL, a limited liability company wholly owned by the U.K. Secretary of State for Health, which included an exclusive right to sell Erwinaze, expired on December 31, 2020. Under our agreement with PBL, we had the right to sell certain Erwinaze inventory for a post-termination sales period of 12 months and retain ownership of certain data, know-how and other property interests. We distributed our final available Erwinaze supply in June 2021. If we are unable to replace the product sales we will lose from Erwinaze with Rylaze or future products, our business, financial condition, results of operations and growth prospects would be materially adversely affected.</w:t>
      </w:r>
    </w:p>
    <w:p>
      <w:pPr>
        <w:spacing w:after="0" w:line="68"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In addition to continued investment in our research and development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 In particular, the success of the GW Acquisition will depend, in part, on our ability to realize the anticipated benefits from successfully combining our and GW’s businesses and we plan to continue to devote substantial management attention and resources to integrating our business practices and operations with GW’s in an effort to fully realize the anticipated benefits of the GW Acquisition. Nonetheless, Epidiolex and the other products and technologies acquired may not be successful or continue to grow at the same rate as when our companies operated independently or they may require significantly greater resources and investments than originally anticipated. Conversely, the liabilities assumed in</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GW Acquisition may be greater than originally anticipated.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and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GW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70" w:lineRule="exact"/>
        <w:rPr>
          <w:sz w:val="20"/>
          <w:szCs w:val="20"/>
          <w:color w:val="auto"/>
        </w:rPr>
      </w:pPr>
    </w:p>
    <w:p>
      <w:pPr>
        <w:ind w:right="180" w:firstLine="445"/>
        <w:spacing w:after="0" w:line="291"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are also subject to increasing pricing pressure and restrictions on reimbursement imposed by payors. If we fail to obtain and maintain adequate formulary positions and institutional access for newly-launched products such as Epidiolex, Sunosi, Xywav, Zepzelca, Rylaze and future approved products, we will not be able to achieve a return on our investment and our business, financial condition, results of operations and growth prospects would be materially adversely affected.</w:t>
      </w:r>
    </w:p>
    <w:p>
      <w:pPr>
        <w:spacing w:after="0" w:line="58"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While cannabis is a Schedule I controlled substance, products approved for medical use in the U.S. that contain cannabis or cannabis extracts should be placed in Schedules II-V, since approval by FDA satisfies the “accepted medical use” requirement. When any of our product candidates receive FDA approval, the U.S. Drug Enforcement Administration, or DEA, will make a scheduling determination. If any foreign regulatory authority determines that Epidiolex may have potential for abuse, or if FDA or DEA makes a similar determination for nabiximols, it may require us to generate more clinical or other data than we currently anticipate to establish whether or to what extent the substance has an abuse potential, which could increase the cost and/or delay the launch of that product. In addition, there are non-FDA approved cannabidiol preparations being made available from companies in the medical marijuana industry, which might attempt to compete with Epidiolex. The medical marijuana industry could provide additional competition for nabiximols, if and when it is approved by FDA. If we are unable to compete successfully, our commercial opportunities will be reduced and our business, results of operations and financial conditions may be materially harmed.</w:t>
      </w:r>
    </w:p>
    <w:p>
      <w:pPr>
        <w:spacing w:after="0" w:line="73"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Xywav and Xyrem REMS, the launch of Xywav, our Xyrem patent litigation settlement agreements or otherwise, we could incur significant expense and could be distracted from operation of our business and execution of our strategy. From June to September 2020, a number of class action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class action complaints, see Legal Proceedings in Note 11, Commitments and Contingencies of the notes to the condensed consolidated financial statements included in Part I, Item 1 of this Quarterly Report on Form 10-Q. It is possible that additional lawsuits will be filed against us making similar or related allegations. We cannot predict the outcome of these or potential additional lawsuits or government action; however, if the plaintiffs were to be successful in their claims, they may be entitled to injunctive relief or we may be required to pay significant monetary damages. 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gridSpan w:val="3"/>
            <w:vMerge w:val="restart"/>
          </w:tcPr>
          <w:p>
            <w:pPr>
              <w:jc w:val="center"/>
              <w:ind w:right="230"/>
              <w:spacing w:after="0"/>
              <w:rPr>
                <w:sz w:val="20"/>
                <w:szCs w:val="20"/>
                <w:color w:val="auto"/>
              </w:rPr>
            </w:pPr>
            <w:r>
              <w:rPr>
                <w:rFonts w:ascii="Arial" w:cs="Arial" w:eastAsia="Arial" w:hAnsi="Arial"/>
                <w:sz w:val="14"/>
                <w:szCs w:val="14"/>
                <w:b w:val="1"/>
                <w:bCs w:val="1"/>
                <w:color w:val="auto"/>
                <w:w w:val="92"/>
              </w:rPr>
              <w:t>Increase/</w:t>
            </w: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1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38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 (1)</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 (1)</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748,340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558,203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1,351,871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1,088,408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Cost of product sales (excluding amortization of</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119,194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00" w:type="dxa"/>
            <w:vAlign w:val="bottom"/>
            <w:shd w:val="clear" w:color="auto" w:fill="CCEEFF"/>
          </w:tcPr>
          <w:p>
            <w:pPr>
              <w:spacing w:after="0"/>
              <w:rPr>
                <w:sz w:val="15"/>
                <w:szCs w:val="15"/>
                <w:color w:val="auto"/>
              </w:rPr>
            </w:pPr>
          </w:p>
        </w:tc>
        <w:tc>
          <w:tcPr>
            <w:tcW w:w="1440" w:type="dxa"/>
            <w:vAlign w:val="bottom"/>
            <w:gridSpan w:val="3"/>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N/A(2)</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159,383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56,665</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developed technologies)</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429,031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191,406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689,539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399,806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165,029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140,480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62,974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208,672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125,821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w w:val="99"/>
              </w:rPr>
              <w:t>Acquired in-process research and development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440" w:type="dxa"/>
            <w:vAlign w:val="bottom"/>
            <w:gridSpan w:val="3"/>
          </w:tcPr>
          <w:p>
            <w:pPr>
              <w:jc w:val="right"/>
              <w:ind w:right="250"/>
              <w:spacing w:after="0"/>
              <w:rPr>
                <w:sz w:val="20"/>
                <w:szCs w:val="20"/>
                <w:color w:val="auto"/>
              </w:rPr>
            </w:pPr>
            <w:r>
              <w:rPr>
                <w:rFonts w:ascii="Arial" w:cs="Arial" w:eastAsia="Arial" w:hAnsi="Arial"/>
                <w:sz w:val="18"/>
                <w:szCs w:val="18"/>
                <w:color w:val="auto"/>
              </w:rPr>
              <w:t>N/A(2)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205,250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440" w:type="dxa"/>
            <w:vAlign w:val="bottom"/>
            <w:gridSpan w:val="3"/>
          </w:tcPr>
          <w:p>
            <w:pPr>
              <w:jc w:val="right"/>
              <w:ind w:right="250"/>
              <w:spacing w:after="0"/>
              <w:rPr>
                <w:sz w:val="20"/>
                <w:szCs w:val="20"/>
                <w:color w:val="auto"/>
              </w:rPr>
            </w:pPr>
            <w:r>
              <w:rPr>
                <w:rFonts w:ascii="Arial" w:cs="Arial" w:eastAsia="Arial" w:hAnsi="Arial"/>
                <w:sz w:val="18"/>
                <w:szCs w:val="18"/>
                <w:color w:val="auto"/>
              </w:rPr>
              <w:t>N/A(2)</w:t>
            </w:r>
          </w:p>
        </w:tc>
        <w:tc>
          <w:tcPr>
            <w:tcW w:w="960" w:type="dxa"/>
            <w:vAlign w:val="bottom"/>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54,754</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N/A(2)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Equity in (gain) loss of investees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0"/>
                <w:szCs w:val="20"/>
                <w:color w:val="auto"/>
              </w:rPr>
            </w:pPr>
          </w:p>
        </w:tc>
        <w:tc>
          <w:tcPr>
            <w:tcW w:w="1440" w:type="dxa"/>
            <w:vAlign w:val="bottom"/>
            <w:gridSpan w:val="3"/>
          </w:tcPr>
          <w:p>
            <w:pPr>
              <w:jc w:val="right"/>
              <w:ind w:right="250"/>
              <w:spacing w:after="0"/>
              <w:rPr>
                <w:sz w:val="20"/>
                <w:szCs w:val="20"/>
                <w:color w:val="auto"/>
              </w:rPr>
            </w:pPr>
            <w:r>
              <w:rPr>
                <w:rFonts w:ascii="Arial" w:cs="Arial" w:eastAsia="Arial" w:hAnsi="Arial"/>
                <w:sz w:val="18"/>
                <w:szCs w:val="18"/>
                <w:color w:val="auto"/>
              </w:rPr>
              <w:t>N/A(2)</w:t>
            </w:r>
          </w:p>
        </w:tc>
        <w:tc>
          <w:tcPr>
            <w:tcW w:w="960" w:type="dxa"/>
            <w:vAlign w:val="bottom"/>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560" w:hanging="30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operations of the GW business have been included from the closing of the GW Acquisition on May 5, 2021.</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Comparison to prior period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3"/>
                <w:szCs w:val="13"/>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3"/>
                <w:szCs w:val="13"/>
                <w:color w:val="auto"/>
              </w:rPr>
            </w:pPr>
          </w:p>
        </w:tc>
        <w:tc>
          <w:tcPr>
            <w:tcW w:w="22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3"/>
                <w:szCs w:val="13"/>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446,808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854,683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109,481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Sativex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N/A(2)</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865,185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Zepzelca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Vyxeos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90,146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Erwinaze/Erwinase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163,787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341,963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219,849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558,203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1,351,871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1,088,408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1,359,392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1,097,162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560" w:hanging="30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Comparison to prior period not meaningful.</w:t>
      </w:r>
    </w:p>
    <w:p>
      <w:pPr>
        <w:spacing w:after="0" w:line="9" w:lineRule="exact"/>
        <w:rPr>
          <w:rFonts w:ascii="Arial" w:cs="Arial" w:eastAsia="Arial" w:hAnsi="Arial"/>
          <w:sz w:val="18"/>
          <w:szCs w:val="18"/>
          <w:color w:val="auto"/>
        </w:rPr>
      </w:pPr>
    </w:p>
    <w:p>
      <w:pPr>
        <w:ind w:left="580" w:right="120" w:hanging="329"/>
        <w:spacing w:after="0" w:line="260" w:lineRule="auto"/>
        <w:tabs>
          <w:tab w:leader="none" w:pos="57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operations of the GW business have been included from the closing of the GW Acquisition on May 5, 2021 and comparison to prior period is not meaningful.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Total oxybate product sales increased in the three and six months ended June 30, 2021 compared to the same periods in 2020 primarily due to a higher average selling price, partially offset by a decrease in commercial sales volumes. Total oxybate revenue bottle volume decreased by 1% and 2% in the three and six months ended June 30, 2021, respectively, compared to the same periods in 2020 reflecting our continued investment in patient access programs during the launch of Xywav. Average active oxybate patients on therapy were approximately 15,900 in the second quarter of 2021, an increase of approximately 5% compared to the same period in 2020. Xyrem product sales decreased in the three and six months ended June 30, 2021 compared to the same periods in 2020 primarily due to a decrease in sales volume, partially offset by a higher average net selling price. Price increases were instituted in January 2020 and January 2021. Xyrem product sales volume decreased in the three and six months ended June 30, 2021, compared to the same periods in 2020 due to the strong adoption of Xywav by existing Xyrem patients. Xywav product sales were $124.2 million and $199.6 million in the three and six months ended June 30, 2021, respectively, following its U.S. launch in November 2020. Epidiolex/Epidyolex product sales, from the closing of the GW Acquisition on May 5, 2021 were $109.5 million. On a pro forma basis, Epidiolex/Epidyolex product sales increased by 32% and 30% in the three and six months ended June 30, 2021, respectively, compared to the same periods in 2020, primarily due to an increase in commercial sales volumes. Sunosi product sales increased in the three and six months ended June 30, 2021, compared to the same periods in 2020 primarily due to an increase in sales volume. Sunosi launched in the U.S. in July 2019 and the European rolling launch commenced in May 2020.</w:t>
      </w:r>
    </w:p>
    <w:p>
      <w:pPr>
        <w:spacing w:after="0" w:line="66"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Zepzelca product sales were $55.9 million and $110.3 million in the three and six months ended June 30, 2021, respectively, following its U.S. launch in July 2020. Vyxeos product sales increased in the three and six months ended June 30, 2021, compared to the same periods in 2020 driven by lower gross to net deductions and, to a lesser extent the positive impact of foreign exchange rates. Defitelio/defibrotide product sales increased in the three and six months ended June 30, 2021 compared to the same periods in 2020 primarily due to higher sales volumes and, to a lesser extent, the positive impact of foreign exchange rates. Erwinaze/Erwinase product sales decreased in the three and six months ended June 30, 2021 compared to the same periods in 2020. We distributed our final Erwinaze inventory in June 2021 following expiration of our license and supply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Royalties and contract revenues decreased in the three and six months ended June 30, 2021 compared to the same periods in 2020 primarily due to lower revenues from out-licensing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Cost of product sales increased in the three and six months ended June 30, 2021 compared to the same periods in 2020 primarily due to the cost of product sales acquired in the GW Acquisition, including the acquisition accounting inventory fair value step-up expense, and changes in product mix. Gross margin as a percentage of net product sales was 84.1% and 88.2% for the three and six months ended June 30, 2021, respectively, compared to 95.0% and 94.8% for the same periods in 2020. The decrease in our gross margin percentage in both periods was primarily due to the impact of the acquisition accounting inventory fair value step-up expense.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Selling, general and administrative expenses increased in the three and six months ended June 30, 2021 compared to the same periods in 2020 primarily due to transaction and integration-related expenses of $129.5 million and $137.8 million in the three and six months ended June 30, 2021, respectively, related to the GW Acquisition, an increase in compensation-related expenses driven by higher headcount primarily due to the GW Acquisition, increased investment in sales, marketing and launch activities primarily related to Sunosi, Xywav and Zepzelca in the U.S. and the addition of costs related to Epidiolex, as well as an increase in other expenses related to the expansion of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47,929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31,146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57,048</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20,087</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165,029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Research and development expenses increased by $53.8 million and $44.2 million in the three and six months ended June 30, 2021, respectively, compared to the same periods in 2020. Clinical studies and outside services costs increased by $27.0 million and $10.3 million in the three and six months ended June 30, 2021, respectively, compared to the same periods in 2020 primarily due to the addition of costs related to clinical programs for Epidiolex, nabiximols and cannabinoids and an increase in costs for JZP385. Personnel expenses increased by $16.8 million and $27.1 million in the three and six months ended June 30, 2021, respectively, compared to the same periods in 2020 due to increased headcount primarily driven by the GW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Intangible asset amortization increased by $77.5 million and $82.9 million in the three and six months ended June 30, 2021 compared to the same periods in 2020 primarily due to the commencement of amortization on the intangible assets arising from the GW Acquisition in May 2021, primarily related to Epidiolex.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17"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In the six months ended June 30, 2020, we recorded an acquired in-process research and development, or IPR&amp;D, asset impairment charge of $136.1 million following the decision to stop enrollment in our Phase 3 clinical study of defibrotide for the prevention of VOD due to a determination that the study was highly unlikely to reach one of its primary endpoints.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640" w:firstLine="445"/>
        <w:spacing w:after="0" w:line="277" w:lineRule="auto"/>
        <w:rPr>
          <w:sz w:val="20"/>
          <w:szCs w:val="20"/>
          <w:color w:val="auto"/>
        </w:rPr>
      </w:pPr>
      <w:r>
        <w:rPr>
          <w:rFonts w:ascii="Arial" w:cs="Arial" w:eastAsia="Arial" w:hAnsi="Arial"/>
          <w:sz w:val="18"/>
          <w:szCs w:val="18"/>
          <w:color w:val="auto"/>
        </w:rPr>
        <w:t>Acquired IPR&amp;D expense in the six months ended June 30, 2020 primarily related to an upfront payment of $200.0 million to PharmaMar in connection with our license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140" w:firstLine="445"/>
        <w:spacing w:after="0" w:line="259" w:lineRule="auto"/>
        <w:rPr>
          <w:sz w:val="20"/>
          <w:szCs w:val="20"/>
          <w:color w:val="auto"/>
        </w:rPr>
      </w:pPr>
      <w:r>
        <w:rPr>
          <w:rFonts w:ascii="Arial" w:cs="Arial" w:eastAsia="Arial" w:hAnsi="Arial"/>
          <w:sz w:val="18"/>
          <w:szCs w:val="18"/>
          <w:color w:val="auto"/>
        </w:rPr>
        <w:t>Interest expense, net increased by $43.2 million and $52.1 million in the three and six months ended June 30, 2021 compared to the same periods in 2020, primarily due to higher interest expense as a result of the Term Loan and the Secured Notes which were used, in part, to finance the cash portion of the GW Acquisition, and higher non-cash interest expense following the issuance of our 2.00% exchangeable senior notes due 2026, or the 2026 Notes, in June 2020.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ind w:right="40" w:firstLine="445"/>
        <w:spacing w:after="0" w:line="342" w:lineRule="auto"/>
        <w:rPr>
          <w:sz w:val="20"/>
          <w:szCs w:val="20"/>
          <w:color w:val="auto"/>
        </w:rPr>
      </w:pPr>
      <w:r>
        <w:rPr>
          <w:rFonts w:ascii="Arial" w:cs="Arial" w:eastAsia="Arial" w:hAnsi="Arial"/>
          <w:sz w:val="16"/>
          <w:szCs w:val="16"/>
          <w:color w:val="auto"/>
        </w:rPr>
        <w:t>The foreign exchange (gain)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Our income tax provision was $228.6 million and $246.6 million in the three and six months ended June 30, 2021, respectively, compared to $54.8 million and $3.5 million for the same periods in 2020. Our income tax provision for the three and six months ended June 30, 2021 included an expense of $251.4 million arising on the remeasurement of our U.K. net deferred tax liability, which arose primarily in relation to the GW Acquisition, due to a change in the statutory tax rate in the U.K. following enactment of the U.K. Finance Act 2021. Due to the impact of this expense, our effective tax rates for the three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and six months ended June 30, 2021 are not meaningful metrics. The effective tax rates in the three and six months ended June 30, 2020 were 31.9% and (9.2)%, respectively. The effective tax rate for the three months ended June 30, 2020 was higher than the Irish statutory rate of 12.5% primarily due to the impact of the disallowance of certain interest deductions and provision for the settlement reached with the French tax authorities. The effective tax rate for the six months ended June 30, 2020 was lower than the Irish statutory rate of 12.5% primarily due to the impact of the defibrotide acquired IPR&amp;D asset impairment charge and the impact of the acquired IPR&amp;D expense related to the PharmaMar transaction, partially offset by the impact of certain interest disallowance provision and provision for the settlement reached with the French tax authorities. We do not provide for Irish income taxes on undistributed earnings of our foreign operations that are intended to be indefinitely reinvested in our foreign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(Gain) Loss of Investees</w:t>
      </w:r>
    </w:p>
    <w:p>
      <w:pPr>
        <w:spacing w:after="0" w:line="117"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Equity in (gain) loss of investees relates to our share in the net (gain) loss of companies in which we have made investments accounted for under the equity method of accounting.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As of June 30, 2021, we had cash and cash equivalents of $891.4 million, borrowing availability under our revolving credit facility of $500.0 million and long-term debt principal balance of $7.1 billion. Our long-term debt included our $3.8 billion in aggregate principal amount of the Term Loan,</w:t>
      </w:r>
    </w:p>
    <w:p>
      <w:pPr>
        <w:jc w:val="both"/>
        <w:spacing w:after="0" w:line="273" w:lineRule="auto"/>
        <w:rPr>
          <w:sz w:val="20"/>
          <w:szCs w:val="20"/>
          <w:color w:val="auto"/>
        </w:rPr>
      </w:pPr>
      <w:r>
        <w:rPr>
          <w:rFonts w:ascii="Arial" w:cs="Arial" w:eastAsia="Arial" w:hAnsi="Arial"/>
          <w:sz w:val="17"/>
          <w:szCs w:val="17"/>
          <w:color w:val="auto"/>
        </w:rPr>
        <w:t>$1.5 billion in aggregate principal amount of the Secured Notes, $218.8 million principal amount of our 1.875% exchangeable senior notes due 2021, or the 2021 Notes, $575.0 million principal amount of our 1.50% exchangeable senior notes due 2024, or the 2024 Notes, and $1.0 billion principal amount of our 2026 Notes. We generated cash flows from operations of $326.7 million during the six months ended June 30, 2021, and we expect to continue to generate positive cash flows from operations which will enable us to operate our business and de-lever our balance sheet over time.</w:t>
      </w:r>
    </w:p>
    <w:p>
      <w:pPr>
        <w:spacing w:after="0" w:line="6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the second quarter of 2021, we issued $1.5 billion in aggregate principal amount of the Secured Notes and we entered into the Credit Agreement that provides for $3.8 billion in aggregate principal amount of the Term Loan and a five-year $500.0 million Revolving Credit Facility, which is currently undrawn. We used the proceeds from the Term Loan (i) to repay in full $575.9 million that was outstanding under our credit agreement, dated as of June 18, 2015, or the Existing Credit Agreement, (ii) to fund, in part, the cash consideration payable in connection with the GW Acquisition and (iii) to pay related fees and expenses. We expect to use future loans under the Revolving Credit Facility, if any, for general corporate purposes, including potential business development activities.</w:t>
      </w:r>
    </w:p>
    <w:p>
      <w:pPr>
        <w:spacing w:after="0" w:line="84" w:lineRule="exact"/>
        <w:rPr>
          <w:sz w:val="20"/>
          <w:szCs w:val="20"/>
          <w:color w:val="auto"/>
        </w:rPr>
      </w:pPr>
    </w:p>
    <w:p>
      <w:pPr>
        <w:ind w:right="200" w:firstLine="445"/>
        <w:spacing w:after="0" w:line="296" w:lineRule="auto"/>
        <w:rPr>
          <w:sz w:val="20"/>
          <w:szCs w:val="20"/>
          <w:color w:val="auto"/>
        </w:rPr>
      </w:pPr>
      <w:r>
        <w:rPr>
          <w:rFonts w:ascii="Arial" w:cs="Arial" w:eastAsia="Arial" w:hAnsi="Arial"/>
          <w:sz w:val="16"/>
          <w:szCs w:val="16"/>
          <w:color w:val="auto"/>
        </w:rPr>
        <w:t>We have a significant amount of debt outstanding on a consolidated basis. For a more detailed description of our debt arrangements, see Note 9, Debt, of the notes to the condensed consolidated financial statements, included in Part I, Item 1 of this Quarterly Report on Form 10-Q. This substantial level of debt could have important consequences to our business, including, but not limited to the factors set forth in in Part II, Item 1A “Risk Factors” of this Quarterly Report on Form 10-Q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53"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color w:val="auto"/>
        </w:rPr>
        <w:t>We believe that our existing cash and cash equivalents, cash we expect to generate from operations and funds available under our Revolving Credit Facility will be sufficient to fund our operations and to meet our existing obligations for the foreseeable future including the repayment of the remaining principal balance of the 2021 Notes on maturity in August 2021. The adequacy of our cash resources depends on many assumptions, including primarily our assumptions with respect to product sales and expenses, as well as the other factors set forth in in Part II, Item 1A “Risk Factors” of this Quarterly Report on Form 10-Q under the headings “Risks Related to our Lead Products and Product Candidates” and “To continue to grow our business, we will need to commit substantial resources, which could result in future losses or otherwise limit our opportunities or affect our ability to operate and grow our business.” 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5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Raising additional capital could be accomplished through one or more public or private debt or equity financings, collaborations or partnering arrangements. However, the COVID-19 pandemic continues to rapidly evolve and has resulted in significant volatility in the global financial markets. If the disruption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as a matter of Irish law, when an Irish public limited company issues ordinary shares for cash, the company must first offer those shares on the same or more favorable terms to existing shareholders on a pro rata basis, unless this statutory pre-emption obligation is dis-applied, or opted-out of, by approval of its</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shareholders. At our 2021 annual general meeting of shareholders, while 63.6% of our shareholders who cast votes on the proposal voted to approve our proposal to renew our general pre-emption opt-out authority, we did not receive the requisite 75% of the votes cast needed for our proposal to pass and as a result, our pre-emption opt-out authority expired on August 4, 2021. Although we may still issue shares in any transaction where the shares are issued or deemed to be issued for non-cash consideration, our current inability to issues shares for cash in any capital raising transaction without first conducting a pro-rata rights offering or obtaining the approval of our shareholders to dis-apply the statutory pre-emption right to that issuance would increase our costs and otherwise could adversely affect our ability to effectively use our unissued share capital to fund in-licensing or acquisition opportunities, or to</w:t>
      </w:r>
    </w:p>
    <w:p>
      <w:pPr>
        <w:spacing w:after="0" w:line="3"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otherwise raise additional capital for our business. While we currently intend to again seek the approval of our shareholders to dis-apply the statutory pre-emption right generally, we expect that the terms of any such approval would be substantially more limited than our general pre-emption opt-out authority that had been in effect prior to August 4, 2021, which could also adversely affect our ability to effectively use our unissued share capital to fund in-</w:t>
      </w:r>
    </w:p>
    <w:p>
      <w:pPr>
        <w:spacing w:after="0" w:line="1"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licensing or acquisition opportunities, or to otherwise raise additional capital for our business. An inability to borrow or raise additional capital in a timely manner and on attractive terms could prevent us from expanding our business or taking advantage of acquisition opportunities, and could otherwise could have a material adverse effect on our business and growth prospects. If we use a substantial amount of our funds to acquire or in-license products or</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product candidates, we may not have sufficient additional funds to conduct all of our operations in the manner we would otherwise choose. In addition, any equity financing would be dilutive to our shareholders, and could require the consent of the lenders under the Credit Agreement and the indenture for the Secured Notes for certain financings.</w:t>
      </w:r>
    </w:p>
    <w:p>
      <w:pPr>
        <w:spacing w:after="0" w:line="76"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In November 2016, our board of directors authorized a share repurchase program and as of June 30, 2021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Credit Agreement and the indenture for the Secured Notes, corporate and regulatory requirements and market conditions. The share repurchase program may be modified, suspended or discontinued at any time without prior notice. During the three and six months ended June 30, 2021, we did not repurchase any of our ordinary shares. As of June 30, 2021, the remaining amount authorized under the share repurchase program was $431.2 million.</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39"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Six Months Ended</w:t>
      </w:r>
    </w:p>
    <w:p>
      <w:pPr>
        <w:jc w:val="center"/>
        <w:ind w:left="77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455,488</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(5,175,238)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(801,245)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4,682,312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494,851</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Net cash provided by operating activities decreased by $128.8 million in the six months ended June 30, 2021 compared to the same period in 2020, primarily due to the payment of transaction and integration-related costs arising from the GW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Net cash used in investing activities increased by $4,374.0 million in the six months ended June 30, 2021 compared to the same period in 2020, primarily due to the following:</w:t>
      </w:r>
    </w:p>
    <w:p>
      <w:pPr>
        <w:spacing w:after="0" w:line="62" w:lineRule="exact"/>
        <w:rPr>
          <w:sz w:val="20"/>
          <w:szCs w:val="20"/>
          <w:color w:val="auto"/>
        </w:rPr>
      </w:pPr>
    </w:p>
    <w:p>
      <w:pPr>
        <w:ind w:left="5540" w:right="4320" w:hanging="5208"/>
        <w:spacing w:after="0" w:line="919" w:lineRule="auto"/>
        <w:tabs>
          <w:tab w:leader="none" w:pos="6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$6,234.8 million outflow related to the net cash paid for the GW Acquisition; offset by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$1,544.4 million increase in net proceeds from maturity of investments, primarily time deposits;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$205.3 million decrease in upfront payments for acquired IPR&amp;D primarily driven by the $200.0 million payment under our license agreement with PharmaMar in the six months ended June 30, 2020; and</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$113.0 million decrease in acquisition of intangible assets primarily related to the $100.0 million milestone payment to PharmaMar on FDA approval of Zepzelca in the six months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Net cash provided by financing activities increased by $4,187.5 million in the six months ended June 30, 2021 compared to the same period in 2020, primarily due to:</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$3,975.4 million in debt financing due to:</w:t>
      </w:r>
    </w:p>
    <w:p>
      <w:pPr>
        <w:spacing w:after="0" w:line="117" w:lineRule="exact"/>
        <w:rPr>
          <w:rFonts w:ascii="Arial" w:cs="Arial" w:eastAsia="Arial" w:hAnsi="Arial"/>
          <w:sz w:val="18"/>
          <w:szCs w:val="18"/>
          <w:color w:val="auto"/>
        </w:rPr>
      </w:pPr>
    </w:p>
    <w:p>
      <w:pPr>
        <w:ind w:left="1300" w:right="180" w:hanging="320"/>
        <w:spacing w:after="0" w:line="308" w:lineRule="auto"/>
        <w:tabs>
          <w:tab w:leader="none" w:pos="1296" w:val="left"/>
        </w:tabs>
        <w:numPr>
          <w:ilvl w:val="1"/>
          <w:numId w:val="14"/>
        </w:numPr>
        <w:rPr>
          <w:rFonts w:ascii="Arial" w:cs="Arial" w:eastAsia="Arial" w:hAnsi="Arial"/>
          <w:sz w:val="17"/>
          <w:szCs w:val="17"/>
          <w:color w:val="auto"/>
        </w:rPr>
      </w:pPr>
      <w:r>
        <w:rPr>
          <w:rFonts w:ascii="Arial" w:cs="Arial" w:eastAsia="Arial" w:hAnsi="Arial"/>
          <w:sz w:val="17"/>
          <w:szCs w:val="17"/>
          <w:color w:val="auto"/>
        </w:rPr>
        <w:t>Net proceeds from issuance of borrowings under the Credit Agreement of $3,719.9 million and the Secured Notes of $1,471.5 million, partially offset by $584.3 million in repayment of long-term debt in the six months ended June 30, 2021; compared to</w:t>
      </w:r>
    </w:p>
    <w:p>
      <w:pPr>
        <w:spacing w:after="0" w:line="38" w:lineRule="exact"/>
        <w:rPr>
          <w:rFonts w:ascii="Arial" w:cs="Arial" w:eastAsia="Arial" w:hAnsi="Arial"/>
          <w:sz w:val="17"/>
          <w:szCs w:val="17"/>
          <w:color w:val="auto"/>
        </w:rPr>
      </w:pPr>
    </w:p>
    <w:p>
      <w:pPr>
        <w:ind w:left="1300" w:right="20" w:hanging="320"/>
        <w:spacing w:after="0" w:line="27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Net proceeds from issuance of the 2026 Notes of $981.4 million, partially offset by payments for partial repurchase of the 2021 Notes of $332.9 million and repayment of long-term debt of $16.7 million in the six months ended June 30, 2020.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share repurchases of $146.5 million in the six months ended June 30,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$78.0 million in proceeds from employee equity incentive and purchase plans.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a summary of our contractual obligations as of June 30,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673"/>
              <w:spacing w:after="0"/>
              <w:rPr>
                <w:sz w:val="20"/>
                <w:szCs w:val="20"/>
                <w:color w:val="auto"/>
              </w:rPr>
            </w:pPr>
            <w:r>
              <w:rPr>
                <w:rFonts w:ascii="Arial" w:cs="Arial" w:eastAsia="Arial" w:hAnsi="Arial"/>
                <w:sz w:val="16"/>
                <w:szCs w:val="16"/>
                <w:b w:val="1"/>
                <w:bCs w:val="1"/>
                <w:color w:val="auto"/>
                <w:w w:val="90"/>
              </w:rPr>
              <w:t>Payments Due by Period</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Contractual Obligations (1)</w:t>
            </w:r>
          </w:p>
        </w:tc>
        <w:tc>
          <w:tcPr>
            <w:tcW w:w="2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1-3 Years</w:t>
            </w:r>
          </w:p>
        </w:tc>
        <w:tc>
          <w:tcPr>
            <w:tcW w:w="2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1020" w:type="dxa"/>
            <w:vAlign w:val="bottom"/>
          </w:tcPr>
          <w:p>
            <w:pPr>
              <w:jc w:val="right"/>
              <w:ind w:right="193"/>
              <w:spacing w:after="0" w:line="13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 principal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3,687,750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Term Loan - interest (2)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156,460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304,240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274,521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Notes - principal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Secured Notes - interest (3)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497,656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169,531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 - principal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Exchangeable Senior Notes - interest (4)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other obligations (5)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Operating lease obligations (6)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88,961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9,187,200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2,172,737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5,735,590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580" w:right="20" w:hanging="329"/>
        <w:spacing w:after="0" w:line="281" w:lineRule="auto"/>
        <w:tabs>
          <w:tab w:leader="none" w:pos="6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table does not include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June 30, 2021 included $1,025.0 million across five targets under our strategic collaboration agreement with Codiak, $707.0 million under our license agreement with PharmaMar, $613.0 million under asset purchase and collaboration agreements with Redx, $375.0 million under our asset purchase and exclusive license agreement with SpringWorks Therapeutics, Inc., $260.0 million in connection with our acquisition of Cavion, $165.0 million to Aerial BioPharma LLC and SK Biopharmaceuticals Co. Ltd in connection with our acquisition of the rights to Sunosi, $160.5 million under our license agreement with Ligand and $571.1 million related to other agreements.</w:t>
      </w:r>
    </w:p>
    <w:p>
      <w:pPr>
        <w:spacing w:after="0" w:line="4" w:lineRule="exact"/>
        <w:rPr>
          <w:rFonts w:ascii="Arial" w:cs="Arial" w:eastAsia="Arial" w:hAnsi="Arial"/>
          <w:sz w:val="16"/>
          <w:szCs w:val="16"/>
          <w:color w:val="auto"/>
        </w:rPr>
      </w:pPr>
    </w:p>
    <w:p>
      <w:pPr>
        <w:ind w:left="640" w:hanging="38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June 30, 2021, the interest rate on the Dollar Term Loan and Euro Term Loan was 4.00% and 4.39%, respectively.</w:t>
      </w:r>
    </w:p>
    <w:p>
      <w:pPr>
        <w:spacing w:after="0" w:line="9" w:lineRule="exact"/>
        <w:rPr>
          <w:rFonts w:ascii="Arial" w:cs="Arial" w:eastAsia="Arial" w:hAnsi="Arial"/>
          <w:sz w:val="18"/>
          <w:szCs w:val="18"/>
          <w:color w:val="auto"/>
        </w:rPr>
      </w:pPr>
    </w:p>
    <w:p>
      <w:pPr>
        <w:ind w:left="580" w:right="60" w:hanging="329"/>
        <w:spacing w:after="0" w:line="250"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used the fixed interest rate of 4.375% on the Secured Notes to estimate interest owed as of June 30, 2021 until the final maturity date of these notes.</w:t>
      </w:r>
    </w:p>
    <w:p>
      <w:pPr>
        <w:ind w:left="580" w:hanging="329"/>
        <w:spacing w:after="0" w:line="260"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used the fixed interest rates of 1.875% on the 2021 Notes, 1.50% on the 2024 Notes and 2.00% on the 2026 Notes to estimate interest owed as of June 30, 2021 until the respective final maturity dates of these notes.</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40" w:hanging="38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our third party manufacturers.</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primarily of the minimum lease payments for our office buildings, manufacturing sites and automobile lease payments for our sales force. Operating expenses associated with our leased office buildings are not included in table above.</w:t>
      </w:r>
    </w:p>
    <w:p>
      <w:pPr>
        <w:spacing w:after="0" w:line="7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do not provide for Irish income taxes on undistributed earnings of our foreign operations that are intended to be indefinitely reinvested in our foreign subsidiaries. In addition, our liability for unrecognized tax benefits has been excluded from the above contractual obligations table as the nature and timing of future payments, if any, cannot be reasonably estimated. We do not anticipate that the amount of our existing liability for unrecognized tax benefits will significantly change in the next twelve months.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in particular estimates of government rebates, which include Medicaid and TRICARE rebates, commercial contracting and estimated product returns. Significant estimates and assumptions are also required to determine whether to capitalize intangible assets, the amortization periods for identifiable intangible assets, the potential impairment of goodwill and other intangible assets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critical accounting policies and significant estimates are detailed in our Annual Report on Form 10-K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critical accounting policies and significant estimates have not changed substantially from those previously disclosed in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Interest Rate Risk. The primary objectives of our investment policy, in order of priority, are as follows: safety and preservation of principal and 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as of June 30, 2021 consisted of time deposits and money market funds which are not subject to significant interest rate risk.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exposed to risks associated with changes in interest rates in connection with our term loan borrowings. In May 2021 we entered into a credit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or the Credit Agreement, that provides for (i) a seven-year $3.1 billion term loan B facility, or the Dollar Term Loan, (ii) a seven-year €625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term loan B facility, or the Euro Term Loan and, together with the Dollar Term Loan, collectively known as the Term Loan and (iii) a five-year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 million revolving credit facility, or the Revolving Credit Facility. We used the proceeds from the Term Loan (i) to repay in full $575.9 million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certain credit agreement, dated as of June 18, 2015 (as amended) among the Company, and certain of our other subsidiaries as borrowers, the lenders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party thereto and Bank of America, N.A., as administrative agent and collateral agent, or the Existing Credit Agreement, (ii) to fund, in part, the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payable in connection with the GW Acquisition and (iii) to pay related fees and expenses. There were no borrowings outstanding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as of June 30, 2021. The Dollar Term Loan is subject to a London Inter-Bank Offering Rate, or LIBOR, floor of 0.50%.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borrowings of $3.8 billion as of June 30, 2021, a hypothetical 1% increase or decrease in interest rates, above the LIBOR floor in the case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Dollar Term Loan borrowings, would increase or decrease net income for the year ended December 31, 2021 by approximately $19.3 million.</w:t>
      </w:r>
    </w:p>
    <w:p>
      <w:pPr>
        <w:spacing w:after="0" w:line="114"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In April 2021, we issued $1.5 billion in aggregate principal amount of 4.375% senior secured notes, due 2029, or the Secured Notes. In 2014, we completed a private placement of $575.0 million aggregate principal amount of the 2021 Notes, of which we have repurchased $356.2 million of the aggregate principal amount, or 2021 Notes; in 2017, we completed a private placement of $575.0 million aggregate principal amount of the 2024 Notes, or 2024 Notes, in June 2020, we completed a private offering of an aggregate $1.0 billion principal amount of the 2026 Notes, or 2026 Notes, collectively known as the Exchangeable Senior Notes.</w:t>
      </w:r>
    </w:p>
    <w:p>
      <w:pPr>
        <w:spacing w:after="0" w:line="80"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Secured Notes, 2021 Notes, 2024 Notes and 2026 Notes have fixed annual interest rates of 4.375%, 1.875%, 1.50% and 2.00%, respectively, and we, therefore, do not have economic interest rate exposure on the Secured Notes and the Exchangeable Senior Notes. However, the fair values of the Secured Notes and Exchangeable Senior Notes are exposed to interest rate risk. Generally, the fair values of the Secured Notes and the Exchangeable Senior Notes will increase as interest rates fall and decrease as interest rates rise. The fair values of the Exchangeable Senior Notes are also affected by volatility in our ordinary share price. As of June 30, 2021 the fair values of the Secured Notes, 2021 Notes, 2024 Notes and 2026 Notes were estimated to be approximately $1.6 billion, $221 million, $622 million and $1.3 billion, respectively.</w:t>
      </w:r>
    </w:p>
    <w:p>
      <w:pPr>
        <w:spacing w:after="0" w:line="70"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In July 2017, the Financial Conduct Authority, the authority that regulates LIBOR, announced it intended to stop compelling banks to submit rates for the calculation of LIBOR after 2021. In a further update, on November 30, 2020, ICE Benchmark Administration, the administrator of LIBOR, with the support of the U.S. Federal Reserve and the Financial Conduct Authority, or FCA, announced plans to consult on ceasing publication of LIBOR on December 31, 2021 for only the one week and two month LIBOR tenors, and on June 30, 2023 for all other LIBOR tenors. While this announcement extends the transition period to June 2023, the U.S. Federal Reserve concurrently issued a statement advising banks to stop new LIBOR issuances by the end of 2021. The Alternative Reference Rates Committee, or ARRC, in the U.S. has proposed that the Secured Overnight Financing Rate, or SOFR, is the rate that represents best practice as the alternative to the U.S. dollar, or USD, LIBOR for use in derivatives and other financial contracts that are currently indexed to USD LIBOR. ARRC has proposed a paced market transition plan to SOFR from USD LIBOR and organizations are currently working on industry wide and company specific transition plans as it relates to derivatives and cash markets exposed to USD LIBOR.</w:t>
      </w:r>
    </w:p>
    <w:p>
      <w:pPr>
        <w:spacing w:after="0" w:line="58" w:lineRule="exact"/>
        <w:rPr>
          <w:sz w:val="20"/>
          <w:szCs w:val="20"/>
          <w:color w:val="auto"/>
        </w:rPr>
      </w:pPr>
    </w:p>
    <w:p>
      <w:pPr>
        <w:ind w:right="220" w:firstLine="445"/>
        <w:spacing w:after="0" w:line="271" w:lineRule="auto"/>
        <w:rPr>
          <w:sz w:val="20"/>
          <w:szCs w:val="20"/>
          <w:color w:val="auto"/>
        </w:rPr>
      </w:pPr>
      <w:r>
        <w:rPr>
          <w:rFonts w:ascii="Arial" w:cs="Arial" w:eastAsia="Arial" w:hAnsi="Arial"/>
          <w:sz w:val="17"/>
          <w:szCs w:val="17"/>
          <w:color w:val="auto"/>
        </w:rPr>
        <w:t>Foreign Exchange Risk. We have significant operations in Europe as well as in the U.S. The functional currency of each foreign subsidiary is 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euro. A hypothetical 10% strengthening or weakening in the rates used to translate the results of our</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foreign subsidiaries that have functional currencies denominated in euro would have increased or decreased net income for the six months ended June 30, 2021 by approximately $7.2 million.</w:t>
      </w:r>
    </w:p>
    <w:p>
      <w:pPr>
        <w:spacing w:after="0" w:line="62"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condensed consolidated statements of income (loss). As of June 30, 2021, our primary exposure to transaction risk related to euro net monetary liabilities, primarily related to the translation of our Euro Term Loan and euro-denominated net monetary liabilities, including intercompany loans, held by subsidiaries with a U.S. dollar functional currency.</w:t>
      </w:r>
    </w:p>
    <w:p>
      <w:pPr>
        <w:spacing w:after="0" w:line="84"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In order to hedge our exposure to foreign currency exchange risk associated with our Euro Term Loan, we entered into a cross-currency interest rate swap contract in May 2021 with a maturity date of March 31, 2022. The terms of this contract convert the principal repayments and interest payments on our Euro Term Loan into U.S. dollar. As of June 30, 2021, the cross-currency interest rate swap had a notional amount of $753.0 million which is designated for accounting purposes as a fair value hedge. The net liability fair value of the cross currency swap was $10.8 million as of June 30, 2021. The carrying amount of the Euro Term Loan and the fair value of the cross-currency interest rate swap contract will be remeasured with changes in the euro to U.S. dollar foreign exchange rates recognized within foreign exchange gain (loss) in the condensed consolidated statements of income (loss). The impact of a hypothetical increase or decrease in the euro to U.S. dollar exchange rate on the fair value of our cross-currency interest rate swap contract would be offset by a change in the value of the Euro Term Loan.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foreign exchange forward contracts to manage the currency risk associated with the translation of our other euro-denominated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monetary liabilities, including intercompany loans. These foreign exchange forward contracts are not designated as hedges; gains and losses on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instruments are designed to offset gains and losses on the underlying balance sheet exposures. As of June 30, 2021, we held foreign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forward contracts with notional amounts totaling $427.3 million. The net liability fair value of outstanding foreign exchange forward contracts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$5.2 million as of June 30, 2021. Based on our foreign currency exchange rate exposures as of June 30, 2021, a hypothetical 10% adverse fluctuation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rates would decrease the fair value of our foreign exchange forward contracts by approximately $37.5 million as of June 30, 2021. The resulting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on these forward contracts would be offset by a positive impact on the underlying monetary assets and liabilities.</w:t>
      </w:r>
    </w:p>
    <w:p>
      <w:pPr>
        <w:spacing w:after="0" w:line="23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300" w:firstLine="445"/>
        <w:spacing w:after="0" w:line="257"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10-Q. Based on their evaluation, our principal executive officer and principal financial officer concluded that our disclosure controls and procedures were effective as of June 30, 2021.</w:t>
      </w:r>
    </w:p>
    <w:p>
      <w:pPr>
        <w:spacing w:after="0" w:line="80"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As discussed above, the GW Acquisition closed on May 5, 2021. The GW Acquisition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using the acquisition method of accounting. The results of operations of the acquired GW business have been included in our results of operations since May 5, 2021, and we are currently in the process of evaluating and integrating GW’s historical internal controls over financial reporting with ours.</w:t>
      </w:r>
    </w:p>
    <w:p>
      <w:pPr>
        <w:spacing w:after="0" w:line="79" w:lineRule="exact"/>
        <w:rPr>
          <w:sz w:val="20"/>
          <w:szCs w:val="20"/>
          <w:color w:val="auto"/>
        </w:rPr>
      </w:pPr>
    </w:p>
    <w:p>
      <w:pPr>
        <w:ind w:right="580" w:firstLine="445"/>
        <w:spacing w:after="0" w:line="263" w:lineRule="auto"/>
        <w:rPr>
          <w:sz w:val="20"/>
          <w:szCs w:val="20"/>
          <w:color w:val="auto"/>
        </w:rPr>
      </w:pPr>
      <w:r>
        <w:rPr>
          <w:rFonts w:ascii="Arial" w:cs="Arial" w:eastAsia="Arial" w:hAnsi="Arial"/>
          <w:sz w:val="18"/>
          <w:szCs w:val="18"/>
          <w:color w:val="auto"/>
        </w:rPr>
        <w:t>During the quarter ended June 30, 2021, other than continuing changes to our internal control process resulting from the GW Acquisition as discussed above,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720" w:firstLine="445"/>
        <w:spacing w:after="0" w:line="342" w:lineRule="auto"/>
        <w:rPr>
          <w:sz w:val="20"/>
          <w:szCs w:val="20"/>
          <w:color w:val="auto"/>
        </w:rPr>
      </w:pPr>
      <w:r>
        <w:rPr>
          <w:rFonts w:ascii="Arial" w:cs="Arial" w:eastAsia="Arial" w:hAnsi="Arial"/>
          <w:sz w:val="16"/>
          <w:szCs w:val="16"/>
          <w:color w:val="auto"/>
        </w:rPr>
        <w:t>The information required to be set forth under this Item 1 is incorporated by reference to Note 11, Commitments and Contingencies—Legal Proceedings of the Notes to Condensed Consolidated Financial Statements included in Part I, Item 1 of this Quarterly Report on Form 10-Q.</w:t>
      </w:r>
    </w:p>
    <w:p>
      <w:pPr>
        <w:spacing w:after="0" w:line="3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445"/>
        <w:spacing w:after="0" w:line="334"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w:t>
      </w:r>
    </w:p>
    <w:p>
      <w:pPr>
        <w:spacing w:after="0" w:line="1" w:lineRule="exact"/>
        <w:rPr>
          <w:sz w:val="20"/>
          <w:szCs w:val="20"/>
          <w:color w:val="auto"/>
        </w:rPr>
      </w:pPr>
    </w:p>
    <w:p>
      <w:pPr>
        <w:ind w:right="280"/>
        <w:spacing w:after="0" w:line="224" w:lineRule="exact"/>
        <w:rPr>
          <w:sz w:val="20"/>
          <w:szCs w:val="20"/>
          <w:color w:val="auto"/>
        </w:rPr>
      </w:pPr>
      <w:r>
        <w:rPr>
          <w:rFonts w:ascii="Arial" w:cs="Arial" w:eastAsia="Arial" w:hAnsi="Arial"/>
          <w:sz w:val="16"/>
          <w:szCs w:val="16"/>
          <w:i w:val="1"/>
          <w:iCs w:val="1"/>
          <w:color w:val="auto"/>
        </w:rPr>
        <w:t>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 You should consider carefully the risks and uncertainties described below as part of your evaluation of an investment in our ordinary shares.</w:t>
      </w:r>
    </w:p>
    <w:p>
      <w:pPr>
        <w:spacing w:after="0" w:line="80" w:lineRule="exact"/>
        <w:rPr>
          <w:sz w:val="20"/>
          <w:szCs w:val="20"/>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oxybate franchise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distribution and sale of our oxybate products are subject to significant regulatory restrictions, including the requirements of a REMS and safety reporting requirements, and these regulatory requirements subject us to risks and uncertainties, any of which could negatively impact sales of Xyrem and Xywav.</w:t>
      </w:r>
    </w:p>
    <w:p>
      <w:pPr>
        <w:spacing w:after="0" w:line="75"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we expect our oxybate products, Xyrem and Xywav, to remain the largest part of our business, our success also depends on our ability to effectively commercialize other products in our neuroscience and oncology therapeutic areas.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substantial competition from other companies, including companies with larger sales organizations and more experience working with large and diverse product portfolios.</w:t>
      </w:r>
    </w:p>
    <w:p>
      <w:pPr>
        <w:spacing w:after="0" w:line="62"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8"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5"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payors and the medical community.</w:t>
      </w:r>
    </w:p>
    <w:p>
      <w:pPr>
        <w:spacing w:after="0" w:line="62"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5" w:lineRule="exact"/>
        <w:rPr>
          <w:rFonts w:ascii="Arial" w:cs="Arial" w:eastAsia="Arial" w:hAnsi="Arial"/>
          <w:sz w:val="16"/>
          <w:szCs w:val="16"/>
          <w:color w:val="auto"/>
        </w:rPr>
      </w:pPr>
    </w:p>
    <w:p>
      <w:pPr>
        <w:ind w:left="660" w:right="7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realize the anticipated benefits and synergies from the acquisition of GW Pharmaceuticals.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w:t>
      </w:r>
    </w:p>
    <w:p>
      <w:pPr>
        <w:spacing w:after="0" w:line="117"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rFonts w:ascii="Arial" w:cs="Arial" w:eastAsia="Arial" w:hAnsi="Arial"/>
          <w:sz w:val="17"/>
          <w:szCs w:val="17"/>
          <w:color w:val="auto"/>
        </w:rPr>
      </w:pPr>
    </w:p>
    <w:p>
      <w:pPr>
        <w:jc w:val="both"/>
        <w:ind w:left="660" w:right="120" w:hanging="328"/>
        <w:spacing w:after="0" w:line="220" w:lineRule="exact"/>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result in significant additional expense and limit our ability to commercialize our products.</w:t>
      </w:r>
    </w:p>
    <w:p>
      <w:pPr>
        <w:spacing w:after="0" w:line="62"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5"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oxybate franchise would have a material adverse effect on our business, financial condition, results of operations and growth prospects.</w:t>
      </w:r>
    </w:p>
    <w:p>
      <w:pPr>
        <w:spacing w:after="0" w:line="57" w:lineRule="exact"/>
        <w:rPr>
          <w:sz w:val="20"/>
          <w:szCs w:val="20"/>
          <w:color w:val="auto"/>
        </w:rPr>
      </w:pPr>
    </w:p>
    <w:p>
      <w:pPr>
        <w:ind w:right="60" w:firstLine="445"/>
        <w:spacing w:after="0" w:line="281" w:lineRule="auto"/>
        <w:rPr>
          <w:sz w:val="20"/>
          <w:szCs w:val="20"/>
          <w:color w:val="auto"/>
        </w:rPr>
      </w:pPr>
      <w:r>
        <w:rPr>
          <w:rFonts w:ascii="Arial" w:cs="Arial" w:eastAsia="Arial" w:hAnsi="Arial"/>
          <w:sz w:val="16"/>
          <w:szCs w:val="16"/>
          <w:color w:val="auto"/>
        </w:rPr>
        <w:t>Our business has been substantially dependent on Xyrem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(sodium oxybate) oral solution, and our financial results have been significantly influenced by sales of Xyrem. Our future plans assume that Xywav™, our oxybate product launched in November 2020 with 92%, or approximately 1,000 to 1,500 milligrams per day, less sodium than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In June 2021, FDA recognized seven years of Orphan Drug Exclusivity for Xywav stating that Xywav is clinically superior to Xyrem by means of greater safety due to reduced chronic sodium burden. Our ability to successfully commercialize Xywav will depend on, among other things, our ability to maintain adequate coverage and reimbursement for Xywav and acceptance of Xywav by payors, physicians and patients. Our ability to maintain or increase oxybate product sales and realize the anticipated benefits from our investment in Xywav is subject to a number of additional risks and uncertainties as discussed in greater detail below, including those related to the introduction of authorized generic and generic versions of sodium oxybate and new products for treatment of cataplexy and/or excessive daytime sleepiness, or EDS, in narcolepsy in the U.S. market; the current and potential impacts of the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and challenges to our intellectual property around Xyrem and/or Xywav. While we expect that our business will continue to be substantially dependent on oxybate product sales from both Xyrem and Xywav, there is no guarantee that we can maintain oxybate sales at or near historical levels, or that oxybate sales will continue to grow. A significant decline in oxybate sales could cause us to reduce our operating expenses or seek to raise additional funds, which would have a material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adverse effect on our business, financial condition, results of operations and growth prospects, including on our ability to acquire, in-license or develop new products to grow our business.</w:t>
      </w:r>
    </w:p>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100" w:firstLine="441"/>
        <w:spacing w:after="0" w:line="263" w:lineRule="auto"/>
        <w:rPr>
          <w:sz w:val="20"/>
          <w:szCs w:val="20"/>
          <w:color w:val="auto"/>
        </w:rPr>
      </w:pPr>
      <w:r>
        <w:rPr>
          <w:rFonts w:ascii="Arial" w:cs="Arial" w:eastAsia="Arial" w:hAnsi="Arial"/>
          <w:sz w:val="18"/>
          <w:szCs w:val="18"/>
          <w:color w:val="auto"/>
        </w:rPr>
        <w:t xml:space="preserve">While Xyrem and Xywav are currently the only products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new treatment options for EDS in narcolepsy have launched, and in the future, other products may be launched that are competitive with or disrupt the market for our oxybate products.</w:t>
      </w:r>
    </w:p>
    <w:p>
      <w:pPr>
        <w:spacing w:after="0" w:line="76" w:lineRule="exact"/>
        <w:rPr>
          <w:sz w:val="20"/>
          <w:szCs w:val="20"/>
          <w:color w:val="auto"/>
        </w:rPr>
      </w:pPr>
    </w:p>
    <w:p>
      <w:pPr>
        <w:ind w:right="20" w:firstLine="441"/>
        <w:spacing w:after="0" w:line="267" w:lineRule="auto"/>
        <w:rPr>
          <w:sz w:val="20"/>
          <w:szCs w:val="20"/>
          <w:color w:val="auto"/>
        </w:rPr>
      </w:pPr>
      <w:r>
        <w:rPr>
          <w:rFonts w:ascii="Arial" w:cs="Arial" w:eastAsia="Arial" w:hAnsi="Arial"/>
          <w:sz w:val="17"/>
          <w:szCs w:val="17"/>
          <w:color w:val="auto"/>
        </w:rPr>
        <w:t>For example, in the future, we expect Xyrem and Xywav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risk evaluation and mitigation strategy, or REMS, as Xyrem and Xywav.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w:t>
      </w:r>
    </w:p>
    <w:p>
      <w:pPr>
        <w:spacing w:after="0" w:line="80"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right="120" w:firstLine="441"/>
        <w:spacing w:after="0" w:line="289" w:lineRule="auto"/>
        <w:rPr>
          <w:sz w:val="20"/>
          <w:szCs w:val="20"/>
          <w:color w:val="auto"/>
        </w:rPr>
      </w:pPr>
      <w:r>
        <w:rPr>
          <w:rFonts w:ascii="Arial" w:cs="Arial" w:eastAsia="Arial" w:hAnsi="Arial"/>
          <w:sz w:val="16"/>
          <w:szCs w:val="16"/>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if, for example, our patents covering Xyrem were invalidated.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It is also possible that we could enter into a settlement agreement with a future ANDA filer that would permit such filer to enter the market on or prior to the launch date(s) in our settlement agreements. If a company launches a generic or authorized generic sodium oxybate product in any of these scenarios, except in limited circumstances related to an “at risk” launch, the launch date for Hikma’s AG Product would be accelerated to a date on or prior to the date of such entry, which could lead to acceleration of the other settling ANDA filers’ AG Product and generic sodium oxybate product launch dates as described above.</w:t>
      </w:r>
    </w:p>
    <w:p>
      <w:pPr>
        <w:spacing w:after="0" w:line="58" w:lineRule="exact"/>
        <w:rPr>
          <w:sz w:val="20"/>
          <w:szCs w:val="20"/>
          <w:color w:val="auto"/>
        </w:rPr>
      </w:pPr>
    </w:p>
    <w:p>
      <w:pPr>
        <w:ind w:right="140" w:firstLine="441"/>
        <w:spacing w:after="0" w:line="296" w:lineRule="auto"/>
        <w:rPr>
          <w:sz w:val="20"/>
          <w:szCs w:val="20"/>
          <w:color w:val="auto"/>
        </w:rPr>
      </w:pPr>
      <w:r>
        <w:rPr>
          <w:rFonts w:ascii="Arial" w:cs="Arial" w:eastAsia="Arial" w:hAnsi="Arial"/>
          <w:sz w:val="16"/>
          <w:szCs w:val="16"/>
          <w:color w:val="auto"/>
        </w:rPr>
        <w:t>Another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from our sales of Xywav or if a third party introduces a product to treat EDS or cataplexy in narcolepsy that leads to a substantial decline in Xyrem net sales. Accordingly, our strategy to drive revenue growth in our key franchises through, among other things, rapid adoption and broad access of Xywav in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U.S. could lead to the acceleration of such launch dates. Other companies may develop a sodium oxybate product for treatment of narcolepsy, using an alternative formulation or a different delivery technology, and seek approval in the U.S. using a new drug application, or NDA, approval pathway under Section 505(b)(2) and referencing the safety and efficacy data for Xyrem. In February 2021, FDA accepted for filing an NDA submitted by Avadel Pharmaceuticals plc, or Avadel, for an extended-release formulation of sodium oxybate which uses its proprietary technology for the treatment of EDS and cataplexy in patients with narcolepsy with a PDUFA target action date of October 15, 2021. Xyrem may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w:t>
      </w:r>
    </w:p>
    <w:p>
      <w:pPr>
        <w:spacing w:after="0" w:line="70" w:lineRule="exact"/>
        <w:rPr>
          <w:sz w:val="20"/>
          <w:szCs w:val="20"/>
          <w:color w:val="auto"/>
        </w:rPr>
      </w:pPr>
    </w:p>
    <w:p>
      <w:pPr>
        <w:ind w:right="20" w:firstLine="445"/>
        <w:spacing w:after="0" w:line="299" w:lineRule="auto"/>
        <w:rPr>
          <w:sz w:val="20"/>
          <w:szCs w:val="20"/>
          <w:color w:val="auto"/>
        </w:rPr>
      </w:pPr>
      <w:r>
        <w:rPr>
          <w:rFonts w:ascii="Arial" w:cs="Arial" w:eastAsia="Arial" w:hAnsi="Arial"/>
          <w:sz w:val="16"/>
          <w:szCs w:val="16"/>
          <w:color w:val="auto"/>
        </w:rPr>
        <w:t>We expect that Xywav will face competition similar to that described above for Xyrem, including from generic or authorized generic sodium oxybate products or new branded entrants in narcolepsy notwithstanding FDA recognizing Orphan Drug Exclusivity for Xywav. For example, Lupin filed an ANDA for a generic version of Xywav in June 2021. Additional companies may file ANDAs seeking to market a generic version of Xywav which could</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lead to additional patent litigation or challenges with respect to Xywav. Moreover, Avadel has announced that it has obtained an orphan drug designation from FDA for its extended-release sodium oxybate formulation. To obtain approval with Orphan Drug Exclusivity, Avadel will have to show clinical superiority to Xyrem and Xywav.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80" w:lineRule="exact"/>
        <w:rPr>
          <w:sz w:val="20"/>
          <w:szCs w:val="20"/>
          <w:color w:val="auto"/>
        </w:rPr>
      </w:pPr>
    </w:p>
    <w:p>
      <w:pPr>
        <w:ind w:right="60" w:firstLine="445"/>
        <w:spacing w:after="0" w:line="217" w:lineRule="exact"/>
        <w:rPr>
          <w:sz w:val="20"/>
          <w:szCs w:val="20"/>
          <w:color w:val="auto"/>
        </w:rPr>
      </w:pPr>
      <w:r>
        <w:rPr>
          <w:rFonts w:ascii="Arial" w:cs="Arial" w:eastAsia="Arial" w:hAnsi="Arial"/>
          <w:sz w:val="16"/>
          <w:szCs w:val="16"/>
          <w:color w:val="auto"/>
        </w:rPr>
        <w:t>Moreover, non-oxybate products intended for the treatment of EDS or cataplexy in narcolepsy, including new market entrants, even if not directly competitive with Xyrem or Xywav, could have the effect of changing treatment regimens and payor or formulary coverage of Xyrem or Xywav in favor of other products, and indirectly materially and adversely affect sales of Xyrem and Xywav. Examples of such new market entrants include our product, Sunosi, and pitolisant, a drug that was approved by FDA in 2019 for the treatment of EDS in adult patients with narcolepsy and approved by FDA in October 2020 pursuant to a complete response resubmission for an adult cataplexy indication in the U.S. Pitolisant has also been approved and marketed in Europe to treat adult patients with narcolepsy with or without cataplexy, and a marketing authorization application is pending with the European Medicines Agency, or EMA, for approval of pitolisant in the treatment of EDS in OSA. In addition, we are also aware that prescribers often prescribe branded or generic medications for cataplexy, before or instead of prescribing oxybate therapy in Xyrem and Xywav, and that payors often require patients to try such medications before they will cover Xyrem or Xywav, even if they are not approved for this use. Examples of such products are described in “Business— Competition” in Part I, Item 1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2020.</w:t>
      </w:r>
    </w:p>
    <w:p>
      <w:pPr>
        <w:spacing w:after="0" w:line="99" w:lineRule="exact"/>
        <w:rPr>
          <w:sz w:val="20"/>
          <w:szCs w:val="20"/>
          <w:color w:val="auto"/>
        </w:rPr>
      </w:pPr>
    </w:p>
    <w:p>
      <w:pPr>
        <w:ind w:right="240" w:firstLine="445"/>
        <w:spacing w:after="0" w:line="296" w:lineRule="auto"/>
        <w:rPr>
          <w:sz w:val="20"/>
          <w:szCs w:val="20"/>
          <w:color w:val="auto"/>
        </w:rPr>
      </w:pPr>
      <w:r>
        <w:rPr>
          <w:rFonts w:ascii="Arial" w:cs="Arial" w:eastAsia="Arial" w:hAnsi="Arial"/>
          <w:sz w:val="16"/>
          <w:szCs w:val="16"/>
          <w:color w:val="auto"/>
        </w:rPr>
        <w:t>We expect that the approval and launch of an AG Product or other generic version of Xyrem could have a material adverse effect on our sales of Xyrem and Xywav and on our business, financial condition, results of operations and growth prospects. We also expect that sales of Xywav will, and the approval and launch of any other sodium oxybate (including Avadel’s extended-release sodium oxybate formulation) or alternative product that treats narcolepsy could, have a material adverse effect on our sales of Xyrem, which could have the additional impact of potentially triggering acceleration of market entry of AG Products or other generic sodium oxybate products under our patent litigation settlement agreements.</w:t>
      </w:r>
    </w:p>
    <w:p>
      <w:pPr>
        <w:spacing w:after="0" w:line="5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The distribution and sale of our oxybate products are subject to significant regulatory restrictions, including the requirements of a REMS and safety reporting requirements, and these regulatory requirements subject us to risks and uncertainties, any of which could negatively impact sales of Xyrem and Xywav.</w:t>
      </w:r>
    </w:p>
    <w:p>
      <w:pPr>
        <w:spacing w:after="0" w:line="76"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color w:val="auto"/>
        </w:rPr>
        <w:t>The active pharmaceutical ingredient, or API, of Xyrem and Xywav,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Xyrem and Xywav to help ensure that the benefits of the drug in the treatment of cataplexy and EDS in narcolepsy outweigh the serious risks of the drug. The REMS imposes extensive controls and restrictions on the sales and marketing of Xyrem and Xywav that we are responsible for implementing. Any failure to demonstrate our substantial compliance with our REMS obligations, including as a result of business or other interruptions resulting from the evolving effects of the COVID-19 pandemic, or a determination by FDA that the REMS is not meeting its goals, could result in enforcement action by FDA, lead to changes in our REMS obligations, negatively affect sales of Xyrem or Xywav, result in additional costs and expenses for us and/or require us to invest a significant amount of resources, any of which could materially and adversely affect our business, financial condition, results of operations and growth prospects.</w:t>
      </w:r>
    </w:p>
    <w:p>
      <w:pPr>
        <w:spacing w:after="0" w:line="58" w:lineRule="exact"/>
        <w:rPr>
          <w:sz w:val="20"/>
          <w:szCs w:val="20"/>
          <w:color w:val="auto"/>
        </w:rPr>
      </w:pPr>
    </w:p>
    <w:p>
      <w:pPr>
        <w:ind w:right="380" w:firstLine="445"/>
        <w:spacing w:after="0" w:line="259" w:lineRule="auto"/>
        <w:rPr>
          <w:sz w:val="20"/>
          <w:szCs w:val="20"/>
          <w:color w:val="auto"/>
        </w:rPr>
      </w:pPr>
      <w:r>
        <w:rPr>
          <w:rFonts w:ascii="Arial" w:cs="Arial" w:eastAsia="Arial" w:hAnsi="Arial"/>
          <w:sz w:val="18"/>
          <w:szCs w:val="18"/>
          <w:color w:val="auto"/>
        </w:rPr>
        <w:t>FDA has stated that it will evaluate the Xywav and Xyrem REMS on an ongoing basis and will require modifications as may be appropriate.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84" w:lineRule="exact"/>
        <w:rPr>
          <w:sz w:val="20"/>
          <w:szCs w:val="20"/>
          <w:color w:val="auto"/>
        </w:rPr>
      </w:pPr>
    </w:p>
    <w:p>
      <w:pPr>
        <w:ind w:right="120" w:firstLine="445"/>
        <w:spacing w:after="0" w:line="269" w:lineRule="auto"/>
        <w:rPr>
          <w:sz w:val="20"/>
          <w:szCs w:val="20"/>
          <w:color w:val="auto"/>
        </w:rPr>
      </w:pPr>
      <w:r>
        <w:rPr>
          <w:rFonts w:ascii="Arial" w:cs="Arial" w:eastAsia="Arial" w:hAnsi="Arial"/>
          <w:sz w:val="17"/>
          <w:szCs w:val="17"/>
          <w:color w:val="auto"/>
        </w:rPr>
        <w:t>We depend on outside vendors, including Express Scripts Specialty Distribution Services, Inc.,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evolving effects of the COVID-19 pandemic or otherwise,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71"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color w:val="auto"/>
        </w:rPr>
        <w:t>In its approval of Hikma’s ANDA, FDA waived the requirement of a single shared REMS between the brand drug and generic versions, approving Hikma’s ANDA with a generic sodium oxybate REMS separate from the Xywav and Xyrem REMS, except for the requirement that the generic sodium oxybate REMS program pharmacies contact the Xywav and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64"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may face pressure to further modify the Xyrem and Xywav REMS or to license or share intellectual property pertinent to that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9"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It is possible that the FTC, FDA or other governmental authorities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delay generic drugs or drugs covered by an application under Section 505(b)(2) from entering the market. In its 2015 letter approving the Xyrem REMS, FDA expressed concern that we were aware that the Xyrem REMS is blocking competition. Between June and September 2020, we were served with a number of class action complaints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class action complaints, see Note 11, Commitments and Contingencies-Legal Proceedings of the Notes to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99"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58"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While we expect our oxybate products, Xyrem and Xywav, to remain the largest part of our business, our success also depends on our ability to effectively commercialize other products in our neuroscience and oncology therapeutic areas.</w:t>
      </w:r>
    </w:p>
    <w:p>
      <w:pPr>
        <w:spacing w:after="0" w:line="62"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In addition to Xyrem, Xywav and our other neuroscience products and product candidates, we are commercializing a portfolio of products, including our other lead marketed products, Epidiolex, Defitelio, Vyxeos, Rylaze and Zepzelca. An inability to effectively commercialize Epidiolex, Defitelio, Vyxeos, Rylaze and Zepzelca and to maximize their potential where possible through successful research and development activities, whether due to the evolving effects of the COVID-19 pandemic or otherwise, and an inability to replace the future product sales we will lose from Erwinaze, would have a material adverse effect on our business, financial condition, results of operations and growth prospects.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Epidiolex</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Successful commercialization of Epidiolex is subject to many risks. While we have established our Epidiolex commercial team and have hired our U.S. and European sales forces, we will need to continue to maintain and further develop the teams in order to successfully coordinate the commercialization of Epidiolex. Even if we are successful in maintaining and continuing to develop our Epidiolex commercial team, there are many factors that could cause the commercialization of Epidiolex to be unsuccessful, including a number of factors that are outside our control. Because no drug has previously been approved by FDA for the treatment of seizures associated with Dravet syndrome prior to 2018, it is especially difficult to estimate the market potential of Epidiolex. The commercial success of Epidiolex depends on the extent to which patients and physicians accept and adopt Epidiolex as a treatment for Lennox-Gastaut syndrome, or LGS, Dravet syndrome and Tuberous Sclerosis Complex, and we do not know whether our or others’ estimates in this regard will be accurate. We have limited information about how physicians, patients and payors will respond to the pricing of Epidiolex. Physicians may not prescribe Epidiolex and patients may be unwilling to use Epidiolex if coverage is not provided or reimbursement is inadequate to cover a significant portion of the cost. Additionally, any negative development for Epidiolex in the market after launch, in clinical development for additional indications, or in regulatory processes in other jurisdictions, may adversely impact the commercial results and potential of Epidiolex. Thus, significant uncertainty remains regarding the commercial potential of Epidiolex.</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Sunosi</w:t>
      </w:r>
    </w:p>
    <w:p>
      <w:pPr>
        <w:spacing w:after="0" w:line="112" w:lineRule="exact"/>
        <w:rPr>
          <w:sz w:val="20"/>
          <w:szCs w:val="20"/>
          <w:color w:val="auto"/>
        </w:rPr>
      </w:pPr>
    </w:p>
    <w:p>
      <w:pPr>
        <w:ind w:right="160" w:firstLine="445"/>
        <w:spacing w:after="0" w:line="259" w:lineRule="auto"/>
        <w:rPr>
          <w:sz w:val="20"/>
          <w:szCs w:val="20"/>
          <w:color w:val="auto"/>
        </w:rPr>
      </w:pPr>
      <w:r>
        <w:rPr>
          <w:rFonts w:ascii="Arial" w:cs="Arial" w:eastAsia="Arial" w:hAnsi="Arial"/>
          <w:sz w:val="17"/>
          <w:szCs w:val="17"/>
          <w:color w:val="auto"/>
        </w:rPr>
        <w:t>We obtained approval of Sunosi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(solriamfetol) in 2019 in the U.S. and in January 2020 in the European Union, or EU, for the treatment of EDS associated with narcolepsy or obstructive sleep apnea, or OSA. </w:t>
      </w:r>
      <w:r>
        <w:rPr>
          <w:rFonts w:ascii="Arial" w:cs="Arial" w:eastAsia="Arial" w:hAnsi="Arial"/>
          <w:sz w:val="17"/>
          <w:szCs w:val="17"/>
          <w:color w:val="212529"/>
        </w:rPr>
        <w:t>Our ability to realize the anticipated benefits from our investment in</w:t>
      </w:r>
      <w:r>
        <w:rPr>
          <w:rFonts w:ascii="Arial" w:cs="Arial" w:eastAsia="Arial" w:hAnsi="Arial"/>
          <w:sz w:val="17"/>
          <w:szCs w:val="17"/>
          <w:color w:val="auto"/>
        </w:rPr>
        <w:t xml:space="preserve"> Sunosi </w:t>
      </w:r>
      <w:r>
        <w:rPr>
          <w:rFonts w:ascii="Arial" w:cs="Arial" w:eastAsia="Arial" w:hAnsi="Arial"/>
          <w:sz w:val="17"/>
          <w:szCs w:val="17"/>
          <w:color w:val="212529"/>
        </w:rPr>
        <w:t>is subject to a</w:t>
      </w:r>
      <w:r>
        <w:rPr>
          <w:rFonts w:ascii="Arial" w:cs="Arial" w:eastAsia="Arial" w:hAnsi="Arial"/>
          <w:sz w:val="17"/>
          <w:szCs w:val="17"/>
          <w:color w:val="auto"/>
        </w:rPr>
        <w:t xml:space="preserve"> </w:t>
      </w:r>
      <w:r>
        <w:rPr>
          <w:rFonts w:ascii="Arial" w:cs="Arial" w:eastAsia="Arial" w:hAnsi="Arial"/>
          <w:sz w:val="17"/>
          <w:szCs w:val="17"/>
          <w:color w:val="212529"/>
        </w:rPr>
        <w:t>number of risks and uncertainties, including the potential impacts of the continuing COVID-19 pandemic on the successful commercialization in the U.S. and the rolling launch in Europe; market acceptance of Sunosi; our ability, in a competitive retail pharmacy market, to differentiate Sunosi from other products that are prescribed to treat excessive sleepiness in patients with OSA or EDS in patients with narcolepsy; adequate coverage and reimbursement by government programs and other third party payors, including the impact of future coverage decisions by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12529"/>
        </w:rPr>
        <w:t xml:space="preserve">payors; restrictions on permitted promotional activities based on any additional limitations on the labeling for the product that may be required by the </w:t>
      </w:r>
      <w:r>
        <w:rPr>
          <w:rFonts w:ascii="Arial" w:cs="Arial" w:eastAsia="Arial" w:hAnsi="Arial"/>
          <w:sz w:val="18"/>
          <w:szCs w:val="18"/>
          <w:color w:val="000000"/>
        </w:rPr>
        <w:t>U.S.</w:t>
      </w:r>
      <w:r>
        <w:rPr>
          <w:rFonts w:ascii="Arial" w:cs="Arial" w:eastAsia="Arial" w:hAnsi="Arial"/>
          <w:sz w:val="18"/>
          <w:szCs w:val="18"/>
          <w:color w:val="212529"/>
        </w:rPr>
        <w:t xml:space="preserve"> </w:t>
      </w:r>
      <w:r>
        <w:rPr>
          <w:rFonts w:ascii="Arial" w:cs="Arial" w:eastAsia="Arial" w:hAnsi="Arial"/>
          <w:sz w:val="18"/>
          <w:szCs w:val="18"/>
          <w:color w:val="000000"/>
        </w:rPr>
        <w:t xml:space="preserve">Food and Drug Administration, or FDA, or </w:t>
      </w:r>
      <w:r>
        <w:rPr>
          <w:rFonts w:ascii="Arial" w:cs="Arial" w:eastAsia="Arial" w:hAnsi="Arial"/>
          <w:sz w:val="18"/>
          <w:szCs w:val="18"/>
          <w:color w:val="212529"/>
        </w:rPr>
        <w:t>the European Commission, or the EC, or other regulatory authority in the future; and our ability to satisfy</w:t>
      </w:r>
      <w:r>
        <w:rPr>
          <w:rFonts w:ascii="Arial" w:cs="Arial" w:eastAsia="Arial" w:hAnsi="Arial"/>
          <w:sz w:val="18"/>
          <w:szCs w:val="18"/>
          <w:color w:val="000000"/>
        </w:rPr>
        <w:t xml:space="preserve"> </w:t>
      </w:r>
      <w:r>
        <w:rPr>
          <w:rFonts w:ascii="Arial" w:cs="Arial" w:eastAsia="Arial" w:hAnsi="Arial"/>
          <w:sz w:val="18"/>
          <w:szCs w:val="18"/>
          <w:color w:val="212529"/>
        </w:rPr>
        <w:t xml:space="preserve">FDA’s post-marketing requirements. </w:t>
      </w:r>
      <w:r>
        <w:rPr>
          <w:rFonts w:ascii="Arial" w:cs="Arial" w:eastAsia="Arial" w:hAnsi="Arial"/>
          <w:sz w:val="18"/>
          <w:szCs w:val="18"/>
          <w:color w:val="000000"/>
        </w:rPr>
        <w:t>If we are unable to successfully commercialize Sunosi in the U.S. and EU, or if sales of Sunosi do not reach the levels</w:t>
      </w:r>
      <w:r>
        <w:rPr>
          <w:rFonts w:ascii="Arial" w:cs="Arial" w:eastAsia="Arial" w:hAnsi="Arial"/>
          <w:sz w:val="18"/>
          <w:szCs w:val="18"/>
          <w:color w:val="212529"/>
        </w:rPr>
        <w:t xml:space="preserve"> </w:t>
      </w:r>
      <w:r>
        <w:rPr>
          <w:rFonts w:ascii="Arial" w:cs="Arial" w:eastAsia="Arial" w:hAnsi="Arial"/>
          <w:sz w:val="18"/>
          <w:szCs w:val="18"/>
          <w:color w:val="000000"/>
        </w:rPr>
        <w:t>we expect, our anticipated revenue from Sunosi will be negatively affected, which could have a material adverse effect on our business, financial condition, results of operations and growth prospects.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Defitelio</w:t>
      </w:r>
    </w:p>
    <w:p>
      <w:pPr>
        <w:spacing w:after="0" w:line="112" w:lineRule="exact"/>
        <w:rPr>
          <w:sz w:val="20"/>
          <w:szCs w:val="20"/>
          <w:color w:val="auto"/>
        </w:rPr>
      </w:pPr>
    </w:p>
    <w:p>
      <w:pPr>
        <w:ind w:right="20" w:firstLine="445"/>
        <w:spacing w:after="0" w:line="281" w:lineRule="auto"/>
        <w:rPr>
          <w:sz w:val="20"/>
          <w:szCs w:val="20"/>
          <w:color w:val="auto"/>
        </w:rPr>
      </w:pPr>
      <w:r>
        <w:rPr>
          <w:rFonts w:ascii="Arial" w:cs="Arial" w:eastAsia="Arial" w:hAnsi="Arial"/>
          <w:sz w:val="16"/>
          <w:szCs w:val="16"/>
          <w:color w:val="212529"/>
        </w:rPr>
        <w:t xml:space="preserve">Our ability to maintain and grow sales and to realize the anticipated benefits from our investment in </w:t>
      </w:r>
      <w:r>
        <w:rPr>
          <w:rFonts w:ascii="Arial" w:cs="Arial" w:eastAsia="Arial" w:hAnsi="Arial"/>
          <w:sz w:val="16"/>
          <w:szCs w:val="16"/>
          <w:color w:val="000000"/>
        </w:rPr>
        <w:t>Defitelio</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(defibrotide sodium)</w:t>
      </w:r>
      <w:r>
        <w:rPr>
          <w:rFonts w:ascii="Arial" w:cs="Arial" w:eastAsia="Arial" w:hAnsi="Arial"/>
          <w:sz w:val="16"/>
          <w:szCs w:val="16"/>
          <w:color w:val="212529"/>
        </w:rPr>
        <w:t xml:space="preserve"> is subject to a number of risks and uncertainties, including continued acceptance by hospital pharmacy and therapeutics committees in the U.S., the EU </w:t>
      </w:r>
      <w:r>
        <w:rPr>
          <w:rFonts w:ascii="Arial" w:cs="Arial" w:eastAsia="Arial" w:hAnsi="Arial"/>
          <w:sz w:val="16"/>
          <w:szCs w:val="16"/>
          <w:color w:val="000000"/>
        </w:rPr>
        <w:t>and other</w:t>
      </w:r>
      <w:r>
        <w:rPr>
          <w:rFonts w:ascii="Arial" w:cs="Arial" w:eastAsia="Arial" w:hAnsi="Arial"/>
          <w:sz w:val="16"/>
          <w:szCs w:val="16"/>
          <w:color w:val="212529"/>
        </w:rPr>
        <w:t xml:space="preserve"> </w:t>
      </w:r>
      <w:r>
        <w:rPr>
          <w:rFonts w:ascii="Arial" w:cs="Arial" w:eastAsia="Arial" w:hAnsi="Arial"/>
          <w:sz w:val="16"/>
          <w:szCs w:val="16"/>
          <w:color w:val="000000"/>
        </w:rPr>
        <w:t xml:space="preserve">countries; the </w:t>
      </w:r>
      <w:r>
        <w:rPr>
          <w:rFonts w:ascii="Arial" w:cs="Arial" w:eastAsia="Arial" w:hAnsi="Arial"/>
          <w:sz w:val="16"/>
          <w:szCs w:val="16"/>
          <w:color w:val="212529"/>
        </w:rPr>
        <w:t>continued availability of favorable pricing and adequate coverage and reimbursement</w:t>
      </w:r>
      <w:r>
        <w:rPr>
          <w:rFonts w:ascii="Arial" w:cs="Arial" w:eastAsia="Arial" w:hAnsi="Arial"/>
          <w:sz w:val="16"/>
          <w:szCs w:val="16"/>
          <w:color w:val="000000"/>
        </w:rPr>
        <w:t xml:space="preserve">; </w:t>
      </w:r>
      <w:r>
        <w:rPr>
          <w:rFonts w:ascii="Arial" w:cs="Arial" w:eastAsia="Arial" w:hAnsi="Arial"/>
          <w:sz w:val="16"/>
          <w:szCs w:val="16"/>
          <w:color w:val="212529"/>
        </w:rPr>
        <w:t>the limited experience of, and need to educate,</w:t>
      </w:r>
      <w:r>
        <w:rPr>
          <w:rFonts w:ascii="Arial" w:cs="Arial" w:eastAsia="Arial" w:hAnsi="Arial"/>
          <w:sz w:val="16"/>
          <w:szCs w:val="16"/>
          <w:color w:val="000000"/>
        </w:rPr>
        <w:t xml:space="preserve"> </w:t>
      </w:r>
      <w:r>
        <w:rPr>
          <w:rFonts w:ascii="Arial" w:cs="Arial" w:eastAsia="Arial" w:hAnsi="Arial"/>
          <w:sz w:val="16"/>
          <w:szCs w:val="16"/>
          <w:color w:val="212529"/>
        </w:rPr>
        <w:t xml:space="preserve">physicians in recognizing, diagnosing and treating </w:t>
      </w:r>
      <w:r>
        <w:rPr>
          <w:rFonts w:ascii="Arial" w:cs="Arial" w:eastAsia="Arial" w:hAnsi="Arial"/>
          <w:sz w:val="16"/>
          <w:szCs w:val="16"/>
          <w:color w:val="000000"/>
        </w:rPr>
        <w:t>hepatic veno-occlusive disease, or VOD, particularly in adults; the possibility that physicians</w:t>
      </w:r>
      <w:r>
        <w:rPr>
          <w:rFonts w:ascii="Arial" w:cs="Arial" w:eastAsia="Arial" w:hAnsi="Arial"/>
          <w:sz w:val="16"/>
          <w:szCs w:val="16"/>
          <w:color w:val="212529"/>
        </w:rPr>
        <w:t xml:space="preserve"> </w:t>
      </w:r>
      <w:r>
        <w:rPr>
          <w:rFonts w:ascii="Arial" w:cs="Arial" w:eastAsia="Arial" w:hAnsi="Arial"/>
          <w:sz w:val="16"/>
          <w:szCs w:val="16"/>
          <w:color w:val="000000"/>
        </w:rPr>
        <w:t xml:space="preserve">recognizing VOD symptoms may not initiate or may delay initiation of treatment while waiting for those symptoms to improve, or may terminate treatment before the end of the recommended dosing schedule; </w:t>
      </w:r>
      <w:r>
        <w:rPr>
          <w:rFonts w:ascii="Arial" w:cs="Arial" w:eastAsia="Arial" w:hAnsi="Arial"/>
          <w:sz w:val="16"/>
          <w:szCs w:val="16"/>
          <w:color w:val="212529"/>
        </w:rPr>
        <w:t>and the limited size of the population of VOD patients who are indicated for treatment with Defitelio</w:t>
      </w:r>
      <w:r>
        <w:rPr>
          <w:rFonts w:ascii="Arial" w:cs="Arial" w:eastAsia="Arial" w:hAnsi="Arial"/>
          <w:sz w:val="16"/>
          <w:szCs w:val="16"/>
          <w:color w:val="000000"/>
        </w:rPr>
        <w:t xml:space="preserve"> </w:t>
      </w:r>
      <w:r>
        <w:rPr>
          <w:rFonts w:ascii="Arial" w:cs="Arial" w:eastAsia="Arial" w:hAnsi="Arial"/>
          <w:sz w:val="16"/>
          <w:szCs w:val="16"/>
          <w:color w:val="212529"/>
        </w:rPr>
        <w:t xml:space="preserve">(particularly if changes in </w:t>
      </w:r>
      <w:r>
        <w:rPr>
          <w:rFonts w:ascii="Arial" w:cs="Arial" w:eastAsia="Arial" w:hAnsi="Arial"/>
          <w:sz w:val="16"/>
          <w:szCs w:val="16"/>
          <w:color w:val="000000"/>
        </w:rPr>
        <w:t>hematopoietic stem cell transplantation</w:t>
      </w:r>
      <w:r>
        <w:rPr>
          <w:rFonts w:ascii="Arial" w:cs="Arial" w:eastAsia="Arial" w:hAnsi="Arial"/>
          <w:sz w:val="16"/>
          <w:szCs w:val="16"/>
          <w:color w:val="212529"/>
        </w:rPr>
        <w:t xml:space="preserve"> treatment protocols reduce the incidence of VOD diagnosis and demand for Defitelio).</w:t>
      </w:r>
    </w:p>
    <w:p>
      <w:pPr>
        <w:spacing w:after="0" w:line="64"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Although we saw a resurgence in demand for Defitelio in the U.S. and outside the U.S. beginning in the end of the second quarter of 2020, due to t</w:t>
      </w:r>
      <w:r>
        <w:rPr>
          <w:rFonts w:ascii="Arial" w:cs="Arial" w:eastAsia="Arial" w:hAnsi="Arial"/>
          <w:sz w:val="17"/>
          <w:szCs w:val="17"/>
          <w:color w:val="212529"/>
        </w:rPr>
        <w:t>he</w:t>
      </w:r>
      <w:r>
        <w:rPr>
          <w:rFonts w:ascii="Arial" w:cs="Arial" w:eastAsia="Arial" w:hAnsi="Arial"/>
          <w:sz w:val="17"/>
          <w:szCs w:val="17"/>
          <w:color w:val="auto"/>
        </w:rPr>
        <w:t xml:space="preserve"> </w:t>
      </w:r>
      <w:r>
        <w:rPr>
          <w:rFonts w:ascii="Arial" w:cs="Arial" w:eastAsia="Arial" w:hAnsi="Arial"/>
          <w:sz w:val="17"/>
          <w:szCs w:val="17"/>
          <w:color w:val="212529"/>
        </w:rPr>
        <w:t xml:space="preserve">evolving effects of the COVID-19 pandemic, the reprioritization of healthcare resources and related delays, postponements or suspensions of certain medical procedures such as stem cell transplants, </w:t>
      </w:r>
      <w:r>
        <w:rPr>
          <w:rFonts w:ascii="Arial" w:cs="Arial" w:eastAsia="Arial" w:hAnsi="Arial"/>
          <w:sz w:val="17"/>
          <w:szCs w:val="17"/>
          <w:color w:val="000000"/>
        </w:rPr>
        <w:t>we continue to expect a negative impact on demand for and utilization of Defitelio.</w:t>
      </w:r>
      <w:r>
        <w:rPr>
          <w:rFonts w:ascii="Arial" w:cs="Arial" w:eastAsia="Arial" w:hAnsi="Arial"/>
          <w:sz w:val="17"/>
          <w:szCs w:val="17"/>
          <w:color w:val="212529"/>
        </w:rPr>
        <w:t xml:space="preserve"> If sales of Defitelio do not reach the levels we expect, our anticipated revenue from the product would be negatively affected and our business, financial condition, results of operations and growth prospects would be materially adversely affected. </w:t>
      </w:r>
      <w:r>
        <w:rPr>
          <w:rFonts w:ascii="Arial" w:cs="Arial" w:eastAsia="Arial" w:hAnsi="Arial"/>
          <w:sz w:val="17"/>
          <w:szCs w:val="17"/>
          <w:color w:val="000000"/>
        </w:rPr>
        <w:t>In addition, because VOD is an ultra-rare disease, we have experienced inter-quarter variability in our Defitelio sales, which makes Defitelio sales difficult to predict from period to period. As a result, Defitelio sales results or trends in any period may not necessarily be indicative of future performance.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Rylaze</w:t>
      </w:r>
    </w:p>
    <w:p>
      <w:pPr>
        <w:spacing w:after="0" w:line="112" w:lineRule="exact"/>
        <w:rPr>
          <w:sz w:val="20"/>
          <w:szCs w:val="20"/>
          <w:color w:val="auto"/>
        </w:rPr>
      </w:pPr>
    </w:p>
    <w:p>
      <w:pPr>
        <w:ind w:right="280" w:firstLine="445"/>
        <w:spacing w:after="0" w:line="258" w:lineRule="auto"/>
        <w:rPr>
          <w:sz w:val="20"/>
          <w:szCs w:val="20"/>
          <w:color w:val="auto"/>
        </w:rPr>
      </w:pPr>
      <w:r>
        <w:rPr>
          <w:rFonts w:ascii="Arial" w:cs="Arial" w:eastAsia="Arial" w:hAnsi="Arial"/>
          <w:sz w:val="17"/>
          <w:szCs w:val="17"/>
          <w:color w:val="auto"/>
        </w:rPr>
        <w:t>Our ability to realize the anticipated benefits from our investments in Rylaze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is subject to a number of uncertainties, including our ability to successfully commercialize Rylaze in the U.S. including creating awareness among health care professionals and ensuring physicians are confident in its supply and that patients with ALL or LBL will be given the appropriate course of therapy based on current FDA approval. In addition, there continues to be the potential of a competitive erwinia product being reintroduced into the marketplace either later in 2021 or beyond that could create uncertainty in demand and utilization of Rylaze moving forward.</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Vyxeos</w:t>
      </w:r>
    </w:p>
    <w:p>
      <w:pPr>
        <w:spacing w:after="0" w:line="112" w:lineRule="exact"/>
        <w:rPr>
          <w:sz w:val="20"/>
          <w:szCs w:val="20"/>
          <w:color w:val="auto"/>
        </w:rPr>
      </w:pPr>
    </w:p>
    <w:p>
      <w:pPr>
        <w:ind w:firstLine="445"/>
        <w:spacing w:after="0" w:line="263" w:lineRule="auto"/>
        <w:rPr>
          <w:sz w:val="20"/>
          <w:szCs w:val="20"/>
          <w:color w:val="auto"/>
        </w:rPr>
      </w:pPr>
      <w:r>
        <w:rPr>
          <w:rFonts w:ascii="Arial" w:cs="Arial" w:eastAsia="Arial" w:hAnsi="Arial"/>
          <w:sz w:val="17"/>
          <w:szCs w:val="17"/>
          <w:color w:val="212529"/>
        </w:rPr>
        <w:t xml:space="preserve">Our ability to realize the anticipated benefits from our investment in </w:t>
      </w:r>
      <w:r>
        <w:rPr>
          <w:rFonts w:ascii="Arial" w:cs="Arial" w:eastAsia="Arial" w:hAnsi="Arial"/>
          <w:sz w:val="17"/>
          <w:szCs w:val="17"/>
          <w:color w:val="000000"/>
        </w:rPr>
        <w:t>Vyxeos</w:t>
      </w:r>
      <w:r>
        <w:rPr>
          <w:rFonts w:ascii="Arial" w:cs="Arial" w:eastAsia="Arial" w:hAnsi="Arial"/>
          <w:sz w:val="22"/>
          <w:szCs w:val="22"/>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(daunorubicin and cytarabine) liposome for injection by successfully</w:t>
      </w:r>
      <w:r>
        <w:rPr>
          <w:rFonts w:ascii="Arial" w:cs="Arial" w:eastAsia="Arial" w:hAnsi="Arial"/>
          <w:sz w:val="17"/>
          <w:szCs w:val="17"/>
          <w:color w:val="212529"/>
        </w:rPr>
        <w:t xml:space="preserve"> </w:t>
      </w:r>
      <w:r>
        <w:rPr>
          <w:rFonts w:ascii="Arial" w:cs="Arial" w:eastAsia="Arial" w:hAnsi="Arial"/>
          <w:sz w:val="17"/>
          <w:szCs w:val="17"/>
          <w:color w:val="000000"/>
        </w:rPr>
        <w:t xml:space="preserve">and sustainably growing sales </w:t>
      </w:r>
      <w:r>
        <w:rPr>
          <w:rFonts w:ascii="Arial" w:cs="Arial" w:eastAsia="Arial" w:hAnsi="Arial"/>
          <w:sz w:val="17"/>
          <w:szCs w:val="17"/>
          <w:color w:val="212529"/>
        </w:rPr>
        <w:t>is subject to a number of risks and uncertainties, including</w:t>
      </w:r>
      <w:r>
        <w:rPr>
          <w:rFonts w:ascii="Arial" w:cs="Arial" w:eastAsia="Arial" w:hAnsi="Arial"/>
          <w:sz w:val="17"/>
          <w:szCs w:val="17"/>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7"/>
          <w:szCs w:val="17"/>
          <w:color w:val="212529"/>
        </w:rPr>
        <w:t>acceptance by</w:t>
      </w:r>
      <w:r>
        <w:rPr>
          <w:rFonts w:ascii="Arial" w:cs="Arial" w:eastAsia="Arial" w:hAnsi="Arial"/>
          <w:sz w:val="17"/>
          <w:szCs w:val="17"/>
          <w:color w:val="000000"/>
        </w:rPr>
        <w:t xml:space="preserve"> </w:t>
      </w:r>
      <w:r>
        <w:rPr>
          <w:rFonts w:ascii="Arial" w:cs="Arial" w:eastAsia="Arial" w:hAnsi="Arial"/>
          <w:sz w:val="17"/>
          <w:szCs w:val="17"/>
          <w:color w:val="212529"/>
        </w:rPr>
        <w:t xml:space="preserve">hospital pharmacy and therapeutics committees in the U.S., the EU and other countries; </w:t>
      </w:r>
      <w:r>
        <w:rPr>
          <w:rFonts w:ascii="Arial" w:cs="Arial" w:eastAsia="Arial" w:hAnsi="Arial"/>
          <w:sz w:val="17"/>
          <w:szCs w:val="17"/>
          <w:color w:val="000000"/>
        </w:rPr>
        <w:t>the increasing complexity of the acute myeloid leukemia, or AML,</w:t>
      </w:r>
      <w:r>
        <w:rPr>
          <w:rFonts w:ascii="Arial" w:cs="Arial" w:eastAsia="Arial" w:hAnsi="Arial"/>
          <w:sz w:val="17"/>
          <w:szCs w:val="17"/>
          <w:color w:val="212529"/>
        </w:rPr>
        <w:t xml:space="preserve"> </w:t>
      </w:r>
      <w:r>
        <w:rPr>
          <w:rFonts w:ascii="Arial" w:cs="Arial" w:eastAsia="Arial" w:hAnsi="Arial"/>
          <w:sz w:val="17"/>
          <w:szCs w:val="17"/>
          <w:color w:val="000000"/>
        </w:rPr>
        <w:t xml:space="preserve">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 patients who may potentially be indicated for treatment with Vyxeos, particularly as a result of the shift of healthcare resources toward less intensive outpatient AML treatments in the U.S. in light of the COVID-19 pandemic which is directly negatively impacting, or delaying, the use of Vyxeos, as well as the suspension of in-person interactions with healthcare professionals due to the COVID-19 pandemic; </w:t>
      </w:r>
      <w:r>
        <w:rPr>
          <w:rFonts w:ascii="Arial" w:cs="Arial" w:eastAsia="Arial" w:hAnsi="Arial"/>
          <w:sz w:val="17"/>
          <w:szCs w:val="17"/>
          <w:color w:val="212529"/>
        </w:rPr>
        <w:t>the availability of adequate coverage, pricing and reimbursement approvals, competition from new and existing products and potential</w:t>
      </w:r>
      <w:r>
        <w:rPr>
          <w:rFonts w:ascii="Arial" w:cs="Arial" w:eastAsia="Arial" w:hAnsi="Arial"/>
          <w:sz w:val="17"/>
          <w:szCs w:val="17"/>
          <w:color w:val="000000"/>
        </w:rPr>
        <w:t xml:space="preserve"> </w:t>
      </w:r>
      <w:r>
        <w:rPr>
          <w:rFonts w:ascii="Arial" w:cs="Arial" w:eastAsia="Arial" w:hAnsi="Arial"/>
          <w:sz w:val="17"/>
          <w:szCs w:val="17"/>
          <w:color w:val="212529"/>
        </w:rPr>
        <w:t xml:space="preserve">competition from products in development; and delays or problems in the supply or manufacture of Vyxeos. </w:t>
      </w:r>
      <w:r>
        <w:rPr>
          <w:rFonts w:ascii="Arial" w:cs="Arial" w:eastAsia="Arial" w:hAnsi="Arial"/>
          <w:sz w:val="17"/>
          <w:szCs w:val="17"/>
          <w:color w:val="000000"/>
        </w:rPr>
        <w:t>Although we saw some recovery in demand</w:t>
      </w:r>
      <w:r>
        <w:rPr>
          <w:rFonts w:ascii="Arial" w:cs="Arial" w:eastAsia="Arial" w:hAnsi="Arial"/>
          <w:sz w:val="17"/>
          <w:szCs w:val="17"/>
          <w:color w:val="212529"/>
        </w:rPr>
        <w:t xml:space="preserve"> </w:t>
      </w:r>
      <w:r>
        <w:rPr>
          <w:rFonts w:ascii="Arial" w:cs="Arial" w:eastAsia="Arial" w:hAnsi="Arial"/>
          <w:sz w:val="17"/>
          <w:szCs w:val="17"/>
          <w:color w:val="000000"/>
        </w:rPr>
        <w:t xml:space="preserve">for Vyxeos beginning in the end of the second quarter of 2020, due to the ongoing impacts of the COVID-19 pandemic, we continue to expect a negative impact on demand for and utilization of Vyxeos compared to historical periods. </w:t>
      </w:r>
      <w:r>
        <w:rPr>
          <w:rFonts w:ascii="Arial" w:cs="Arial" w:eastAsia="Arial" w:hAnsi="Arial"/>
          <w:sz w:val="17"/>
          <w:szCs w:val="17"/>
          <w:color w:val="212529"/>
        </w:rPr>
        <w:t>If sales of Vyxeos do not reach the levels we expect, our anticipated</w:t>
      </w:r>
      <w:r>
        <w:rPr>
          <w:rFonts w:ascii="Arial" w:cs="Arial" w:eastAsia="Arial" w:hAnsi="Arial"/>
          <w:sz w:val="17"/>
          <w:szCs w:val="17"/>
          <w:color w:val="000000"/>
        </w:rPr>
        <w:t xml:space="preserve"> </w:t>
      </w:r>
      <w:r>
        <w:rPr>
          <w:rFonts w:ascii="Arial" w:cs="Arial" w:eastAsia="Arial" w:hAnsi="Arial"/>
          <w:sz w:val="17"/>
          <w:szCs w:val="17"/>
          <w:color w:val="212529"/>
        </w:rPr>
        <w:t>revenue from the product would be negatively affected, which would have a material adverse effect on our business, financial condition, results of operations and growth prospects.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Zepzelca</w:t>
      </w:r>
    </w:p>
    <w:p>
      <w:pPr>
        <w:spacing w:after="0" w:line="112" w:lineRule="exact"/>
        <w:rPr>
          <w:sz w:val="20"/>
          <w:szCs w:val="20"/>
          <w:color w:val="auto"/>
        </w:rPr>
      </w:pPr>
    </w:p>
    <w:p>
      <w:pPr>
        <w:ind w:right="460" w:firstLine="445"/>
        <w:spacing w:after="0" w:line="229" w:lineRule="auto"/>
        <w:rPr>
          <w:sz w:val="20"/>
          <w:szCs w:val="20"/>
          <w:color w:val="auto"/>
        </w:rPr>
      </w:pPr>
      <w:r>
        <w:rPr>
          <w:rFonts w:ascii="Arial" w:cs="Arial" w:eastAsia="Arial" w:hAnsi="Arial"/>
          <w:sz w:val="18"/>
          <w:szCs w:val="18"/>
          <w:color w:val="212529"/>
        </w:rPr>
        <w:t>Our ability to realize the anticipated benefits from our investment in Zepzelca</w:t>
      </w:r>
      <w:r>
        <w:rPr>
          <w:rFonts w:ascii="Arial" w:cs="Arial" w:eastAsia="Arial" w:hAnsi="Arial"/>
          <w:sz w:val="23"/>
          <w:szCs w:val="23"/>
          <w:color w:val="000000"/>
          <w:vertAlign w:val="superscript"/>
        </w:rPr>
        <w:t>®</w:t>
      </w:r>
      <w:r>
        <w:rPr>
          <w:rFonts w:ascii="Arial" w:cs="Arial" w:eastAsia="Arial" w:hAnsi="Arial"/>
          <w:sz w:val="18"/>
          <w:szCs w:val="18"/>
          <w:color w:val="212529"/>
        </w:rPr>
        <w:t xml:space="preserve"> </w:t>
      </w:r>
      <w:r>
        <w:rPr>
          <w:rFonts w:ascii="Arial" w:cs="Arial" w:eastAsia="Arial" w:hAnsi="Arial"/>
          <w:sz w:val="18"/>
          <w:szCs w:val="18"/>
          <w:color w:val="000000"/>
        </w:rPr>
        <w:t>(lurbinectedin)</w:t>
      </w:r>
      <w:r>
        <w:rPr>
          <w:rFonts w:ascii="Arial" w:cs="Arial" w:eastAsia="Arial" w:hAnsi="Arial"/>
          <w:sz w:val="18"/>
          <w:szCs w:val="18"/>
          <w:color w:val="212529"/>
        </w:rPr>
        <w:t xml:space="preserve"> is subject to a number of risks and uncertainties, including </w:t>
      </w:r>
      <w:r>
        <w:rPr>
          <w:rFonts w:ascii="Arial" w:cs="Arial" w:eastAsia="Arial" w:hAnsi="Arial"/>
          <w:sz w:val="18"/>
          <w:szCs w:val="18"/>
          <w:color w:val="000000"/>
        </w:rPr>
        <w:t>our ability to successfully commercialize Zepzelca in the U.S.; adequate supply of Zepzelca 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 xml:space="preserve">meet demand; </w:t>
      </w:r>
      <w:r>
        <w:rPr>
          <w:rFonts w:ascii="Arial" w:cs="Arial" w:eastAsia="Arial" w:hAnsi="Arial"/>
          <w:sz w:val="18"/>
          <w:szCs w:val="18"/>
          <w:color w:val="212529"/>
        </w:rPr>
        <w:t>availability of favorable pricing and adequate coverage and reimbursement</w:t>
      </w:r>
      <w:r>
        <w:rPr>
          <w:rFonts w:ascii="Arial" w:cs="Arial" w:eastAsia="Arial" w:hAnsi="Arial"/>
          <w:sz w:val="18"/>
          <w:szCs w:val="18"/>
          <w:color w:val="auto"/>
        </w:rPr>
        <w:t xml:space="preserve">; </w:t>
      </w:r>
      <w:r>
        <w:rPr>
          <w:rFonts w:ascii="Arial" w:cs="Arial" w:eastAsia="Arial" w:hAnsi="Arial"/>
          <w:sz w:val="18"/>
          <w:szCs w:val="18"/>
          <w:color w:val="212529"/>
        </w:rPr>
        <w:t>the limited experience of, and need to educate, physicians in the</w:t>
      </w:r>
      <w:r>
        <w:rPr>
          <w:rFonts w:ascii="Arial" w:cs="Arial" w:eastAsia="Arial" w:hAnsi="Arial"/>
          <w:sz w:val="18"/>
          <w:szCs w:val="18"/>
          <w:color w:val="auto"/>
        </w:rPr>
        <w:t xml:space="preserve"> </w:t>
      </w:r>
      <w:r>
        <w:rPr>
          <w:rFonts w:ascii="Arial" w:cs="Arial" w:eastAsia="Arial" w:hAnsi="Arial"/>
          <w:sz w:val="18"/>
          <w:szCs w:val="18"/>
          <w:color w:val="212529"/>
        </w:rPr>
        <w:t xml:space="preserve">use of Zepzelca for the treatment of </w:t>
      </w:r>
      <w:r>
        <w:rPr>
          <w:rFonts w:ascii="Arial" w:cs="Arial" w:eastAsia="Arial" w:hAnsi="Arial"/>
          <w:sz w:val="18"/>
          <w:szCs w:val="18"/>
          <w:color w:val="000000"/>
        </w:rPr>
        <w:t>metastatic small cell lung cancer, or</w:t>
      </w:r>
      <w:r>
        <w:rPr>
          <w:rFonts w:ascii="Arial" w:cs="Arial" w:eastAsia="Arial" w:hAnsi="Arial"/>
          <w:sz w:val="18"/>
          <w:szCs w:val="18"/>
          <w:color w:val="212529"/>
        </w:rPr>
        <w:t xml:space="preserve"> SCLC</w:t>
      </w:r>
      <w:r>
        <w:rPr>
          <w:rFonts w:ascii="Arial" w:cs="Arial" w:eastAsia="Arial" w:hAnsi="Arial"/>
          <w:sz w:val="18"/>
          <w:szCs w:val="18"/>
          <w:color w:val="000000"/>
        </w:rPr>
        <w:t>;</w:t>
      </w:r>
      <w:r>
        <w:rPr>
          <w:rFonts w:ascii="Arial" w:cs="Arial" w:eastAsia="Arial" w:hAnsi="Arial"/>
          <w:sz w:val="18"/>
          <w:szCs w:val="18"/>
          <w:color w:val="212529"/>
        </w:rPr>
        <w:t xml:space="preserve"> the potential for negative trial data read-outs in ongoing or future Zepzelca clinical trials; our and Pharma Mar, S.A., or PharmaMar’s ability to maintain accelerated approval or obtain FDA’s agreement as to a confirmatory study of Zepzelca; and the impact of the evolving effects of the COVID-19 pandemic on our ability to educate health care providers about Zepzelca in the treatment of relapsed, metastatic SCLC in the U.S.</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66"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There is a substantial amount of change occurring in the U.S. regarding the use of medical and recreational marijuana products. While federal law prohibits the sale and distribution of most marijuana products not approved or authorized by FDA, at least 36 jurisdictions and the District of Columbia have enacted state laws to enable possession and use of marijuana for medical purposes, and at least 15 jurisdictions for recreational purposes. Under the U.S. Farm Bill, enacted in late 2018, certain extracts and other material derived from cannabis are no longer controlled under the Federal Controlled Substances Act, or CSA. Although the marketing of such products as a food, dietary supplement, or for medical purposes remains subject to FDA requirements, FDA continues to evaluate regulatory pathways to permit cannabidiol, or CBD, in conventional foods and dietary supplements. In addition, Congressional efforts related to legalization of marijuana continue. Although our business is distinct from that of entities marketing FDA-unapproved marijuana and CBD-containing dietary supplement, future legislation or federal government action authorizing the sale, distribution, use, and insurance reimbursement of non-FDA approved marijuana or cannabinoid products could increase competition for and adversely affect our ability to generate sales of Epidiolex and our cannabinoid product candidates.</w:t>
      </w:r>
    </w:p>
    <w:p>
      <w:pPr>
        <w:spacing w:after="0" w:line="64" w:lineRule="exact"/>
        <w:rPr>
          <w:sz w:val="20"/>
          <w:szCs w:val="20"/>
          <w:color w:val="auto"/>
        </w:rPr>
      </w:pPr>
    </w:p>
    <w:p>
      <w:pPr>
        <w:ind w:right="60" w:firstLine="445"/>
        <w:spacing w:after="0" w:line="252" w:lineRule="auto"/>
        <w:rPr>
          <w:sz w:val="20"/>
          <w:szCs w:val="20"/>
          <w:color w:val="auto"/>
        </w:rPr>
      </w:pPr>
      <w:r>
        <w:rPr>
          <w:rFonts w:ascii="Arial" w:cs="Arial" w:eastAsia="Arial" w:hAnsi="Arial"/>
          <w:sz w:val="16"/>
          <w:szCs w:val="16"/>
          <w:color w:val="auto"/>
        </w:rPr>
        <w:t>In addition, Epidiolex and nabiximols compete with product offerings from large and well-established companies that have greater marketing and sales experience and capabilities than we or our collaboration partners have. FDA approved Zogenix, Inc.'s low-dose fenfluramine, or Fintepla, in Dravet syndrome in June 2020, and Zogenix will submit its supplemental NDA for LGS in 2021. Ovid Therapeutics Inc./Takeda Pharmaceutical Company Limited, Eisai Company Limited, and Marinus Pharmaceuticals, Inc. are developing therapies for treating Developmental and Epileptic Encephalopathies (includes Dravet and LGS). Stiripentol has been approved in Europe for several years to treat Dravet syndrome and was approved in 2018 by FDA. Zynerba Pharmaceuticals, Inc. is developing a topical formulation of CBD, for which it is working with FDA on a path forward on CONNECT-FX data for Zygel in Fragile X syndrome. There are a number of public and private companies in the early stages of developing genetic therapies for the underlying causes of Dravet syndrome, including Stoke Therapeutics, Inc., which has an antisense oligonucleotide, STK-001, in early clinical trials. Other companies, including those with greater resources than us may announce similar plans in the future. In addition, there are non-FDA approved CBD preparations being made available from companies in the medical marijuana industry, which might attempt to compete with Epidiolex. The medical marijuana industry could provide additional competition for nabiximols, if and when it is approved by FDA. If we are unable to compete successfully, our commercial opportunities will be reduced and our business, results of operations and financial conditions may be materially harmed.</w:t>
      </w:r>
    </w:p>
    <w:p>
      <w:pPr>
        <w:spacing w:after="0" w:line="71" w:lineRule="exact"/>
        <w:rPr>
          <w:sz w:val="20"/>
          <w:szCs w:val="20"/>
          <w:color w:val="auto"/>
        </w:rPr>
      </w:pPr>
    </w:p>
    <w:p>
      <w:pPr>
        <w:ind w:right="20" w:firstLine="445"/>
        <w:spacing w:after="0" w:line="224" w:lineRule="exact"/>
        <w:rPr>
          <w:sz w:val="20"/>
          <w:szCs w:val="20"/>
          <w:color w:val="auto"/>
        </w:rPr>
      </w:pPr>
      <w:r>
        <w:rPr>
          <w:rFonts w:ascii="Arial" w:cs="Arial" w:eastAsia="Arial" w:hAnsi="Arial"/>
          <w:sz w:val="16"/>
          <w:szCs w:val="16"/>
          <w:color w:val="auto"/>
        </w:rPr>
        <w:t>For a description of the competition that our lead marketed products and most advanced product candidates face or may face, see the discussion in “Business—Competition” in Part I, Item 1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2020 and the risk factor under the heading</w:t>
      </w:r>
    </w:p>
    <w:p>
      <w:pPr>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introduction of new products in the U.S. market that compete with, or otherwise disrupt the market for, our oxybate products and product candidates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would adversely affect sales of our oxybate products and product candidates” </w:t>
      </w:r>
      <w:r>
        <w:rPr>
          <w:rFonts w:ascii="Arial" w:cs="Arial" w:eastAsia="Arial" w:hAnsi="Arial"/>
          <w:sz w:val="18"/>
          <w:szCs w:val="18"/>
          <w:color w:val="auto"/>
        </w:rPr>
        <w:t>in this Part I, Item 1A. For a description of the competition that Epidiolex</w:t>
      </w:r>
      <w:r>
        <w:rPr>
          <w:rFonts w:ascii="Arial" w:cs="Arial" w:eastAsia="Arial" w:hAnsi="Arial"/>
          <w:sz w:val="18"/>
          <w:szCs w:val="18"/>
          <w:i w:val="1"/>
          <w:iCs w:val="1"/>
          <w:color w:val="auto"/>
        </w:rPr>
        <w:t xml:space="preserve"> </w:t>
      </w:r>
      <w:r>
        <w:rPr>
          <w:rFonts w:ascii="Arial" w:cs="Arial" w:eastAsia="Arial" w:hAnsi="Arial"/>
          <w:sz w:val="18"/>
          <w:szCs w:val="18"/>
          <w:color w:val="auto"/>
        </w:rPr>
        <w:t>faces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may face, see the discussion in “Business—Competition” in Part I, Item 1 of GW's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2020.</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Medicaid program, Medicare program, other healthcare programs in the U.S. or elsewhere, or third party commercial payors in the U.S. or elsewhere deny reimbursement for our products, limit the indications for which our products will be reimbursed, or provide reimbursement only on unfavorable terms. In particular, we cannot predict to what extent the evolving effects of the COVID-19 pandemic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could adversely affect net revenue.</w:t>
      </w:r>
    </w:p>
    <w:p>
      <w:pPr>
        <w:spacing w:after="0" w:line="7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7"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maintaining broad coverage for our products, our anticipated revenue from and growth prospects for our products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the laws in these countries,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a legislative proposal adopted by the EC in January 2018 concerning EU regulation governing HTA procedures may eventually lead to harmonization. If we are unable to maintain favorable pricing and reimbursement status in EU member states that represent significant markets, our anticipated revenue from and growth prospects for our products in the EU could be negatively affected. For example, the EC granted marketing authorization for Vyxeos in August 2018, for Epidyolex in September 2019 and for Sunosi in January 2020, and, as part of our rolling launches of Vyxeos, Epidyolex and Sunosi in Europe, we are making pricing and reimbursement submissions in European countries. Due to the evolving effects of the COVID-19 pandemic, we currently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 member states would be delayed, which could negatively impact anticipated revenue from and growth prospects for Vyxeos and/or Sunosi.</w:t>
      </w:r>
    </w:p>
    <w:p>
      <w:pPr>
        <w:spacing w:after="0" w:line="2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6"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w:t>
      </w:r>
    </w:p>
    <w:p>
      <w:pPr>
        <w:spacing w:after="0" w:line="5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Legislative and regulatory proposals that have recently been considered include legislative proposals to limit the terms of patent litigation settlements with generic sponsors, and proposals to define certain conduct around patenting and new product development as unfair competition. All such considerations may adversely affect our business and industry in ways that we cannot accurately predict. For example, FDA recently issued a final regulation, as well as guidance for industry, permitting the importation of drugs into the U.S. from other countries under certain circumstances, although it is currently unclear whether stakeholders will avail themselves of these pathways. Any of our products becoming subject to importation could negatively affect our business in ways that we cannot accurately predict.</w:t>
      </w:r>
    </w:p>
    <w:p>
      <w:pPr>
        <w:spacing w:after="0" w:line="84" w:lineRule="exact"/>
        <w:rPr>
          <w:sz w:val="20"/>
          <w:szCs w:val="20"/>
          <w:color w:val="auto"/>
        </w:rPr>
      </w:pPr>
    </w:p>
    <w:p>
      <w:pPr>
        <w:jc w:val="both"/>
        <w:ind w:right="100" w:firstLine="445"/>
        <w:spacing w:after="0" w:line="301" w:lineRule="auto"/>
        <w:rPr>
          <w:sz w:val="20"/>
          <w:szCs w:val="20"/>
          <w:color w:val="auto"/>
        </w:rPr>
      </w:pPr>
      <w:r>
        <w:rPr>
          <w:rFonts w:ascii="Arial" w:cs="Arial" w:eastAsia="Arial" w:hAnsi="Arial"/>
          <w:sz w:val="16"/>
          <w:szCs w:val="16"/>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the Biden administration and Congress are expected to take notable steps towards expanding health care coverage beyond the Affordable Care Act, which could have ramifications for the pharmaceutical industry.</w:t>
      </w:r>
    </w:p>
    <w:p>
      <w:pPr>
        <w:spacing w:after="0" w:line="49"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If healthcare policies or reforms intended to curb healthcare costs are adopted or if we experience negative publicity with respect to pricing of our products or the pricing of pharmaceutical drugs generally, the prices that we charge for our products, including Xyrem and Xywav, may be affected, our commercial opportunity may be limited and/or our revenues from sales of our products may be negatively impacted. We have periodically increased the price of Xyrem, most recently in January 2021, and there is no guarantee that we will make similar price adjustments to Xyrem and Xywav in the future or that price adjustments we have taken or may take in the future will not negatively affect Xyrem or Xywav sales volumes and revenues.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made and may in the future make price adjustments on our other products. There is no guarantee that such price adjustments will not negatively affect our reputation and our ability to secure and maintain reimbursement coverage for our products, which could limit the prices that we charge for our products, including Xyrem and Xywav, limit the commercial opportunities for our products and/or negatively impact revenues from sales of our products.</w:t>
      </w:r>
    </w:p>
    <w:p>
      <w:pPr>
        <w:spacing w:after="0" w:line="79"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If we become the subject of any future government investigation or U.S. Congressional oversight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49"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We expect that legislators, policymakers and healthcare insurance funds in Europe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5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62" w:lineRule="exact"/>
        <w:rPr>
          <w:sz w:val="20"/>
          <w:szCs w:val="20"/>
          <w:color w:val="auto"/>
        </w:rPr>
      </w:pPr>
    </w:p>
    <w:p>
      <w:pPr>
        <w:ind w:left="660" w:right="340" w:hanging="328"/>
        <w:spacing w:after="0" w:line="29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of the product in regular use;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serious adverse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clinical superiority and/or advantages over alternative treatments;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overcoming negative publicity surrounding illicit use of</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GHB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cannabinoid and marijuana products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the view of patients, law enforcement agencies, physicians and regulators of our products as being the same or similar to illicit products;</w:t>
      </w:r>
    </w:p>
    <w:p>
      <w:pPr>
        <w:spacing w:after="0" w:line="2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660" w:right="320" w:hanging="328"/>
        <w:spacing w:after="0" w:line="26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respect to Xyrem and Xywav, physician and patient assessment of the burdens associated with obtaining or maintaining the certifications required under the Xyrem and Xywav REMS or equivalent obligation imposed in a European or other foreign country;</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346" w:lineRule="exact"/>
        <w:rPr>
          <w:sz w:val="20"/>
          <w:szCs w:val="20"/>
          <w:color w:val="auto"/>
        </w:rPr>
      </w:pPr>
    </w:p>
    <w:p>
      <w:pPr>
        <w:jc w:val="both"/>
        <w:ind w:right="80" w:firstLine="445"/>
        <w:spacing w:after="0" w:line="286" w:lineRule="auto"/>
        <w:rPr>
          <w:sz w:val="20"/>
          <w:szCs w:val="20"/>
          <w:color w:val="auto"/>
        </w:rPr>
      </w:pPr>
      <w:r>
        <w:rPr>
          <w:rFonts w:ascii="Arial" w:cs="Arial" w:eastAsia="Arial" w:hAnsi="Arial"/>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57"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evolving effects of the COVID-19 pandemic (including as a result of disruptions of global shipping and the transport of products)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7" w:lineRule="exact"/>
        <w:rPr>
          <w:sz w:val="20"/>
          <w:szCs w:val="20"/>
          <w:color w:val="auto"/>
        </w:rPr>
      </w:pPr>
    </w:p>
    <w:p>
      <w:pPr>
        <w:ind w:right="380" w:firstLine="445"/>
        <w:spacing w:after="0" w:line="296" w:lineRule="auto"/>
        <w:rPr>
          <w:sz w:val="20"/>
          <w:szCs w:val="20"/>
          <w:color w:val="auto"/>
        </w:rPr>
      </w:pPr>
      <w:r>
        <w:rPr>
          <w:rFonts w:ascii="Arial" w:cs="Arial" w:eastAsia="Arial" w:hAnsi="Arial"/>
          <w:sz w:val="16"/>
          <w:szCs w:val="16"/>
          <w:color w:val="auto"/>
        </w:rPr>
        <w:t>We have a manufacturing and development facility in Athlone, Ireland where we manufacture Xyrem and Xywav, a manufacturing plant in Villa Guardia, Italy where we produce the defibrotide drug substance and a commercial manufacturing facility in the U.K. in Kent Science Park, where we produce Epidiolex and Sativex.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53"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57"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We are responsible for the manufacture and supply of nabiximols to our collaboration partners and for the manufacture and supply of Epidiolex, nabiximols and other cannabinoid product candidates for commercial use and for use in clinical trials. The manufacturing of Epidiolex, nabiximols and our product candidates necessitates compliance with GMP and other regulatory requirements in jurisdictions internationally. Our ability to successfully manufacture Epidiolex, nabiximols and other cannabinoid product candidates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For certain steps in the manufacturing process for nabiximols, we are currently reliant on single manufacturing facilities and no back-up facilities are yet in place. We have a second site at which we can grow the specific cannabinoid plants that produce the CBD used in Epidiolex, a second site at which we can extract CBD from botanical raw material and a second site at which we can crystallize the purified CBD from the liquid plant extract. Because nabiximols is a complex mixture manufactured from plant materials, and because the release specifications may not be identical in all countries, certain batches may fail release testing and not be able to be commercialized. A number of our product candidates (excluding Epidiolex) also consist of a complex mixture manufactured from plant materials, and are therefore subject to a similar risk. If we are unable to manufacture Epidiolex, nabiximols or other product candidates in accordance with regulatory specifications, including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 nabiximols and our product candidates on a timely or cost-competitive basis, if at all. We have an on-going program for expanding and upgrading parts of our growing and manufacturing facilities and we are working with a number of contract manufacturing partners. This has allowed us to implement a manufacturing program that we believe includes a sufficient number of growing and manufacturing sites that would provide sufficient quantities to meet initial demand, and meet FDA’s and EMA’s stringent requirements for demonstrating equivalence of the scaled-up manufacturing process. This program requires significant time and resources and may not be successful. These activities may be unsuccessful, may lead to delays, interruptions to supply or may prove to be more costly than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Vyxeos is manufactured by Baxter Oncology GmbH, or Baxter, which is a sole source supplier from a single site location. Baxter has experienced batch failures due to mechanical, component and other issues in the production of Vyxeos, and batches have been produced that have otherwise not been in compliance with applicable specifications. We are continuing to work with Baxter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 In addition, while the APIs in Vyxeos, daunorubicin and cytarabine, are available from a number of suppliers, certain suppliers have received warning letters from FDA. As a result, we have qualified other suppliers for each API, and we provided the qualification data to FDA. If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64"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Rylaze drug substance is manufactured by AGC Biologics at its facility in Copenhagen, Denmark and the drug product is manufactured and packaged by Patheon at its facility in Greenville, North Carolina. Both sites have ample capacity to support forecast demand and we have secured supply for more than one year's forecast demand.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53"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62"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57"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If the effects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our approved products and our business, financial condition, results of operations and growth prospects would be materially adversely affected.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The testing, manufacturing and marketing of our products require regulatory approvals, including approval from FDA and similar bodies in Europe and other countries. If FDA, EC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Europe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87"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Due to the evolving effects of the COVID-19 pandemic, it is possible that we could experience delays in the timing of marketing application review by regulatory authorities and/or our interactions with regulatory authorities due to limited staffing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 working hours of governmental employees, governmental “stay-at-home” orders and travel restrictions with respect to physical inspections if required for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It is possible that we could experience delays in regulatory interactions and review of submissions due to COVID-19 impacts described above, such as with respect to our supplemental new drug application, or sNDA, submission of Xywav for idiopathic hypersomnia, or our development pathway for nabiximols.</w:t>
      </w:r>
    </w:p>
    <w:p>
      <w:pPr>
        <w:spacing w:after="0" w:line="8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Xyrem and Xywav,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8"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Epidiolex, Defitelio, Vyxeos, Sunosi, Rylaze and Zepzelca. These post-marketing requirements and commitments include satisfactorily conducting multiple post-marketing clinical trials and safety studies. For example, FDA granted accelerated approval to Zepzelca for relapsed SCLC based on data from a Phase 2 trial, which approval is contingent upon verification and description of clinical benefit in a post-marketing clinical trial. We and PharmaMar are committed to further study of lurbinectedin both as a single agent and in combination, and have reached agreement with FDA regarding a confirmatory clinical development program. Our failure to confirm its clinical benefit could result in the withdrawal of approval of Zepzelca, which could have a material adverse effect on our business, financial condition, results of operations and growth prospects. With respect to FDA’s and EMA’s approvals of Epidiolex, we are subject to certain post-marketing requirements. Failure to comply with these post-marketing requirements could result in withdrawal of our marketing approval for Epidiolex and/or other civil or criminal penalties. In any event, if we are unable to comply with our post-marketing obligations imposed as part of the marketing approvals in the U.S., the EU, or other European countries, our approval may be varied, suspended or revoked, product supply may be delayed and our sales of our products could be materially adversely affected.</w:t>
      </w:r>
    </w:p>
    <w:p>
      <w:pPr>
        <w:spacing w:after="0" w:line="78"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 xml:space="preserve">We are pursuing activities related to the development of additional asparaginase products for patients with ALL or other hematological malignancies. Several of our external research and development collaborations are focused on these efforts, including our agreement with Ligand Pharmaceuticals Incorporated, or Ligand. We developed Rylaze, a recombinant Erwinia asparaginase product for the treatment of patients with ALL and LBL who have hypersensitivity to E. coli-derived asparaginase, under our Ligand agreement. We also have clinical development efforts focused on expanding the potential of </w:t>
      </w:r>
      <w:r>
        <w:rPr>
          <w:rFonts w:ascii="Arial" w:cs="Arial" w:eastAsia="Arial" w:hAnsi="Arial"/>
          <w:sz w:val="16"/>
          <w:szCs w:val="16"/>
          <w:color w:val="212529"/>
        </w:rPr>
        <w:t>Defitelio, Vyxeos, Sunosi, Rylaze and Xywav, as well as clinical development efforts focused on JZP-385</w:t>
      </w:r>
      <w:r>
        <w:rPr>
          <w:rFonts w:ascii="Arial" w:cs="Arial" w:eastAsia="Arial" w:hAnsi="Arial"/>
          <w:sz w:val="16"/>
          <w:szCs w:val="16"/>
          <w:color w:val="auto"/>
        </w:rPr>
        <w:t xml:space="preserve"> for the treatment of essential tremor</w:t>
      </w:r>
      <w:r>
        <w:rPr>
          <w:rFonts w:ascii="Arial" w:cs="Arial" w:eastAsia="Arial" w:hAnsi="Arial"/>
          <w:sz w:val="16"/>
          <w:szCs w:val="16"/>
          <w:color w:val="212529"/>
        </w:rPr>
        <w:t>. Because</w:t>
      </w:r>
      <w:r>
        <w:rPr>
          <w:rFonts w:ascii="Arial" w:cs="Arial" w:eastAsia="Arial" w:hAnsi="Arial"/>
          <w:sz w:val="16"/>
          <w:szCs w:val="16"/>
          <w:color w:val="auto"/>
        </w:rPr>
        <w:t xml:space="preserve"> </w:t>
      </w:r>
      <w:r>
        <w:rPr>
          <w:rFonts w:ascii="Arial" w:cs="Arial" w:eastAsia="Arial" w:hAnsi="Arial"/>
          <w:sz w:val="16"/>
          <w:szCs w:val="16"/>
          <w:color w:val="212529"/>
        </w:rPr>
        <w:t xml:space="preserve">combination regimens and the continual generation of new data have become particularly important in AML, if we are unable to initiate multiple combination studies, safely combine Vyxeos with novel agents, or if efficacy results do not meet clinicians’ expectations, our growth prospects could be materially adversely affected. </w:t>
      </w:r>
      <w:r>
        <w:rPr>
          <w:rFonts w:ascii="Arial" w:cs="Arial" w:eastAsia="Arial" w:hAnsi="Arial"/>
          <w:sz w:val="16"/>
          <w:szCs w:val="16"/>
          <w:color w:val="000000"/>
        </w:rPr>
        <w:t>Epidiolex has been administered only to a limited number of patients and in limited populations in clinical trials. While FDA</w:t>
      </w:r>
      <w:r>
        <w:rPr>
          <w:rFonts w:ascii="Arial" w:cs="Arial" w:eastAsia="Arial" w:hAnsi="Arial"/>
          <w:sz w:val="16"/>
          <w:szCs w:val="16"/>
          <w:color w:val="212529"/>
        </w:rPr>
        <w:t xml:space="preserve"> </w:t>
      </w:r>
      <w:r>
        <w:rPr>
          <w:rFonts w:ascii="Arial" w:cs="Arial" w:eastAsia="Arial" w:hAnsi="Arial"/>
          <w:sz w:val="16"/>
          <w:szCs w:val="16"/>
          <w:color w:val="000000"/>
        </w:rPr>
        <w:t>and EC granted approval of Epidiolex based on the data included in GW's NDA, sNDA and marketing authorization application, we do not know whether the results will be consistent with those resulting from administration of the drug to a large number of patients. New data relating to Epidiolex, including from adverse event reports and post-marketing studies in the U.S. and Europe, and from other ongoing clinical trials, may result in changes to the product label and/or imposition of a REMS and may adversely affect sales, or result in withdrawal of Epidiolex from the market. FDA, EC and regulatory authorities in other jurisdictions may also consider the new data in reviewing Epidiolex marketing applications for indications other than our approved uses in other jurisdictions, or impose additional post-approval requirements. If any of these actions were to occur, it could result in significant expense and delay or limit our ability to generate sales of Epidiolex.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6"/>
          <w:szCs w:val="16"/>
          <w:color w:val="212529"/>
        </w:rPr>
        <w:t>Further, while we seek to mitigate risks and liabilities of potential acquisitions and</w:t>
      </w:r>
      <w:r>
        <w:rPr>
          <w:rFonts w:ascii="Arial" w:cs="Arial" w:eastAsia="Arial" w:hAnsi="Arial"/>
          <w:sz w:val="16"/>
          <w:szCs w:val="16"/>
          <w:color w:val="auto"/>
        </w:rPr>
        <w:t xml:space="preserve"> </w:t>
      </w:r>
      <w:r>
        <w:rPr>
          <w:rFonts w:ascii="Arial" w:cs="Arial" w:eastAsia="Arial" w:hAnsi="Arial"/>
          <w:sz w:val="16"/>
          <w:szCs w:val="16"/>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6"/>
          <w:szCs w:val="16"/>
          <w:color w:val="000000"/>
        </w:rPr>
        <w:t>In addition, product and product candidate acquisitions,</w:t>
      </w:r>
      <w:r>
        <w:rPr>
          <w:rFonts w:ascii="Arial" w:cs="Arial" w:eastAsia="Arial" w:hAnsi="Arial"/>
          <w:sz w:val="16"/>
          <w:szCs w:val="16"/>
          <w:color w:val="212529"/>
        </w:rPr>
        <w:t xml:space="preserve"> </w:t>
      </w:r>
      <w:r>
        <w:rPr>
          <w:rFonts w:ascii="Arial" w:cs="Arial" w:eastAsia="Arial" w:hAnsi="Arial"/>
          <w:sz w:val="16"/>
          <w:szCs w:val="16"/>
          <w:color w:val="000000"/>
        </w:rPr>
        <w:t>particularly when the acquisition takes the form of a merger or other business 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5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3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212529"/>
        </w:rPr>
        <w:t>As a result of these or other factors, products or product candidates we acquire, or obtain licenses to, may not produce the revenues, earnings or business synergies that we anticipated, acquired or in-licensed product candidates may not result in regulatory approvals, and acquired or licensed products may not perform as expected. Failure to manage effectively our growth through acquisitions or in-licensing transactions could adversely affect our growth prospects, business, results of operations and financial condition.</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If FDA determines that the safety or efficacy data to be submitted in the sNDA for Xywav for idiopathic hypersomnia, do not warrant marketing approval, we may be required to conduct additional clinical trials, which could be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markets for the related marketed products, which could adversely affect our business, financial condition, results of operations and overall growth prospects.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29" w:lineRule="exact"/>
        <w:rPr>
          <w:sz w:val="20"/>
          <w:szCs w:val="20"/>
          <w:color w:val="auto"/>
        </w:rPr>
      </w:pPr>
    </w:p>
    <w:p>
      <w:pPr>
        <w:ind w:left="660" w:right="16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and indirect impacts of the evolving effects of the COVID-19 pandemic on various aspects and stages of the clinical development process, including the inherent limitations of remote and virtual approaches;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in oncology, with enrollment criteria targeting the same patient population;</w:t>
      </w:r>
    </w:p>
    <w:p>
      <w:pPr>
        <w:ind w:left="660" w:right="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ind w:left="660" w:right="6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ind w:left="660" w:right="580" w:hanging="328"/>
        <w:spacing w:after="0" w:line="28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COVID-19 pandemic;</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660" w:right="4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03"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57"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In light of the evolving effects of the COVID-19 pandemic, we have taken measures to implement remote and virtual approaches, including remote data monitoring where possible, to maintain patient safety and trial continuity and to preserve study integrity. We have seen limited COVID-19-related impact to our mid- and late-stage clinical trial activity, despite delays in initiating trial sites. However, GW had begun to recruit patients for an early-stage clinical trial of Epidiolex in the treatment of Rett syndrome and GW terminated this trial in November 2020 due to severe feasibility challenges arising from COVID-19.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may adversely impact our clinical trial operations.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GW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from the acquisition of GW Pharmaceuticals.</w:t>
      </w:r>
    </w:p>
    <w:p>
      <w:pPr>
        <w:spacing w:after="0" w:line="117"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On May 5, 2021, we completed the acquisition of GW Pharmaceuticals. The success of the acquisition will depend, in part, on our ability to realize the anticipated benefits from successfully combining our and GW Pharmaceuticals’ historical businesses and the integration of our business practices and operations with GW Pharmaceuticals’ so that we can fully realize the anticipated benefits of the acquisition. Epidiolex and the other products and technologies acquired may not be successful or continue to grow at the same rate as when our companies operated independently or they may require significantly greater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resources and investments than originally anticipated. Conversely, the liabilities assumed in the transaction could be greater than originally anticipated.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and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23"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660" w:right="4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660" w:right="5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1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Patent enforcement generally must be sought on a country-by-country basis, and issues of patent validity and infringement may be judged differently in different countries. Many companies have encountered significant problems in protecting, defending and enforcing intellectual property rights in foreign jurisdictions. The legal systems of certain countries, particularly certain developing countries, do not favor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70"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80"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June 2021, we received notice from Lupin that it has filed with FDA an Abbreviated New Drug Application, or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July 28,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w:t>
      </w:r>
    </w:p>
    <w:p>
      <w:pPr>
        <w:spacing w:after="0" w:line="7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We have settled patent litigation with nine companies seeking to introduce generic versions of Xyrem in the U.S. by granting those companies licenses to launch their generic products (and in certain cases, an authorized generic version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FDA’s publication “Approved Drug Products with Therapeutic Equivalence Evaluations,” or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76" w:lineRule="exact"/>
        <w:rPr>
          <w:sz w:val="20"/>
          <w:szCs w:val="20"/>
          <w:color w:val="auto"/>
        </w:rPr>
      </w:pPr>
    </w:p>
    <w:p>
      <w:pPr>
        <w:jc w:val="both"/>
        <w:ind w:right="60" w:firstLine="445"/>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We also currently rely on trade secret protection for several of our products, including Defitelio, and product candidates, including nabiximols.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5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69"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which were invalidated through the IPR process and delisted from the Orange Book.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53"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to September 2020, a number of class action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class action complaints, see Note 11, Commitments and Contingencies-Legal Proceedings of the Notes to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It is possible that additional lawsuits will be filed against us making similar or related allegations. We cannot predict the outcome of these or potential additional lawsuits or government actions;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9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70"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5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December 2020, Canopy Growth Corporation, or Canopy, filed a complaint against GW alleging infringement of its patent, U.S. Patent No. 10,870,632. Canopy claims that our extraction process used to produce material used to produce Epidiolex infringes its patent. Canopy seeks a judgment that we have infringed their patent and an award of monetary damages. On July 28, 2021, we filed an answer to the amended complaint, and counterclaims seeking judgment that the ‘632 patent is invalid and that we have not infringed the patent. If we were found to infringe upon a patent or other intellectual property right, or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Litigation, whether filed by us or against us, can be expensive and time consuming to defend and divert management’s attention and resources. Our competitive position could suffer as a result. In addition, if we have declined or failed to enter into a valid non-disclosure or assignment agreement for any reason, we may not own the invention or our intellectual property, and our products may not be adequately protected.</w:t>
      </w:r>
    </w:p>
    <w:p>
      <w:pPr>
        <w:spacing w:after="0" w:line="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62"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Orphan Drug Exclusivity and other regulatory exclusivities to protect Xywav, Epidiolex, Zepzelca, Sunosi, Defitelio (defibrotide), Vyxeos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orphan drug exclusivity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The limited circumstances include a showing that the second drug is clinically superior to the drug with marketing exclusivity through a demonstration of superior safety or efficacy or that it makes a major contribution to patient care.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FDA’s regulations and policies concerning the exclusivity provisions of the Orphan Drug Act, including whether two drugs are the same drug product, and future challenges could lead to changes that affect the protections potentially afforded our products in ways that are difficult to predict. In a successful legal challenge, a court invalidated FDA’s denial of orphan exclusivity to a drug on the grounds that the drug was not proven to be clinically superior to a previously approved product containing the same ingredient for the same orphan use. In response to the decision, FDA released a policy statement stating that the court’s decision is limited just to the facts of that particular case and that FDA will continue to require the sponsor of a designated drug that is the “same” as a previously approved drug to demonstrate that its drug is clinically superior to that drug upon approval in order to be eligible for orphan drug exclusivity, or in some cases, to even be eligible for marketing approval. In the future, there is the potential for additional legal challenges to FDA’s orphan drug regulations and policies, and it is uncertain how such challenges might affect our business.</w:t>
      </w:r>
    </w:p>
    <w:p>
      <w:pPr>
        <w:spacing w:after="0" w:line="6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the European Union, if a marketing authorization is granted for a medicinal product that is designated an orphan drug, that product is entitled to ten years of marketing exclusivity. We rely in part on this orphan drug exclusivity and other regulatory exclusivities to protect Epidyolex, Vyxeos, Defitelio, and Sunosi.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Even if we obtain orphan exclusivity for any product candidate, the exclusivity period can be reduced to six years if at the end of the fifth year it is established that the orphan designation criteria are no longer met or if it is demonstrated that the orphan drug is sufficiently profitable that market exclusivity is no longer justified. Further, a similar medicinal product may be granted a marketing authorization for the same indication notwithstanding our marketing exclusivity if we are unable to supply sufficient quantities of our product, or if the second product is safer, more effective or otherwise clinically superior to our orphan drug. In addition, if a competitor obtains marketing authorization and orphan exclusivity for a 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obtain directors and officers liability insurance, and such insurance coverage may have reduced policy limits and coverage and may not be sufficient to cover our potential liabilities.</w:t>
      </w:r>
    </w:p>
    <w:p>
      <w:pPr>
        <w:spacing w:after="0" w:line="76"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In recent months, the market for directors and officers liability insurance for biopharmaceuticals and life sciences companies has changed in ways adverse to us. Fewer insurance companies are offering quotes for directors and officers liability coverage, the premiums charged for such policies have generally increased and the terms of such policies have generally become less favorable, and these trends may continue or worsen in the future. In addition, these market conditions are generally presenting more challenges for companies like ours that actively pursue corporate development transactions such as the GW Acquisition and that experience regular share price volatility, including volatility that may be unrelated or disproportionate to our operating performance. As a result, it is currently expensive and may become significantly more expensive for us to maintain directors and officers liability insurance, and we may be required to accept reduced policy limits and coverage or incur substantially higher costs to obtain the same or similar coverage. In any event, there can be no assurance that directors and officers liability insurance will be adequate to cover our potential liabilities or will be generally available to us in the future or, if available, that the cost of such insurance will be commercially justifiable. The increased cost and decreased availability of directors and officers liability insurance could make it more difficult for us to attract and retain qualified persons to serve on our board of directors or as executive officers, and could also make it more difficult and more expensive for us to negotiate and consummate future corporate development transactions, all of which could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COVID-19 pandemic continues to have a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 enroll new patients and monitor patients in clinical trials. The evolving effects of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87"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Continued remote work policies, quarantines, shelter-in-place and similar government orders, shutdowns or other restrictions on the conduct of business operations related to the effects of the COVID-19 pandemic may materially and adversely affect our business, our ability to generate sales of our approved products, our supply chain, regulatory, clinical development and corporate development activities.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Due to the nature of the pandemic, we are not able to accurately predict the duration or extent of these impacts on demand for our products.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combined with virtual engagement. The level of renewed engagement varies by account, region and country and may be adversely impacted in the future as a result of the continuing impact of the COVID-19 pandemic.</w:t>
      </w:r>
    </w:p>
    <w:p>
      <w:pPr>
        <w:spacing w:after="0" w:line="64"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For Xyrem and Xywav, COVID-19 protocols and staffing shortages at sleep labs across the U.S. have resulted in reduced access to sleep testing. Since the end of the first quarter of 2020, we have seen a decline in prescribers’ ability to diagnose new narcolepsy patients and a related overall decline in new patients starting on therapy. Although patient persistence and compliance with oxybate therapy have increased during 2020, we continue to expect that delays in obtaining a narcolepsy diagnosis will have a negative impact on new Xyrem and Xywav patient enrollments in future quarters. For Epidiolex, COVID-19 has impacted patients’ ability to meet with health care providers, resulting in slower new patient starts in the U.S. and Europe. For Sunosi, the impact on demand has been primarily related to the reduced ability of our field-based teams to interact with prescribers and patients’ inability to meet with healthcare providers during this time. As a result, we have seen slower than expected growth of Sunosi prescribers and new patient starts in the U.S. We also anticipate that pricing and reimbursement reviews by certain European regulatory authorities may take longer in certain countries due to the pandemic, which could delay our rolling Sunosi launch in those EU member states. In addition, due to the ongoing impacts of the COVID-19 pandemic, we continue to expect a negative impact on demand for and utilization of Defitelio and Vyxeos.</w:t>
      </w:r>
    </w:p>
    <w:p>
      <w:pPr>
        <w:spacing w:after="0" w:line="60" w:lineRule="exact"/>
        <w:rPr>
          <w:sz w:val="20"/>
          <w:szCs w:val="20"/>
          <w:color w:val="auto"/>
        </w:rPr>
      </w:pPr>
    </w:p>
    <w:p>
      <w:pPr>
        <w:ind w:right="140" w:firstLine="445"/>
        <w:spacing w:after="0" w:line="273" w:lineRule="auto"/>
        <w:rPr>
          <w:sz w:val="20"/>
          <w:szCs w:val="20"/>
          <w:color w:val="auto"/>
        </w:rPr>
      </w:pPr>
      <w:r>
        <w:rPr>
          <w:rFonts w:ascii="Arial" w:cs="Arial" w:eastAsia="Arial" w:hAnsi="Arial"/>
          <w:sz w:val="17"/>
          <w:szCs w:val="17"/>
          <w:color w:val="auto"/>
        </w:rPr>
        <w:t>We have also seen an upward trend in demand for patient assistance programs since the end of the first quarter of 2020. In this regard, total revenue bottle volume on a combined basis for Xyrem and Xywav decreased by 2% in the six months ended June 30, 2021, compared to the same period in 2020 reflecting our continued investment in patient access programs during the launch of Xywav. Depending on the ultimate duration and severity of the COVID-19 pandemic and the extent of a global economic slowdown, widespread unemployment and resulting loss of employer-sponsored insurance coverage, we may experience an increasing shift from commercial payor coverage to government payor coverage or increasing demand for patient assistance and/or free drug programs, which could continue to adversely affect net product sales.</w:t>
      </w:r>
    </w:p>
    <w:p>
      <w:pPr>
        <w:spacing w:after="0" w:line="70"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In addition, the COVID-19 pandemic continues to rapidly evolve and has resulted in significant volatility in the global financial markets. If this volatility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the current recession or additional market corrections resulting from the impact of the evolving effects of the COVID-19 pandemic could materially affect our business and the value of our ordinary shares. While we expect these effects to adversely affect our business operations and financial results, the extent of the impact on our ability to generate sales of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taken globally to contain and treat the disease, including the effectiveness and timing of vaccination programs in the U.S. and worldwide. For example, the inability of our workforce to return to office and field-based work and the ongoing stress and reprioritization within the healthcare systems in our key markets may require us to reassess the timing and scope of key business activities for the remainder of 2021, including with respect to our ability to continue the launch momentum for Epidiolex, Sunosi, Xywav and Zepzelca and our ability to successfully launch Rylaze. These effects could materially and adversely affect our business, financial condition, results of operations and growth prospects, as further described in the risks and uncertainties described elsewhere in this ‘‘Risk Factors’’ section.</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We are headquartered in Dublin, Ireland and have multiple offices in the U.S., Canada, the U.K., Italy and other countries in Europe and affiliates in Australia and Japan.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79" w:lineRule="exact"/>
        <w:rPr>
          <w:sz w:val="20"/>
          <w:szCs w:val="20"/>
          <w:color w:val="auto"/>
        </w:rPr>
      </w:pPr>
    </w:p>
    <w:p>
      <w:pPr>
        <w:ind w:left="660" w:right="94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Brexit on trade relations between the EU and the U.K.;</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261"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Brexit will continue to create significant uncertainty concerning the future relationship between the U.K. and the EU, following the U.K. withdrawal from the EU in January 2020. Since a significant portion of the regulatory framework in the U.K. is derived from EU laws, Brexit materially impacts the regulatory regime with respect to the development, manufacture, importation, approval and commercialization of our product candidates in the U.K. or the EU. In this regard, in December 2020, the EU and U.K. reached an agreement in principle on the framework for their future relationship, the EU-U.K. Trade and Cooperation Agreement, or TCA.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 The Annex provides a framework for the recognition of Good Manufacturing Practice, or GMP, inspections and for the exchange and acceptance of official GMP documents. The regime does not, however, extended to procedures such as batch release certification. Among the changes that will now occur are that Great Britain (England, Scotland and Wales) will be treated as a third country. Northern Ireland will continue to follow many aspects of the EU regulatory rules, particularly in relation to trade in goods. As part of the TCA, the EU and the U.K. will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will have a separate regulatory submission process, approval process and a separate national marketing authorization. Northern Ireland will, however, continue to be covered by the marketing authorizations granted by the EC. For example, the scope of a marketing authorization for a medicinal product granted by the EC or by the competent authorities of EU member states will no longer encompass Great Britain (England, Scotland and Wales). In these circumstances, a separate marketing authorization granted by the U.K. competent authorities will be required to place medicinal products on the market in Great Britain. Northern Ireland will, however, continue to be covered by the marketing authorizations granted by the EC. All of these changes could increase our costs and otherwise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have a commercial manufacturing facility in the U.K. in Kent Science Park, and multiple offices in England. We do not know to what extent, or when, the U.K.’s withdrawal from the EU will impact our business, particularly our ability to conduct international business from a base of operations in the U.K. The U.K. could lose the benefits of global trade agreements negotiated by the EU on behalf of its member states, possibly resulting in increased trade barriers, which could make doing business in Europe more difficult and/or costly. Moreover, in the U.S., tariffs on certain U.S. imports have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data.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63"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73"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the COVID-19 pandemic,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data), and could result in financial, legal, business and reputational harm to us. Any such event that leads to unauthorized access, use or disclosure of personal data, including personal data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Xyrem and Xywav,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74"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Defibrotide, Vyxeos, Epidyolex and Sativex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70"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right="40" w:firstLine="445"/>
        <w:spacing w:after="0" w:line="217" w:lineRule="exact"/>
        <w:rPr>
          <w:sz w:val="20"/>
          <w:szCs w:val="20"/>
          <w:color w:val="auto"/>
        </w:rPr>
      </w:pPr>
      <w:r>
        <w:rPr>
          <w:rFonts w:ascii="Arial" w:cs="Arial" w:eastAsia="Arial" w:hAnsi="Arial"/>
          <w:sz w:val="17"/>
          <w:szCs w:val="17"/>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2020, or 2020 10-K. While we maintain a comprehensive compliance program to try to ensure that our practices and the activities of our third-party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U.S. Department of Health and Human Services finalized a previously abandoned proposal to amend the discount safe harbor regulation of the federal anti-kickback statute in a purported effort to create incentives to manufacturers to lower their list prices, and to lower federal program beneficiary out-of-pocket costs. The rule, which is currently slated to take full effect January 1, 2023, revises the discount safe harbor to exclude manufacturer rebates to Medicare Part D plans, either directly or through PBMs, creates a new safe harbor for point-of-sale price reductions that are set in advance and are available to the beneficiary at the point-of-sale, and creates a new safe harbor for service fees paid by manufacturers to PBMs for services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rendered to the manufacturer. The effective date of the rule was already delayed by the Biden Administration and legal challenges. It is unclear whether the rule will be further delayed, rewritten, or allowed to go into effect, and if so, what the effect of the rule will be on negotiations of coverage for our products with Medicare Part D plans, or whether the rule will affect our coverage arrangements with commercial insurers. It is also unclear whether the rule will have the intended effect of reducing net prices and beneficiary out-of-pocket costs without also increasing Medicare Part D premiums, which may impact the willingness of Part D plans to cover our products and the price concessions or other terms the plans or their PBMs may seek from us. In addition, in November 2020, the OIG issued a Special Fraud Alert to highlight certain inherent fraud and abuse risks associated with speakers fees, honorariums and expenses paid by pharmaceutical and medical device companies to healthcare professionals participating in company-sponsored events. The Special Fraud Alert sent a clear signal that speaker programs will be subject to potentially heightened enforcement scrutiny.</w:t>
      </w:r>
    </w:p>
    <w:p>
      <w:pPr>
        <w:spacing w:after="0" w:line="5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 xml:space="preserve">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5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Public reporting under the Physician Payment Sunshine Act, or Sunshine provisions, and other similar state laws, the requirements of which are discussed in “Business—Government Regulation” in Part I, Item 1 of our 2020 Form 10-K, has resulted in increased scrutiny of the financial relationships between industry, teaching hospitals, physicians and other healthcare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84"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8"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These obligations are being extended to the GW legacy organization as part of ongoing integration efforts, and we are working with OIG in that regard. Although we have structured our programs to follow available guidance and the requirements of our corporate integrity agreement, including with regard to our ongoing integration of GW,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 coverage of our products, including by federal and state health care programs. If any or all of these events occur, our business, financial condition, results of operations and stock price could be materially and adversely affected.</w:t>
      </w:r>
    </w:p>
    <w:p>
      <w:pPr>
        <w:spacing w:after="0" w:line="68"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As an example,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70"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41" w:lineRule="exact"/>
        <w:rPr>
          <w:sz w:val="20"/>
          <w:szCs w:val="20"/>
          <w:color w:val="auto"/>
        </w:rPr>
      </w:pPr>
    </w:p>
    <w:p>
      <w:pPr>
        <w:ind w:right="100" w:firstLine="445"/>
        <w:spacing w:after="0" w:line="285" w:lineRule="auto"/>
        <w:rPr>
          <w:sz w:val="20"/>
          <w:szCs w:val="20"/>
          <w:color w:val="auto"/>
        </w:rPr>
      </w:pPr>
      <w:r>
        <w:rPr>
          <w:rFonts w:ascii="Arial" w:cs="Arial" w:eastAsia="Arial" w:hAnsi="Arial"/>
          <w:sz w:val="16"/>
          <w:szCs w:val="16"/>
          <w:color w:val="auto"/>
        </w:rPr>
        <w:t>We are also subject to federal, state, national and international laws and regulations governing the privacy and security of health related and other personal data we collect and maintain (e.g., Section 5 of the Federal Trade Commission Act, the California Consumer Privacy Act, or CCPA, and the EU’s General Data Protection Regulation, or GDPR). These laws and regulations are evolving and subject to interpretation, and may impose limitations on our activities or otherwise adversely affect our business.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data, including health data. We may also need to collect more extensive health-related information from our employees to manage our workforce. If we or our third party partners fail to comply or are alleged to have failed to comply with applicable data protection and privacy laws and regulations, and related employment rules, or if we were to experience a data breach involving personal data,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For example, in July 2020, the Court of Justice of the European Union, or the Court of Justice, declared the Privacy Shield Decision (Decision 2018/1250) invalid, which could adversely impact our ability to transfer personal data from the EU to the U.S. The Court of Justice further ruled that in order to transfer data outside of the EU, under the existing mechanism known as the Standard Contractual Clauses, or SCCs, the importing country’s level of protection must be adequate. In addition, on September 8, 2020 the Federal Data Protection and Information Commissioner, or FDPIC, of Switzerland issued an opinion concluding that the Swiss-U.S. Privacy Shield Framework does not provide an adequate level of protection for data transfers from Switzerland to the United States. The FDPIC found, however, that SCCs may still be legally adequate at an individual level provided that they can pass a risk assessment conducted by the FDPIC. If the level of protection in the U.S. or any other importing country is called into question under the SCCs, this could further impact our ability to transfer data outside of the EU or Switzerland.</w:t>
      </w:r>
    </w:p>
    <w:p>
      <w:pPr>
        <w:spacing w:after="0" w:line="63"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addition, numerous other federal, state, national and international laws and regulations govern the privacy and security of the personal data we collect and maintain, including data breach notification laws, state health information and/or genetic privacy laws, federal and state consumer protection laws (e.g., Section 5 of the Federal Trade Commission Act, and the CCPA), and laws outside of the United States that may apply to us, such as the GDPR and other country laws. Many of these laws and regimes, across countries but even within the United States, differ from each other in significant ways and may not have the same effect, thus complicating compliance efforts. Compliance with these laws is difficult, constantly evolving, and time consuming. International regulators, federal regulators, state attorneys general, and plaintiffs’ attorneys, including class action attorneys, have been and will likely continue to be active in this space.</w:t>
      </w:r>
    </w:p>
    <w:p>
      <w:pPr>
        <w:spacing w:after="0" w:line="87"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In California, the CCPA took effect on January 1, 2020. The CCPA establishes certain requirements for data use and sharing transparency and creates new data privacy rights for California residents. The CCPA and its implementing regulations have already been amended multiple times since their enactment.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in other jurisdictions that could impose new obligations or limitations in areas affecting our business. In addition, some countries 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considering or have passed legislation implementing data protection or privacy requirements or requiring local storage and processing of data or similar requirements that could increase the cost and complexity of delivering our services and research activities.</w:t>
      </w:r>
    </w:p>
    <w:p>
      <w:pPr>
        <w:spacing w:after="0" w:line="62"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40" w:firstLine="445"/>
        <w:spacing w:after="0" w:line="219" w:lineRule="exact"/>
        <w:rPr>
          <w:sz w:val="20"/>
          <w:szCs w:val="20"/>
          <w:color w:val="auto"/>
        </w:rPr>
      </w:pPr>
      <w:r>
        <w:rPr>
          <w:rFonts w:ascii="Arial" w:cs="Arial" w:eastAsia="Arial" w:hAnsi="Arial"/>
          <w:sz w:val="17"/>
          <w:szCs w:val="17"/>
          <w:color w:val="auto"/>
        </w:rPr>
        <w:t>We participate in the Medicaid Drug Rebate program, the 340B program, the U.S. Department of Veterans Affairs, Federal Supply Schedule, or FSS, pricing program, and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our 2020 Form 10</w:t>
      </w:r>
      <w:r>
        <w:rPr>
          <w:rFonts w:ascii="MS PGothic" w:cs="MS PGothic" w:eastAsia="MS PGothic" w:hAnsi="MS PGothic"/>
          <w:sz w:val="17"/>
          <w:szCs w:val="17"/>
          <w:color w:val="auto"/>
        </w:rPr>
        <w:t>‑</w:t>
      </w:r>
      <w:r>
        <w:rPr>
          <w:rFonts w:ascii="Arial" w:cs="Arial" w:eastAsia="Arial" w:hAnsi="Arial"/>
          <w:sz w:val="17"/>
          <w:szCs w:val="17"/>
          <w:color w:val="auto"/>
        </w:rPr>
        <w:t>K. For calendar quarters beginning January 1, 2022, manufacturers will need to start reporting the average sales price for drugs under the Medicare program regardless of whether they are enrolled in the Medicaid Drug Rebate Program. Currently, only manufacturers participating in the Medicaid Drug Rebate Program are obligated to do so.</w:t>
      </w:r>
    </w:p>
    <w:p>
      <w:pPr>
        <w:spacing w:after="0" w:line="94"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70" w:lineRule="exact"/>
        <w:rPr>
          <w:sz w:val="20"/>
          <w:szCs w:val="20"/>
          <w:color w:val="auto"/>
        </w:rPr>
      </w:pPr>
    </w:p>
    <w:p>
      <w:pPr>
        <w:jc w:val="both"/>
        <w:ind w:right="20" w:firstLine="445"/>
        <w:spacing w:after="0" w:line="296"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The Centers for Medicare &amp; Medicaid Services, or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53" w:lineRule="exact"/>
        <w:rPr>
          <w:sz w:val="20"/>
          <w:szCs w:val="20"/>
          <w:color w:val="auto"/>
        </w:rPr>
      </w:pPr>
    </w:p>
    <w:p>
      <w:pPr>
        <w:ind w:right="60" w:firstLine="445"/>
        <w:spacing w:after="0" w:line="217" w:lineRule="exact"/>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Healthcare Reform Act. On December 21, 2020, CMS issued a final regulation that modified prior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(beginning in 2022); provide definitions for “line extension,” “new formulation,” and related terms, with the practical effect of expanding the scope of drugs considered to be line extensions that are subject to an alternative rebate formula (beginning in 2022); and revise best price and average manufacturer price exclusions of manufacturer-sponsored patient benefit programs, specifically regarding applicability of such exclusions in the context of pharmacy benefit manager “accumulator” programs (beginning in 2023). The pharmaceutical industry has challenged the provisions of the rule applicable to patient benefit programs in court. It is currently unclear whether the Biden administration will delay or suspend implementation of any of the provisions of this rule or whether any other provisions will become subject to judicial challenge.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w:t>
      </w:r>
    </w:p>
    <w:p>
      <w:pPr>
        <w:spacing w:after="0" w:line="100"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Health Resources and Services Administration, or HRSA, issued a final regulation regarding the calculation of the 340B ceiling price and the imposition of civil monetary penalties on manufacturers that knowingly and intentionally overcharge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newly established an administrative dispute resolution, or ADR, process under a final regulation effective January 13, 2021,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An ADR proceeding could potentially subject us to discovery by covered entities and other onerous procedural requirements and could result in additional liability.</w:t>
      </w:r>
    </w:p>
    <w:p>
      <w:pPr>
        <w:spacing w:after="0" w:line="73"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our 340B ceiling price calculations and negatively impact our results of operations.</w:t>
      </w:r>
    </w:p>
    <w:p>
      <w:pPr>
        <w:spacing w:after="0" w:line="7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84"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right="300" w:firstLine="445"/>
        <w:spacing w:after="0" w:line="259" w:lineRule="auto"/>
        <w:rPr>
          <w:sz w:val="20"/>
          <w:szCs w:val="20"/>
          <w:color w:val="auto"/>
        </w:rPr>
      </w:pPr>
      <w:r>
        <w:rPr>
          <w:rFonts w:ascii="Arial" w:cs="Arial" w:eastAsia="Arial" w:hAnsi="Arial"/>
          <w:sz w:val="18"/>
          <w:szCs w:val="18"/>
          <w:color w:val="auto"/>
        </w:rPr>
        <w:t>Our operations are subject to complex and increasingly stringent environmental, health and safety laws and regulations in the countries where we operate and, in particular, in Italy and Ireland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Xyrem, Xywav, Sunosi and nabiximols are controlled substances and certain other cannabis derived product candidates we are developing may be subject to U.S. federal and state controlled substance laws and regulations and failure to comply with these laws and regulations, or the cost of compliance with these laws and regulations, may adversely affect the results of our business operations, both during clinical development and post approval, and our financial condition.</w:t>
      </w:r>
    </w:p>
    <w:p>
      <w:pPr>
        <w:spacing w:after="0" w:line="7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Xyrem, Xywav, Sunosi, nabiximols and certain other product candidates we are developing contain controlled substances as defined in the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security requirements and additional criteria for importation. In addition, dispensing of Schedule II drugs is further restricted. For example, they may not be refilled without a new prescription.</w:t>
      </w:r>
    </w:p>
    <w:p>
      <w:pPr>
        <w:spacing w:after="0" w:line="58"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Drug products approved by FDA that contain cannabis or cannabis extracts will be rescheduled to Schedules II-V, or, like Epidiolex, removed completely from the schedules after approval by FDA.</w:t>
      </w:r>
    </w:p>
    <w:p>
      <w:pPr>
        <w:spacing w:after="0" w:line="6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must also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80"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8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financial position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Nabiximols and other cannabinoid product candidates are currently controlled substances, the use of which may generate public controversy.</w:t>
      </w:r>
    </w:p>
    <w:p>
      <w:pPr>
        <w:spacing w:after="0" w:line="140"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Since nabiximols and some of our other product candidates derived from botanical marijuana contain controlled substances, their regulatory approval may generate public controversy. Political and social pressures and adverse publicity could lead to delays in approval of, and increased expenses for, nabiximols and our product candidates. These pressures could also limit or restrict the introduction and marketing of nabiximols and our product candidates. Adverse publicity from cannabis misuse or adverse side effects from cannabis or other cannabinoid products may adversely affect the commercial success or market penetration achievable by nabiximols and our product candidates. The nature of our business attracts a high level of public and media interest, and in the event of any resultant adverse publicity, our reputation may be harmed.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ability to research, develop and commercialize Epidiolex, nabiximols and certain of our product candidates is dependent on our ability to maintain licenses relating to the cultivation, possession and supply of botanical cannabis, a controlled substance.</w:t>
      </w:r>
    </w:p>
    <w:p>
      <w:pPr>
        <w:spacing w:after="0" w:line="6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cannabinoid research and manufacturing facilities are located exclusively in the U.K. In the U.K., licenses to cultivate, possess and supply cannabis for medical research are granted by the Home Office on an annual basis. Although the Home Office has renewed our licenses each year since 1998, it may not do so in the future, in which case we may not be in a position to carry on our research and development program in the U.K. In addition, we are required to maintain our existing commercial licenses to cultivate, produce and supply cannabis. However, if the Home Office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 an established track record of successfully obtaining such licenses as required, this may change in the future.</w:t>
      </w:r>
    </w:p>
    <w:p>
      <w:pPr>
        <w:spacing w:after="0" w:line="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Controlled substance legislation differs between countries and legislation in certain countries may restrict or limit our ability to sell Epidyolex, nabiximols and certain of our product candidates.</w:t>
      </w:r>
    </w:p>
    <w:p>
      <w:pPr>
        <w:spacing w:after="0" w:line="6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to our obtaining regulatory approval for Epidyolex, nabiximols and certain of our other products in those countries. These countries may not be willing or able to amend or otherwise modify their laws and regulations to permit Epidyolex, nabiximols or certain of our other products to be marketed, or achieving such amendments to the laws and regulations may take a prolonged period of time. In the case of countries with similar obstacles, we would be unable to market Epidyolex, nabiximols and certain of our product candidates in countries in the near future or perhaps at all if the laws and regulations in those countries do not change.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2021, we had total indebtedness of approximately $7.1 billion. Our substantial indebtedness may:</w:t>
      </w:r>
    </w:p>
    <w:p>
      <w:pPr>
        <w:spacing w:after="0" w:line="117" w:lineRule="exact"/>
        <w:rPr>
          <w:sz w:val="20"/>
          <w:szCs w:val="20"/>
          <w:color w:val="auto"/>
        </w:rPr>
      </w:pPr>
    </w:p>
    <w:p>
      <w:pPr>
        <w:ind w:left="660" w:right="50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use our cash flow or borrow additional funds for working capital, capital expenditures, acquisitions, investments or other general business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ind w:left="660" w:right="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credit agreement, are at variable rates of interest;</w:t>
      </w: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or senior secured notes, the credit agreement lenders and note holders could proceed against the collateral granted to them to secure that debt, which would seriously harm our business.</w:t>
      </w:r>
    </w:p>
    <w:p>
      <w:pPr>
        <w:spacing w:after="0" w:line="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Covenants in our credit agreement and indenture governing our senior secured notes restrict our business and operations in many ways and if we do not effectively manage our covenants, our financial conditions and results of operations could be adversely affected.</w:t>
      </w:r>
    </w:p>
    <w:p>
      <w:pPr>
        <w:spacing w:after="0" w:line="38"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The credit agreement and the indenture governing our senior secured notes contain various covenants that, among other things, limit our ability and/or our restricted subsidiaries’ ability to:</w:t>
      </w:r>
    </w:p>
    <w:p>
      <w:pPr>
        <w:spacing w:after="0" w:line="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loans, investments, acquisitions (including certain acquisitions of exclusive licenses)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transfer or exclusively license certain assets, including material intellectual property, and capital stock of our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jc w:val="both"/>
        <w:ind w:right="60" w:firstLine="445"/>
        <w:spacing w:after="0" w:line="311" w:lineRule="auto"/>
        <w:rPr>
          <w:sz w:val="20"/>
          <w:szCs w:val="20"/>
          <w:color w:val="auto"/>
        </w:rPr>
      </w:pPr>
      <w:r>
        <w:rPr>
          <w:rFonts w:ascii="Arial" w:cs="Arial" w:eastAsia="Arial" w:hAnsi="Arial"/>
          <w:sz w:val="16"/>
          <w:szCs w:val="16"/>
          <w:color w:val="auto"/>
        </w:rPr>
        <w:t>If we undergo a change of control triggering event, we would be required to make an offer to purchase all of the Secured Notes at a purchase price in cash equal to 101% of their principal amount, plus accrued and unpaid interest, subject to certain exceptions. If we engage in certain asset sales, we will be required under certain circumstances to make an offer to purchase the Secured Notes at 100% of the principal amount, plus accrued and unpaid interest.</w:t>
      </w:r>
    </w:p>
    <w:p>
      <w:pPr>
        <w:spacing w:after="0" w:line="41"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The credit agreement also includes certain financial covenants that require us to maintain a maximum secured leverage ratio and a minimum interest coverage ratio as long as we have drawn funds under the revolving credit facility (or letters of credit in excess of $50 million have been issued and remain undrawn).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unable to compete effectively, take advantage of new business opportunities or grow in accordance with our plans.</w:t>
      </w:r>
    </w:p>
    <w:p>
      <w:pPr>
        <w:spacing w:after="0" w:line="238"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failure to comply with any of the covenants could result in a default under the credit agreement and the indenture governing our senior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credit agreement may permit the lenders to refuse to permit additional borrowings under the revolving credit facility or to terminate all commitments to extend further credit under the revolving credit facility. Furthermore, if we are unable to repay the amounts due and payable under the credit agreement or senior secured notes, the lenders and note holders may be able to proceed against the collateral granted to them to secure that indebtedness. In the event our lenders or note holders accelerate the repayment of such borrowings, we cannot assure you that we will have sufficient assets to repay such indebtedness.</w:t>
      </w:r>
    </w:p>
    <w:p>
      <w:pPr>
        <w:spacing w:after="0" w:line="58" w:lineRule="exact"/>
        <w:rPr>
          <w:sz w:val="20"/>
          <w:szCs w:val="20"/>
          <w:color w:val="auto"/>
        </w:rPr>
      </w:pPr>
    </w:p>
    <w:p>
      <w:pPr>
        <w:jc w:val="both"/>
        <w:ind w:right="680" w:firstLine="445"/>
        <w:spacing w:after="0" w:line="263" w:lineRule="auto"/>
        <w:rPr>
          <w:sz w:val="20"/>
          <w:szCs w:val="20"/>
          <w:color w:val="auto"/>
        </w:rPr>
      </w:pPr>
      <w:r>
        <w:rPr>
          <w:rFonts w:ascii="Arial" w:cs="Arial" w:eastAsia="Arial" w:hAnsi="Arial"/>
          <w:sz w:val="18"/>
          <w:szCs w:val="18"/>
          <w:color w:val="auto"/>
        </w:rPr>
        <w:t>Moreover, our failure to repurchase our exchangeable senior notes at a time when the repurchase is required by the indentures governing our exchangeable senior notes or to pay any cash payable on future exchanges of our exchangeable senior notes as required by those indentures would constitute a default under those indentures.</w:t>
      </w:r>
    </w:p>
    <w:p>
      <w:pPr>
        <w:spacing w:after="0" w:line="76" w:lineRule="exact"/>
        <w:rPr>
          <w:sz w:val="20"/>
          <w:szCs w:val="20"/>
          <w:color w:val="auto"/>
        </w:rPr>
      </w:pPr>
    </w:p>
    <w:p>
      <w:pPr>
        <w:ind w:right="340" w:firstLine="445"/>
        <w:spacing w:after="0" w:line="311" w:lineRule="auto"/>
        <w:rPr>
          <w:sz w:val="20"/>
          <w:szCs w:val="20"/>
          <w:color w:val="auto"/>
        </w:rPr>
      </w:pPr>
      <w:r>
        <w:rPr>
          <w:rFonts w:ascii="Arial" w:cs="Arial" w:eastAsia="Arial" w:hAnsi="Arial"/>
          <w:sz w:val="16"/>
          <w:szCs w:val="16"/>
          <w:color w:val="auto"/>
        </w:rPr>
        <w:t>A default under the indentures governing our exchangeable senior notes could also lead to a default under other debt agreements or obligations, including the credit agreement and indenture governing the senior secured notes. Likewise, a default under the credit agreement or senior secured notes could lead to a default under other debt agreements or obligations, including the indentures governing our exchangeable senior notes.</w:t>
      </w:r>
    </w:p>
    <w:p>
      <w:pPr>
        <w:spacing w:after="0" w:line="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The scope of our business and operations has grown substantially since 2012,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potential worsening global economic conditions and the recent disruptions to, and volatility in, the credit and financial markets in the U.S. and worldwide resulting from the effects of the COVID-19 pandemic. In addition, as a matter of Irish law, when an Irish public limited company issues ordinary shares for cash, the company must first offer those shares on the same or more favorable terms to existing shareholders on a pro-rata basis, unless this statutory pre-emption obligation is dis-applied, or opted-out of, by approval of its shareholders. At our 2021 annual general meeting of shareholders, while 63.6% of our shareholders who cast votes on the proposal voted to approve our proposal to renew our general pre-emption opt-out authority, we did not receive the requisite 75% of the votes cast needed for our proposal to pass and as a result, our pre-emption opt-out authority expired on August 4, 2021. Although we may still issue shares in any transaction where the shares are issued or deemed to be issued for non-cash consideration, our current inability to issues shares for cash in any capital raising transaction without first conducting a pro-rata rights offering or obtaining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approval of our shareholders to dis-apply the statutory pre-emption right to that issuance would increase our costs and otherwise could adversely affect our ability to effectively use our unissued share capital to fund in-licensing or acquisition opportunities, or to otherwise raise additional capital for our business. In addition, while we currently intend to again seek the approval of our shareholders to dis-apply the statutory pre-emption right generally, we expect that the terms of any such approval would be substantially more limited than our general pre-emption opt-out authority that had been in effect prior to August 4, 2021, which could also adversely affect our ability to effectively use our unissued share capital to fund in-licensing or acquisition opportunities, or to</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otherwise raise additional capital for our business. In any event, an inability to borrow or raise additional capital in a timely manner and on attractive terms, if at all, could prevent us from expanding our business or taking advantage of acquisition opportunities, and could otherwise could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4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62"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For example, in the first quarter of 2020, we recorded a $136.1 million asset impairment charge following the decision to stop enrollment in our Phase 3 clinical study of defibrotide for the prevention of VOD due to a determination that the study is highly unlikely to reach one of its primary endpoints. Our results of operations and financial position in future periods could be negatively impacted should future impairments of intangible assets or goodwill occur.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1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For example, our income tax provision for the three months ended June 30, 2021 included an expense of $251.4 million arising on the remeasurement of our U.K. net deferred tax liability, which arose primarily in relation to the GW Acquisition, due to a change in the statutory tax rate in the U.K. following enactment of the U.K. Finance Act 2021.</w:t>
      </w:r>
    </w:p>
    <w:p>
      <w:pPr>
        <w:spacing w:after="0" w:line="70"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affiliates’ ability to use their net operating losses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76"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use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 transactions. While we expect to be able to fully utilize our U.S. affiliates’ U.S. NOLs before they expire, as a result of this limitation, it may take our U.S. affiliates longer to use their NOLs.</w:t>
      </w:r>
    </w:p>
    <w:p>
      <w:pPr>
        <w:spacing w:after="0" w:line="84"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Our ability to use these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or BEPS. Many countries have implemented or begun to implement legislation and other guidance to align their international tax rules with the OECD’s BEPS recommendations. In addition, the OECD has been working on an extension of the BEPS project, being referred to as BEPS 2.0, focusing on (1) global profit allocation and (2) a global minimum tax rate. In particular, the OECD has released a proposal, which has been endorsed to by over 130 jurisdictions, for a global minimum tax rate of at least 15% for large multinational corporations on a jurisdiction-by-jurisdiction basis.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8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Further, the Biden administration and current Congress continue to consider changes in U.S. tax laws. In April 2021, the Biden administration released the Made in America Tax Plan, which includes significant modifications to key provisions of the existing U.S. corporate income tax regime, including an increase in the U.S. corporate income tax rate and an increase in the tax rate on certain earnings of controlled foreign corporations. In May 2021, the Biden Administration released its fiscal year 2022 budget recommendation which includes proposals to increase the highest corporate tax rates and make other changes to existing tax laws. These changes, if enacted, could adversely impact our tax provision, cash tax liability and effective tax rate. At this stage, it is not possible to predict which, if any, proposals the U.S. Congress will accept, reject or modify and whether any proposals will be enacted into law.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July 2017, the Financial Conduct Authority, the authority that regulates the London Inter-bank Offered Rate, or LIBOR, announced that it intended to stop compelling banks to submit rates for the calculation of LIBOR after 2021. We have certain financial contracts, including the credit agreement and our derivative instruments,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In addition, we have certain financial contracts, including the credit agreement and our derivative instruments, that are indexed to Euro Inter-bank Offered Rate, or EURIBOR (which is based on the average interest rates at which a large panel of European banks borrow funds from one another). There is no indication at this time that EURIBOR will cease to be published in the near future. However, the transition away from LIBOR, and also potentially EURIBOR,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70"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acquisition of GW and other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6" w:lineRule="exact"/>
        <w:rPr>
          <w:sz w:val="20"/>
          <w:szCs w:val="20"/>
          <w:color w:val="auto"/>
        </w:rPr>
      </w:pPr>
    </w:p>
    <w:p>
      <w:pPr>
        <w:jc w:val="both"/>
        <w:ind w:right="240" w:firstLine="445"/>
        <w:spacing w:after="0" w:line="259" w:lineRule="auto"/>
        <w:rPr>
          <w:sz w:val="20"/>
          <w:szCs w:val="20"/>
          <w:color w:val="auto"/>
        </w:rPr>
      </w:pPr>
      <w:r>
        <w:rPr>
          <w:rFonts w:ascii="Arial" w:cs="Arial" w:eastAsia="Arial" w:hAnsi="Arial"/>
          <w:sz w:val="18"/>
          <w:szCs w:val="18"/>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 Shareholders of Irish companies generally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our credit agreement and the indentures governing our senior secured notes and exchangeable senior notes contain provisions that could delay or prevent a takeover of us by a third party.</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Furthermore, our credit agreement limits our ability to enter into certain fundamental changes, and the indentures governing our senior secured notes and exchangeable senior notes require us to offer to repurchase such notes for cash if we undergo certain fundamental changes. Additionally, in certain circumstances, the indentures governing our exchangeable senior notes require us to increase the exchange rate for a holder of our exchangeable senior notes in connection with a fundamental change. A takeover of us may trigger a default under the credit agreement or the requirement that we offer to purchase our senior secured notes or exchangeable senior notes and/or increase the exchange rate applicable to our exchangeable senior notes, which could make it more costly for a potential acquirer to engage in a business combination transaction with us.</w:t>
      </w:r>
    </w:p>
    <w:p>
      <w:pPr>
        <w:spacing w:after="0" w:line="70"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right="320" w:firstLine="445"/>
        <w:spacing w:after="0" w:line="293" w:lineRule="auto"/>
        <w:rPr>
          <w:sz w:val="20"/>
          <w:szCs w:val="20"/>
          <w:color w:val="auto"/>
        </w:rPr>
      </w:pPr>
      <w:r>
        <w:rPr>
          <w:rFonts w:ascii="Arial" w:cs="Arial" w:eastAsia="Arial" w:hAnsi="Arial"/>
          <w:sz w:val="16"/>
          <w:szCs w:val="16"/>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credit agreement and the indenture governing our senior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We do not carry “key person” insurance.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Recent stock price declines due to the evolving effects of the COVID-19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In November 2016, our board of directors authorized a share repurchase program and as of June 30, 2021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months ended June 30, 2021, we did not repurchase any of our ordinary shares. As of June 30, 2021, the remaining amount authorized under the share repurchase program was $431.2 million.</w:t>
      </w:r>
    </w:p>
    <w:p>
      <w:pPr>
        <w:spacing w:after="0" w:line="49"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Under our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Matters Presented at the 2021 Annual General Meeting of Shareholders</w:t>
      </w:r>
    </w:p>
    <w:p>
      <w:pPr>
        <w:spacing w:after="0" w:line="12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On July 29, 2021, we held our 2021 annual general meeting of shareholders, or the Annual Meeting, at our corporate headquarters located at Fifth Floor, Waterloo Exchange, Waterloo Road, Dublin 4, Ireland. At the Annual Meeting, our shareholders voted on five proposals, each of which is described in more detail in our definitive proxy statement on Schedule 14A as filed with the SEC on June 12, 2021, or the Proxy Statement. The results of the matters presented at the Annual Meeting, based on the presence in person or by proxy of holders of 51,191,157 of the 60,975,068 ordinary shares entitled to vote, are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121"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Proposal 1 was to elect by separate resolutions each of the four nominees for director named below to hold office until our 2024 annual general meeting of shareholders. Each of the four nominees for director was elected as follows:</w:t>
      </w:r>
    </w:p>
    <w:p>
      <w:pPr>
        <w:spacing w:after="0" w:line="9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740" w:type="dxa"/>
            <w:vAlign w:val="bottom"/>
            <w:gridSpan w:val="2"/>
          </w:tcPr>
          <w:p>
            <w:pPr>
              <w:ind w:left="1220"/>
              <w:spacing w:after="0"/>
              <w:rPr>
                <w:sz w:val="20"/>
                <w:szCs w:val="20"/>
                <w:color w:val="auto"/>
              </w:rPr>
            </w:pPr>
            <w:r>
              <w:rPr>
                <w:rFonts w:ascii="Arial" w:cs="Arial" w:eastAsia="Arial" w:hAnsi="Arial"/>
                <w:sz w:val="14"/>
                <w:szCs w:val="14"/>
                <w:b w:val="1"/>
                <w:bCs w:val="1"/>
                <w:color w:val="auto"/>
              </w:rPr>
              <w:t>Director Nominees</w:t>
            </w: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Against</w:t>
            </w:r>
          </w:p>
        </w:tc>
        <w:tc>
          <w:tcPr>
            <w:tcW w:w="1680" w:type="dxa"/>
            <w:vAlign w:val="bottom"/>
            <w:gridSpan w:val="2"/>
          </w:tcPr>
          <w:p>
            <w:pPr>
              <w:ind w:left="520"/>
              <w:spacing w:after="0"/>
              <w:rPr>
                <w:sz w:val="20"/>
                <w:szCs w:val="20"/>
                <w:color w:val="auto"/>
              </w:rPr>
            </w:pPr>
            <w:r>
              <w:rPr>
                <w:rFonts w:ascii="Arial" w:cs="Arial" w:eastAsia="Arial" w:hAnsi="Arial"/>
                <w:sz w:val="14"/>
                <w:szCs w:val="14"/>
                <w:b w:val="1"/>
                <w:bCs w:val="1"/>
                <w:color w:val="auto"/>
              </w:rPr>
              <w:t>Abstain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9"/>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Gray</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48,172,824</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325,226</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19,950</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2,673,157</w:t>
            </w:r>
          </w:p>
        </w:tc>
      </w:tr>
      <w:tr>
        <w:trPr>
          <w:trHeight w:val="229"/>
        </w:trPr>
        <w:tc>
          <w:tcPr>
            <w:tcW w:w="3740" w:type="dxa"/>
            <w:vAlign w:val="bottom"/>
            <w:gridSpan w:val="2"/>
          </w:tcPr>
          <w:p>
            <w:pPr>
              <w:spacing w:after="0"/>
              <w:rPr>
                <w:sz w:val="20"/>
                <w:szCs w:val="20"/>
                <w:color w:val="auto"/>
              </w:rPr>
            </w:pPr>
            <w:r>
              <w:rPr>
                <w:rFonts w:ascii="Arial" w:cs="Arial" w:eastAsia="Arial" w:hAnsi="Arial"/>
                <w:sz w:val="18"/>
                <w:szCs w:val="18"/>
                <w:color w:val="auto"/>
              </w:rPr>
              <w:t>Kenneth W. O'Keefe</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47,467,964</w:t>
            </w:r>
          </w:p>
        </w:tc>
        <w:tc>
          <w:tcPr>
            <w:tcW w:w="1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1,029,508</w:t>
            </w:r>
          </w:p>
        </w:tc>
        <w:tc>
          <w:tcPr>
            <w:tcW w:w="140" w:type="dxa"/>
            <w:vAlign w:val="bottom"/>
          </w:tcPr>
          <w:p>
            <w:pPr>
              <w:spacing w:after="0"/>
              <w:rPr>
                <w:sz w:val="19"/>
                <w:szCs w:val="19"/>
                <w:color w:val="auto"/>
              </w:rPr>
            </w:pPr>
          </w:p>
        </w:tc>
        <w:tc>
          <w:tcPr>
            <w:tcW w:w="1540" w:type="dxa"/>
            <w:vAlign w:val="bottom"/>
          </w:tcPr>
          <w:p>
            <w:pPr>
              <w:ind w:left="520"/>
              <w:spacing w:after="0"/>
              <w:rPr>
                <w:sz w:val="20"/>
                <w:szCs w:val="20"/>
                <w:color w:val="auto"/>
              </w:rPr>
            </w:pPr>
            <w:r>
              <w:rPr>
                <w:rFonts w:ascii="Arial" w:cs="Arial" w:eastAsia="Arial" w:hAnsi="Arial"/>
                <w:sz w:val="18"/>
                <w:szCs w:val="18"/>
                <w:color w:val="auto"/>
              </w:rPr>
              <w:t>20,528</w:t>
            </w:r>
          </w:p>
        </w:tc>
        <w:tc>
          <w:tcPr>
            <w:tcW w:w="1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2,673,157</w:t>
            </w:r>
          </w:p>
        </w:tc>
      </w:tr>
      <w:tr>
        <w:trPr>
          <w:trHeight w:val="23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 Smith</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48,056,432</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437,857</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23,711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2,673,157</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Catherine A. Sohn, Pharm.D.</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46,582,930</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1,915,690</w:t>
            </w:r>
          </w:p>
        </w:tc>
        <w:tc>
          <w:tcPr>
            <w:tcW w:w="140" w:type="dxa"/>
            <w:vAlign w:val="bottom"/>
          </w:tcPr>
          <w:p>
            <w:pPr>
              <w:spacing w:after="0"/>
              <w:rPr>
                <w:sz w:val="20"/>
                <w:szCs w:val="20"/>
                <w:color w:val="auto"/>
              </w:rPr>
            </w:pPr>
          </w:p>
        </w:tc>
        <w:tc>
          <w:tcPr>
            <w:tcW w:w="1540" w:type="dxa"/>
            <w:vAlign w:val="bottom"/>
          </w:tcPr>
          <w:p>
            <w:pPr>
              <w:ind w:left="520"/>
              <w:spacing w:after="0"/>
              <w:rPr>
                <w:sz w:val="20"/>
                <w:szCs w:val="20"/>
                <w:color w:val="auto"/>
              </w:rPr>
            </w:pPr>
            <w:r>
              <w:rPr>
                <w:rFonts w:ascii="Arial" w:cs="Arial" w:eastAsia="Arial" w:hAnsi="Arial"/>
                <w:sz w:val="18"/>
                <w:szCs w:val="18"/>
                <w:color w:val="auto"/>
              </w:rPr>
              <w:t>19,380</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2,673,157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121" w:lineRule="exact"/>
        <w:rPr>
          <w:sz w:val="20"/>
          <w:szCs w:val="20"/>
          <w:color w:val="auto"/>
        </w:rPr>
      </w:pPr>
    </w:p>
    <w:p>
      <w:pPr>
        <w:jc w:val="both"/>
        <w:ind w:right="380" w:firstLine="445"/>
        <w:spacing w:after="0" w:line="263" w:lineRule="auto"/>
        <w:rPr>
          <w:sz w:val="20"/>
          <w:szCs w:val="20"/>
          <w:color w:val="auto"/>
        </w:rPr>
      </w:pPr>
      <w:r>
        <w:rPr>
          <w:rFonts w:ascii="Arial" w:cs="Arial" w:eastAsia="Arial" w:hAnsi="Arial"/>
          <w:sz w:val="18"/>
          <w:szCs w:val="18"/>
          <w:color w:val="auto"/>
        </w:rPr>
        <w:t>Proposal 2 was to ratify, on a non-binding advisory basis, the appointment of KPMG, Dublin as the independent auditors of the company for the fiscal year ending December 31, 2021 and to authorize, in a binding vote, the board of directors, acting through the audit committee, to determine the auditors’ remuneration. This proposal was approved as follows:</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Against</w:t>
            </w:r>
          </w:p>
        </w:tc>
        <w:tc>
          <w:tcPr>
            <w:tcW w:w="256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9"/>
        </w:trPr>
        <w:tc>
          <w:tcPr>
            <w:tcW w:w="254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50,593,194</w:t>
            </w:r>
          </w:p>
        </w:tc>
        <w:tc>
          <w:tcPr>
            <w:tcW w:w="12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578,533</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19,430</w:t>
            </w:r>
          </w:p>
        </w:tc>
        <w:tc>
          <w:tcPr>
            <w:tcW w:w="1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Proposal 3 was to approve, on a non-binding advisory basis, the compensation of our named executive officers as disclosed in the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proposal was approved as follows:</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Against</w:t>
            </w:r>
          </w:p>
        </w:tc>
        <w:tc>
          <w:tcPr>
            <w:tcW w:w="256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9"/>
        </w:trPr>
        <w:tc>
          <w:tcPr>
            <w:tcW w:w="254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43,462,634</w:t>
            </w:r>
          </w:p>
        </w:tc>
        <w:tc>
          <w:tcPr>
            <w:tcW w:w="12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rPr>
              <w:t>5,003,418</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51,948</w:t>
            </w:r>
          </w:p>
        </w:tc>
        <w:tc>
          <w:tcPr>
            <w:tcW w:w="1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2,673,157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w:t>
      </w:r>
    </w:p>
    <w:p>
      <w:pPr>
        <w:spacing w:after="0" w:line="121"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Proposal 4 was to renew the board of directors' existing authority under Irish law to allot and issue ordinary shares. This proposal was approved as follows:</w:t>
      </w:r>
    </w:p>
    <w:p>
      <w:pPr>
        <w:spacing w:after="0" w:line="9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Against</w:t>
            </w:r>
          </w:p>
        </w:tc>
        <w:tc>
          <w:tcPr>
            <w:tcW w:w="256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9"/>
        </w:trPr>
        <w:tc>
          <w:tcPr>
            <w:tcW w:w="254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32,521,358</w:t>
            </w:r>
          </w:p>
        </w:tc>
        <w:tc>
          <w:tcPr>
            <w:tcW w:w="12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18,649,196</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20,603</w:t>
            </w:r>
          </w:p>
        </w:tc>
        <w:tc>
          <w:tcPr>
            <w:tcW w:w="1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Proposal 5 was to renew the board of directors' existing authority under Irish law to allot and issue ordinary shares for cash without first offering those ordinary share to existing shareholders pursuant to the ordinary pre-emption right that would otherwise apply. This proposal required the affirmative vote of 75% of the votes cast on the proposal and was not approved as follows:</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For</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Against</w:t>
            </w:r>
          </w:p>
        </w:tc>
        <w:tc>
          <w:tcPr>
            <w:tcW w:w="2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Abstain</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9"/>
        </w:trPr>
        <w:tc>
          <w:tcPr>
            <w:tcW w:w="254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32,561,411</w:t>
            </w:r>
          </w:p>
        </w:tc>
        <w:tc>
          <w:tcPr>
            <w:tcW w:w="12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18,192,322</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437,424</w:t>
            </w:r>
          </w:p>
        </w:tc>
        <w:tc>
          <w:tcPr>
            <w:tcW w:w="1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w:t>
      </w:r>
    </w:p>
    <w:p>
      <w:pPr>
        <w:spacing w:after="0" w:line="121"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Proposal 6 was to approve any motion to adjourn the Annual Meeting, or any adjournments thereof, to another time and place to solicit additional proxies if there are insufficient votes at the time of the Annual Meeting to approve Proposal 5. As no motion to adjourn the Annual Meeting was made, Proposal 6 was not put to a vote of the shareholders at the Annual Meeting.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47"/>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5"/>
                <w:szCs w:val="15"/>
                <w:color w:val="auto"/>
              </w:rPr>
            </w:pPr>
          </w:p>
        </w:tc>
        <w:tc>
          <w:tcPr>
            <w:tcW w:w="10200" w:type="dxa"/>
            <w:vAlign w:val="bottom"/>
            <w:gridSpan w:val="46"/>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0" w:type="dxa"/>
            <w:vAlign w:val="bottom"/>
            <w:gridSpan w:val="4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540" w:type="dxa"/>
            <w:vAlign w:val="bottom"/>
            <w:tcBorders>
              <w:bottom w:val="single" w:sz="8" w:color="0000FF"/>
            </w:tcBorders>
            <w:gridSpan w:val="20"/>
            <w:shd w:val="clear" w:color="auto" w:fill="CCEEFF"/>
          </w:tcPr>
          <w:p>
            <w:pPr>
              <w:spacing w:after="0" w:line="189"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Agreement and Plan of Merger and Reorganization, dated as of September 19, 2011, by and among Azur Pharma Limited (now Jazz</w:t>
              </w:r>
            </w:hyperlink>
          </w:p>
        </w:tc>
        <w:tc>
          <w:tcPr>
            <w:tcW w:w="640" w:type="dxa"/>
            <w:vAlign w:val="bottom"/>
            <w:tcBorders>
              <w:bottom w:val="single" w:sz="8" w:color="CCEEFF"/>
              <w:right w:val="single" w:sz="8" w:color="CCEEFF"/>
            </w:tcBorders>
            <w:gridSpan w:val="25"/>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180" w:type="dxa"/>
            <w:vAlign w:val="bottom"/>
            <w:tcBorders>
              <w:right w:val="single" w:sz="8" w:color="CCEEFF"/>
            </w:tcBorders>
            <w:gridSpan w:val="45"/>
            <w:shd w:val="clear" w:color="auto" w:fill="CCEEFF"/>
          </w:tcPr>
          <w:p>
            <w:pPr>
              <w:spacing w:after="0" w:line="15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Pharmaceuticals plc), Jaguar Merger Sub Inc., Jazz Pharmaceuticals, Inc. and Seamus Mulligan, solely in his capacity as the Indemnitors’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Representative (incorporated herein by reference to Exhibit 2.1 in Jazz Pharmaceuticals, Inc.’s Current Report on Form 8-K (File No. 001</w:t>
              </w:r>
            </w:hyperlink>
          </w:p>
        </w:tc>
        <w:tc>
          <w:tcPr>
            <w:tcW w:w="120" w:type="dxa"/>
            <w:vAlign w:val="bottom"/>
            <w:tcBorders>
              <w:top w:val="single" w:sz="8" w:color="CCEEFF"/>
            </w:tcBorders>
            <w:gridSpan w:val="6"/>
            <w:shd w:val="clear" w:color="auto" w:fill="CCEEFF"/>
          </w:tcPr>
          <w:p>
            <w:pPr>
              <w:jc w:val="right"/>
              <w:ind w:right="60"/>
              <w:spacing w:after="0" w:line="155" w:lineRule="exact"/>
              <w:rPr>
                <w:rFonts w:ascii="Arial" w:cs="Arial" w:eastAsia="Arial" w:hAnsi="Arial"/>
                <w:sz w:val="16"/>
                <w:szCs w:val="16"/>
                <w:color w:val="0000FF"/>
                <w:w w:val="74"/>
              </w:rPr>
            </w:pPr>
            <w:hyperlink r:id="rId127">
              <w:r>
                <w:rPr>
                  <w:rFonts w:ascii="Arial" w:cs="Arial" w:eastAsia="Arial" w:hAnsi="Arial"/>
                  <w:sz w:val="16"/>
                  <w:szCs w:val="16"/>
                  <w:color w:val="0000FF"/>
                  <w:w w:val="74"/>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38"/>
            <w:shd w:val="clear" w:color="auto" w:fill="CCEEFF"/>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33500) filed with the SEC on September 19, 2011).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Letter Agreement, dated as of January 17, 2012, by and among Jazz Pharmaceuticals plc, Jaguar Merger Sub Inc.,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6" w:lineRule="exact"/>
              <w:rPr>
                <w:rFonts w:ascii="Arial" w:cs="Arial" w:eastAsia="Arial" w:hAnsi="Arial"/>
                <w:sz w:val="18"/>
                <w:szCs w:val="18"/>
                <w:color w:val="0000FF"/>
                <w:w w:val="93"/>
              </w:rPr>
            </w:pPr>
            <w:hyperlink r:id="rId128">
              <w:r>
                <w:rPr>
                  <w:rFonts w:ascii="Arial" w:cs="Arial" w:eastAsia="Arial" w:hAnsi="Arial"/>
                  <w:sz w:val="18"/>
                  <w:szCs w:val="18"/>
                  <w:color w:val="0000FF"/>
                  <w:w w:val="93"/>
                </w:rPr>
                <w:t>Inc. and Seamus Mulligan, solely in his capacity as the Indemnitors’ Representative (incorporated by reference to Exhibit 2.2 in Jazz</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Pharmaceuticals plc’s Current Report on Form 8-K (File No. 001-33500), as filed with the SEC on January 18, 2012).</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Agreement and Plan of Merger, dated as of April 26, 2012, by and among Jazz Pharmaceuticals plc, Jewel Merger Sub Inc., EUSA Pharma</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42"/>
            <w:shd w:val="clear" w:color="auto" w:fill="CCEEFF"/>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Inc., and Essex Woodlands Health Ventures, Inc., Mayflower L.P., and Bryan Morton, in their capacity as the representatives of the equity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holders of EUSA Pharma Inc. (incorporated herein by reference to Exhibit 2.1 in Jazz Pharmaceuticals plc’s Current Report on Form 8-K</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(File No. 001-33500), as filed with the SEC on April 27, 2012).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740" w:type="dxa"/>
            <w:vAlign w:val="bottom"/>
            <w:tcBorders>
              <w:bottom w:val="single" w:sz="8" w:color="0000FF"/>
            </w:tcBorders>
            <w:gridSpan w:val="26"/>
          </w:tcPr>
          <w:p>
            <w:pPr>
              <w:spacing w:after="0" w:line="189" w:lineRule="exact"/>
              <w:rPr>
                <w:rFonts w:ascii="Arial" w:cs="Arial" w:eastAsia="Arial" w:hAnsi="Arial"/>
                <w:sz w:val="18"/>
                <w:szCs w:val="18"/>
                <w:color w:val="0000FF"/>
                <w:w w:val="89"/>
              </w:rPr>
            </w:pPr>
            <w:hyperlink r:id="rId130">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440" w:type="dxa"/>
            <w:vAlign w:val="bottom"/>
            <w:gridSpan w:val="19"/>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0" w:type="dxa"/>
            <w:vAlign w:val="bottom"/>
            <w:gridSpan w:val="46"/>
          </w:tcPr>
          <w:p>
            <w:pPr>
              <w:spacing w:after="0" w:line="156" w:lineRule="exact"/>
              <w:rPr>
                <w:rFonts w:ascii="Arial" w:cs="Arial" w:eastAsia="Arial" w:hAnsi="Arial"/>
                <w:sz w:val="18"/>
                <w:szCs w:val="18"/>
                <w:color w:val="0000FF"/>
                <w:w w:val="94"/>
              </w:rPr>
            </w:pPr>
            <w:hyperlink r:id="rId130">
              <w:r>
                <w:rPr>
                  <w:rFonts w:ascii="Arial" w:cs="Arial" w:eastAsia="Arial" w:hAnsi="Arial"/>
                  <w:sz w:val="18"/>
                  <w:szCs w:val="18"/>
                  <w:color w:val="0000FF"/>
                  <w:w w:val="94"/>
                </w:rPr>
                <w:t>reference to Exhibit 2.1B in Jazz Pharmaceuticals plc’s Current Report on Form 8-K (File No. 001-33500), as filed with the SEC on June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12, 2012).</w:t>
              </w:r>
            </w:hyperlink>
          </w:p>
        </w:tc>
        <w:tc>
          <w:tcPr>
            <w:tcW w:w="8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Tender Offer Agreement, dated December 19, 2013, by and among Jazz Pharmaceuticals Public Limited Company,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Italy S.r.l. and Gentium S.p.A. (incorporated herein by reference to Exhibit 2.1 in Jazz Pharmaceuticals plc’s Current Report on Form 8-</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K/A (File No. 001-33500), as filed with the SEC on December 20, 2013).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80" w:type="dxa"/>
            <w:vAlign w:val="bottom"/>
            <w:tcBorders>
              <w:top w:val="single" w:sz="8" w:color="0000FF"/>
            </w:tcBorders>
            <w:gridSpan w:val="41"/>
          </w:tcPr>
          <w:p>
            <w:pPr>
              <w:spacing w:after="0" w:line="156"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and Jazz Pharmaceuticals plc (incorporated herein by reference to Exhibit 2.1 in Jazz Pharmaceuticals plc’s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(File No. 001-33500), as filed with the SEC on January 13, 2014).</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Assignment Agreement, dated July 1, 2014, by and among Jazz Pharmaceuticals International II Limited, Sigma-Tau Pharmaceuticals,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right w:val="single" w:sz="8" w:color="CCEEFF"/>
            </w:tcBorders>
            <w:gridSpan w:val="45"/>
            <w:shd w:val="clear" w:color="auto" w:fill="CCEEFF"/>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Jazz Pharmaceuticals plc and Gentium S.p.A. (incorporated herein by reference to Exhibit 2.1 in Jazz Pharmaceuticals plc’s Current Report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0000FF"/>
            </w:tcBorders>
            <w:gridSpan w:val="44"/>
            <w:shd w:val="clear" w:color="auto" w:fill="CCEEFF"/>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on Form 8-K (File No. 001-33500), as filed with the SEC on August 5, 2014).</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Amended and Restated Agreement for the Acquisition of the Topaz Portfolio Business of Jazz Pharmaceuticals plc, dated March 20, 2015,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40" w:type="dxa"/>
            <w:vAlign w:val="bottom"/>
            <w:tcBorders>
              <w:top w:val="single" w:sz="8" w:color="0000FF"/>
            </w:tcBorders>
            <w:gridSpan w:val="39"/>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between Jazz Pharmaceuticals plc and Essex Bidco Limited (incorporated herein by reference to Exhibit 2.1 in Jazz Pharmaceuticals plc’s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Current Report on Form 8-K (File No. 001-33500), as filed with the SEC on March 23,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4"/>
              </w:rPr>
            </w:pPr>
            <w:hyperlink r:id="rId135">
              <w:r>
                <w:rPr>
                  <w:rFonts w:ascii="Arial" w:cs="Arial" w:eastAsia="Arial" w:hAnsi="Arial"/>
                  <w:sz w:val="18"/>
                  <w:szCs w:val="18"/>
                  <w:color w:val="0000FF"/>
                  <w:w w:val="94"/>
                </w:rPr>
                <w:t>Agreement and Plan of Merger, dated as of May 27, 2016, by and among Jazz Pharmaceuticals plc, Plex Merger Sub, Inc., and Celator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Pharmaceuticals, Inc. (incorporated herein by reference to Exhibit 2.1 in Jazz Pharmaceuticals plc’s Current Report on Form 8-K (File</w:t>
              </w:r>
            </w:hyperlink>
          </w:p>
        </w:tc>
        <w:tc>
          <w:tcPr>
            <w:tcW w:w="460" w:type="dxa"/>
            <w:vAlign w:val="bottom"/>
            <w:tcBorders>
              <w:top w:val="single" w:sz="8" w:color="CCEEFF"/>
              <w:right w:val="single" w:sz="8" w:color="CCEEFF"/>
            </w:tcBorders>
            <w:gridSpan w:val="20"/>
            <w:shd w:val="clear" w:color="auto" w:fill="CCEEFF"/>
          </w:tcPr>
          <w:p>
            <w:pPr>
              <w:jc w:val="right"/>
              <w:ind w:right="200"/>
              <w:spacing w:after="0" w:line="156" w:lineRule="exact"/>
              <w:rPr>
                <w:rFonts w:ascii="Arial" w:cs="Arial" w:eastAsia="Arial" w:hAnsi="Arial"/>
                <w:sz w:val="18"/>
                <w:szCs w:val="18"/>
                <w:color w:val="0000FF"/>
                <w:w w:val="85"/>
              </w:rPr>
            </w:pPr>
            <w:hyperlink r:id="rId135">
              <w:r>
                <w:rPr>
                  <w:rFonts w:ascii="Arial" w:cs="Arial" w:eastAsia="Arial" w:hAnsi="Arial"/>
                  <w:sz w:val="18"/>
                  <w:szCs w:val="18"/>
                  <w:color w:val="0000FF"/>
                  <w:w w:val="85"/>
                </w:rPr>
                <w:t>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38"/>
            <w:shd w:val="clear" w:color="auto" w:fill="CCEEFF"/>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001-33500), as filed with the SEC on May 31, 2016).</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2.10‡</w:t>
            </w: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3"/>
              </w:rPr>
            </w:pPr>
            <w:hyperlink r:id="rId136">
              <w:r>
                <w:rPr>
                  <w:rFonts w:ascii="Arial" w:cs="Arial" w:eastAsia="Arial" w:hAnsi="Arial"/>
                  <w:sz w:val="18"/>
                  <w:szCs w:val="18"/>
                  <w:color w:val="0000FF"/>
                  <w:w w:val="93"/>
                </w:rPr>
                <w:t>Transaction Agreement, dated as of February 3, 2021, by and among Jazz Pharmaceuticals UK Holdings Limited,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Public Limited Company and GW Pharmaceuticals PLC (incorporated herein by reference to Exhibit 2.1 in Jazz Pharmaceuticals plc’s</w:t>
              </w:r>
            </w:hyperlink>
          </w:p>
        </w:tc>
        <w:tc>
          <w:tcPr>
            <w:tcW w:w="2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Current Report on Form 8-K (File No. 001-33500), as filed with the SEC on February 4, 2021).</w:t>
              </w:r>
            </w:hyperlink>
          </w:p>
        </w:tc>
        <w:tc>
          <w:tcPr>
            <w:tcW w:w="28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rPr>
            </w:pPr>
            <w:hyperlink r:id="rId137">
              <w:r>
                <w:rPr>
                  <w:rFonts w:ascii="Arial" w:cs="Arial" w:eastAsia="Arial" w:hAnsi="Arial"/>
                  <w:sz w:val="18"/>
                  <w:szCs w:val="18"/>
                  <w:color w:val="0000FF"/>
                </w:rPr>
                <w:t>Amended and Restated Memorandum and Articles of Association of Jazz Pharmaceuticals plc, as amended on August 4, 2016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(incorporated herein by reference to Exhibit 3.1 in Jazz Pharmaceuticals plc’s Quarterly Report on Form 10-Q (File No. 001-</w:t>
              </w:r>
            </w:hyperlink>
          </w:p>
        </w:tc>
        <w:tc>
          <w:tcPr>
            <w:tcW w:w="1080" w:type="dxa"/>
            <w:vAlign w:val="bottom"/>
            <w:tcBorders>
              <w:top w:val="single" w:sz="8" w:color="CCEEFF"/>
              <w:right w:val="single" w:sz="8" w:color="CCEEFF"/>
            </w:tcBorders>
            <w:gridSpan w:val="27"/>
            <w:shd w:val="clear" w:color="auto" w:fill="CCEEFF"/>
          </w:tcPr>
          <w:p>
            <w:pPr>
              <w:spacing w:after="0" w:line="15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33500) for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tcBorders>
            <w:gridSpan w:val="43"/>
            <w:shd w:val="clear" w:color="auto" w:fill="CCEEFF"/>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period ended June 30, 2016, as filed with the SEC on August 9, 2016).</w:t>
              </w:r>
            </w:hyperlink>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rPr>
            </w:pPr>
            <w:hyperlink r:id="rId137">
              <w:r>
                <w:rPr>
                  <w:rFonts w:ascii="Arial" w:cs="Arial" w:eastAsia="Arial" w:hAnsi="Arial"/>
                  <w:sz w:val="18"/>
                  <w:szCs w:val="18"/>
                  <w:color w:val="0000FF"/>
                </w:rPr>
                <w:t>Reference is made to Exhibit 3.1.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4.2A</w:t>
            </w: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5"/>
              </w:rPr>
            </w:pPr>
            <w:hyperlink r:id="rId138">
              <w:r>
                <w:rPr>
                  <w:rFonts w:ascii="Arial" w:cs="Arial" w:eastAsia="Arial" w:hAnsi="Arial"/>
                  <w:sz w:val="18"/>
                  <w:szCs w:val="18"/>
                  <w:color w:val="0000FF"/>
                  <w:w w:val="95"/>
                </w:rPr>
                <w:t>Indenture, dated as of August 13, 2014, by and among Jazz Pharmaceuticals plc, Jazz Investments I Limited and U.S. Bank National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Association (incorporated herein by reference to Exhibit 4.1 in Jazz Pharmaceuticals plc’s Current Report on Form 8-K (File No. 001</w:t>
              </w:r>
            </w:hyperlink>
          </w:p>
        </w:tc>
        <w:tc>
          <w:tcPr>
            <w:tcW w:w="420" w:type="dxa"/>
            <w:vAlign w:val="bottom"/>
            <w:tcBorders>
              <w:top w:val="single" w:sz="8" w:color="CCEEFF"/>
            </w:tcBorders>
            <w:gridSpan w:val="15"/>
            <w:shd w:val="clear" w:color="auto" w:fill="CCEEFF"/>
          </w:tcPr>
          <w:p>
            <w:pPr>
              <w:jc w:val="right"/>
              <w:ind w:right="320"/>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August 13, 2014).</w:t>
              </w:r>
            </w:hyperlink>
          </w:p>
        </w:tc>
        <w:tc>
          <w:tcPr>
            <w:tcW w:w="320" w:type="dxa"/>
            <w:vAlign w:val="bottom"/>
            <w:tcBorders>
              <w:top w:val="single" w:sz="8" w:color="CCEEFF"/>
            </w:tcBorders>
            <w:gridSpan w:val="1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4.2B</w:t>
            </w: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6"/>
              </w:rPr>
            </w:pPr>
            <w:hyperlink r:id="rId138">
              <w:r>
                <w:rPr>
                  <w:rFonts w:ascii="Arial" w:cs="Arial" w:eastAsia="Arial" w:hAnsi="Arial"/>
                  <w:sz w:val="18"/>
                  <w:szCs w:val="18"/>
                  <w:color w:val="0000FF"/>
                  <w:w w:val="96"/>
                </w:rPr>
                <w:t>Form of 1.875% Exchangeable Senior Note due 2021 (incorporated herein by reference to Exhibit 4.1 in Jazz Pharmaceuticals plc’s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Current Report on Form 8-K (File No. 001-33500), as filed with the SEC on August 13, 2014).</w:t>
              </w:r>
            </w:hyperlink>
          </w:p>
        </w:tc>
        <w:tc>
          <w:tcPr>
            <w:tcW w:w="50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4.3A</w:t>
            </w: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Indenture, dated as of August 23, 2017, among Jazz Pharmaceuticals Public Limited Company, Jazz Investments I Limited and U.S. Bank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9980" w:type="dxa"/>
            <w:vAlign w:val="bottom"/>
            <w:tcBorders>
              <w:top w:val="single" w:sz="8" w:color="0000FF"/>
              <w:bottom w:val="single" w:sz="8" w:color="0000FF"/>
            </w:tcBorders>
            <w:gridSpan w:val="36"/>
            <w:shd w:val="clear" w:color="auto" w:fill="CCEEFF"/>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National Association (incorporated herein by reference to Exhibit 4.1 in Jazz Pharmaceuticals plc’s Current Report on Form 8-K (File No.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0" w:type="dxa"/>
            <w:vAlign w:val="bottom"/>
            <w:gridSpan w:val="37"/>
            <w:shd w:val="clear" w:color="auto" w:fill="CCEEFF"/>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001-033500), as filed with the SEC on August 23, 2017).</w:t>
              </w:r>
            </w:hyperlink>
          </w:p>
        </w:tc>
        <w:tc>
          <w:tcPr>
            <w:tcW w:w="60" w:type="dxa"/>
            <w:vAlign w:val="bottom"/>
            <w:gridSpan w:val="3"/>
            <w:shd w:val="clear" w:color="auto" w:fill="CCEEFF"/>
          </w:tcPr>
          <w:p>
            <w:pPr>
              <w:spacing w:after="0"/>
              <w:rPr>
                <w:sz w:val="13"/>
                <w:szCs w:val="13"/>
                <w:color w:val="auto"/>
              </w:rPr>
            </w:pPr>
          </w:p>
        </w:tc>
        <w:tc>
          <w:tcPr>
            <w:tcW w:w="120" w:type="dxa"/>
            <w:vAlign w:val="bottom"/>
            <w:tcBorders>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4.3B</w:t>
            </w: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Form of 1.50% Exchangeable Senior Note due 2024 (incorporated herein by reference to Exhibit 4.2 in Jazz Pharmaceuticals plc’s Current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6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Report on Form 8-K (File No. 001-033500), as filed with the SEC on August 23, 2017)</w:t>
              </w:r>
              <w:r>
                <w:rPr>
                  <w:rFonts w:ascii="Arial" w:cs="Arial" w:eastAsia="Arial" w:hAnsi="Arial"/>
                  <w:sz w:val="18"/>
                  <w:szCs w:val="18"/>
                  <w:color w:val="000000"/>
                </w:rPr>
                <w:t>.</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560" w:type="dxa"/>
            <w:vAlign w:val="bottom"/>
            <w:tcBorders>
              <w:top w:val="single" w:sz="8" w:color="0000FF"/>
            </w:tcBorders>
            <w:gridSpan w:val="7"/>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4.4A</w:t>
            </w:r>
          </w:p>
        </w:tc>
        <w:tc>
          <w:tcPr>
            <w:tcW w:w="10080" w:type="dxa"/>
            <w:vAlign w:val="bottom"/>
            <w:tcBorders>
              <w:right w:val="single" w:sz="8" w:color="CCEEFF"/>
            </w:tcBorders>
            <w:gridSpan w:val="43"/>
            <w:shd w:val="clear" w:color="auto" w:fill="CCEEFF"/>
          </w:tcPr>
          <w:p>
            <w:pPr>
              <w:spacing w:after="0"/>
              <w:rPr>
                <w:rFonts w:ascii="Arial" w:cs="Arial" w:eastAsia="Arial" w:hAnsi="Arial"/>
                <w:sz w:val="18"/>
                <w:szCs w:val="18"/>
                <w:color w:val="0000FF"/>
                <w:w w:val="93"/>
              </w:rPr>
            </w:pPr>
            <w:hyperlink r:id="rId142">
              <w:r>
                <w:rPr>
                  <w:rFonts w:ascii="Arial" w:cs="Arial" w:eastAsia="Arial" w:hAnsi="Arial"/>
                  <w:sz w:val="18"/>
                  <w:szCs w:val="18"/>
                  <w:color w:val="0000FF"/>
                  <w:w w:val="93"/>
                </w:rPr>
                <w:t>Indenture, dated as of June 11, 2020 among Jazz Pharmaceuticals Public Limited Company, Jazz Investments I Limited and U.S. Bank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National Association (incorporated herein by reference to Exhibit 4.1 in Jazz Pharmaceuticals plc’s Current Report on Form 8-K (File</w:t>
              </w:r>
            </w:hyperlink>
          </w:p>
        </w:tc>
        <w:tc>
          <w:tcPr>
            <w:tcW w:w="380" w:type="dxa"/>
            <w:vAlign w:val="bottom"/>
            <w:tcBorders>
              <w:top w:val="single" w:sz="8" w:color="CCEEFF"/>
              <w:right w:val="single" w:sz="8" w:color="CCEEFF"/>
            </w:tcBorders>
            <w:gridSpan w:val="9"/>
            <w:shd w:val="clear" w:color="auto" w:fill="CCEEFF"/>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41"/>
            <w:shd w:val="clear" w:color="auto" w:fill="CCEEFF"/>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001-033500), as filed with the SEC on June 11,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4.4B</w:t>
            </w:r>
          </w:p>
        </w:tc>
        <w:tc>
          <w:tcPr>
            <w:tcW w:w="10080" w:type="dxa"/>
            <w:vAlign w:val="bottom"/>
            <w:gridSpan w:val="43"/>
          </w:tcPr>
          <w:p>
            <w:pPr>
              <w:spacing w:after="0" w:line="189"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Form of 2.000% Exchangeable Senior Note due 2026 (incorporated herein by reference to Exhibit 4.2 in Jazz Pharmaceuticals plc’s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5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Current Report on Form 8-K (File No. 001-033500), as filed with the SEC on June 11,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4.5A</w:t>
            </w:r>
          </w:p>
        </w:tc>
        <w:tc>
          <w:tcPr>
            <w:tcW w:w="10080" w:type="dxa"/>
            <w:vAlign w:val="bottom"/>
            <w:tcBorders>
              <w:right w:val="single" w:sz="8" w:color="CCEEFF"/>
            </w:tcBorders>
            <w:gridSpan w:val="43"/>
            <w:shd w:val="clear" w:color="auto" w:fill="CCEEFF"/>
          </w:tcPr>
          <w:p>
            <w:pPr>
              <w:spacing w:after="0" w:line="189" w:lineRule="exact"/>
              <w:rPr>
                <w:rFonts w:ascii="Arial" w:cs="Arial" w:eastAsia="Arial" w:hAnsi="Arial"/>
                <w:sz w:val="18"/>
                <w:szCs w:val="18"/>
                <w:color w:val="0000FF"/>
                <w:w w:val="96"/>
              </w:rPr>
            </w:pPr>
            <w:hyperlink r:id="rId143">
              <w:r>
                <w:rPr>
                  <w:rFonts w:ascii="Arial" w:cs="Arial" w:eastAsia="Arial" w:hAnsi="Arial"/>
                  <w:sz w:val="18"/>
                  <w:szCs w:val="18"/>
                  <w:color w:val="0000FF"/>
                  <w:w w:val="96"/>
                </w:rPr>
                <w:t>Indenture, dated as of April 29, 2021, among Jazz Securities Designated Activity Company, the guarantors party thereto, U.S. Bank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9480" w:type="dxa"/>
            <w:vAlign w:val="bottom"/>
            <w:tcBorders>
              <w:top w:val="single" w:sz="8" w:color="0000FF"/>
              <w:bottom w:val="single" w:sz="8" w:color="0000FF"/>
            </w:tcBorders>
            <w:gridSpan w:val="25"/>
            <w:shd w:val="clear" w:color="auto" w:fill="CCEEFF"/>
          </w:tcPr>
          <w:p>
            <w:pPr>
              <w:spacing w:after="0" w:line="15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National Association, as trustee and acknowledged by U.S. Bank National Association, as collateral trustee. (incorporated herein by</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right w:val="single" w:sz="8" w:color="CCEEFF"/>
            </w:tcBorders>
            <w:gridSpan w:val="14"/>
            <w:vMerge w:val="restart"/>
            <w:shd w:val="clear" w:color="auto" w:fill="CCEEFF"/>
          </w:tcPr>
          <w:p>
            <w:pPr>
              <w:spacing w:after="0"/>
              <w:rPr>
                <w:rFonts w:ascii="Arial" w:cs="Arial" w:eastAsia="Arial" w:hAnsi="Arial"/>
                <w:sz w:val="18"/>
                <w:szCs w:val="18"/>
                <w:color w:val="0000FF"/>
              </w:rPr>
            </w:pPr>
            <w:hyperlink r:id="rId143">
              <w:r>
                <w:rPr>
                  <w:rFonts w:ascii="Arial" w:cs="Arial" w:eastAsia="Arial" w:hAnsi="Arial"/>
                  <w:sz w:val="18"/>
                  <w:szCs w:val="18"/>
                  <w:color w:val="0000FF"/>
                </w:rPr>
                <w:t>April</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9540" w:type="dxa"/>
            <w:vAlign w:val="bottom"/>
            <w:gridSpan w:val="28"/>
            <w:shd w:val="clear" w:color="auto" w:fill="CCEEFF"/>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reference to Exhibit 4.1 in Jazz Pharmaceuticals plc’s Current Report on Form 8-K (File No. 001-033500), as filed with the SEC on</w:t>
              </w:r>
            </w:hyperlink>
          </w:p>
        </w:tc>
        <w:tc>
          <w:tcPr>
            <w:tcW w:w="20" w:type="dxa"/>
            <w:vAlign w:val="bottom"/>
            <w:shd w:val="clear" w:color="auto" w:fill="CCEEFF"/>
          </w:tcPr>
          <w:p>
            <w:pPr>
              <w:spacing w:after="0"/>
              <w:rPr>
                <w:sz w:val="13"/>
                <w:szCs w:val="13"/>
                <w:color w:val="auto"/>
              </w:rPr>
            </w:pPr>
          </w:p>
        </w:tc>
        <w:tc>
          <w:tcPr>
            <w:tcW w:w="520" w:type="dxa"/>
            <w:vAlign w:val="bottom"/>
            <w:tcBorders>
              <w:right w:val="single" w:sz="8" w:color="CCEEFF"/>
            </w:tcBorders>
            <w:gridSpan w:val="14"/>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29, 2021).</w:t>
              </w:r>
            </w:hyperlink>
          </w:p>
        </w:tc>
        <w:tc>
          <w:tcPr>
            <w:tcW w:w="1540" w:type="dxa"/>
            <w:vAlign w:val="bottom"/>
            <w:tcBorders>
              <w:top w:val="single" w:sz="8" w:color="0000FF"/>
            </w:tcBorders>
            <w:shd w:val="clear" w:color="auto" w:fill="CCEEFF"/>
          </w:tcPr>
          <w:p>
            <w:pPr>
              <w:spacing w:after="0"/>
              <w:rPr>
                <w:sz w:val="13"/>
                <w:szCs w:val="13"/>
                <w:color w:val="auto"/>
              </w:rPr>
            </w:pPr>
          </w:p>
        </w:tc>
        <w:tc>
          <w:tcPr>
            <w:tcW w:w="9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0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4.5B</w:t>
            </w:r>
          </w:p>
        </w:tc>
        <w:tc>
          <w:tcPr>
            <w:tcW w:w="10080" w:type="dxa"/>
            <w:vAlign w:val="bottom"/>
            <w:gridSpan w:val="43"/>
          </w:tcPr>
          <w:p>
            <w:pPr>
              <w:spacing w:after="0" w:line="189"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Form of 4.375% Senior Notes due 2029 (incorporated herein by reference to Exhibit 4.2 in Jazz Pharmaceuticals plc’s Current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8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Form 8-K (File No. 001-033500), as filed with the SEC on April 29, 2021).</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4.5C</w:t>
            </w:r>
          </w:p>
        </w:tc>
        <w:tc>
          <w:tcPr>
            <w:tcW w:w="10080" w:type="dxa"/>
            <w:vAlign w:val="bottom"/>
            <w:tcBorders>
              <w:right w:val="single" w:sz="8" w:color="CCEEFF"/>
            </w:tcBorders>
            <w:gridSpan w:val="43"/>
            <w:shd w:val="clear" w:color="auto" w:fill="CCEEFF"/>
          </w:tcPr>
          <w:p>
            <w:pPr>
              <w:spacing w:after="0" w:line="189" w:lineRule="exact"/>
              <w:rPr>
                <w:rFonts w:ascii="Arial" w:cs="Arial" w:eastAsia="Arial" w:hAnsi="Arial"/>
                <w:sz w:val="18"/>
                <w:szCs w:val="18"/>
                <w:color w:val="0000FF"/>
                <w:w w:val="97"/>
              </w:rPr>
            </w:pPr>
            <w:hyperlink w:anchor="page96">
              <w:r>
                <w:rPr>
                  <w:rFonts w:ascii="Arial" w:cs="Arial" w:eastAsia="Arial" w:hAnsi="Arial"/>
                  <w:sz w:val="18"/>
                  <w:szCs w:val="18"/>
                  <w:color w:val="0000FF"/>
                  <w:w w:val="97"/>
                </w:rPr>
                <w:t>First Supplemental Indenture, dated as of July 21, 2021, among GW Pharmaceuticals Limited, GW Global Services (International)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944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w w:val="92"/>
              </w:rPr>
            </w:pPr>
            <w:hyperlink w:anchor="page96">
              <w:r>
                <w:rPr>
                  <w:rFonts w:ascii="Arial" w:cs="Arial" w:eastAsia="Arial" w:hAnsi="Arial"/>
                  <w:sz w:val="18"/>
                  <w:szCs w:val="18"/>
                  <w:color w:val="0000FF"/>
                  <w:w w:val="92"/>
                </w:rPr>
                <w:t>Limited, GW Pharma Limited, GW Research Limited, GW UK Services Limited and Greenwich Biosciences, Inc., Jazz Securities</w:t>
              </w:r>
            </w:hyperlink>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9420" w:type="dxa"/>
            <w:vAlign w:val="bottom"/>
            <w:tcBorders>
              <w:top w:val="single" w:sz="8" w:color="0000FF"/>
            </w:tcBorders>
            <w:gridSpan w:val="23"/>
            <w:shd w:val="clear" w:color="auto" w:fill="CCEEFF"/>
          </w:tcPr>
          <w:p>
            <w:pPr>
              <w:spacing w:after="0" w:line="169" w:lineRule="exact"/>
              <w:rPr>
                <w:rFonts w:ascii="Arial" w:cs="Arial" w:eastAsia="Arial" w:hAnsi="Arial"/>
                <w:sz w:val="18"/>
                <w:szCs w:val="18"/>
                <w:color w:val="0000FF"/>
                <w:w w:val="93"/>
              </w:rPr>
            </w:pPr>
            <w:hyperlink w:anchor="page96">
              <w:r>
                <w:rPr>
                  <w:rFonts w:ascii="Arial" w:cs="Arial" w:eastAsia="Arial" w:hAnsi="Arial"/>
                  <w:sz w:val="18"/>
                  <w:szCs w:val="18"/>
                  <w:color w:val="0000FF"/>
                  <w:w w:val="93"/>
                </w:rPr>
                <w:t>Designated Activity Company, and U.S. Bank National Association, as trustee under the Indenture, dated as of April 29, 2021.</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10.1A</w:t>
            </w:r>
          </w:p>
        </w:tc>
        <w:tc>
          <w:tcPr>
            <w:tcW w:w="10080" w:type="dxa"/>
            <w:vAlign w:val="bottom"/>
            <w:gridSpan w:val="43"/>
          </w:tcPr>
          <w:p>
            <w:pPr>
              <w:spacing w:after="0" w:line="189" w:lineRule="exact"/>
              <w:rPr>
                <w:rFonts w:ascii="Arial" w:cs="Arial" w:eastAsia="Arial" w:hAnsi="Arial"/>
                <w:sz w:val="18"/>
                <w:szCs w:val="18"/>
                <w:color w:val="0000FF"/>
                <w:w w:val="94"/>
              </w:rPr>
            </w:pPr>
            <w:hyperlink w:anchor="page101">
              <w:r>
                <w:rPr>
                  <w:rFonts w:ascii="Arial" w:cs="Arial" w:eastAsia="Arial" w:hAnsi="Arial"/>
                  <w:sz w:val="18"/>
                  <w:szCs w:val="18"/>
                  <w:color w:val="0000FF"/>
                  <w:w w:val="94"/>
                </w:rPr>
                <w:t>Amendment No. 1, dated as of July 4, 2021 to Pharmacy Master Services Agreement, dated as of July 1, 2020, by and between Jazz</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5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Pharmaceuticals, Inc. and Express Scripts Specialty Distribution Services, Inc.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10.1B</w:t>
            </w:r>
          </w:p>
        </w:tc>
        <w:tc>
          <w:tcPr>
            <w:tcW w:w="10080" w:type="dxa"/>
            <w:vAlign w:val="bottom"/>
            <w:tcBorders>
              <w:right w:val="single" w:sz="8" w:color="CCEEFF"/>
            </w:tcBorders>
            <w:gridSpan w:val="43"/>
            <w:shd w:val="clear" w:color="auto" w:fill="CCEEFF"/>
          </w:tcPr>
          <w:p>
            <w:pPr>
              <w:spacing w:after="0" w:line="189" w:lineRule="exact"/>
              <w:rPr>
                <w:rFonts w:ascii="Arial" w:cs="Arial" w:eastAsia="Arial" w:hAnsi="Arial"/>
                <w:sz w:val="18"/>
                <w:szCs w:val="18"/>
                <w:color w:val="0000FF"/>
                <w:w w:val="93"/>
              </w:rPr>
            </w:pPr>
            <w:hyperlink w:anchor="page104">
              <w:r>
                <w:rPr>
                  <w:rFonts w:ascii="Arial" w:cs="Arial" w:eastAsia="Arial" w:hAnsi="Arial"/>
                  <w:sz w:val="18"/>
                  <w:szCs w:val="18"/>
                  <w:color w:val="0000FF"/>
                  <w:w w:val="93"/>
                </w:rPr>
                <w:t>Amendment No. 2, dated as of July 19, 2021 to Pharmacy Master Services Agreement, dated as of July 1, 2020, by and between Jazz</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960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w:anchor="page104">
              <w:r>
                <w:rPr>
                  <w:rFonts w:ascii="Arial" w:cs="Arial" w:eastAsia="Arial" w:hAnsi="Arial"/>
                  <w:sz w:val="18"/>
                  <w:szCs w:val="18"/>
                  <w:color w:val="0000FF"/>
                </w:rPr>
                <w:t>Pharmaceuticals, Inc. and Express Scripts Specialty Distribution Services,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10080" w:type="dxa"/>
            <w:vAlign w:val="bottom"/>
            <w:gridSpan w:val="43"/>
          </w:tcPr>
          <w:p>
            <w:pPr>
              <w:spacing w:after="0" w:line="189" w:lineRule="exact"/>
              <w:rPr>
                <w:rFonts w:ascii="Arial" w:cs="Arial" w:eastAsia="Arial" w:hAnsi="Arial"/>
                <w:sz w:val="18"/>
                <w:szCs w:val="18"/>
                <w:color w:val="0000FF"/>
                <w:w w:val="89"/>
              </w:rPr>
            </w:pPr>
            <w:hyperlink w:anchor="page107">
              <w:r>
                <w:rPr>
                  <w:rFonts w:ascii="Arial" w:cs="Arial" w:eastAsia="Arial" w:hAnsi="Arial"/>
                  <w:sz w:val="18"/>
                  <w:szCs w:val="18"/>
                  <w:color w:val="0000FF"/>
                  <w:w w:val="89"/>
                </w:rPr>
                <w:t>Amendment No. 1, dated as of May 6, 2021, to Amended and Restated License Agreement, dated as of October 14, 2020, between Pharma</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8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w:anchor="page107">
              <w:r>
                <w:rPr>
                  <w:rFonts w:ascii="Arial" w:cs="Arial" w:eastAsia="Arial" w:hAnsi="Arial"/>
                  <w:sz w:val="18"/>
                  <w:szCs w:val="18"/>
                  <w:color w:val="0000FF"/>
                </w:rPr>
                <w:t>Mar, S.A. and Jazz Pharmaceuticals Ireland Limited.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10080" w:type="dxa"/>
            <w:vAlign w:val="bottom"/>
            <w:tcBorders>
              <w:right w:val="single" w:sz="8" w:color="CCEEFF"/>
            </w:tcBorders>
            <w:gridSpan w:val="43"/>
            <w:shd w:val="clear" w:color="auto" w:fill="CCEEFF"/>
          </w:tcPr>
          <w:p>
            <w:pPr>
              <w:spacing w:after="0" w:line="189"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Credit Agreement, dated as of May 5, 2021, by and among Jazz Pharmaceuticals Public Limited Company, the other borrowers from time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40"/>
            <w:shd w:val="clear" w:color="auto" w:fill="CCEEFF"/>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to time party thereto, the lenders and issuing banks from time to time party thereto, Bank of America, N.A., as administrative agent, and</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U.S. Bank National Association, as collateral trustee (incorporated herein by reference to Exhibit 10.1 in Jazz Pharmaceuticals plc’s</w:t>
              </w:r>
            </w:hyperlink>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666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Current Report on Form 8-K (File No. 001-033500), as filed with the SEC on May 5, 2021).</w:t>
              </w:r>
            </w:hyperlink>
          </w:p>
        </w:tc>
        <w:tc>
          <w:tcPr>
            <w:tcW w:w="2860" w:type="dxa"/>
            <w:vAlign w:val="bottom"/>
            <w:tcBorders>
              <w:top w:val="single" w:sz="8" w:color="0000FF"/>
              <w:bottom w:val="single" w:sz="8" w:color="CCEEFF"/>
            </w:tcBorders>
            <w:gridSpan w:val="16"/>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0080" w:type="dxa"/>
            <w:vAlign w:val="bottom"/>
            <w:gridSpan w:val="43"/>
          </w:tcPr>
          <w:p>
            <w:pPr>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Service Agreement, dated as of May 5, 2021, by and between Chris Tovey and Jazz Pharmaceuticals UK Limited.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10.5+</w:t>
            </w:r>
          </w:p>
        </w:tc>
        <w:tc>
          <w:tcPr>
            <w:tcW w:w="8600" w:type="dxa"/>
            <w:vAlign w:val="bottom"/>
            <w:tcBorders>
              <w:bottom w:val="single" w:sz="8" w:color="0000FF"/>
            </w:tcBorders>
            <w:gridSpan w:val="18"/>
            <w:shd w:val="clear" w:color="auto" w:fill="CCEEFF"/>
          </w:tcPr>
          <w:p>
            <w:pPr>
              <w:spacing w:after="0" w:line="189" w:lineRule="exact"/>
              <w:rPr>
                <w:rFonts w:ascii="Arial" w:cs="Arial" w:eastAsia="Arial" w:hAnsi="Arial"/>
                <w:sz w:val="18"/>
                <w:szCs w:val="18"/>
                <w:color w:val="0000FF"/>
                <w:w w:val="90"/>
              </w:rPr>
            </w:pPr>
            <w:hyperlink w:anchor="page139">
              <w:r>
                <w:rPr>
                  <w:rFonts w:ascii="Arial" w:cs="Arial" w:eastAsia="Arial" w:hAnsi="Arial"/>
                  <w:sz w:val="18"/>
                  <w:szCs w:val="18"/>
                  <w:color w:val="0000FF"/>
                  <w:w w:val="90"/>
                </w:rPr>
                <w:t>Participation Agreement, dated as of May 5, 2021, by and between Chris Tovey and Jazz Pharmaceuticals UK Limited.</w:t>
              </w:r>
            </w:hyperlink>
          </w:p>
        </w:tc>
        <w:tc>
          <w:tcPr>
            <w:tcW w:w="1480" w:type="dxa"/>
            <w:vAlign w:val="bottom"/>
            <w:tcBorders>
              <w:bottom w:val="single" w:sz="8" w:color="CCEEFF"/>
              <w:right w:val="single" w:sz="8" w:color="CCEEFF"/>
            </w:tcBorders>
            <w:gridSpan w:val="25"/>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10.6+</w:t>
            </w:r>
          </w:p>
        </w:tc>
        <w:tc>
          <w:tcPr>
            <w:tcW w:w="10080" w:type="dxa"/>
            <w:vAlign w:val="bottom"/>
            <w:gridSpan w:val="43"/>
          </w:tcPr>
          <w:p>
            <w:pPr>
              <w:spacing w:after="0" w:line="189" w:lineRule="exact"/>
              <w:rPr>
                <w:rFonts w:ascii="Arial" w:cs="Arial" w:eastAsia="Arial" w:hAnsi="Arial"/>
                <w:sz w:val="18"/>
                <w:szCs w:val="18"/>
                <w:color w:val="0000FF"/>
                <w:w w:val="98"/>
              </w:rPr>
            </w:pPr>
            <w:hyperlink w:anchor="page145">
              <w:r>
                <w:rPr>
                  <w:rFonts w:ascii="Arial" w:cs="Arial" w:eastAsia="Arial" w:hAnsi="Arial"/>
                  <w:sz w:val="18"/>
                  <w:szCs w:val="18"/>
                  <w:color w:val="0000FF"/>
                  <w:w w:val="98"/>
                </w:rPr>
                <w:t>Form of U.S. Performance Restricted Stock Unit Award Grant Notice and Form of U.S. Performance Restricted Stock Unit Award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145">
              <w:r>
                <w:rPr>
                  <w:rFonts w:ascii="Arial" w:cs="Arial" w:eastAsia="Arial" w:hAnsi="Arial"/>
                  <w:sz w:val="18"/>
                  <w:szCs w:val="18"/>
                  <w:color w:val="0000FF"/>
                </w:rPr>
                <w:t>Agreement under the Jazz Pharmaceuticals plc Amended and Restated 2011 Equity Incentive Plan.</w:t>
              </w:r>
            </w:hyperlink>
          </w:p>
        </w:tc>
        <w:tc>
          <w:tcPr>
            <w:tcW w:w="8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10.7+</w:t>
            </w:r>
          </w:p>
        </w:tc>
        <w:tc>
          <w:tcPr>
            <w:tcW w:w="10080" w:type="dxa"/>
            <w:vAlign w:val="bottom"/>
            <w:tcBorders>
              <w:right w:val="single" w:sz="8" w:color="CCEEFF"/>
            </w:tcBorders>
            <w:gridSpan w:val="43"/>
            <w:shd w:val="clear" w:color="auto" w:fill="CCEEFF"/>
          </w:tcPr>
          <w:p>
            <w:pPr>
              <w:spacing w:after="0" w:line="189" w:lineRule="exact"/>
              <w:rPr>
                <w:rFonts w:ascii="Arial" w:cs="Arial" w:eastAsia="Arial" w:hAnsi="Arial"/>
                <w:sz w:val="18"/>
                <w:szCs w:val="18"/>
                <w:color w:val="0000FF"/>
                <w:w w:val="95"/>
              </w:rPr>
            </w:pPr>
            <w:hyperlink w:anchor="page162">
              <w:r>
                <w:rPr>
                  <w:rFonts w:ascii="Arial" w:cs="Arial" w:eastAsia="Arial" w:hAnsi="Arial"/>
                  <w:sz w:val="18"/>
                  <w:szCs w:val="18"/>
                  <w:color w:val="0000FF"/>
                  <w:w w:val="95"/>
                </w:rPr>
                <w:t>Form of Non-U.S. Performance Restricted Stock Unit Award Grant Notice and Form of Non-U.S. Performance Restricted Stock Unit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rPr>
            </w:pPr>
            <w:hyperlink w:anchor="page162">
              <w:r>
                <w:rPr>
                  <w:rFonts w:ascii="Arial" w:cs="Arial" w:eastAsia="Arial" w:hAnsi="Arial"/>
                  <w:sz w:val="18"/>
                  <w:szCs w:val="18"/>
                  <w:color w:val="0000FF"/>
                </w:rPr>
                <w:t>Award Agreement under the Jazz Pharmaceuticals plc Amended and Restated 2011 Equity Incentive Plan</w:t>
              </w:r>
              <w:r>
                <w:rPr>
                  <w:rFonts w:ascii="Arial" w:cs="Arial" w:eastAsia="Arial" w:hAnsi="Arial"/>
                  <w:sz w:val="18"/>
                  <w:szCs w:val="18"/>
                  <w:color w:val="000000"/>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10.8+</w:t>
            </w:r>
          </w:p>
        </w:tc>
        <w:tc>
          <w:tcPr>
            <w:tcW w:w="10080" w:type="dxa"/>
            <w:vAlign w:val="bottom"/>
            <w:gridSpan w:val="43"/>
          </w:tcPr>
          <w:p>
            <w:pPr>
              <w:spacing w:after="0" w:line="189" w:lineRule="exact"/>
              <w:rPr>
                <w:rFonts w:ascii="Arial" w:cs="Arial" w:eastAsia="Arial" w:hAnsi="Arial"/>
                <w:sz w:val="18"/>
                <w:szCs w:val="18"/>
                <w:color w:val="0000FF"/>
                <w:w w:val="98"/>
              </w:rPr>
            </w:pPr>
            <w:hyperlink w:anchor="page203">
              <w:r>
                <w:rPr>
                  <w:rFonts w:ascii="Arial" w:cs="Arial" w:eastAsia="Arial" w:hAnsi="Arial"/>
                  <w:sz w:val="18"/>
                  <w:szCs w:val="18"/>
                  <w:color w:val="0000FF"/>
                  <w:w w:val="98"/>
                </w:rPr>
                <w:t>Form of U.S. Restricted Stock Unit Award Grant Notice and Form of U.S. Restricted Stock Unit Award Agreement under the Jazz</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203">
              <w:r>
                <w:rPr>
                  <w:rFonts w:ascii="Arial" w:cs="Arial" w:eastAsia="Arial" w:hAnsi="Arial"/>
                  <w:sz w:val="18"/>
                  <w:szCs w:val="18"/>
                  <w:color w:val="0000FF"/>
                </w:rPr>
                <w:t>Pharmaceuticals plc Amended and Restated 2011 Equity Incentive Plan.</w:t>
              </w:r>
            </w:hyperlink>
          </w:p>
        </w:tc>
        <w:tc>
          <w:tcPr>
            <w:tcW w:w="100" w:type="dxa"/>
            <w:vAlign w:val="bottom"/>
            <w:gridSpan w:val="4"/>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10.9+</w:t>
            </w:r>
          </w:p>
        </w:tc>
        <w:tc>
          <w:tcPr>
            <w:tcW w:w="10080" w:type="dxa"/>
            <w:vAlign w:val="bottom"/>
            <w:tcBorders>
              <w:right w:val="single" w:sz="8" w:color="CCEEFF"/>
            </w:tcBorders>
            <w:gridSpan w:val="43"/>
            <w:shd w:val="clear" w:color="auto" w:fill="CCEEFF"/>
          </w:tcPr>
          <w:p>
            <w:pPr>
              <w:spacing w:after="0" w:line="189" w:lineRule="exact"/>
              <w:rPr>
                <w:rFonts w:ascii="Arial" w:cs="Arial" w:eastAsia="Arial" w:hAnsi="Arial"/>
                <w:sz w:val="18"/>
                <w:szCs w:val="18"/>
                <w:color w:val="0000FF"/>
                <w:w w:val="94"/>
              </w:rPr>
            </w:pPr>
            <w:hyperlink w:anchor="page219">
              <w:r>
                <w:rPr>
                  <w:rFonts w:ascii="Arial" w:cs="Arial" w:eastAsia="Arial" w:hAnsi="Arial"/>
                  <w:sz w:val="18"/>
                  <w:szCs w:val="18"/>
                  <w:color w:val="0000FF"/>
                  <w:w w:val="94"/>
                </w:rPr>
                <w:t>Form of Non-U.S. Restricted Stock Unit Award Grant Notice and Form of Non-U.S. Restricted Stock Unit Award Agreement under the</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35"/>
            <w:shd w:val="clear" w:color="auto" w:fill="CCEEFF"/>
          </w:tcPr>
          <w:p>
            <w:pPr>
              <w:spacing w:after="0" w:line="156" w:lineRule="exact"/>
              <w:rPr>
                <w:rFonts w:ascii="Arial" w:cs="Arial" w:eastAsia="Arial" w:hAnsi="Arial"/>
                <w:sz w:val="18"/>
                <w:szCs w:val="18"/>
                <w:color w:val="0000FF"/>
              </w:rPr>
            </w:pPr>
            <w:hyperlink w:anchor="page219">
              <w:r>
                <w:rPr>
                  <w:rFonts w:ascii="Arial" w:cs="Arial" w:eastAsia="Arial" w:hAnsi="Arial"/>
                  <w:sz w:val="18"/>
                  <w:szCs w:val="18"/>
                  <w:color w:val="0000FF"/>
                </w:rPr>
                <w:t>Jazz Pharmaceuticals plc Amended and Restated 2011 Equity Incentive Plan.</w:t>
              </w:r>
            </w:hyperlink>
          </w:p>
        </w:tc>
        <w:tc>
          <w:tcPr>
            <w:tcW w:w="10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10.10A+</w:t>
            </w:r>
          </w:p>
        </w:tc>
        <w:tc>
          <w:tcPr>
            <w:tcW w:w="10080" w:type="dxa"/>
            <w:vAlign w:val="bottom"/>
            <w:gridSpan w:val="43"/>
          </w:tcPr>
          <w:p>
            <w:pPr>
              <w:spacing w:after="0" w:line="189"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GW Pharmaceuticals plc 2020 Long-Term Incentive Plan (incorporated herein by reference to Exhibit 4.1 in GW’s Registration Statement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98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on Form S-8 (file no. 333-238737), filed with the SEC on May 27, 2020).</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10.10B+</w:t>
            </w:r>
          </w:p>
        </w:tc>
        <w:tc>
          <w:tcPr>
            <w:tcW w:w="850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91"/>
              </w:rPr>
            </w:pPr>
            <w:hyperlink w:anchor="page255">
              <w:r>
                <w:rPr>
                  <w:rFonts w:ascii="Arial" w:cs="Arial" w:eastAsia="Arial" w:hAnsi="Arial"/>
                  <w:sz w:val="18"/>
                  <w:szCs w:val="18"/>
                  <w:color w:val="0000FF"/>
                  <w:w w:val="91"/>
                </w:rPr>
                <w:t>Form of Restricted Stock Unit Award Agreement under the GW Pharmaceuticals plc 2020 Long-Term Incentive Plan.</w:t>
              </w:r>
            </w:hyperlink>
          </w:p>
        </w:tc>
        <w:tc>
          <w:tcPr>
            <w:tcW w:w="1580" w:type="dxa"/>
            <w:vAlign w:val="bottom"/>
            <w:tcBorders>
              <w:bottom w:val="single" w:sz="8" w:color="CCEEFF"/>
              <w:right w:val="single" w:sz="8" w:color="CCEEFF"/>
            </w:tcBorders>
            <w:gridSpan w:val="26"/>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10.10C+</w:t>
            </w:r>
          </w:p>
        </w:tc>
        <w:tc>
          <w:tcPr>
            <w:tcW w:w="10080" w:type="dxa"/>
            <w:vAlign w:val="bottom"/>
            <w:gridSpan w:val="43"/>
          </w:tcPr>
          <w:p>
            <w:pPr>
              <w:spacing w:after="0" w:line="189" w:lineRule="exact"/>
              <w:rPr>
                <w:rFonts w:ascii="Arial" w:cs="Arial" w:eastAsia="Arial" w:hAnsi="Arial"/>
                <w:sz w:val="18"/>
                <w:szCs w:val="18"/>
                <w:color w:val="0000FF"/>
              </w:rPr>
            </w:pPr>
            <w:hyperlink w:anchor="page264">
              <w:r>
                <w:rPr>
                  <w:rFonts w:ascii="Arial" w:cs="Arial" w:eastAsia="Arial" w:hAnsi="Arial"/>
                  <w:sz w:val="18"/>
                  <w:szCs w:val="18"/>
                  <w:color w:val="0000FF"/>
                </w:rPr>
                <w:t>Form of Replacement Stock Option Award Agreement under the GW Pharmaceuticals plc 2020 Long-Term Incentive Plan.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10.10D+</w:t>
            </w:r>
          </w:p>
        </w:tc>
        <w:tc>
          <w:tcPr>
            <w:tcW w:w="9480" w:type="dxa"/>
            <w:vAlign w:val="bottom"/>
            <w:tcBorders>
              <w:bottom w:val="single" w:sz="8" w:color="0000FF"/>
            </w:tcBorders>
            <w:gridSpan w:val="25"/>
            <w:shd w:val="clear" w:color="auto" w:fill="CCEEFF"/>
          </w:tcPr>
          <w:p>
            <w:pPr>
              <w:spacing w:after="0" w:line="189" w:lineRule="exact"/>
              <w:rPr>
                <w:rFonts w:ascii="Arial" w:cs="Arial" w:eastAsia="Arial" w:hAnsi="Arial"/>
                <w:sz w:val="18"/>
                <w:szCs w:val="18"/>
                <w:color w:val="0000FF"/>
                <w:w w:val="91"/>
              </w:rPr>
            </w:pPr>
            <w:hyperlink w:anchor="page274">
              <w:r>
                <w:rPr>
                  <w:rFonts w:ascii="Arial" w:cs="Arial" w:eastAsia="Arial" w:hAnsi="Arial"/>
                  <w:sz w:val="18"/>
                  <w:szCs w:val="18"/>
                  <w:color w:val="0000FF"/>
                  <w:w w:val="91"/>
                </w:rPr>
                <w:t>Form of Replacement Restricted Stock Unit Award Agreement under the GW Pharmaceuticals plc 2020 Long-Term Incentive Plan.</w:t>
              </w:r>
            </w:hyperlink>
          </w:p>
        </w:tc>
        <w:tc>
          <w:tcPr>
            <w:tcW w:w="600" w:type="dxa"/>
            <w:vAlign w:val="bottom"/>
            <w:tcBorders>
              <w:bottom w:val="single" w:sz="8" w:color="CCEEFF"/>
              <w:right w:val="single" w:sz="8" w:color="CCEEFF"/>
            </w:tcBorders>
            <w:gridSpan w:val="18"/>
            <w:shd w:val="clear" w:color="auto" w:fill="CCEEFF"/>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10.11+</w:t>
            </w:r>
          </w:p>
        </w:tc>
        <w:tc>
          <w:tcPr>
            <w:tcW w:w="10080" w:type="dxa"/>
            <w:vAlign w:val="bottom"/>
            <w:gridSpan w:val="43"/>
          </w:tcPr>
          <w:p>
            <w:pPr>
              <w:spacing w:after="0" w:line="189" w:lineRule="exact"/>
              <w:rPr>
                <w:rFonts w:ascii="Arial" w:cs="Arial" w:eastAsia="Arial" w:hAnsi="Arial"/>
                <w:sz w:val="18"/>
                <w:szCs w:val="18"/>
                <w:color w:val="0000FF"/>
              </w:rPr>
            </w:pPr>
            <w:hyperlink w:anchor="page283">
              <w:r>
                <w:rPr>
                  <w:rFonts w:ascii="Arial" w:cs="Arial" w:eastAsia="Arial" w:hAnsi="Arial"/>
                  <w:sz w:val="18"/>
                  <w:szCs w:val="18"/>
                  <w:color w:val="0000FF"/>
                </w:rPr>
                <w:t>Amended and Restated Non-Employee Director Compensation Policy (approved July 29, 2021).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80" w:type="dxa"/>
            <w:vAlign w:val="bottom"/>
            <w:tcBorders>
              <w:right w:val="single" w:sz="8" w:color="CCEEFF"/>
            </w:tcBorders>
            <w:gridSpan w:val="43"/>
            <w:shd w:val="clear" w:color="auto" w:fill="CCEEFF"/>
          </w:tcPr>
          <w:p>
            <w:pPr>
              <w:spacing w:after="0" w:line="189" w:lineRule="exact"/>
              <w:rPr>
                <w:rFonts w:ascii="Arial" w:cs="Arial" w:eastAsia="Arial" w:hAnsi="Arial"/>
                <w:sz w:val="18"/>
                <w:szCs w:val="18"/>
                <w:color w:val="0000FF"/>
                <w:w w:val="95"/>
              </w:rPr>
            </w:pPr>
            <w:hyperlink w:anchor="page286">
              <w:r>
                <w:rPr>
                  <w:rFonts w:ascii="Arial" w:cs="Arial" w:eastAsia="Arial" w:hAnsi="Arial"/>
                  <w:sz w:val="18"/>
                  <w:szCs w:val="18"/>
                  <w:color w:val="0000FF"/>
                  <w:w w:val="95"/>
                </w:rPr>
                <w:t>Certification of Chief Executive Officer pursuant to Rules 13a-14(a) and 15d-14(a) promulgated under the Securities Exchange Act of</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rPr>
            </w:pPr>
            <w:hyperlink w:anchor="page286">
              <w:r>
                <w:rPr>
                  <w:rFonts w:ascii="Arial" w:cs="Arial" w:eastAsia="Arial" w:hAnsi="Arial"/>
                  <w:sz w:val="18"/>
                  <w:szCs w:val="18"/>
                  <w:color w:val="0000FF"/>
                </w:rPr>
                <w:t>1934, as amended.</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right w:val="single" w:sz="8" w:color="CCEEFF"/>
            </w:tcBorders>
            <w:gridSpan w:val="6"/>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80" w:type="dxa"/>
            <w:vAlign w:val="bottom"/>
            <w:gridSpan w:val="43"/>
          </w:tcPr>
          <w:p>
            <w:pPr>
              <w:spacing w:after="0" w:line="189" w:lineRule="exact"/>
              <w:rPr>
                <w:rFonts w:ascii="Arial" w:cs="Arial" w:eastAsia="Arial" w:hAnsi="Arial"/>
                <w:sz w:val="18"/>
                <w:szCs w:val="18"/>
                <w:color w:val="0000FF"/>
                <w:w w:val="95"/>
              </w:rPr>
            </w:pPr>
            <w:hyperlink w:anchor="page287">
              <w:r>
                <w:rPr>
                  <w:rFonts w:ascii="Arial" w:cs="Arial" w:eastAsia="Arial" w:hAnsi="Arial"/>
                  <w:sz w:val="18"/>
                  <w:szCs w:val="18"/>
                  <w:color w:val="0000FF"/>
                  <w:w w:val="95"/>
                </w:rPr>
                <w:t>Certification of Chief Financial Officer pursuant to Rules 13a-14(a) and 15d-14(a) promulgated under the Securities Exchange Act of</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w:anchor="page287">
              <w:r>
                <w:rPr>
                  <w:rFonts w:ascii="Arial" w:cs="Arial" w:eastAsia="Arial" w:hAnsi="Arial"/>
                  <w:sz w:val="18"/>
                  <w:szCs w:val="18"/>
                  <w:color w:val="0000FF"/>
                </w:rPr>
                <w:t>1934, as amended.</w:t>
              </w:r>
            </w:hyperlink>
          </w:p>
        </w:tc>
        <w:tc>
          <w:tcPr>
            <w:tcW w:w="220" w:type="dxa"/>
            <w:vAlign w:val="bottom"/>
            <w:gridSpan w:val="5"/>
          </w:tcPr>
          <w:p>
            <w:pPr>
              <w:spacing w:after="0"/>
              <w:rPr>
                <w:sz w:val="13"/>
                <w:szCs w:val="13"/>
                <w:color w:val="auto"/>
              </w:rPr>
            </w:pPr>
          </w:p>
        </w:tc>
        <w:tc>
          <w:tcPr>
            <w:tcW w:w="2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80" w:type="dxa"/>
            <w:vAlign w:val="bottom"/>
            <w:tcBorders>
              <w:right w:val="single" w:sz="8" w:color="CCEEFF"/>
            </w:tcBorders>
            <w:gridSpan w:val="43"/>
            <w:shd w:val="clear" w:color="auto" w:fill="CCEEFF"/>
          </w:tcPr>
          <w:p>
            <w:pPr>
              <w:spacing w:after="0" w:line="189" w:lineRule="exact"/>
              <w:rPr>
                <w:rFonts w:ascii="Arial" w:cs="Arial" w:eastAsia="Arial" w:hAnsi="Arial"/>
                <w:sz w:val="18"/>
                <w:szCs w:val="18"/>
                <w:color w:val="0000FF"/>
                <w:w w:val="93"/>
              </w:rPr>
            </w:pPr>
            <w:hyperlink w:anchor="page288">
              <w:r>
                <w:rPr>
                  <w:rFonts w:ascii="Arial" w:cs="Arial" w:eastAsia="Arial" w:hAnsi="Arial"/>
                  <w:sz w:val="18"/>
                  <w:szCs w:val="18"/>
                  <w:color w:val="0000FF"/>
                  <w:w w:val="93"/>
                </w:rPr>
                <w:t>Certifications of Chief Executive Officer and Chief Financial Officer pursuant to 18 U.S.C. Section 1350, as adopted pursuant to Section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288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0"/>
              </w:rPr>
            </w:pPr>
            <w:hyperlink w:anchor="page288">
              <w:r>
                <w:rPr>
                  <w:rFonts w:ascii="Arial" w:cs="Arial" w:eastAsia="Arial" w:hAnsi="Arial"/>
                  <w:sz w:val="18"/>
                  <w:szCs w:val="18"/>
                  <w:color w:val="0000FF"/>
                  <w:w w:val="90"/>
                </w:rPr>
                <w:t>906 of the Sarbanes-Oxley Act of 2002.</w:t>
              </w:r>
            </w:hyperlink>
          </w:p>
        </w:tc>
        <w:tc>
          <w:tcPr>
            <w:tcW w:w="6980" w:type="dxa"/>
            <w:vAlign w:val="bottom"/>
            <w:tcBorders>
              <w:top w:val="single" w:sz="8" w:color="0000FF"/>
              <w:bottom w:val="single" w:sz="8" w:color="CCEEFF"/>
            </w:tcBorders>
            <w:gridSpan w:val="34"/>
            <w:shd w:val="clear" w:color="auto" w:fill="CCEEFF"/>
          </w:tcPr>
          <w:p>
            <w:pPr>
              <w:spacing w:after="0"/>
              <w:rPr>
                <w:sz w:val="15"/>
                <w:szCs w:val="15"/>
                <w:color w:val="auto"/>
              </w:rPr>
            </w:pPr>
          </w:p>
        </w:tc>
        <w:tc>
          <w:tcPr>
            <w:tcW w:w="220" w:type="dxa"/>
            <w:vAlign w:val="bottom"/>
            <w:tcBorders>
              <w:top w:val="single" w:sz="8" w:color="CCEEFF"/>
              <w:bottom w:val="single" w:sz="8" w:color="CCEEFF"/>
              <w:right w:val="single" w:sz="8" w:color="CCEEFF"/>
            </w:tcBorders>
            <w:gridSpan w:val="6"/>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080" w:type="dxa"/>
            <w:vAlign w:val="bottom"/>
            <w:gridSpan w:val="43"/>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100" w:type="dxa"/>
            <w:vAlign w:val="bottom"/>
            <w:gridSpan w:val="4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tcBorders>
              <w:right w:val="single" w:sz="8" w:color="CCEEFF"/>
            </w:tcBorders>
            <w:gridSpan w:val="43"/>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gridSpan w:val="6"/>
          </w:tcPr>
          <w:p>
            <w:pPr>
              <w:ind w:left="440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28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0280" w:type="dxa"/>
            <w:vAlign w:val="bottom"/>
          </w:tcPr>
          <w:p>
            <w:pPr>
              <w:ind w:left="20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30"/>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40" w:hanging="1101"/>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Certain portions of this exhibit have been omitted pursuant to Item 601(b)(2) of Regulation S-K.</w:t>
      </w:r>
    </w:p>
    <w:p>
      <w:pPr>
        <w:spacing w:after="0" w:line="50" w:lineRule="exact"/>
        <w:rPr>
          <w:sz w:val="20"/>
          <w:szCs w:val="20"/>
          <w:color w:val="auto"/>
        </w:rPr>
      </w:pPr>
    </w:p>
    <w:p>
      <w:pPr>
        <w:ind w:left="500" w:right="40" w:hanging="492"/>
        <w:spacing w:after="0" w:line="236" w:lineRule="auto"/>
        <w:tabs>
          <w:tab w:leader="none" w:pos="2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The Company agrees to furnish supplementally a copy of any omitted schedule or exhibit to the SEC upon its request.</w:t>
      </w:r>
    </w:p>
    <w:p>
      <w:pPr>
        <w:ind w:left="500" w:right="60" w:hanging="492"/>
        <w:spacing w:after="0" w:line="254" w:lineRule="auto"/>
        <w:tabs>
          <w:tab w:leader="none" w:pos="2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ind w:left="50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Senior Vice President, Chief Accounting Officer</w:t>
      </w: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720"/>
          </w:cols>
          <w:pgMar w:left="320" w:top="125" w:right="8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EXECUTION VERSION</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FIRST SUPPLEMENTAL INDENTURE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dated as of July 21, 2021, among GW Pharmaceuticals Limited, GW Global Services (International) Limited, GW Pharma Limited, GW Research Limited, GW UK Services Limited and Greenwich Biosciences, Inc. (each, a “</w:t>
      </w:r>
      <w:r>
        <w:rPr>
          <w:rFonts w:ascii="Arial" w:cs="Arial" w:eastAsia="Arial" w:hAnsi="Arial"/>
          <w:sz w:val="17"/>
          <w:szCs w:val="17"/>
          <w:u w:val="single" w:color="auto"/>
          <w:color w:val="auto"/>
        </w:rPr>
        <w:t>New Guarantor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New Guarantors</w:t>
      </w:r>
      <w:r>
        <w:rPr>
          <w:rFonts w:ascii="Arial" w:cs="Arial" w:eastAsia="Arial" w:hAnsi="Arial"/>
          <w:sz w:val="17"/>
          <w:szCs w:val="17"/>
          <w:color w:val="auto"/>
        </w:rPr>
        <w:t>”), JAZZ SECURITIES DESIGNATED ACTIVITY COMPANY (together with any successors thereto, the “</w:t>
      </w:r>
      <w:r>
        <w:rPr>
          <w:rFonts w:ascii="Arial" w:cs="Arial" w:eastAsia="Arial" w:hAnsi="Arial"/>
          <w:sz w:val="17"/>
          <w:szCs w:val="17"/>
          <w:u w:val="single" w:color="auto"/>
          <w:color w:val="auto"/>
        </w:rPr>
        <w:t>Issuer</w:t>
      </w:r>
      <w:r>
        <w:rPr>
          <w:rFonts w:ascii="Arial" w:cs="Arial" w:eastAsia="Arial" w:hAnsi="Arial"/>
          <w:sz w:val="17"/>
          <w:szCs w:val="17"/>
          <w:color w:val="auto"/>
        </w:rPr>
        <w:t>”), and U.S. Bank National Association, as trustee under the Indenture referred to below (the “</w:t>
      </w:r>
      <w:r>
        <w:rPr>
          <w:rFonts w:ascii="Arial" w:cs="Arial" w:eastAsia="Arial" w:hAnsi="Arial"/>
          <w:sz w:val="17"/>
          <w:szCs w:val="17"/>
          <w:u w:val="single" w:color="auto"/>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WHEREAS the Issuer and the Trustee have heretofore executed an indenture, dated as of April 29, 2021 (as amended, supplemented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the Issuer’s 4.375% Senior Secured Notes due 2029 (the “</w:t>
      </w:r>
      <w:r>
        <w:rPr>
          <w:rFonts w:ascii="Arial" w:cs="Arial" w:eastAsia="Arial" w:hAnsi="Arial"/>
          <w:sz w:val="18"/>
          <w:szCs w:val="18"/>
          <w:u w:val="single" w:color="auto"/>
          <w:color w:val="auto"/>
        </w:rPr>
        <w:t>Notes</w:t>
      </w:r>
      <w:r>
        <w:rPr>
          <w:rFonts w:ascii="Arial" w:cs="Arial" w:eastAsia="Arial" w:hAnsi="Arial"/>
          <w:sz w:val="18"/>
          <w:szCs w:val="18"/>
          <w:color w:val="auto"/>
        </w:rPr>
        <w:t>”), initially in the aggregate principal amount of $1,500,000,000;</w:t>
      </w:r>
    </w:p>
    <w:p>
      <w:pPr>
        <w:spacing w:after="0" w:line="18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WHEREAS Sections 4.11 and 12.07 of the Indenture provide that under certain circumstances the Issuer is required to cause the New Guarantors to execute and deliver to the Trustee a supplemental indenture pursuant to which the New Guarantors shall guarantee the Guaranteed Obligations; and</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pursuant to Section 9.01 of the Indenture, the Trustee, the New Guarantors and the Issuer are authorized to execute and deliver this Supplemental Indenture;</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Guarantors, the Issuer and the Trustee mutually covenant and agree for the equal and ratable benefit of the holders of the Notes as follows:</w:t>
      </w:r>
    </w:p>
    <w:p>
      <w:pPr>
        <w:spacing w:after="0" w:line="184" w:lineRule="exact"/>
        <w:rPr>
          <w:sz w:val="20"/>
          <w:szCs w:val="20"/>
          <w:color w:val="auto"/>
        </w:rPr>
      </w:pPr>
    </w:p>
    <w:p>
      <w:pPr>
        <w:ind w:right="60" w:firstLine="656"/>
        <w:spacing w:after="0" w:line="263" w:lineRule="auto"/>
        <w:tabs>
          <w:tab w:leader="none" w:pos="96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without definition shall have the meanings assigned to them in the Indenture. The words “herein,” “hereof” and “hereby” and other words of similar import used in this Supplemental Indenture refer to this Supplemental Indenture as a whole and not to any particular Section hereof.</w:t>
      </w:r>
    </w:p>
    <w:p>
      <w:pPr>
        <w:spacing w:after="0" w:line="183" w:lineRule="exact"/>
        <w:rPr>
          <w:rFonts w:ascii="Arial" w:cs="Arial" w:eastAsia="Arial" w:hAnsi="Arial"/>
          <w:sz w:val="18"/>
          <w:szCs w:val="18"/>
          <w:color w:val="auto"/>
        </w:rPr>
      </w:pPr>
    </w:p>
    <w:p>
      <w:pPr>
        <w:ind w:right="420" w:firstLine="656"/>
        <w:spacing w:after="0" w:line="311" w:lineRule="auto"/>
        <w:tabs>
          <w:tab w:leader="none" w:pos="96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Each New Guarantor hereby agrees, jointly and severally with all existing Guarantors (if any), to guarantee the Guaranteed Obligations on the terms and subject to the conditions set forth in Article XII of the Indenture and to be bound by all other applicable provisions of the Indenture and the Notes and to perform all of the obligations and agreements of a Guarantor under the Indenture.</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to the New Guarantors shall be given as provided in Section 13.02 of the Indenture.</w:t>
      </w:r>
    </w:p>
    <w:p>
      <w:pPr>
        <w:spacing w:after="0" w:line="225" w:lineRule="exact"/>
        <w:rPr>
          <w:rFonts w:ascii="Arial" w:cs="Arial" w:eastAsia="Arial" w:hAnsi="Arial"/>
          <w:sz w:val="18"/>
          <w:szCs w:val="18"/>
          <w:color w:val="auto"/>
        </w:rPr>
      </w:pPr>
    </w:p>
    <w:p>
      <w:pPr>
        <w:ind w:right="220" w:firstLine="656"/>
        <w:spacing w:after="0" w:line="311" w:lineRule="auto"/>
        <w:tabs>
          <w:tab w:leader="none" w:pos="96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44"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GOVERNED BY, AND CONSTRUED IN ACCORDANCE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WITH, THE LAWS OF THE STATE OF NEW YORK.</w:t>
      </w:r>
    </w:p>
    <w:p>
      <w:pPr>
        <w:spacing w:after="0" w:line="210" w:lineRule="exact"/>
        <w:rPr>
          <w:rFonts w:ascii="Arial" w:cs="Arial" w:eastAsia="Arial" w:hAnsi="Arial"/>
          <w:sz w:val="18"/>
          <w:szCs w:val="18"/>
          <w:color w:val="auto"/>
        </w:rPr>
      </w:pPr>
    </w:p>
    <w:p>
      <w:pPr>
        <w:ind w:right="40" w:firstLine="656"/>
        <w:spacing w:after="0" w:line="257" w:lineRule="auto"/>
        <w:tabs>
          <w:tab w:leader="none" w:pos="96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The Trustee accepts the amendments of the Indenture effected by this Supplemental Indenture on the terms and conditions set forth in the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Issuer, or for or with respect to (i) the validity or sufficiency of this Supplemental Indenture or any of the terms or provisions hereof, (ii)</w:t>
      </w:r>
    </w:p>
    <w:p>
      <w:pPr>
        <w:sectPr>
          <w:pgSz w:w="11900" w:h="16838" w:orient="portrait"/>
          <w:cols w:equalWidth="0" w:num="1">
            <w:col w:w="11240"/>
          </w:cols>
          <w:pgMar w:left="320" w:top="125" w:right="339" w:bottom="1440" w:gutter="0" w:footer="0" w:header="0"/>
        </w:sectPr>
      </w:pPr>
    </w:p>
    <w:bookmarkStart w:id="96" w:name="page97"/>
    <w:bookmarkEnd w:id="96"/>
    <w:p>
      <w:pPr>
        <w:spacing w:after="0" w:line="263" w:lineRule="auto"/>
        <w:rPr>
          <w:sz w:val="20"/>
          <w:szCs w:val="20"/>
          <w:color w:val="auto"/>
        </w:rPr>
      </w:pPr>
      <w:r>
        <w:rPr>
          <w:rFonts w:ascii="Arial" w:cs="Arial" w:eastAsia="Arial" w:hAnsi="Arial"/>
          <w:sz w:val="18"/>
          <w:szCs w:val="18"/>
          <w:color w:val="auto"/>
        </w:rPr>
        <w:t>the proper authorization hereof by the Issuer and each New Guarantor, in each case, by action or otherwise, (iii) the due execution hereof by the Issuer and each New Guarantor or (iv) the consequences of any amendment herein provided for, and the Trustee makes no representation with respect to any such matters.</w:t>
      </w:r>
    </w:p>
    <w:p>
      <w:pPr>
        <w:spacing w:after="0" w:line="184" w:lineRule="exact"/>
        <w:rPr>
          <w:sz w:val="20"/>
          <w:szCs w:val="20"/>
          <w:color w:val="auto"/>
        </w:rPr>
      </w:pPr>
    </w:p>
    <w:p>
      <w:pPr>
        <w:ind w:right="80" w:firstLine="656"/>
        <w:spacing w:after="0" w:line="257" w:lineRule="auto"/>
        <w:tabs>
          <w:tab w:leader="none" w:pos="96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 One signed copy is enough to prove this Supplemental Indenture. Notwithstanding the foregoing,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spacing w:after="0" w:line="187" w:lineRule="exact"/>
        <w:rPr>
          <w:rFonts w:ascii="Arial" w:cs="Arial" w:eastAsia="Arial" w:hAnsi="Arial"/>
          <w:sz w:val="18"/>
          <w:szCs w:val="18"/>
          <w:color w:val="auto"/>
        </w:rPr>
      </w:pPr>
    </w:p>
    <w:p>
      <w:pPr>
        <w:ind w:right="480" w:firstLine="656"/>
        <w:spacing w:after="0" w:line="277" w:lineRule="auto"/>
        <w:tabs>
          <w:tab w:leader="none" w:pos="96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of this Supplemental Indenture have been inserted for convenience of reference only, are not intended to be considered a part hereof and shall not modify or restrict any of the terms or provisions here.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140"/>
          </w:cols>
          <w:pgMar w:left="320" w:top="1421" w:right="439" w:bottom="1440" w:gutter="0" w:footer="0" w:header="0"/>
        </w:sectPr>
      </w:pPr>
    </w:p>
    <w:bookmarkStart w:id="97" w:name="page98"/>
    <w:bookmarkEnd w:id="97"/>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caused this Supplemental Indenture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JAZZ SECURITIES DESIGNATED ACTIVITY COMPANY</w:t>
      </w:r>
      <w:r>
        <w:rPr>
          <w:rFonts w:ascii="Arial" w:cs="Arial" w:eastAsia="Arial" w:hAnsi="Arial"/>
          <w:sz w:val="18"/>
          <w:szCs w:val="18"/>
          <w:color w:val="auto"/>
        </w:rPr>
        <w:t>, as Issuer</w:t>
      </w:r>
    </w:p>
    <w:p>
      <w:pPr>
        <w:spacing w:after="0" w:line="200" w:lineRule="exact"/>
        <w:rPr>
          <w:sz w:val="20"/>
          <w:szCs w:val="20"/>
          <w:color w:val="auto"/>
        </w:rPr>
      </w:pPr>
    </w:p>
    <w:p>
      <w:pPr>
        <w:spacing w:after="0" w:line="245"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By:</w:t>
        <w:tab/>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-10160</wp:posOffset>
            </wp:positionV>
            <wp:extent cx="859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Patricia Carr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GW PHARMACEUTICALS LIMITED</w:t>
      </w:r>
      <w:r>
        <w:rPr>
          <w:rFonts w:ascii="Arial" w:cs="Arial" w:eastAsia="Arial" w:hAnsi="Arial"/>
          <w:sz w:val="18"/>
          <w:szCs w:val="18"/>
          <w:color w:val="auto"/>
        </w:rPr>
        <w:t>, as a New Guarantor</w:t>
      </w:r>
    </w:p>
    <w:p>
      <w:pPr>
        <w:spacing w:after="0" w:line="200" w:lineRule="exact"/>
        <w:rPr>
          <w:sz w:val="20"/>
          <w:szCs w:val="20"/>
          <w:color w:val="auto"/>
        </w:rPr>
      </w:pPr>
    </w:p>
    <w:p>
      <w:pPr>
        <w:spacing w:after="0" w:line="245"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By:</w:t>
        <w:tab/>
        <w:t>/s/ Iain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-10160</wp:posOffset>
            </wp:positionV>
            <wp:extent cx="7302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30250" cy="8890"/>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Iain Ward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GW GLOBAL SERVICES (INTERNATIONAL) LIMITED</w:t>
      </w:r>
      <w:r>
        <w:rPr>
          <w:rFonts w:ascii="Arial" w:cs="Arial" w:eastAsia="Arial" w:hAnsi="Arial"/>
          <w:sz w:val="18"/>
          <w:szCs w:val="18"/>
          <w:color w:val="auto"/>
        </w:rPr>
        <w:t>, as a New Guarantor</w:t>
      </w:r>
    </w:p>
    <w:p>
      <w:pPr>
        <w:spacing w:after="0" w:line="200" w:lineRule="exact"/>
        <w:rPr>
          <w:sz w:val="20"/>
          <w:szCs w:val="20"/>
          <w:color w:val="auto"/>
        </w:rPr>
      </w:pPr>
    </w:p>
    <w:p>
      <w:pPr>
        <w:spacing w:after="0" w:line="245"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By:</w:t>
        <w:tab/>
        <w:t>/s/ Iain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-10160</wp:posOffset>
            </wp:positionV>
            <wp:extent cx="7302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Iain Ward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GW PHARMA LIMITED</w:t>
      </w:r>
      <w:r>
        <w:rPr>
          <w:rFonts w:ascii="Arial" w:cs="Arial" w:eastAsia="Arial" w:hAnsi="Arial"/>
          <w:sz w:val="18"/>
          <w:szCs w:val="18"/>
          <w:color w:val="auto"/>
        </w:rPr>
        <w:t>, as a New Guarantor</w:t>
      </w:r>
    </w:p>
    <w:p>
      <w:pPr>
        <w:spacing w:after="0" w:line="200" w:lineRule="exact"/>
        <w:rPr>
          <w:sz w:val="20"/>
          <w:szCs w:val="20"/>
          <w:color w:val="auto"/>
        </w:rPr>
      </w:pPr>
    </w:p>
    <w:p>
      <w:pPr>
        <w:spacing w:after="0" w:line="245"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By:</w:t>
        <w:tab/>
        <w:t>/s/ Iain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-10160</wp:posOffset>
            </wp:positionV>
            <wp:extent cx="7302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Iain Ward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GW RESEARCH LIMITED</w:t>
      </w:r>
      <w:r>
        <w:rPr>
          <w:rFonts w:ascii="Arial" w:cs="Arial" w:eastAsia="Arial" w:hAnsi="Arial"/>
          <w:sz w:val="18"/>
          <w:szCs w:val="18"/>
          <w:color w:val="auto"/>
        </w:rPr>
        <w:t>, as a New Guarantor</w:t>
      </w:r>
    </w:p>
    <w:p>
      <w:pPr>
        <w:spacing w:after="0" w:line="200" w:lineRule="exact"/>
        <w:rPr>
          <w:sz w:val="20"/>
          <w:szCs w:val="20"/>
          <w:color w:val="auto"/>
        </w:rPr>
      </w:pPr>
    </w:p>
    <w:p>
      <w:pPr>
        <w:spacing w:after="0" w:line="245"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By:</w:t>
        <w:tab/>
        <w:t>/s/ Iain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-10160</wp:posOffset>
            </wp:positionV>
            <wp:extent cx="7302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Iain Ward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600"/>
          </w:cols>
          <w:pgMar w:left="980" w:top="144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[Signature Page to First Supplemental Indenture]</w:t>
      </w:r>
    </w:p>
    <w:p>
      <w:pPr>
        <w:sectPr>
          <w:pgSz w:w="11900" w:h="16838" w:orient="portrait"/>
          <w:cols w:equalWidth="0" w:num="1">
            <w:col w:w="9600"/>
          </w:cols>
          <w:pgMar w:left="980" w:top="1440" w:right="1319" w:bottom="1440" w:gutter="0" w:footer="0" w:header="0"/>
          <w:type w:val="continuous"/>
        </w:sectPr>
      </w:pPr>
    </w:p>
    <w:bookmarkStart w:id="98" w:name="page99"/>
    <w:bookmarkEnd w:id="98"/>
    <w:p>
      <w:pPr>
        <w:ind w:left="2780"/>
        <w:spacing w:after="0"/>
        <w:rPr>
          <w:sz w:val="20"/>
          <w:szCs w:val="20"/>
          <w:color w:val="auto"/>
        </w:rPr>
      </w:pPr>
      <w:r>
        <w:rPr>
          <w:rFonts w:ascii="Arial" w:cs="Arial" w:eastAsia="Arial" w:hAnsi="Arial"/>
          <w:sz w:val="18"/>
          <w:szCs w:val="18"/>
          <w:b w:val="1"/>
          <w:bCs w:val="1"/>
          <w:color w:val="auto"/>
        </w:rPr>
        <w:t>GW UK SERVICES LIMITED</w:t>
      </w:r>
      <w:r>
        <w:rPr>
          <w:rFonts w:ascii="Arial" w:cs="Arial" w:eastAsia="Arial" w:hAnsi="Arial"/>
          <w:sz w:val="18"/>
          <w:szCs w:val="18"/>
          <w:color w:val="auto"/>
        </w:rPr>
        <w:t>, as a New Guarantor</w:t>
      </w:r>
    </w:p>
    <w:p>
      <w:pPr>
        <w:spacing w:after="0" w:line="200" w:lineRule="exact"/>
        <w:rPr>
          <w:sz w:val="20"/>
          <w:szCs w:val="20"/>
          <w:color w:val="auto"/>
        </w:rPr>
      </w:pPr>
    </w:p>
    <w:p>
      <w:pPr>
        <w:spacing w:after="0" w:line="299"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18"/>
          <w:szCs w:val="18"/>
          <w:color w:val="auto"/>
        </w:rPr>
        <w:t>By:</w:t>
        <w:tab/>
        <w:t>/s/ Iain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7302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Iain Ward</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GREENWICH BIOSCIENCES, INC.</w:t>
      </w:r>
      <w:r>
        <w:rPr>
          <w:rFonts w:ascii="Arial" w:cs="Arial" w:eastAsia="Arial" w:hAnsi="Arial"/>
          <w:sz w:val="17"/>
          <w:szCs w:val="17"/>
          <w:color w:val="auto"/>
        </w:rPr>
        <w:t>, as a New Guarantor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18"/>
          <w:szCs w:val="18"/>
          <w:color w:val="auto"/>
        </w:rPr>
        <w:t>By:</w:t>
        <w:tab/>
        <w:t>/s/ Joshua Eizen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8788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Name: Joshua Eizen</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First Supplemental Indenture]</w:t>
      </w:r>
    </w:p>
    <w:p>
      <w:pPr>
        <w:sectPr>
          <w:pgSz w:w="11900" w:h="16838" w:orient="portrait"/>
          <w:cols w:equalWidth="0" w:num="1">
            <w:col w:w="9019"/>
          </w:cols>
          <w:pgMar w:left="1440" w:top="1417" w:right="1440" w:bottom="1440" w:gutter="0" w:footer="0" w:header="0"/>
        </w:sectPr>
      </w:pPr>
    </w:p>
    <w:bookmarkStart w:id="99" w:name="page100"/>
    <w:bookmarkEnd w:id="99"/>
    <w:p>
      <w:pPr>
        <w:ind w:left="278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 not in its individual capacity, but solely as Trustee</w:t>
      </w:r>
    </w:p>
    <w:p>
      <w:pPr>
        <w:spacing w:after="0" w:line="200" w:lineRule="exact"/>
        <w:rPr>
          <w:sz w:val="20"/>
          <w:szCs w:val="20"/>
          <w:color w:val="auto"/>
        </w:rPr>
      </w:pPr>
    </w:p>
    <w:p>
      <w:pPr>
        <w:spacing w:after="0" w:line="257" w:lineRule="exact"/>
        <w:rPr>
          <w:sz w:val="20"/>
          <w:szCs w:val="20"/>
          <w:color w:val="auto"/>
        </w:rPr>
      </w:pPr>
    </w:p>
    <w:p>
      <w:pPr>
        <w:ind w:left="2780"/>
        <w:spacing w:after="0"/>
        <w:tabs>
          <w:tab w:leader="none" w:pos="3240" w:val="left"/>
        </w:tabs>
        <w:rPr>
          <w:sz w:val="20"/>
          <w:szCs w:val="20"/>
          <w:color w:val="auto"/>
        </w:rPr>
      </w:pPr>
      <w:r>
        <w:rPr>
          <w:rFonts w:ascii="Arial" w:cs="Arial" w:eastAsia="Arial" w:hAnsi="Arial"/>
          <w:sz w:val="18"/>
          <w:szCs w:val="18"/>
          <w:color w:val="auto"/>
        </w:rPr>
        <w:t>By:</w:t>
        <w:tab/>
        <w:t>/s/ Christopher J. Grell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1836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3" w:lineRule="exact"/>
        <w:rPr>
          <w:sz w:val="20"/>
          <w:szCs w:val="20"/>
          <w:color w:val="auto"/>
        </w:rPr>
      </w:pPr>
    </w:p>
    <w:p>
      <w:pPr>
        <w:ind w:left="2960"/>
        <w:spacing w:after="0"/>
        <w:tabs>
          <w:tab w:leader="none" w:pos="3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J. Grell</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Supplemental Indenture]</w:t>
      </w:r>
    </w:p>
    <w:p>
      <w:pPr>
        <w:sectPr>
          <w:pgSz w:w="11900" w:h="16838" w:orient="portrait"/>
          <w:cols w:equalWidth="0" w:num="1">
            <w:col w:w="9640"/>
          </w:cols>
          <w:pgMar w:left="1440" w:top="1417" w:right="81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10.1A</w:t>
      </w:r>
    </w:p>
    <w:p>
      <w:pPr>
        <w:spacing w:after="0" w:line="85"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AMENDMENT #1</w:t>
      </w: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TO PHARMACY SERVICES MASTER SERVICES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AGREEMENT</w:t>
      </w:r>
    </w:p>
    <w:p>
      <w:pPr>
        <w:spacing w:after="0" w:line="131" w:lineRule="exact"/>
        <w:rPr>
          <w:sz w:val="20"/>
          <w:szCs w:val="20"/>
          <w:color w:val="auto"/>
        </w:rPr>
      </w:pPr>
    </w:p>
    <w:p>
      <w:pPr>
        <w:ind w:right="320"/>
        <w:spacing w:after="0" w:line="274" w:lineRule="auto"/>
        <w:rPr>
          <w:sz w:val="20"/>
          <w:szCs w:val="20"/>
          <w:color w:val="auto"/>
        </w:rPr>
      </w:pPr>
      <w:r>
        <w:rPr>
          <w:rFonts w:ascii="Arial" w:cs="Arial" w:eastAsia="Arial" w:hAnsi="Arial"/>
          <w:sz w:val="22"/>
          <w:szCs w:val="22"/>
          <w:color w:val="auto"/>
        </w:rPr>
        <w:t>This Amendment #1 to Pharmacy Master Services Agreement (“Amendment”), effective as of the last date signed below (the “Effective Date”), is made pursuant to the terms of the Pharmacy Services Master Services Agreement (“Agreement”), effective as of July 1, 2020 between Jazz Pharmaceuticals, Inc. (“Jazz Pharmaceuticals”) and Express Scripts Specialty Distribution Services, Inc. (“ESSDS”) (individually, “Party” and collectively, “Parties”), the terms of which are incorporated herein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Whereas, ESSDS intends to relocate the fulfillment operations of the Certified Pharmacy.</w:t>
      </w:r>
    </w:p>
    <w:p>
      <w:pPr>
        <w:spacing w:after="0" w:line="254" w:lineRule="exact"/>
        <w:rPr>
          <w:sz w:val="20"/>
          <w:szCs w:val="20"/>
          <w:color w:val="auto"/>
        </w:rPr>
      </w:pPr>
    </w:p>
    <w:p>
      <w:pPr>
        <w:jc w:val="both"/>
        <w:ind w:right="100"/>
        <w:spacing w:after="0" w:line="256" w:lineRule="auto"/>
        <w:rPr>
          <w:sz w:val="20"/>
          <w:szCs w:val="20"/>
          <w:color w:val="auto"/>
        </w:rPr>
      </w:pPr>
      <w:r>
        <w:rPr>
          <w:rFonts w:ascii="Arial" w:cs="Arial" w:eastAsia="Arial" w:hAnsi="Arial"/>
          <w:sz w:val="22"/>
          <w:szCs w:val="22"/>
          <w:color w:val="auto"/>
        </w:rPr>
        <w:t>Now therefore</w:t>
      </w:r>
      <w:r>
        <w:rPr>
          <w:rFonts w:ascii="Arial" w:cs="Arial" w:eastAsia="Arial" w:hAnsi="Arial"/>
          <w:sz w:val="22"/>
          <w:szCs w:val="22"/>
          <w:b w:val="1"/>
          <w:bCs w:val="1"/>
          <w:color w:val="auto"/>
        </w:rPr>
        <w:t>,</w:t>
      </w:r>
      <w:r>
        <w:rPr>
          <w:rFonts w:ascii="Arial" w:cs="Arial" w:eastAsia="Arial" w:hAnsi="Arial"/>
          <w:sz w:val="22"/>
          <w:szCs w:val="22"/>
          <w:color w:val="auto"/>
        </w:rPr>
        <w:t xml:space="preserve"> in consideration of the above recital, which is incorporated by this reference, the mutual promises and covenants set forth below, and other good and valuable consideration, the receipt and sufficiency of which are hereby acknowledged, the Parties agree as follows:</w:t>
      </w:r>
    </w:p>
    <w:p>
      <w:pPr>
        <w:spacing w:after="0" w:line="200" w:lineRule="exact"/>
        <w:rPr>
          <w:sz w:val="20"/>
          <w:szCs w:val="20"/>
          <w:color w:val="auto"/>
        </w:rPr>
      </w:pPr>
    </w:p>
    <w:p>
      <w:pPr>
        <w:spacing w:after="0" w:line="387" w:lineRule="exact"/>
        <w:rPr>
          <w:sz w:val="20"/>
          <w:szCs w:val="20"/>
          <w:color w:val="auto"/>
        </w:rPr>
      </w:pPr>
    </w:p>
    <w:p>
      <w:pPr>
        <w:ind w:left="700" w:hanging="379"/>
        <w:spacing w:after="0"/>
        <w:tabs>
          <w:tab w:leader="none" w:pos="7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Section 4.9 Certified Pharmacy Relocation is hereby added to the Agreement:</w:t>
      </w:r>
    </w:p>
    <w:p>
      <w:pPr>
        <w:spacing w:after="0" w:line="192"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4.9 Certified Pharmacy Relocation</w:t>
      </w:r>
    </w:p>
    <w:p>
      <w:pPr>
        <w:spacing w:after="0" w:line="179" w:lineRule="exact"/>
        <w:rPr>
          <w:rFonts w:ascii="Arial" w:cs="Arial" w:eastAsia="Arial" w:hAnsi="Arial"/>
          <w:sz w:val="22"/>
          <w:szCs w:val="22"/>
          <w:color w:val="auto"/>
        </w:rPr>
      </w:pPr>
    </w:p>
    <w:p>
      <w:pPr>
        <w:ind w:left="1280" w:hanging="311"/>
        <w:spacing w:after="0"/>
        <w:tabs>
          <w:tab w:leader="none" w:pos="1280" w:val="left"/>
        </w:tabs>
        <w:numPr>
          <w:ilvl w:val="1"/>
          <w:numId w:val="35"/>
        </w:numPr>
        <w:rPr>
          <w:rFonts w:ascii="Arial" w:cs="Arial" w:eastAsia="Arial" w:hAnsi="Arial"/>
          <w:sz w:val="22"/>
          <w:szCs w:val="22"/>
          <w:color w:val="auto"/>
        </w:rPr>
      </w:pPr>
      <w:r>
        <w:rPr>
          <w:rFonts w:ascii="Arial" w:cs="Arial" w:eastAsia="Arial" w:hAnsi="Arial"/>
          <w:sz w:val="22"/>
          <w:szCs w:val="22"/>
          <w:color w:val="auto"/>
        </w:rPr>
        <w:t>Jazz Pharmaceuticals acknowledges that ESSDS intends to relocate the</w:t>
      </w:r>
    </w:p>
    <w:p>
      <w:pPr>
        <w:spacing w:after="0" w:line="21" w:lineRule="exact"/>
        <w:rPr>
          <w:rFonts w:ascii="Arial" w:cs="Arial" w:eastAsia="Arial" w:hAnsi="Arial"/>
          <w:sz w:val="22"/>
          <w:szCs w:val="22"/>
          <w:color w:val="auto"/>
        </w:rPr>
      </w:pPr>
    </w:p>
    <w:p>
      <w:pPr>
        <w:jc w:val="both"/>
        <w:ind w:left="1300" w:right="160"/>
        <w:spacing w:after="0" w:line="245" w:lineRule="auto"/>
        <w:rPr>
          <w:rFonts w:ascii="Arial" w:cs="Arial" w:eastAsia="Arial" w:hAnsi="Arial"/>
          <w:sz w:val="22"/>
          <w:szCs w:val="22"/>
          <w:color w:val="auto"/>
        </w:rPr>
      </w:pPr>
      <w:r>
        <w:rPr>
          <w:rFonts w:ascii="Arial" w:cs="Arial" w:eastAsia="Arial" w:hAnsi="Arial"/>
          <w:sz w:val="22"/>
          <w:szCs w:val="22"/>
          <w:color w:val="auto"/>
        </w:rPr>
        <w:t>fulfillment operations of the Certified Pharmacy from its’ current address of 8931 Springdale Ave. Ste. A St. Louis, MO 63134 to 4600 North Hanley Rd. Ste. B St. Louis, MO 63121 at the close of business on July 16, 2021.</w:t>
      </w:r>
    </w:p>
    <w:p>
      <w:pPr>
        <w:spacing w:after="0" w:line="152" w:lineRule="exact"/>
        <w:rPr>
          <w:rFonts w:ascii="Arial" w:cs="Arial" w:eastAsia="Arial" w:hAnsi="Arial"/>
          <w:sz w:val="22"/>
          <w:szCs w:val="22"/>
          <w:color w:val="auto"/>
        </w:rPr>
      </w:pPr>
    </w:p>
    <w:p>
      <w:pPr>
        <w:ind w:left="1300" w:hanging="330"/>
        <w:spacing w:after="0"/>
        <w:tabs>
          <w:tab w:leader="none" w:pos="13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ESSDS shall be solely responsible for all out-of-pocket costs incurred as a result of this relocation.</w:t>
      </w:r>
    </w:p>
    <w:p>
      <w:pPr>
        <w:spacing w:after="0" w:line="192" w:lineRule="exact"/>
        <w:rPr>
          <w:rFonts w:ascii="Arial" w:cs="Arial" w:eastAsia="Arial" w:hAnsi="Arial"/>
          <w:sz w:val="22"/>
          <w:szCs w:val="22"/>
          <w:color w:val="auto"/>
        </w:rPr>
      </w:pPr>
    </w:p>
    <w:p>
      <w:pPr>
        <w:ind w:left="1300" w:right="540" w:hanging="330"/>
        <w:spacing w:after="0" w:line="263" w:lineRule="auto"/>
        <w:tabs>
          <w:tab w:leader="none" w:pos="1288" w:val="left"/>
        </w:tabs>
        <w:numPr>
          <w:ilvl w:val="1"/>
          <w:numId w:val="35"/>
        </w:numPr>
        <w:rPr>
          <w:rFonts w:ascii="Arial" w:cs="Arial" w:eastAsia="Arial" w:hAnsi="Arial"/>
          <w:sz w:val="22"/>
          <w:szCs w:val="22"/>
          <w:color w:val="auto"/>
        </w:rPr>
      </w:pPr>
      <w:r>
        <w:rPr>
          <w:rFonts w:ascii="Arial" w:cs="Arial" w:eastAsia="Arial" w:hAnsi="Arial"/>
          <w:sz w:val="22"/>
          <w:szCs w:val="22"/>
          <w:color w:val="auto"/>
        </w:rPr>
        <w:t>At all times during this relocation, ESSDS shall handle, maintain, store, transport and deliver the Product in accordance with all Applicable Laws and SOPs.</w:t>
      </w:r>
    </w:p>
    <w:p>
      <w:pPr>
        <w:spacing w:after="0" w:line="134" w:lineRule="exact"/>
        <w:rPr>
          <w:rFonts w:ascii="Arial" w:cs="Arial" w:eastAsia="Arial" w:hAnsi="Arial"/>
          <w:sz w:val="22"/>
          <w:szCs w:val="22"/>
          <w:color w:val="auto"/>
        </w:rPr>
      </w:pPr>
    </w:p>
    <w:p>
      <w:pPr>
        <w:ind w:left="1300" w:right="860" w:hanging="330"/>
        <w:spacing w:after="0" w:line="343" w:lineRule="auto"/>
        <w:tabs>
          <w:tab w:leader="none" w:pos="13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ESSDS will not dispense from more than one Certified Pharmacy location at a time and will continue to provide Services in accordance with Section 2.8 of the Pharmacy Master Services Agreement.</w:t>
      </w:r>
    </w:p>
    <w:p>
      <w:pPr>
        <w:spacing w:after="0" w:line="63" w:lineRule="exact"/>
        <w:rPr>
          <w:rFonts w:ascii="Arial" w:cs="Arial" w:eastAsia="Arial" w:hAnsi="Arial"/>
          <w:sz w:val="19"/>
          <w:szCs w:val="19"/>
          <w:color w:val="auto"/>
        </w:rPr>
      </w:pPr>
    </w:p>
    <w:p>
      <w:pPr>
        <w:ind w:left="640" w:hanging="319"/>
        <w:spacing w:after="0"/>
        <w:tabs>
          <w:tab w:leader="none" w:pos="6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Exhibit B hereby deleted and replaced in its’ entirety with Exhibit B below.</w:t>
      </w:r>
    </w:p>
    <w:p>
      <w:pPr>
        <w:spacing w:after="0" w:line="192" w:lineRule="exact"/>
        <w:rPr>
          <w:rFonts w:ascii="Arial" w:cs="Arial" w:eastAsia="Arial" w:hAnsi="Arial"/>
          <w:sz w:val="22"/>
          <w:szCs w:val="22"/>
          <w:color w:val="auto"/>
        </w:rPr>
      </w:pPr>
    </w:p>
    <w:p>
      <w:pPr>
        <w:ind w:left="640" w:right="340" w:hanging="318"/>
        <w:spacing w:after="0" w:line="265" w:lineRule="auto"/>
        <w:tabs>
          <w:tab w:leader="none" w:pos="6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In the event of any conflict or inconsistency between the terms and provisions of the Agreement and the terms and provisions of this Amendment, the terms and provisions of this Amendment will govern and prevail. Except as expressly provided in this Amendment, this Amendment does not in any way change, modify or delete the provisions of the Agreement (or the Parties’ rights, remedies or obligations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420" w:top="1408" w:right="339" w:bottom="1440" w:gutter="0" w:footer="0" w:header="0"/>
        </w:sectPr>
      </w:pPr>
    </w:p>
    <w:bookmarkStart w:id="101" w:name="page102"/>
    <w:bookmarkEnd w:id="101"/>
    <w:p>
      <w:pPr>
        <w:spacing w:after="0" w:line="83" w:lineRule="exact"/>
        <w:rPr>
          <w:sz w:val="20"/>
          <w:szCs w:val="20"/>
          <w:color w:val="auto"/>
        </w:rPr>
      </w:pPr>
    </w:p>
    <w:p>
      <w:pPr>
        <w:ind w:left="740"/>
        <w:spacing w:after="0" w:line="302" w:lineRule="auto"/>
        <w:rPr>
          <w:sz w:val="20"/>
          <w:szCs w:val="20"/>
          <w:color w:val="auto"/>
        </w:rPr>
      </w:pPr>
      <w:r>
        <w:rPr>
          <w:rFonts w:ascii="Arial" w:cs="Arial" w:eastAsia="Arial" w:hAnsi="Arial"/>
          <w:sz w:val="19"/>
          <w:szCs w:val="19"/>
          <w:color w:val="auto"/>
        </w:rPr>
        <w:t>and all such provisions shall remain in full force and effect. On and after the Amendment Effective Date, each reference in the Agreement to “this Agreement,” “hereunder,” “hereof,” “herein,” or words of like import, and each reference to the Agreement in any other agreements, documents or instruments executed and delivered pursuant to the Agreement, shall mean and be a reference to the Agreement, as amended by this Amendment.</w:t>
      </w:r>
    </w:p>
    <w:p>
      <w:pPr>
        <w:spacing w:after="0" w:line="200" w:lineRule="exact"/>
        <w:rPr>
          <w:sz w:val="20"/>
          <w:szCs w:val="20"/>
          <w:color w:val="auto"/>
        </w:rPr>
      </w:pPr>
    </w:p>
    <w:p>
      <w:pPr>
        <w:spacing w:after="0" w:line="226" w:lineRule="exact"/>
        <w:rPr>
          <w:sz w:val="20"/>
          <w:szCs w:val="20"/>
          <w:color w:val="auto"/>
        </w:rPr>
      </w:pPr>
    </w:p>
    <w:p>
      <w:pPr>
        <w:ind w:left="100" w:right="960"/>
        <w:spacing w:after="0" w:line="289" w:lineRule="auto"/>
        <w:rPr>
          <w:sz w:val="20"/>
          <w:szCs w:val="20"/>
          <w:color w:val="auto"/>
        </w:rPr>
      </w:pPr>
      <w:r>
        <w:rPr>
          <w:rFonts w:ascii="Arial" w:cs="Arial" w:eastAsia="Arial" w:hAnsi="Arial"/>
          <w:sz w:val="22"/>
          <w:szCs w:val="22"/>
          <w:color w:val="auto"/>
        </w:rPr>
        <w:t>IN WITNESS WHEREOF, by signature of their respective duly authorized representatives below, the Parties have agreed to this Amendment as of the Effective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400" w:type="dxa"/>
            <w:vAlign w:val="bottom"/>
            <w:gridSpan w:val="8"/>
            <w:vMerge w:val="restart"/>
          </w:tcPr>
          <w:p>
            <w:pPr>
              <w:ind w:left="160"/>
              <w:spacing w:after="0"/>
              <w:rPr>
                <w:sz w:val="20"/>
                <w:szCs w:val="20"/>
                <w:color w:val="auto"/>
              </w:rPr>
            </w:pPr>
            <w:r>
              <w:rPr>
                <w:rFonts w:ascii="Arial" w:cs="Arial" w:eastAsia="Arial" w:hAnsi="Arial"/>
                <w:sz w:val="22"/>
                <w:szCs w:val="22"/>
                <w:b w:val="1"/>
                <w:bCs w:val="1"/>
                <w:color w:val="auto"/>
              </w:rPr>
              <w:t>EXPRESS SCRIPTS SPECIALTY DISTRIBUTIONS</w:t>
            </w:r>
          </w:p>
        </w:tc>
        <w:tc>
          <w:tcPr>
            <w:tcW w:w="3680" w:type="dxa"/>
            <w:vAlign w:val="bottom"/>
            <w:gridSpan w:val="7"/>
          </w:tcPr>
          <w:p>
            <w:pPr>
              <w:ind w:left="300"/>
              <w:spacing w:after="0"/>
              <w:rPr>
                <w:sz w:val="20"/>
                <w:szCs w:val="20"/>
                <w:color w:val="auto"/>
              </w:rPr>
            </w:pPr>
            <w:r>
              <w:rPr>
                <w:rFonts w:ascii="Arial" w:cs="Arial" w:eastAsia="Arial" w:hAnsi="Arial"/>
                <w:sz w:val="20"/>
                <w:szCs w:val="20"/>
                <w:b w:val="1"/>
                <w:bCs w:val="1"/>
                <w:color w:val="auto"/>
              </w:rPr>
              <w:t>J</w:t>
            </w:r>
            <w:r>
              <w:rPr>
                <w:rFonts w:ascii="Arial" w:cs="Arial" w:eastAsia="Arial" w:hAnsi="Arial"/>
                <w:sz w:val="21"/>
                <w:szCs w:val="21"/>
                <w:b w:val="1"/>
                <w:bCs w:val="1"/>
                <w:color w:val="auto"/>
              </w:rPr>
              <w:t>AZZ PHARMACEUTICALS, INC.</w:t>
            </w:r>
          </w:p>
        </w:tc>
        <w:tc>
          <w:tcPr>
            <w:tcW w:w="0" w:type="dxa"/>
            <w:vAlign w:val="bottom"/>
          </w:tcPr>
          <w:p>
            <w:pPr>
              <w:spacing w:after="0"/>
              <w:rPr>
                <w:sz w:val="1"/>
                <w:szCs w:val="1"/>
                <w:color w:val="auto"/>
              </w:rPr>
            </w:pPr>
          </w:p>
        </w:tc>
      </w:tr>
      <w:tr>
        <w:trPr>
          <w:trHeight w:val="152"/>
        </w:trPr>
        <w:tc>
          <w:tcPr>
            <w:tcW w:w="5400" w:type="dxa"/>
            <w:vAlign w:val="bottom"/>
            <w:gridSpan w:val="8"/>
            <w:vMerge w:val="continue"/>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5400" w:type="dxa"/>
            <w:vAlign w:val="bottom"/>
            <w:gridSpan w:val="8"/>
          </w:tcPr>
          <w:p>
            <w:pPr>
              <w:ind w:left="160"/>
              <w:spacing w:after="0"/>
              <w:rPr>
                <w:sz w:val="20"/>
                <w:szCs w:val="20"/>
                <w:color w:val="auto"/>
              </w:rPr>
            </w:pPr>
            <w:r>
              <w:rPr>
                <w:rFonts w:ascii="Arial" w:cs="Arial" w:eastAsia="Arial" w:hAnsi="Arial"/>
                <w:sz w:val="22"/>
                <w:szCs w:val="22"/>
                <w:b w:val="1"/>
                <w:bCs w:val="1"/>
                <w:color w:val="auto"/>
              </w:rPr>
              <w:t>SERVICES, INC.</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5400" w:type="dxa"/>
            <w:vAlign w:val="bottom"/>
            <w:gridSpan w:val="8"/>
          </w:tcPr>
          <w:p>
            <w:pPr>
              <w:ind w:left="180"/>
              <w:spacing w:after="0"/>
              <w:rPr>
                <w:sz w:val="20"/>
                <w:szCs w:val="20"/>
                <w:color w:val="auto"/>
              </w:rPr>
            </w:pPr>
            <w:r>
              <w:rPr>
                <w:rFonts w:ascii="Arial" w:cs="Arial" w:eastAsia="Arial" w:hAnsi="Arial"/>
                <w:sz w:val="20"/>
                <w:szCs w:val="20"/>
                <w:color w:val="auto"/>
              </w:rPr>
              <w:t>By: Joshua B. Parker</w:t>
            </w:r>
          </w:p>
        </w:tc>
        <w:tc>
          <w:tcPr>
            <w:tcW w:w="3680" w:type="dxa"/>
            <w:vAlign w:val="bottom"/>
            <w:gridSpan w:val="7"/>
          </w:tcPr>
          <w:p>
            <w:pPr>
              <w:ind w:left="300"/>
              <w:spacing w:after="0"/>
              <w:rPr>
                <w:sz w:val="20"/>
                <w:szCs w:val="20"/>
                <w:color w:val="auto"/>
              </w:rPr>
            </w:pPr>
            <w:r>
              <w:rPr>
                <w:rFonts w:ascii="Arial" w:cs="Arial" w:eastAsia="Arial" w:hAnsi="Arial"/>
                <w:sz w:val="20"/>
                <w:szCs w:val="20"/>
                <w:color w:val="auto"/>
              </w:rPr>
              <w:t>By: Debra Feldman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gridSpan w:val="8"/>
          </w:tcPr>
          <w:p>
            <w:pPr>
              <w:ind w:left="120"/>
              <w:spacing w:after="0"/>
              <w:rPr>
                <w:sz w:val="20"/>
                <w:szCs w:val="20"/>
                <w:color w:val="auto"/>
              </w:rPr>
            </w:pPr>
            <w:r>
              <w:rPr>
                <w:rFonts w:ascii="Arial" w:cs="Arial" w:eastAsia="Arial" w:hAnsi="Arial"/>
                <w:sz w:val="20"/>
                <w:szCs w:val="20"/>
                <w:color w:val="auto"/>
              </w:rPr>
              <w:t>Signature: /s/ Joshua B. Parker</w:t>
            </w:r>
          </w:p>
        </w:tc>
        <w:tc>
          <w:tcPr>
            <w:tcW w:w="3680" w:type="dxa"/>
            <w:vAlign w:val="bottom"/>
            <w:gridSpan w:val="7"/>
          </w:tcPr>
          <w:p>
            <w:pPr>
              <w:ind w:left="300"/>
              <w:spacing w:after="0"/>
              <w:rPr>
                <w:sz w:val="20"/>
                <w:szCs w:val="20"/>
                <w:color w:val="auto"/>
              </w:rPr>
            </w:pPr>
            <w:r>
              <w:rPr>
                <w:rFonts w:ascii="Arial" w:cs="Arial" w:eastAsia="Arial" w:hAnsi="Arial"/>
                <w:sz w:val="20"/>
                <w:szCs w:val="20"/>
                <w:color w:val="auto"/>
              </w:rPr>
              <w:t>Signature: /s/ Debra Feldman</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80" w:type="dxa"/>
            <w:vAlign w:val="bottom"/>
            <w:gridSpan w:val="4"/>
          </w:tcPr>
          <w:p>
            <w:pPr>
              <w:ind w:left="120"/>
              <w:spacing w:after="0"/>
              <w:rPr>
                <w:sz w:val="20"/>
                <w:szCs w:val="20"/>
                <w:color w:val="auto"/>
              </w:rPr>
            </w:pPr>
            <w:r>
              <w:rPr>
                <w:rFonts w:ascii="Arial" w:cs="Arial" w:eastAsia="Arial" w:hAnsi="Arial"/>
                <w:sz w:val="20"/>
                <w:szCs w:val="20"/>
                <w:color w:val="auto"/>
              </w:rPr>
              <w:t>Title: VP</w:t>
            </w:r>
          </w:p>
        </w:tc>
        <w:tc>
          <w:tcPr>
            <w:tcW w:w="1580" w:type="dxa"/>
            <w:vAlign w:val="bottom"/>
            <w:gridSpan w:val="2"/>
          </w:tcPr>
          <w:p>
            <w:pPr>
              <w:spacing w:after="0"/>
              <w:rPr>
                <w:sz w:val="22"/>
                <w:szCs w:val="22"/>
                <w:color w:val="auto"/>
              </w:rPr>
            </w:pPr>
          </w:p>
        </w:tc>
        <w:tc>
          <w:tcPr>
            <w:tcW w:w="2840" w:type="dxa"/>
            <w:vAlign w:val="bottom"/>
            <w:gridSpan w:val="2"/>
          </w:tcPr>
          <w:p>
            <w:pPr>
              <w:spacing w:after="0"/>
              <w:rPr>
                <w:sz w:val="22"/>
                <w:szCs w:val="22"/>
                <w:color w:val="auto"/>
              </w:rPr>
            </w:pPr>
          </w:p>
        </w:tc>
        <w:tc>
          <w:tcPr>
            <w:tcW w:w="3680" w:type="dxa"/>
            <w:vAlign w:val="bottom"/>
            <w:gridSpan w:val="7"/>
          </w:tcPr>
          <w:p>
            <w:pPr>
              <w:ind w:left="300"/>
              <w:spacing w:after="0"/>
              <w:rPr>
                <w:sz w:val="20"/>
                <w:szCs w:val="20"/>
                <w:color w:val="auto"/>
              </w:rPr>
            </w:pPr>
            <w:r>
              <w:rPr>
                <w:rFonts w:ascii="Arial" w:cs="Arial" w:eastAsia="Arial" w:hAnsi="Arial"/>
                <w:sz w:val="20"/>
                <w:szCs w:val="20"/>
                <w:color w:val="auto"/>
              </w:rPr>
              <w:t>Title: VP, Pharmacovigilance</w:t>
            </w:r>
          </w:p>
        </w:tc>
        <w:tc>
          <w:tcPr>
            <w:tcW w:w="0" w:type="dxa"/>
            <w:vAlign w:val="bottom"/>
          </w:tcPr>
          <w:p>
            <w:pPr>
              <w:spacing w:after="0"/>
              <w:rPr>
                <w:sz w:val="1"/>
                <w:szCs w:val="1"/>
                <w:color w:val="auto"/>
              </w:rPr>
            </w:pPr>
          </w:p>
        </w:tc>
      </w:tr>
      <w:tr>
        <w:trPr>
          <w:trHeight w:val="20"/>
        </w:trPr>
        <w:tc>
          <w:tcPr>
            <w:tcW w:w="66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gridSpan w:val="8"/>
          </w:tcPr>
          <w:p>
            <w:pPr>
              <w:ind w:left="180"/>
              <w:spacing w:after="0"/>
              <w:rPr>
                <w:sz w:val="20"/>
                <w:szCs w:val="20"/>
                <w:color w:val="auto"/>
              </w:rPr>
            </w:pPr>
            <w:r>
              <w:rPr>
                <w:rFonts w:ascii="Arial" w:cs="Arial" w:eastAsia="Arial" w:hAnsi="Arial"/>
                <w:sz w:val="20"/>
                <w:szCs w:val="20"/>
                <w:color w:val="auto"/>
              </w:rPr>
              <w:t>Date: 07/01/2021 | 9:25 AM CDT</w:t>
            </w:r>
          </w:p>
        </w:tc>
        <w:tc>
          <w:tcPr>
            <w:tcW w:w="3680" w:type="dxa"/>
            <w:vAlign w:val="bottom"/>
            <w:gridSpan w:val="7"/>
          </w:tcPr>
          <w:p>
            <w:pPr>
              <w:ind w:left="240"/>
              <w:spacing w:after="0"/>
              <w:rPr>
                <w:sz w:val="20"/>
                <w:szCs w:val="20"/>
                <w:color w:val="auto"/>
              </w:rPr>
            </w:pPr>
            <w:r>
              <w:rPr>
                <w:rFonts w:ascii="Arial" w:cs="Arial" w:eastAsia="Arial" w:hAnsi="Arial"/>
                <w:sz w:val="20"/>
                <w:szCs w:val="20"/>
                <w:color w:val="auto"/>
              </w:rPr>
              <w:t>Date:04-Jul-2021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5400" w:type="dxa"/>
            <w:vAlign w:val="bottom"/>
            <w:gridSpan w:val="8"/>
          </w:tcPr>
          <w:p>
            <w:pPr>
              <w:spacing w:after="0"/>
              <w:rPr>
                <w:sz w:val="20"/>
                <w:szCs w:val="20"/>
                <w:color w:val="auto"/>
              </w:rPr>
            </w:pPr>
            <w:r>
              <w:rPr>
                <w:rFonts w:ascii="Arial" w:cs="Arial" w:eastAsia="Arial" w:hAnsi="Arial"/>
                <w:sz w:val="20"/>
                <w:szCs w:val="20"/>
                <w:color w:val="auto"/>
              </w:rPr>
              <w:t>RPM for JLD 7.1.21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1440" w:right="6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ESSDS LOCATIONS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Express Scripts Building 3 4600 North Hanley Rd. Suite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 Louis, MO 63121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9"/>
          <w:szCs w:val="19"/>
          <w:b w:val="1"/>
          <w:bCs w:val="1"/>
          <w:color w:val="auto"/>
        </w:rPr>
        <w:t>Express Scripts Building 6 4700 North Hanley Rd. St.</w:t>
      </w:r>
    </w:p>
    <w:p>
      <w:pPr>
        <w:spacing w:after="0" w:line="241"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Louis, MO 63134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08"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10.1B</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AMENDMENT #2</w:t>
      </w: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TO PHARMACY SERVICES MASTER SERVICES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AGREEMENT</w:t>
      </w:r>
    </w:p>
    <w:p>
      <w:pPr>
        <w:spacing w:after="0" w:line="131" w:lineRule="exact"/>
        <w:rPr>
          <w:sz w:val="20"/>
          <w:szCs w:val="20"/>
          <w:color w:val="auto"/>
        </w:rPr>
      </w:pPr>
    </w:p>
    <w:p>
      <w:pPr>
        <w:ind w:right="320"/>
        <w:spacing w:after="0" w:line="274" w:lineRule="auto"/>
        <w:rPr>
          <w:sz w:val="20"/>
          <w:szCs w:val="20"/>
          <w:color w:val="auto"/>
        </w:rPr>
      </w:pPr>
      <w:r>
        <w:rPr>
          <w:rFonts w:ascii="Arial" w:cs="Arial" w:eastAsia="Arial" w:hAnsi="Arial"/>
          <w:sz w:val="22"/>
          <w:szCs w:val="22"/>
          <w:color w:val="auto"/>
        </w:rPr>
        <w:t>This Amendment #2 to Pharmacy Master Services Agreement (“Amendment”), effective as of the last date signed below (the “Effective Date”), is made pursuant to the terms of the Pharmacy Services Master Services Agreement (“Agreement”), effective as of July 1, 2020 between Jazz Pharmaceuticals, Inc. (“Jazz Pharmaceuticals”) and Express Scripts Specialty Distribution Services, Inc. (“ESSDS”) (individually, “Party” and collectively, “Parties”), the terms of which are incorporated herein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Whereas, ESSDS intends to relocate the fulfillment operations of the Certified Pharmacy.</w:t>
      </w:r>
    </w:p>
    <w:p>
      <w:pPr>
        <w:spacing w:after="0" w:line="241" w:lineRule="exact"/>
        <w:rPr>
          <w:sz w:val="20"/>
          <w:szCs w:val="20"/>
          <w:color w:val="auto"/>
        </w:rPr>
      </w:pPr>
    </w:p>
    <w:p>
      <w:pPr>
        <w:jc w:val="both"/>
        <w:ind w:right="100"/>
        <w:spacing w:after="0" w:line="256" w:lineRule="auto"/>
        <w:rPr>
          <w:sz w:val="20"/>
          <w:szCs w:val="20"/>
          <w:color w:val="auto"/>
        </w:rPr>
      </w:pPr>
      <w:r>
        <w:rPr>
          <w:rFonts w:ascii="Arial" w:cs="Arial" w:eastAsia="Arial" w:hAnsi="Arial"/>
          <w:sz w:val="22"/>
          <w:szCs w:val="22"/>
          <w:color w:val="auto"/>
        </w:rPr>
        <w:t>Now therefore</w:t>
      </w:r>
      <w:r>
        <w:rPr>
          <w:rFonts w:ascii="Arial" w:cs="Arial" w:eastAsia="Arial" w:hAnsi="Arial"/>
          <w:sz w:val="22"/>
          <w:szCs w:val="22"/>
          <w:b w:val="1"/>
          <w:bCs w:val="1"/>
          <w:color w:val="auto"/>
        </w:rPr>
        <w:t>,</w:t>
      </w:r>
      <w:r>
        <w:rPr>
          <w:rFonts w:ascii="Arial" w:cs="Arial" w:eastAsia="Arial" w:hAnsi="Arial"/>
          <w:sz w:val="22"/>
          <w:szCs w:val="22"/>
          <w:color w:val="auto"/>
        </w:rPr>
        <w:t xml:space="preserve"> in consideration of the above recital, which is incorporated by this reference, the mutual promises and covenants set forth below, and other good and valuable consideration, the receipt and sufficiency of which are hereby acknowledged, the Parties agree as follows:</w:t>
      </w:r>
    </w:p>
    <w:p>
      <w:pPr>
        <w:spacing w:after="0" w:line="200" w:lineRule="exact"/>
        <w:rPr>
          <w:sz w:val="20"/>
          <w:szCs w:val="20"/>
          <w:color w:val="auto"/>
        </w:rPr>
      </w:pPr>
    </w:p>
    <w:p>
      <w:pPr>
        <w:spacing w:after="0" w:line="252" w:lineRule="exact"/>
        <w:rPr>
          <w:sz w:val="20"/>
          <w:szCs w:val="20"/>
          <w:color w:val="auto"/>
        </w:rPr>
      </w:pPr>
    </w:p>
    <w:p>
      <w:pPr>
        <w:ind w:left="700" w:hanging="379"/>
        <w:spacing w:after="0"/>
        <w:tabs>
          <w:tab w:leader="none" w:pos="7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Exhibit B hereby deleted and replaced in its’ entirety with Exhibit B below.</w:t>
      </w:r>
    </w:p>
    <w:p>
      <w:pPr>
        <w:spacing w:after="0" w:line="192" w:lineRule="exact"/>
        <w:rPr>
          <w:rFonts w:ascii="Arial" w:cs="Arial" w:eastAsia="Arial" w:hAnsi="Arial"/>
          <w:sz w:val="22"/>
          <w:szCs w:val="22"/>
          <w:color w:val="auto"/>
        </w:rPr>
      </w:pPr>
    </w:p>
    <w:p>
      <w:pPr>
        <w:ind w:left="640" w:right="340" w:hanging="318"/>
        <w:spacing w:after="0" w:line="290" w:lineRule="auto"/>
        <w:tabs>
          <w:tab w:leader="none" w:pos="694"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event of any conflict or inconsistency between the terms and provisions of the Agreement and the terms and provisions of this Amendment, the terms and provisions of this Amendment will govern and prevail. Except as expressly provided in this Amendment, this Amendment does not in any way change, modify or delete the provisions of the Agreement (or the Parties’ rights, remedies or obligations thereunder), and all such provisions shall remain in full force and effect. On and after the Amendment Effective Date, each reference in the Agreement to “this Agreement,” “hereunder,” “hereof,” “herein,” or words of like import, and each reference to the Agreement in any other agreements, documents or instruments executed and delivered pursuant to the Agreement, shall mean and be a reference to the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40"/>
          </w:cols>
          <w:pgMar w:left="420" w:top="1408" w:right="339" w:bottom="1440" w:gutter="0" w:footer="0" w:header="0"/>
        </w:sectPr>
      </w:pPr>
    </w:p>
    <w:bookmarkStart w:id="104" w:name="page105"/>
    <w:bookmarkEnd w:id="104"/>
    <w:p>
      <w:pPr>
        <w:spacing w:after="0" w:line="263" w:lineRule="auto"/>
        <w:rPr>
          <w:sz w:val="20"/>
          <w:szCs w:val="20"/>
          <w:color w:val="auto"/>
        </w:rPr>
      </w:pPr>
      <w:r>
        <w:rPr>
          <w:rFonts w:ascii="Arial" w:cs="Arial" w:eastAsia="Arial" w:hAnsi="Arial"/>
          <w:sz w:val="22"/>
          <w:szCs w:val="22"/>
          <w:color w:val="auto"/>
        </w:rPr>
        <w:t>IN WITNESS WHEREOF, by signature of their respective duly authorized representatives below, the Parties have agreed to this Amendment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180" w:type="dxa"/>
            <w:vAlign w:val="bottom"/>
            <w:gridSpan w:val="8"/>
          </w:tcPr>
          <w:p>
            <w:pPr>
              <w:spacing w:after="0"/>
              <w:rPr>
                <w:sz w:val="20"/>
                <w:szCs w:val="20"/>
                <w:color w:val="auto"/>
              </w:rPr>
            </w:pPr>
            <w:r>
              <w:rPr>
                <w:rFonts w:ascii="Arial" w:cs="Arial" w:eastAsia="Arial" w:hAnsi="Arial"/>
                <w:sz w:val="22"/>
                <w:szCs w:val="22"/>
                <w:b w:val="1"/>
                <w:bCs w:val="1"/>
                <w:color w:val="auto"/>
              </w:rPr>
              <w:t>EXPRESS SCRIPTS SPECIALTY</w:t>
            </w:r>
          </w:p>
        </w:tc>
        <w:tc>
          <w:tcPr>
            <w:tcW w:w="4140" w:type="dxa"/>
            <w:vAlign w:val="bottom"/>
            <w:gridSpan w:val="8"/>
          </w:tcPr>
          <w:p>
            <w:pPr>
              <w:ind w:left="760"/>
              <w:spacing w:after="0"/>
              <w:rPr>
                <w:sz w:val="20"/>
                <w:szCs w:val="20"/>
                <w:color w:val="auto"/>
              </w:rPr>
            </w:pPr>
            <w:r>
              <w:rPr>
                <w:rFonts w:ascii="Arial" w:cs="Arial" w:eastAsia="Arial" w:hAnsi="Arial"/>
                <w:sz w:val="22"/>
                <w:szCs w:val="22"/>
                <w:b w:val="1"/>
                <w:bCs w:val="1"/>
                <w:color w:val="auto"/>
                <w:w w:val="98"/>
              </w:rPr>
              <w:t>JAZZ PHARMACEUTICALS, INC.</w:t>
            </w:r>
          </w:p>
        </w:tc>
      </w:tr>
      <w:tr>
        <w:trPr>
          <w:trHeight w:val="280"/>
        </w:trPr>
        <w:tc>
          <w:tcPr>
            <w:tcW w:w="4180" w:type="dxa"/>
            <w:vAlign w:val="bottom"/>
            <w:gridSpan w:val="8"/>
          </w:tcPr>
          <w:p>
            <w:pPr>
              <w:spacing w:after="0"/>
              <w:rPr>
                <w:sz w:val="20"/>
                <w:szCs w:val="20"/>
                <w:color w:val="auto"/>
              </w:rPr>
            </w:pPr>
            <w:r>
              <w:rPr>
                <w:rFonts w:ascii="Arial" w:cs="Arial" w:eastAsia="Arial" w:hAnsi="Arial"/>
                <w:sz w:val="22"/>
                <w:szCs w:val="22"/>
                <w:b w:val="1"/>
                <w:bCs w:val="1"/>
                <w:color w:val="auto"/>
              </w:rPr>
              <w:t>DISTRIBUTIONS SERVICES, INC.</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0"/>
        </w:trPr>
        <w:tc>
          <w:tcPr>
            <w:tcW w:w="4180" w:type="dxa"/>
            <w:vAlign w:val="bottom"/>
            <w:gridSpan w:val="8"/>
          </w:tcPr>
          <w:p>
            <w:pPr>
              <w:spacing w:after="0"/>
              <w:rPr>
                <w:sz w:val="20"/>
                <w:szCs w:val="20"/>
                <w:color w:val="auto"/>
              </w:rPr>
            </w:pPr>
            <w:r>
              <w:rPr>
                <w:rFonts w:ascii="Arial" w:cs="Arial" w:eastAsia="Arial" w:hAnsi="Arial"/>
                <w:sz w:val="22"/>
                <w:szCs w:val="22"/>
                <w:color w:val="auto"/>
              </w:rPr>
              <w:t>By: Joshua B Parker</w:t>
            </w:r>
          </w:p>
        </w:tc>
        <w:tc>
          <w:tcPr>
            <w:tcW w:w="4140" w:type="dxa"/>
            <w:vAlign w:val="bottom"/>
            <w:gridSpan w:val="8"/>
          </w:tcPr>
          <w:p>
            <w:pPr>
              <w:ind w:left="760"/>
              <w:spacing w:after="0"/>
              <w:rPr>
                <w:sz w:val="20"/>
                <w:szCs w:val="20"/>
                <w:color w:val="auto"/>
              </w:rPr>
            </w:pPr>
            <w:r>
              <w:rPr>
                <w:rFonts w:ascii="Arial" w:cs="Arial" w:eastAsia="Arial" w:hAnsi="Arial"/>
                <w:sz w:val="22"/>
                <w:szCs w:val="22"/>
                <w:color w:val="auto"/>
              </w:rPr>
              <w:t>By: /s/ Debra Feldman</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4180" w:type="dxa"/>
            <w:vAlign w:val="bottom"/>
            <w:gridSpan w:val="8"/>
          </w:tcPr>
          <w:p>
            <w:pPr>
              <w:spacing w:after="0"/>
              <w:rPr>
                <w:sz w:val="20"/>
                <w:szCs w:val="20"/>
                <w:color w:val="auto"/>
              </w:rPr>
            </w:pPr>
            <w:r>
              <w:rPr>
                <w:rFonts w:ascii="Arial" w:cs="Arial" w:eastAsia="Arial" w:hAnsi="Arial"/>
                <w:sz w:val="22"/>
                <w:szCs w:val="22"/>
                <w:color w:val="auto"/>
              </w:rPr>
              <w:t>Signature: /s/ Joshua B. Parker</w:t>
            </w:r>
          </w:p>
        </w:tc>
        <w:tc>
          <w:tcPr>
            <w:tcW w:w="4140" w:type="dxa"/>
            <w:vAlign w:val="bottom"/>
            <w:gridSpan w:val="8"/>
          </w:tcPr>
          <w:p>
            <w:pPr>
              <w:ind w:left="760"/>
              <w:spacing w:after="0"/>
              <w:rPr>
                <w:sz w:val="20"/>
                <w:szCs w:val="20"/>
                <w:color w:val="auto"/>
              </w:rPr>
            </w:pPr>
            <w:r>
              <w:rPr>
                <w:rFonts w:ascii="Arial" w:cs="Arial" w:eastAsia="Arial" w:hAnsi="Arial"/>
                <w:sz w:val="22"/>
                <w:szCs w:val="22"/>
                <w:color w:val="auto"/>
              </w:rPr>
              <w:t>Signature: Debra Feldman</w:t>
            </w:r>
          </w:p>
        </w:tc>
      </w:tr>
      <w:tr>
        <w:trPr>
          <w:trHeight w:val="20"/>
        </w:trPr>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0"/>
        </w:trPr>
        <w:tc>
          <w:tcPr>
            <w:tcW w:w="940" w:type="dxa"/>
            <w:vAlign w:val="bottom"/>
            <w:gridSpan w:val="4"/>
          </w:tcPr>
          <w:p>
            <w:pPr>
              <w:spacing w:after="0"/>
              <w:rPr>
                <w:sz w:val="20"/>
                <w:szCs w:val="20"/>
                <w:color w:val="auto"/>
              </w:rPr>
            </w:pPr>
            <w:r>
              <w:rPr>
                <w:rFonts w:ascii="Arial" w:cs="Arial" w:eastAsia="Arial" w:hAnsi="Arial"/>
                <w:sz w:val="22"/>
                <w:szCs w:val="22"/>
                <w:color w:val="auto"/>
              </w:rPr>
              <w:t>Title: VP</w:t>
            </w:r>
          </w:p>
        </w:tc>
        <w:tc>
          <w:tcPr>
            <w:tcW w:w="1720" w:type="dxa"/>
            <w:vAlign w:val="bottom"/>
            <w:gridSpan w:val="2"/>
          </w:tcPr>
          <w:p>
            <w:pPr>
              <w:spacing w:after="0"/>
              <w:rPr>
                <w:sz w:val="24"/>
                <w:szCs w:val="24"/>
                <w:color w:val="auto"/>
              </w:rPr>
            </w:pPr>
          </w:p>
        </w:tc>
        <w:tc>
          <w:tcPr>
            <w:tcW w:w="1520" w:type="dxa"/>
            <w:vAlign w:val="bottom"/>
            <w:gridSpan w:val="2"/>
          </w:tcPr>
          <w:p>
            <w:pPr>
              <w:spacing w:after="0"/>
              <w:rPr>
                <w:sz w:val="24"/>
                <w:szCs w:val="24"/>
                <w:color w:val="auto"/>
              </w:rPr>
            </w:pPr>
          </w:p>
        </w:tc>
        <w:tc>
          <w:tcPr>
            <w:tcW w:w="4140" w:type="dxa"/>
            <w:vAlign w:val="bottom"/>
            <w:gridSpan w:val="8"/>
          </w:tcPr>
          <w:p>
            <w:pPr>
              <w:ind w:left="760"/>
              <w:spacing w:after="0"/>
              <w:rPr>
                <w:sz w:val="20"/>
                <w:szCs w:val="20"/>
                <w:color w:val="auto"/>
              </w:rPr>
            </w:pPr>
            <w:r>
              <w:rPr>
                <w:rFonts w:ascii="Arial" w:cs="Arial" w:eastAsia="Arial" w:hAnsi="Arial"/>
                <w:sz w:val="22"/>
                <w:szCs w:val="22"/>
                <w:color w:val="auto"/>
              </w:rPr>
              <w:t>Title: VP, Pharmacovigilance</w:t>
            </w:r>
          </w:p>
        </w:tc>
      </w:tr>
      <w:tr>
        <w:trPr>
          <w:trHeight w:val="20"/>
        </w:trPr>
        <w:tc>
          <w:tcPr>
            <w:tcW w:w="5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right w:val="single" w:sz="8" w:color="auto"/>
            </w:tcBorders>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4180" w:type="dxa"/>
            <w:vAlign w:val="bottom"/>
            <w:gridSpan w:val="8"/>
          </w:tcPr>
          <w:p>
            <w:pPr>
              <w:spacing w:after="0"/>
              <w:rPr>
                <w:sz w:val="20"/>
                <w:szCs w:val="20"/>
                <w:color w:val="auto"/>
              </w:rPr>
            </w:pPr>
            <w:r>
              <w:rPr>
                <w:rFonts w:ascii="Arial" w:cs="Arial" w:eastAsia="Arial" w:hAnsi="Arial"/>
                <w:sz w:val="22"/>
                <w:szCs w:val="22"/>
                <w:color w:val="auto"/>
              </w:rPr>
              <w:t>Date: 7/13/2021 | 3:52 PM CDT</w:t>
            </w:r>
          </w:p>
        </w:tc>
        <w:tc>
          <w:tcPr>
            <w:tcW w:w="4140" w:type="dxa"/>
            <w:vAlign w:val="bottom"/>
            <w:gridSpan w:val="8"/>
          </w:tcPr>
          <w:p>
            <w:pPr>
              <w:ind w:left="760"/>
              <w:spacing w:after="0"/>
              <w:rPr>
                <w:sz w:val="20"/>
                <w:szCs w:val="20"/>
                <w:color w:val="auto"/>
              </w:rPr>
            </w:pPr>
            <w:r>
              <w:rPr>
                <w:rFonts w:ascii="Arial" w:cs="Arial" w:eastAsia="Arial" w:hAnsi="Arial"/>
                <w:sz w:val="22"/>
                <w:szCs w:val="22"/>
                <w:color w:val="auto"/>
              </w:rPr>
              <w:t>Date: 19-Jul-2021</w:t>
            </w:r>
          </w:p>
        </w:tc>
      </w:tr>
      <w:tr>
        <w:trPr>
          <w:trHeight w:val="611"/>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Borders>
              <w:top w:val="single" w:sz="8" w:color="auto"/>
            </w:tcBorders>
            <w:gridSpan w:val="5"/>
          </w:tcPr>
          <w:p>
            <w:pPr>
              <w:ind w:left="240"/>
              <w:spacing w:after="0"/>
              <w:rPr>
                <w:sz w:val="20"/>
                <w:szCs w:val="20"/>
                <w:color w:val="auto"/>
              </w:rPr>
            </w:pPr>
            <w:r>
              <w:rPr>
                <w:rFonts w:ascii="Arial" w:cs="Arial" w:eastAsia="Arial" w:hAnsi="Arial"/>
                <w:sz w:val="22"/>
                <w:szCs w:val="22"/>
                <w:color w:val="auto"/>
                <w:w w:val="98"/>
              </w:rPr>
              <w:t>RPM for JLD 7.13.21</w:t>
            </w: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520"/>
          </w:cols>
          <w:pgMar w:left="320" w:top="1171" w:right="10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ESSDS LOCATIONS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Express Scripts Building 3 4600 North Hanley Rd. Suite 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 Louis, MO 63134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Express Scripts Building 6 4700 North Hanley Rd. St.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Louis, MO 63134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019"/>
          </w:cols>
          <w:pgMar w:left="1440" w:top="1408" w:right="1440" w:bottom="1440" w:gutter="0" w:footer="0" w:header="0"/>
        </w:sectPr>
      </w:pPr>
    </w:p>
    <w:bookmarkStart w:id="106" w:name="page107"/>
    <w:bookmarkEnd w:id="106"/>
    <w:p>
      <w:pPr>
        <w:ind w:right="660" w:firstLine="8"/>
        <w:spacing w:after="0" w:line="253" w:lineRule="auto"/>
        <w:tabs>
          <w:tab w:leader="none" w:pos="478"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 CERTAIN PORTIONS OF THIS AGREEMENT HAVE BEEN OMITTED BECAUSE THE OMITTED PORTIONS ARE BOTH (I) NOT MATERIAL AND (II) IS THE TYPE THAT THE REGISTRANT TREATS AS PRIVATE OR CONFIDENTIAL.</w:t>
      </w:r>
    </w:p>
    <w:p>
      <w:pPr>
        <w:spacing w:after="0" w:line="236" w:lineRule="exact"/>
        <w:rPr>
          <w:sz w:val="20"/>
          <w:szCs w:val="20"/>
          <w:color w:val="auto"/>
        </w:rPr>
      </w:pPr>
    </w:p>
    <w:p>
      <w:pPr>
        <w:ind w:left="9860"/>
        <w:spacing w:after="0"/>
        <w:rPr>
          <w:sz w:val="20"/>
          <w:szCs w:val="20"/>
          <w:color w:val="auto"/>
        </w:rPr>
      </w:pPr>
      <w:r>
        <w:rPr>
          <w:rFonts w:ascii="Arial" w:cs="Arial" w:eastAsia="Arial" w:hAnsi="Arial"/>
          <w:sz w:val="18"/>
          <w:szCs w:val="18"/>
          <w:b w:val="1"/>
          <w:bCs w:val="1"/>
          <w:color w:val="auto"/>
        </w:rPr>
        <w:t>Exhibit 10.2</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26262B"/>
        </w:rPr>
        <w:t>AMENDMENT NO.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26262B"/>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26262B"/>
        </w:rPr>
        <w:t>THE AMENDED AND RESTATED LICENSE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26262B"/>
        </w:rPr>
        <w:t>This AMENDMENT NO. I TO THE AMENDED AND RESTATED LICENSE AGREEMENT ("</w:t>
      </w:r>
      <w:r>
        <w:rPr>
          <w:rFonts w:ascii="Arial" w:cs="Arial" w:eastAsia="Arial" w:hAnsi="Arial"/>
          <w:sz w:val="19"/>
          <w:szCs w:val="19"/>
          <w:b w:val="1"/>
          <w:bCs w:val="1"/>
          <w:color w:val="26262B"/>
        </w:rPr>
        <w:t>Amendment</w:t>
      </w:r>
      <w:r>
        <w:rPr>
          <w:rFonts w:ascii="Arial" w:cs="Arial" w:eastAsia="Arial" w:hAnsi="Arial"/>
          <w:sz w:val="19"/>
          <w:szCs w:val="19"/>
          <w:color w:val="26262B"/>
        </w:rPr>
        <w:t>") is effective May 6, 2021 (the "</w:t>
      </w:r>
      <w:r>
        <w:rPr>
          <w:rFonts w:ascii="Arial" w:cs="Arial" w:eastAsia="Arial" w:hAnsi="Arial"/>
          <w:sz w:val="19"/>
          <w:szCs w:val="19"/>
          <w:b w:val="1"/>
          <w:bCs w:val="1"/>
          <w:color w:val="26262B"/>
        </w:rPr>
        <w:t>Amendment Effective Date</w:t>
      </w:r>
      <w:r>
        <w:rPr>
          <w:rFonts w:ascii="Arial" w:cs="Arial" w:eastAsia="Arial" w:hAnsi="Arial"/>
          <w:sz w:val="19"/>
          <w:szCs w:val="19"/>
          <w:color w:val="26262B"/>
        </w:rPr>
        <w:t>"), is by and between</w:t>
      </w:r>
      <w:r>
        <w:rPr>
          <w:rFonts w:ascii="Arial" w:cs="Arial" w:eastAsia="Arial" w:hAnsi="Arial"/>
          <w:sz w:val="19"/>
          <w:szCs w:val="19"/>
          <w:color w:val="444448"/>
        </w:rPr>
        <w:t>,</w:t>
      </w:r>
      <w:r>
        <w:rPr>
          <w:rFonts w:ascii="Arial" w:cs="Arial" w:eastAsia="Arial" w:hAnsi="Arial"/>
          <w:sz w:val="19"/>
          <w:szCs w:val="19"/>
          <w:color w:val="26262B"/>
        </w:rPr>
        <w:t xml:space="preserve"> PHARMA MAR, S.A., a corporation organized under the laws of Spain, with its principal place of bu</w:t>
      </w:r>
      <w:r>
        <w:rPr>
          <w:rFonts w:ascii="Arial" w:cs="Arial" w:eastAsia="Arial" w:hAnsi="Arial"/>
          <w:sz w:val="19"/>
          <w:szCs w:val="19"/>
          <w:color w:val="444448"/>
        </w:rPr>
        <w:t>s</w:t>
      </w:r>
      <w:r>
        <w:rPr>
          <w:rFonts w:ascii="Arial" w:cs="Arial" w:eastAsia="Arial" w:hAnsi="Arial"/>
          <w:sz w:val="19"/>
          <w:szCs w:val="19"/>
          <w:color w:val="26262B"/>
        </w:rPr>
        <w:t>iness at 1 Avda. De los Reyes</w:t>
      </w:r>
      <w:r>
        <w:rPr>
          <w:rFonts w:ascii="Arial" w:cs="Arial" w:eastAsia="Arial" w:hAnsi="Arial"/>
          <w:sz w:val="19"/>
          <w:szCs w:val="19"/>
          <w:color w:val="444448"/>
        </w:rPr>
        <w:t>,</w:t>
      </w:r>
      <w:r>
        <w:rPr>
          <w:rFonts w:ascii="Arial" w:cs="Arial" w:eastAsia="Arial" w:hAnsi="Arial"/>
          <w:sz w:val="19"/>
          <w:szCs w:val="19"/>
          <w:color w:val="26262B"/>
        </w:rPr>
        <w:t xml:space="preserve"> 28770 - Colmenar Viejo, Madrid, Spain ("</w:t>
      </w:r>
      <w:r>
        <w:rPr>
          <w:rFonts w:ascii="Arial" w:cs="Arial" w:eastAsia="Arial" w:hAnsi="Arial"/>
          <w:sz w:val="19"/>
          <w:szCs w:val="19"/>
          <w:b w:val="1"/>
          <w:bCs w:val="1"/>
          <w:color w:val="26262B"/>
        </w:rPr>
        <w:t>PharmaMar</w:t>
      </w:r>
      <w:r>
        <w:rPr>
          <w:rFonts w:ascii="Arial" w:cs="Arial" w:eastAsia="Arial" w:hAnsi="Arial"/>
          <w:sz w:val="19"/>
          <w:szCs w:val="19"/>
          <w:color w:val="444448"/>
        </w:rPr>
        <w:t>"</w:t>
      </w:r>
      <w:r>
        <w:rPr>
          <w:rFonts w:ascii="Arial" w:cs="Arial" w:eastAsia="Arial" w:hAnsi="Arial"/>
          <w:sz w:val="19"/>
          <w:szCs w:val="19"/>
          <w:color w:val="26262B"/>
        </w:rPr>
        <w:t>), and JAZZ PHARMACEUTI</w:t>
      </w:r>
      <w:r>
        <w:rPr>
          <w:rFonts w:ascii="Arial" w:cs="Arial" w:eastAsia="Arial" w:hAnsi="Arial"/>
          <w:sz w:val="19"/>
          <w:szCs w:val="19"/>
          <w:color w:val="444448"/>
        </w:rPr>
        <w:t>C</w:t>
      </w:r>
      <w:r>
        <w:rPr>
          <w:rFonts w:ascii="Arial" w:cs="Arial" w:eastAsia="Arial" w:hAnsi="Arial"/>
          <w:sz w:val="19"/>
          <w:szCs w:val="19"/>
          <w:color w:val="26262B"/>
        </w:rPr>
        <w:t>ALS IRELAND LIMITED, a corporation organized under the laws of Ireland, with its principal place of business at Fifth Floor, Waterloo Exchange, Waterloo Road, Dublin 4, Ireland ("</w:t>
      </w:r>
      <w:r>
        <w:rPr>
          <w:rFonts w:ascii="Arial" w:cs="Arial" w:eastAsia="Arial" w:hAnsi="Arial"/>
          <w:sz w:val="19"/>
          <w:szCs w:val="19"/>
          <w:b w:val="1"/>
          <w:bCs w:val="1"/>
          <w:color w:val="26262B"/>
        </w:rPr>
        <w:t>Jazz</w:t>
      </w:r>
      <w:r>
        <w:rPr>
          <w:rFonts w:ascii="Arial" w:cs="Arial" w:eastAsia="Arial" w:hAnsi="Arial"/>
          <w:sz w:val="19"/>
          <w:szCs w:val="19"/>
          <w:color w:val="26262B"/>
        </w:rPr>
        <w:t>"), provides a process for consent and waiver by PharmaMar and its Third Party Partners for the 1LM SCLC Study (defined below), and, in the Amended and Restated License Agreement effective October 14</w:t>
      </w:r>
      <w:r>
        <w:rPr>
          <w:rFonts w:ascii="Arial" w:cs="Arial" w:eastAsia="Arial" w:hAnsi="Arial"/>
          <w:sz w:val="19"/>
          <w:szCs w:val="19"/>
          <w:color w:val="444448"/>
        </w:rPr>
        <w:t>,</w:t>
      </w:r>
      <w:r>
        <w:rPr>
          <w:rFonts w:ascii="Arial" w:cs="Arial" w:eastAsia="Arial" w:hAnsi="Arial"/>
          <w:sz w:val="19"/>
          <w:szCs w:val="19"/>
          <w:color w:val="26262B"/>
        </w:rPr>
        <w:t xml:space="preserve"> 2020 ("</w:t>
      </w:r>
      <w:r>
        <w:rPr>
          <w:rFonts w:ascii="Arial" w:cs="Arial" w:eastAsia="Arial" w:hAnsi="Arial"/>
          <w:sz w:val="19"/>
          <w:szCs w:val="19"/>
          <w:b w:val="1"/>
          <w:bCs w:val="1"/>
          <w:color w:val="26262B"/>
        </w:rPr>
        <w:t>Agreement</w:t>
      </w:r>
      <w:r>
        <w:rPr>
          <w:rFonts w:ascii="Arial" w:cs="Arial" w:eastAsia="Arial" w:hAnsi="Arial"/>
          <w:sz w:val="19"/>
          <w:szCs w:val="19"/>
          <w:color w:val="26262B"/>
        </w:rPr>
        <w:t>")</w:t>
      </w:r>
      <w:r>
        <w:rPr>
          <w:rFonts w:ascii="Arial" w:cs="Arial" w:eastAsia="Arial" w:hAnsi="Arial"/>
          <w:sz w:val="19"/>
          <w:szCs w:val="19"/>
          <w:color w:val="444448"/>
        </w:rPr>
        <w:t>,</w:t>
      </w:r>
      <w:r>
        <w:rPr>
          <w:rFonts w:ascii="Arial" w:cs="Arial" w:eastAsia="Arial" w:hAnsi="Arial"/>
          <w:sz w:val="19"/>
          <w:szCs w:val="19"/>
          <w:color w:val="26262B"/>
        </w:rPr>
        <w:t xml:space="preserve"> revises a milestone payment structure. PharmaMar and Jazz may be referred to herein individually as a </w:t>
      </w:r>
      <w:r>
        <w:rPr>
          <w:rFonts w:ascii="Arial" w:cs="Arial" w:eastAsia="Arial" w:hAnsi="Arial"/>
          <w:sz w:val="19"/>
          <w:szCs w:val="19"/>
          <w:color w:val="444448"/>
        </w:rPr>
        <w:t>"</w:t>
      </w:r>
      <w:r>
        <w:rPr>
          <w:rFonts w:ascii="Arial" w:cs="Arial" w:eastAsia="Arial" w:hAnsi="Arial"/>
          <w:sz w:val="19"/>
          <w:szCs w:val="19"/>
          <w:b w:val="1"/>
          <w:bCs w:val="1"/>
          <w:color w:val="26262B"/>
        </w:rPr>
        <w:t>Party</w:t>
      </w:r>
      <w:r>
        <w:rPr>
          <w:rFonts w:ascii="Arial" w:cs="Arial" w:eastAsia="Arial" w:hAnsi="Arial"/>
          <w:sz w:val="19"/>
          <w:szCs w:val="19"/>
          <w:color w:val="444448"/>
        </w:rPr>
        <w:t>"</w:t>
      </w:r>
      <w:r>
        <w:rPr>
          <w:rFonts w:ascii="Arial" w:cs="Arial" w:eastAsia="Arial" w:hAnsi="Arial"/>
          <w:sz w:val="19"/>
          <w:szCs w:val="19"/>
          <w:color w:val="26262B"/>
        </w:rPr>
        <w:t xml:space="preserve"> and collectively as the </w:t>
      </w:r>
      <w:r>
        <w:rPr>
          <w:rFonts w:ascii="Arial" w:cs="Arial" w:eastAsia="Arial" w:hAnsi="Arial"/>
          <w:sz w:val="19"/>
          <w:szCs w:val="19"/>
          <w:color w:val="444448"/>
        </w:rPr>
        <w:t>"</w:t>
      </w:r>
      <w:r>
        <w:rPr>
          <w:rFonts w:ascii="Arial" w:cs="Arial" w:eastAsia="Arial" w:hAnsi="Arial"/>
          <w:sz w:val="19"/>
          <w:szCs w:val="19"/>
          <w:b w:val="1"/>
          <w:bCs w:val="1"/>
          <w:color w:val="26262B"/>
        </w:rPr>
        <w:t>Parties</w:t>
      </w:r>
      <w:r>
        <w:rPr>
          <w:rFonts w:ascii="Arial" w:cs="Arial" w:eastAsia="Arial" w:hAnsi="Arial"/>
          <w:sz w:val="19"/>
          <w:szCs w:val="19"/>
          <w:color w:val="26262B"/>
        </w:rPr>
        <w:t>.</w:t>
      </w:r>
      <w:r>
        <w:rPr>
          <w:rFonts w:ascii="Arial" w:cs="Arial" w:eastAsia="Arial" w:hAnsi="Arial"/>
          <w:sz w:val="19"/>
          <w:szCs w:val="19"/>
          <w:color w:val="444448"/>
        </w:rPr>
        <w:t>"</w:t>
      </w:r>
      <w:r>
        <w:rPr>
          <w:rFonts w:ascii="Arial" w:cs="Arial" w:eastAsia="Arial" w:hAnsi="Arial"/>
          <w:sz w:val="19"/>
          <w:szCs w:val="19"/>
          <w:color w:val="26262B"/>
        </w:rPr>
        <w:t xml:space="preserve"> Any terms not defined herein take their definition from the Agreement.</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6262B"/>
        </w:rPr>
        <w:t>RECITALS</w:t>
      </w:r>
    </w:p>
    <w:p>
      <w:pPr>
        <w:spacing w:after="0" w:line="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26262B"/>
        </w:rPr>
        <w:t xml:space="preserve">WHEREAS, </w:t>
      </w:r>
      <w:r>
        <w:rPr>
          <w:rFonts w:ascii="Arial" w:cs="Arial" w:eastAsia="Arial" w:hAnsi="Arial"/>
          <w:sz w:val="20"/>
          <w:szCs w:val="20"/>
          <w:color w:val="26262B"/>
        </w:rPr>
        <w:t>the A</w:t>
      </w:r>
      <w:r>
        <w:rPr>
          <w:rFonts w:ascii="Arial" w:cs="Arial" w:eastAsia="Arial" w:hAnsi="Arial"/>
          <w:sz w:val="20"/>
          <w:szCs w:val="20"/>
          <w:color w:val="444448"/>
        </w:rPr>
        <w:t>g</w:t>
      </w:r>
      <w:r>
        <w:rPr>
          <w:rFonts w:ascii="Arial" w:cs="Arial" w:eastAsia="Arial" w:hAnsi="Arial"/>
          <w:sz w:val="20"/>
          <w:szCs w:val="20"/>
          <w:color w:val="26262B"/>
        </w:rPr>
        <w:t>reement obligates PharmaMar to conduct at its expense (or fund Jazz's conduct</w:t>
      </w:r>
      <w:r>
        <w:rPr>
          <w:rFonts w:ascii="Arial" w:cs="Arial" w:eastAsia="Arial" w:hAnsi="Arial"/>
          <w:sz w:val="20"/>
          <w:szCs w:val="20"/>
          <w:color w:val="444448"/>
        </w:rPr>
        <w:t>,</w:t>
      </w:r>
      <w:r>
        <w:rPr>
          <w:rFonts w:ascii="Arial" w:cs="Arial" w:eastAsia="Arial" w:hAnsi="Arial"/>
          <w:sz w:val="20"/>
          <w:szCs w:val="20"/>
          <w:b w:val="1"/>
          <w:bCs w:val="1"/>
          <w:color w:val="26262B"/>
        </w:rPr>
        <w:t xml:space="preserve"> </w:t>
      </w:r>
      <w:r>
        <w:rPr>
          <w:rFonts w:ascii="Arial" w:cs="Arial" w:eastAsia="Arial" w:hAnsi="Arial"/>
          <w:sz w:val="20"/>
          <w:szCs w:val="20"/>
          <w:color w:val="26262B"/>
        </w:rPr>
        <w:t>under certain circumstances, of)</w:t>
      </w:r>
      <w:r>
        <w:rPr>
          <w:rFonts w:ascii="Arial" w:cs="Arial" w:eastAsia="Arial" w:hAnsi="Arial"/>
          <w:sz w:val="20"/>
          <w:szCs w:val="20"/>
          <w:b w:val="1"/>
          <w:bCs w:val="1"/>
          <w:color w:val="26262B"/>
        </w:rPr>
        <w:t xml:space="preserve"> </w:t>
      </w:r>
      <w:r>
        <w:rPr>
          <w:rFonts w:ascii="Arial" w:cs="Arial" w:eastAsia="Arial" w:hAnsi="Arial"/>
          <w:sz w:val="20"/>
          <w:szCs w:val="20"/>
          <w:color w:val="26262B"/>
        </w:rPr>
        <w:t>one or more confirmatory trials for the treatment of SCLC as a second or subsequent treatment line (namely, the U.S. SCLC Post-Approval Commitment Studies);</w:t>
      </w:r>
    </w:p>
    <w:p>
      <w:pPr>
        <w:spacing w:after="0" w:line="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26262B"/>
        </w:rPr>
        <w:t xml:space="preserve">WHEREAS, </w:t>
      </w:r>
      <w:r>
        <w:rPr>
          <w:rFonts w:ascii="Arial" w:cs="Arial" w:eastAsia="Arial" w:hAnsi="Arial"/>
          <w:sz w:val="19"/>
          <w:szCs w:val="19"/>
          <w:color w:val="26262B"/>
        </w:rPr>
        <w:t>to fulfil such obligation</w:t>
      </w:r>
      <w:r>
        <w:rPr>
          <w:rFonts w:ascii="Arial" w:cs="Arial" w:eastAsia="Arial" w:hAnsi="Arial"/>
          <w:sz w:val="19"/>
          <w:szCs w:val="19"/>
          <w:color w:val="444448"/>
        </w:rPr>
        <w:t>,</w:t>
      </w:r>
      <w:r>
        <w:rPr>
          <w:rFonts w:ascii="Arial" w:cs="Arial" w:eastAsia="Arial" w:hAnsi="Arial"/>
          <w:sz w:val="19"/>
          <w:szCs w:val="19"/>
          <w:b w:val="1"/>
          <w:bCs w:val="1"/>
          <w:color w:val="26262B"/>
        </w:rPr>
        <w:t xml:space="preserve"> </w:t>
      </w:r>
      <w:r>
        <w:rPr>
          <w:rFonts w:ascii="Arial" w:cs="Arial" w:eastAsia="Arial" w:hAnsi="Arial"/>
          <w:sz w:val="19"/>
          <w:szCs w:val="19"/>
          <w:color w:val="26262B"/>
        </w:rPr>
        <w:t>PharmaMar is proposing to FDA, as the U.S. SCLC PostApproval Commitment Study, to</w:t>
      </w:r>
      <w:r>
        <w:rPr>
          <w:rFonts w:ascii="Arial" w:cs="Arial" w:eastAsia="Arial" w:hAnsi="Arial"/>
          <w:sz w:val="19"/>
          <w:szCs w:val="19"/>
          <w:b w:val="1"/>
          <w:bCs w:val="1"/>
          <w:color w:val="26262B"/>
        </w:rPr>
        <w:t xml:space="preserve"> </w:t>
      </w:r>
      <w:r>
        <w:rPr>
          <w:rFonts w:ascii="Arial" w:cs="Arial" w:eastAsia="Arial" w:hAnsi="Arial"/>
          <w:sz w:val="19"/>
          <w:szCs w:val="19"/>
          <w:color w:val="26262B"/>
        </w:rPr>
        <w:t>conduct, at its sole expense, a phase 3 clinical trial of the Licensed Product [***] for SCLC (the "</w:t>
      </w:r>
      <w:r>
        <w:rPr>
          <w:rFonts w:ascii="Arial" w:cs="Arial" w:eastAsia="Arial" w:hAnsi="Arial"/>
          <w:sz w:val="19"/>
          <w:szCs w:val="19"/>
          <w:b w:val="1"/>
          <w:bCs w:val="1"/>
          <w:color w:val="26262B"/>
        </w:rPr>
        <w:t>PharmaMar SCLC Study</w:t>
      </w:r>
      <w:r>
        <w:rPr>
          <w:rFonts w:ascii="Arial" w:cs="Arial" w:eastAsia="Arial" w:hAnsi="Arial"/>
          <w:sz w:val="19"/>
          <w:szCs w:val="19"/>
          <w:color w:val="26262B"/>
        </w:rPr>
        <w:t>");</w:t>
      </w:r>
    </w:p>
    <w:p>
      <w:pPr>
        <w:spacing w:after="0" w:line="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26262B"/>
        </w:rPr>
        <w:t xml:space="preserve">WHEREAS, </w:t>
      </w:r>
      <w:r>
        <w:rPr>
          <w:rFonts w:ascii="Arial" w:cs="Arial" w:eastAsia="Arial" w:hAnsi="Arial"/>
          <w:sz w:val="20"/>
          <w:szCs w:val="20"/>
          <w:color w:val="26262B"/>
        </w:rPr>
        <w:t>likely concurrently or with some overlap, Jazz may conduct, together with F. Hoffmann-La Roche Ltd (</w:t>
      </w:r>
      <w:r>
        <w:rPr>
          <w:rFonts w:ascii="Arial" w:cs="Arial" w:eastAsia="Arial" w:hAnsi="Arial"/>
          <w:sz w:val="20"/>
          <w:szCs w:val="20"/>
          <w:color w:val="444448"/>
        </w:rPr>
        <w:t>"</w:t>
      </w:r>
      <w:r>
        <w:rPr>
          <w:rFonts w:ascii="Arial" w:cs="Arial" w:eastAsia="Arial" w:hAnsi="Arial"/>
          <w:sz w:val="20"/>
          <w:szCs w:val="20"/>
          <w:b w:val="1"/>
          <w:bCs w:val="1"/>
          <w:color w:val="26262B"/>
        </w:rPr>
        <w:t>Roche</w:t>
      </w:r>
      <w:r>
        <w:rPr>
          <w:rFonts w:ascii="Arial" w:cs="Arial" w:eastAsia="Arial" w:hAnsi="Arial"/>
          <w:sz w:val="20"/>
          <w:szCs w:val="20"/>
          <w:color w:val="26262B"/>
        </w:rPr>
        <w:t>") and</w:t>
      </w:r>
      <w:r>
        <w:rPr>
          <w:rFonts w:ascii="Arial" w:cs="Arial" w:eastAsia="Arial" w:hAnsi="Arial"/>
          <w:sz w:val="20"/>
          <w:szCs w:val="20"/>
          <w:b w:val="1"/>
          <w:bCs w:val="1"/>
          <w:color w:val="26262B"/>
        </w:rPr>
        <w:t xml:space="preserve"> </w:t>
      </w:r>
      <w:r>
        <w:rPr>
          <w:rFonts w:ascii="Arial" w:cs="Arial" w:eastAsia="Arial" w:hAnsi="Arial"/>
          <w:sz w:val="20"/>
          <w:szCs w:val="20"/>
          <w:color w:val="26262B"/>
        </w:rPr>
        <w:t>at their shared expense</w:t>
      </w:r>
      <w:r>
        <w:rPr>
          <w:rFonts w:ascii="Arial" w:cs="Arial" w:eastAsia="Arial" w:hAnsi="Arial"/>
          <w:sz w:val="20"/>
          <w:szCs w:val="20"/>
          <w:color w:val="444448"/>
        </w:rPr>
        <w:t>,</w:t>
      </w:r>
      <w:r>
        <w:rPr>
          <w:rFonts w:ascii="Arial" w:cs="Arial" w:eastAsia="Arial" w:hAnsi="Arial"/>
          <w:sz w:val="20"/>
          <w:szCs w:val="20"/>
          <w:color w:val="26262B"/>
        </w:rPr>
        <w:t xml:space="preserve"> a global phase 3 clinical trial of the Licensed Product in combination with atezolizumab as a first-line maintenance treatment for SCLC (the "</w:t>
      </w:r>
      <w:r>
        <w:rPr>
          <w:rFonts w:ascii="Arial" w:cs="Arial" w:eastAsia="Arial" w:hAnsi="Arial"/>
          <w:sz w:val="20"/>
          <w:szCs w:val="20"/>
          <w:b w:val="1"/>
          <w:bCs w:val="1"/>
          <w:color w:val="26262B"/>
        </w:rPr>
        <w:t>1LM SCLC Study</w:t>
      </w:r>
      <w:r>
        <w:rPr>
          <w:rFonts w:ascii="Arial" w:cs="Arial" w:eastAsia="Arial" w:hAnsi="Arial"/>
          <w:sz w:val="20"/>
          <w:szCs w:val="20"/>
          <w:color w:val="26262B"/>
        </w:rPr>
        <w:t>") and Jazz is not proposing and will not propose the 1LM SCLC Study as an U.S. SCLC Post-Approval Commitment Study;</w:t>
      </w:r>
    </w:p>
    <w:p>
      <w:pPr>
        <w:spacing w:after="0" w:line="4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26262B"/>
        </w:rPr>
        <w:t xml:space="preserve">WHEREAS, </w:t>
      </w:r>
      <w:r>
        <w:rPr>
          <w:rFonts w:ascii="Arial" w:cs="Arial" w:eastAsia="Arial" w:hAnsi="Arial"/>
          <w:sz w:val="20"/>
          <w:szCs w:val="20"/>
          <w:color w:val="26262B"/>
        </w:rPr>
        <w:t>Jazz desires to obtain consent from PharmaMar to permit Roche and Jazz to perform the 1LM SCLC Study in the Jazz</w:t>
      </w:r>
      <w:r>
        <w:rPr>
          <w:rFonts w:ascii="Arial" w:cs="Arial" w:eastAsia="Arial" w:hAnsi="Arial"/>
          <w:sz w:val="20"/>
          <w:szCs w:val="20"/>
          <w:b w:val="1"/>
          <w:bCs w:val="1"/>
          <w:color w:val="26262B"/>
        </w:rPr>
        <w:t xml:space="preserve"> </w:t>
      </w:r>
      <w:r>
        <w:rPr>
          <w:rFonts w:ascii="Arial" w:cs="Arial" w:eastAsia="Arial" w:hAnsi="Arial"/>
          <w:sz w:val="20"/>
          <w:szCs w:val="20"/>
          <w:color w:val="26262B"/>
        </w:rPr>
        <w:t>Territory, and certain countries within the PharmaMar Territory;</w:t>
      </w:r>
    </w:p>
    <w:p>
      <w:pPr>
        <w:spacing w:after="0" w:line="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26262B"/>
        </w:rPr>
        <w:t xml:space="preserve">WHEREAS, </w:t>
      </w:r>
      <w:r>
        <w:rPr>
          <w:rFonts w:ascii="Arial" w:cs="Arial" w:eastAsia="Arial" w:hAnsi="Arial"/>
          <w:sz w:val="19"/>
          <w:szCs w:val="19"/>
          <w:color w:val="26262B"/>
        </w:rPr>
        <w:t>PharmaMar is obligated to obtain waivers from its Third Party Partners to the extent Third Party Partner rights under</w:t>
      </w:r>
      <w:r>
        <w:rPr>
          <w:rFonts w:ascii="Arial" w:cs="Arial" w:eastAsia="Arial" w:hAnsi="Arial"/>
          <w:sz w:val="19"/>
          <w:szCs w:val="19"/>
          <w:b w:val="1"/>
          <w:bCs w:val="1"/>
          <w:color w:val="26262B"/>
        </w:rPr>
        <w:t xml:space="preserve"> </w:t>
      </w:r>
      <w:r>
        <w:rPr>
          <w:rFonts w:ascii="Arial" w:cs="Arial" w:eastAsia="Arial" w:hAnsi="Arial"/>
          <w:sz w:val="19"/>
          <w:szCs w:val="19"/>
          <w:color w:val="26262B"/>
        </w:rPr>
        <w:t>the respective Third Party Partner license agreements may be impacted by the performance of the 1LM SCLC Study and will request such Third Party Partners' waivers in accordance with the process attached hereto (Exhibit A, Attachment 1);</w:t>
      </w:r>
    </w:p>
    <w:p>
      <w:pPr>
        <w:spacing w:after="0" w:line="4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26262B"/>
        </w:rPr>
        <w:t xml:space="preserve">WHEREAS, </w:t>
      </w:r>
      <w:r>
        <w:rPr>
          <w:rFonts w:ascii="Arial" w:cs="Arial" w:eastAsia="Arial" w:hAnsi="Arial"/>
          <w:sz w:val="20"/>
          <w:szCs w:val="20"/>
          <w:color w:val="26262B"/>
        </w:rPr>
        <w:t>provided [***], PharmaMar agrees that it will provide such con</w:t>
      </w:r>
      <w:r>
        <w:rPr>
          <w:rFonts w:ascii="Arial" w:cs="Arial" w:eastAsia="Arial" w:hAnsi="Arial"/>
          <w:sz w:val="20"/>
          <w:szCs w:val="20"/>
          <w:color w:val="444448"/>
        </w:rPr>
        <w:t>s</w:t>
      </w:r>
      <w:r>
        <w:rPr>
          <w:rFonts w:ascii="Arial" w:cs="Arial" w:eastAsia="Arial" w:hAnsi="Arial"/>
          <w:sz w:val="20"/>
          <w:szCs w:val="20"/>
          <w:color w:val="26262B"/>
        </w:rPr>
        <w:t>ent in exchange for a modification of the Milestone</w:t>
      </w:r>
      <w:r>
        <w:rPr>
          <w:rFonts w:ascii="Arial" w:cs="Arial" w:eastAsia="Arial" w:hAnsi="Arial"/>
          <w:sz w:val="20"/>
          <w:szCs w:val="20"/>
          <w:b w:val="1"/>
          <w:bCs w:val="1"/>
          <w:color w:val="26262B"/>
        </w:rPr>
        <w:t xml:space="preserve"> </w:t>
      </w:r>
      <w:r>
        <w:rPr>
          <w:rFonts w:ascii="Arial" w:cs="Arial" w:eastAsia="Arial" w:hAnsi="Arial"/>
          <w:sz w:val="20"/>
          <w:szCs w:val="20"/>
          <w:color w:val="26262B"/>
        </w:rPr>
        <w:t>Events for the Jazz U.S. Territory;</w:t>
      </w:r>
    </w:p>
    <w:p>
      <w:pPr>
        <w:spacing w:after="0" w:line="2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26262B"/>
        </w:rPr>
        <w:t xml:space="preserve">WHEREAS, </w:t>
      </w:r>
      <w:r>
        <w:rPr>
          <w:rFonts w:ascii="Arial" w:cs="Arial" w:eastAsia="Arial" w:hAnsi="Arial"/>
          <w:sz w:val="18"/>
          <w:szCs w:val="18"/>
          <w:color w:val="26262B"/>
        </w:rPr>
        <w:t>if such appropriate consents or waivers are obtained, Jazz will have the right to enter into and conduct the 1LM SCLC</w:t>
      </w:r>
      <w:r>
        <w:rPr>
          <w:rFonts w:ascii="Arial" w:cs="Arial" w:eastAsia="Arial" w:hAnsi="Arial"/>
          <w:sz w:val="18"/>
          <w:szCs w:val="18"/>
          <w:b w:val="1"/>
          <w:bCs w:val="1"/>
          <w:color w:val="26262B"/>
        </w:rPr>
        <w:t xml:space="preserve"> </w:t>
      </w:r>
      <w:r>
        <w:rPr>
          <w:rFonts w:ascii="Arial" w:cs="Arial" w:eastAsia="Arial" w:hAnsi="Arial"/>
          <w:sz w:val="18"/>
          <w:szCs w:val="18"/>
          <w:color w:val="26262B"/>
        </w:rPr>
        <w:t>Study with Roche under a Combination Clinical Study Agreement (</w:t>
      </w:r>
      <w:r>
        <w:rPr>
          <w:rFonts w:ascii="Arial" w:cs="Arial" w:eastAsia="Arial" w:hAnsi="Arial"/>
          <w:sz w:val="18"/>
          <w:szCs w:val="18"/>
          <w:color w:val="444448"/>
        </w:rPr>
        <w:t>"</w:t>
      </w:r>
      <w:r>
        <w:rPr>
          <w:rFonts w:ascii="Arial" w:cs="Arial" w:eastAsia="Arial" w:hAnsi="Arial"/>
          <w:sz w:val="18"/>
          <w:szCs w:val="18"/>
          <w:b w:val="1"/>
          <w:bCs w:val="1"/>
          <w:color w:val="26262B"/>
        </w:rPr>
        <w:t>CSA</w:t>
      </w:r>
      <w:r>
        <w:rPr>
          <w:rFonts w:ascii="Arial" w:cs="Arial" w:eastAsia="Arial" w:hAnsi="Arial"/>
          <w:sz w:val="18"/>
          <w:szCs w:val="18"/>
          <w:color w:val="26262B"/>
        </w:rPr>
        <w:t>") without any further consent required from PharmaMar or Study Waivers from Third Party Partners (other than as may be required due to a "material change" or Major Change as set forth in Exhibit 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6262B"/>
        </w:rPr>
        <w:t xml:space="preserve">WHEREAS </w:t>
      </w:r>
      <w:r>
        <w:rPr>
          <w:rFonts w:ascii="Arial" w:cs="Arial" w:eastAsia="Arial" w:hAnsi="Arial"/>
          <w:sz w:val="20"/>
          <w:szCs w:val="20"/>
          <w:color w:val="26262B"/>
        </w:rPr>
        <w:t>the Parties desire to amend the terms of the Agreement as set forth herein</w:t>
      </w:r>
      <w:r>
        <w:rPr>
          <w:rFonts w:ascii="Arial" w:cs="Arial" w:eastAsia="Arial" w:hAnsi="Arial"/>
          <w:sz w:val="20"/>
          <w:szCs w:val="20"/>
          <w:color w:val="44444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00"/>
          </w:cols>
          <w:pgMar w:left="320" w:top="900" w:right="379" w:bottom="1440" w:gutter="0" w:footer="0" w:header="0"/>
        </w:sectPr>
      </w:pPr>
    </w:p>
    <w:bookmarkStart w:id="107" w:name="page108"/>
    <w:bookmarkEnd w:id="107"/>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CONFIDENTIAL</w:t>
      </w:r>
    </w:p>
    <w:p>
      <w:pPr>
        <w:spacing w:after="0" w:line="3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premises, the mutual covenants contained herein and other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sufficiency of which are hereby acknowledged, the Parties hereby agree as follows:</w:t>
      </w:r>
    </w:p>
    <w:p>
      <w:pPr>
        <w:spacing w:after="0" w:line="304"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20"/>
          <w:szCs w:val="20"/>
          <w:color w:val="26262A"/>
        </w:rPr>
      </w:pPr>
      <w:r>
        <w:rPr>
          <w:rFonts w:ascii="Arial" w:cs="Arial" w:eastAsia="Arial" w:hAnsi="Arial"/>
          <w:sz w:val="20"/>
          <w:szCs w:val="20"/>
          <w:u w:val="single" w:color="auto"/>
          <w:color w:val="26262A"/>
        </w:rPr>
        <w:t>Milestone Revision for the Jazz U.S. Territory</w:t>
      </w:r>
      <w:r>
        <w:rPr>
          <w:rFonts w:ascii="Arial" w:cs="Arial" w:eastAsia="Arial" w:hAnsi="Arial"/>
          <w:sz w:val="20"/>
          <w:szCs w:val="20"/>
          <w:color w:val="26262A"/>
        </w:rPr>
        <w:t>.</w:t>
      </w:r>
    </w:p>
    <w:p>
      <w:pPr>
        <w:spacing w:after="0" w:line="102" w:lineRule="exact"/>
        <w:rPr>
          <w:sz w:val="20"/>
          <w:szCs w:val="20"/>
          <w:color w:val="auto"/>
        </w:rPr>
      </w:pPr>
    </w:p>
    <w:p>
      <w:pPr>
        <w:ind w:left="340"/>
        <w:spacing w:after="0"/>
        <w:tabs>
          <w:tab w:leader="none" w:pos="740" w:val="left"/>
        </w:tabs>
        <w:rPr>
          <w:sz w:val="20"/>
          <w:szCs w:val="20"/>
          <w:color w:val="auto"/>
        </w:rPr>
      </w:pPr>
      <w:r>
        <w:rPr>
          <w:rFonts w:ascii="Arial" w:cs="Arial" w:eastAsia="Arial" w:hAnsi="Arial"/>
          <w:sz w:val="16"/>
          <w:szCs w:val="16"/>
          <w:color w:val="26262A"/>
        </w:rPr>
        <w:t>1.1</w:t>
      </w:r>
      <w:r>
        <w:rPr>
          <w:sz w:val="20"/>
          <w:szCs w:val="20"/>
          <w:color w:val="auto"/>
        </w:rPr>
        <w:tab/>
      </w:r>
      <w:r>
        <w:rPr>
          <w:rFonts w:ascii="Arial" w:cs="Arial" w:eastAsia="Arial" w:hAnsi="Arial"/>
          <w:sz w:val="18"/>
          <w:szCs w:val="18"/>
          <w:color w:val="26262A"/>
        </w:rPr>
        <w:t>Solely in the event the "</w:t>
      </w:r>
      <w:r>
        <w:rPr>
          <w:rFonts w:ascii="Arial" w:cs="Arial" w:eastAsia="Arial" w:hAnsi="Arial"/>
          <w:sz w:val="18"/>
          <w:szCs w:val="18"/>
          <w:b w:val="1"/>
          <w:bCs w:val="1"/>
          <w:color w:val="26262A"/>
        </w:rPr>
        <w:t>Regulatory Milestone Amendment Event</w:t>
      </w:r>
      <w:r>
        <w:rPr>
          <w:rFonts w:ascii="Arial" w:cs="Arial" w:eastAsia="Arial" w:hAnsi="Arial"/>
          <w:sz w:val="18"/>
          <w:szCs w:val="18"/>
          <w:color w:val="26262A"/>
        </w:rPr>
        <w:t xml:space="preserve">" occurs, the Regulatory Milestones </w:t>
      </w:r>
      <w:r>
        <w:rPr>
          <w:rFonts w:ascii="Arial" w:cs="Arial" w:eastAsia="Arial" w:hAnsi="Arial"/>
          <w:sz w:val="18"/>
          <w:szCs w:val="18"/>
          <w:b w:val="1"/>
          <w:bCs w:val="1"/>
          <w:color w:val="26262A"/>
        </w:rPr>
        <w:t>#</w:t>
      </w:r>
      <w:r>
        <w:rPr>
          <w:rFonts w:ascii="Arial" w:cs="Arial" w:eastAsia="Arial" w:hAnsi="Arial"/>
          <w:sz w:val="18"/>
          <w:szCs w:val="18"/>
          <w:color w:val="26262A"/>
        </w:rPr>
        <w:t>1 and #2 in the table in</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20"/>
          <w:szCs w:val="20"/>
          <w:color w:val="26262A"/>
        </w:rPr>
        <w:t>Section 8.4 of the Agreement will be automatically deemed amended as follows:</w:t>
      </w:r>
    </w:p>
    <w:p>
      <w:pPr>
        <w:spacing w:after="0" w:line="115" w:lineRule="exact"/>
        <w:rPr>
          <w:sz w:val="20"/>
          <w:szCs w:val="20"/>
          <w:color w:val="auto"/>
        </w:rPr>
      </w:pPr>
    </w:p>
    <w:tbl>
      <w:tblPr>
        <w:tblLayout w:type="fixed"/>
        <w:tblInd w:w="1010" w:type="dxa"/>
        <w:tblCellMar>
          <w:top w:w="0" w:type="dxa"/>
          <w:left w:w="0" w:type="dxa"/>
          <w:bottom w:w="0" w:type="dxa"/>
          <w:right w:w="0" w:type="dxa"/>
        </w:tblCellMar>
      </w:tblPr>
      <w:tr>
        <w:trPr>
          <w:trHeight w:val="355"/>
        </w:trPr>
        <w:tc>
          <w:tcPr>
            <w:tcW w:w="5300" w:type="dxa"/>
            <w:vAlign w:val="bottom"/>
            <w:tcBorders>
              <w:top w:val="single" w:sz="8" w:color="auto"/>
              <w:left w:val="single" w:sz="8" w:color="auto"/>
              <w:right w:val="single" w:sz="8" w:color="auto"/>
            </w:tcBorders>
          </w:tcPr>
          <w:p>
            <w:pPr>
              <w:ind w:left="1220"/>
              <w:spacing w:after="0"/>
              <w:rPr>
                <w:sz w:val="20"/>
                <w:szCs w:val="20"/>
                <w:color w:val="auto"/>
              </w:rPr>
            </w:pPr>
            <w:r>
              <w:rPr>
                <w:rFonts w:ascii="Arial" w:cs="Arial" w:eastAsia="Arial" w:hAnsi="Arial"/>
                <w:sz w:val="20"/>
                <w:szCs w:val="20"/>
                <w:color w:val="26262A"/>
              </w:rPr>
              <w:t>Milestone Event</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26262A"/>
                <w:w w:val="90"/>
              </w:rPr>
              <w:t>Milestone Payment</w:t>
            </w:r>
          </w:p>
        </w:tc>
        <w:tc>
          <w:tcPr>
            <w:tcW w:w="0" w:type="dxa"/>
            <w:vAlign w:val="bottom"/>
          </w:tcPr>
          <w:p>
            <w:pPr>
              <w:spacing w:after="0"/>
              <w:rPr>
                <w:sz w:val="1"/>
                <w:szCs w:val="1"/>
                <w:color w:val="auto"/>
              </w:rPr>
            </w:pPr>
          </w:p>
        </w:tc>
      </w:tr>
      <w:tr>
        <w:trPr>
          <w:trHeight w:val="118"/>
        </w:trPr>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5300" w:type="dxa"/>
            <w:vAlign w:val="bottom"/>
            <w:tcBorders>
              <w:left w:val="single" w:sz="8" w:color="auto"/>
              <w:right w:val="single" w:sz="8" w:color="auto"/>
            </w:tcBorders>
          </w:tcPr>
          <w:p>
            <w:pPr>
              <w:jc w:val="right"/>
              <w:ind w:right="4401"/>
              <w:spacing w:after="0"/>
              <w:rPr>
                <w:sz w:val="20"/>
                <w:szCs w:val="20"/>
                <w:color w:val="auto"/>
              </w:rPr>
            </w:pPr>
            <w:r>
              <w:rPr>
                <w:rFonts w:ascii="Arial" w:cs="Arial" w:eastAsia="Arial" w:hAnsi="Arial"/>
                <w:sz w:val="20"/>
                <w:szCs w:val="20"/>
                <w:color w:val="26262A"/>
              </w:rPr>
              <w:t>1. [***]</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6262A"/>
              </w:rPr>
              <w:t>[***]</w:t>
            </w:r>
          </w:p>
        </w:tc>
        <w:tc>
          <w:tcPr>
            <w:tcW w:w="0" w:type="dxa"/>
            <w:vAlign w:val="bottom"/>
          </w:tcPr>
          <w:p>
            <w:pPr>
              <w:spacing w:after="0"/>
              <w:rPr>
                <w:sz w:val="1"/>
                <w:szCs w:val="1"/>
                <w:color w:val="auto"/>
              </w:rPr>
            </w:pPr>
          </w:p>
        </w:tc>
      </w:tr>
      <w:tr>
        <w:trPr>
          <w:trHeight w:val="118"/>
        </w:trPr>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5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26262A"/>
              </w:rPr>
              <w:t>2(A). [***]</w:t>
            </w: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26262A"/>
              </w:rPr>
              <w:t>[***]</w:t>
            </w:r>
          </w:p>
        </w:tc>
        <w:tc>
          <w:tcPr>
            <w:tcW w:w="0" w:type="dxa"/>
            <w:vAlign w:val="bottom"/>
          </w:tcPr>
          <w:p>
            <w:pPr>
              <w:spacing w:after="0"/>
              <w:rPr>
                <w:sz w:val="1"/>
                <w:szCs w:val="1"/>
                <w:color w:val="auto"/>
              </w:rPr>
            </w:pPr>
          </w:p>
        </w:tc>
      </w:tr>
      <w:tr>
        <w:trPr>
          <w:trHeight w:val="81"/>
        </w:trPr>
        <w:tc>
          <w:tcPr>
            <w:tcW w:w="5300" w:type="dxa"/>
            <w:vAlign w:val="bottom"/>
            <w:tcBorders>
              <w:left w:val="single" w:sz="8" w:color="auto"/>
              <w:right w:val="single" w:sz="8" w:color="auto"/>
            </w:tcBorders>
          </w:tcPr>
          <w:p>
            <w:pPr>
              <w:spacing w:after="0"/>
              <w:rPr>
                <w:sz w:val="7"/>
                <w:szCs w:val="7"/>
                <w:color w:val="auto"/>
              </w:rPr>
            </w:pPr>
          </w:p>
        </w:tc>
        <w:tc>
          <w:tcPr>
            <w:tcW w:w="3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5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26262A"/>
              </w:rPr>
              <w:t>2(B). [***]</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6262A"/>
              </w:rPr>
              <w:t>[***]</w:t>
            </w:r>
          </w:p>
        </w:tc>
        <w:tc>
          <w:tcPr>
            <w:tcW w:w="0" w:type="dxa"/>
            <w:vAlign w:val="bottom"/>
          </w:tcPr>
          <w:p>
            <w:pPr>
              <w:spacing w:after="0"/>
              <w:rPr>
                <w:sz w:val="1"/>
                <w:szCs w:val="1"/>
                <w:color w:val="auto"/>
              </w:rPr>
            </w:pPr>
          </w:p>
        </w:tc>
      </w:tr>
      <w:tr>
        <w:trPr>
          <w:trHeight w:val="117"/>
        </w:trPr>
        <w:tc>
          <w:tcPr>
            <w:tcW w:w="5300" w:type="dxa"/>
            <w:vAlign w:val="bottom"/>
            <w:tcBorders>
              <w:left w:val="single" w:sz="8" w:color="auto"/>
              <w:bottom w:val="single" w:sz="8" w:color="auto"/>
              <w:right w:val="single" w:sz="8" w:color="auto"/>
            </w:tcBorders>
          </w:tcPr>
          <w:p>
            <w:pPr>
              <w:spacing w:after="0"/>
              <w:rPr>
                <w:sz w:val="10"/>
                <w:szCs w:val="10"/>
                <w:color w:val="auto"/>
              </w:rPr>
            </w:pPr>
          </w:p>
        </w:tc>
        <w:tc>
          <w:tcPr>
            <w:tcW w:w="3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900"/>
        <w:spacing w:after="0"/>
        <w:rPr>
          <w:sz w:val="20"/>
          <w:szCs w:val="20"/>
          <w:color w:val="auto"/>
        </w:rPr>
      </w:pPr>
      <w:r>
        <w:rPr>
          <w:rFonts w:ascii="Arial" w:cs="Arial" w:eastAsia="Arial" w:hAnsi="Arial"/>
          <w:sz w:val="18"/>
          <w:szCs w:val="18"/>
          <w:color w:val="26262A"/>
        </w:rPr>
        <w:t>"</w:t>
      </w:r>
      <w:r>
        <w:rPr>
          <w:rFonts w:ascii="Arial" w:cs="Arial" w:eastAsia="Arial" w:hAnsi="Arial"/>
          <w:sz w:val="18"/>
          <w:szCs w:val="18"/>
          <w:b w:val="1"/>
          <w:bCs w:val="1"/>
          <w:color w:val="26262A"/>
        </w:rPr>
        <w:t>Regulatory Milestone Amendment Event</w:t>
      </w:r>
      <w:r>
        <w:rPr>
          <w:rFonts w:ascii="Arial" w:cs="Arial" w:eastAsia="Arial" w:hAnsi="Arial"/>
          <w:sz w:val="18"/>
          <w:szCs w:val="18"/>
          <w:color w:val="26262A"/>
        </w:rPr>
        <w:t>" means the occurrence of all the following events: (i) [***]; and (ii) the [***]; and</w:t>
      </w:r>
    </w:p>
    <w:p>
      <w:pPr>
        <w:spacing w:after="0" w:line="45" w:lineRule="exact"/>
        <w:rPr>
          <w:sz w:val="20"/>
          <w:szCs w:val="20"/>
          <w:color w:val="auto"/>
        </w:rPr>
      </w:pPr>
    </w:p>
    <w:p>
      <w:pPr>
        <w:jc w:val="both"/>
        <w:ind w:left="900" w:right="40" w:hanging="1"/>
        <w:spacing w:after="0" w:line="241" w:lineRule="auto"/>
        <w:tabs>
          <w:tab w:leader="none" w:pos="1254" w:val="left"/>
        </w:tabs>
        <w:numPr>
          <w:ilvl w:val="0"/>
          <w:numId w:val="39"/>
        </w:numPr>
        <w:rPr>
          <w:rFonts w:ascii="Arial" w:cs="Arial" w:eastAsia="Arial" w:hAnsi="Arial"/>
          <w:sz w:val="20"/>
          <w:szCs w:val="20"/>
          <w:color w:val="26262A"/>
        </w:rPr>
      </w:pPr>
      <w:r>
        <w:rPr>
          <w:rFonts w:ascii="Arial" w:cs="Arial" w:eastAsia="Arial" w:hAnsi="Arial"/>
          <w:sz w:val="20"/>
          <w:szCs w:val="20"/>
          <w:color w:val="26262A"/>
        </w:rPr>
        <w:t>[***] as defined in Exhibit A. If the regulatory authority recommends material change(s) to the 1LM SCLC Study Protocol, Jazz will request new PharmaMar Consent from PharmaMar and PharmaMar will request new Study Waivers from its Third Party Partners in accordance with Exhibit A.</w:t>
      </w:r>
    </w:p>
    <w:p>
      <w:pPr>
        <w:spacing w:after="0" w:line="82" w:lineRule="exact"/>
        <w:rPr>
          <w:sz w:val="20"/>
          <w:szCs w:val="20"/>
          <w:color w:val="auto"/>
        </w:rPr>
      </w:pPr>
    </w:p>
    <w:p>
      <w:pPr>
        <w:jc w:val="both"/>
        <w:ind w:left="800" w:right="40" w:hanging="485"/>
        <w:spacing w:after="0" w:line="248" w:lineRule="auto"/>
        <w:tabs>
          <w:tab w:leader="none" w:pos="780" w:val="left"/>
        </w:tabs>
        <w:rPr>
          <w:sz w:val="20"/>
          <w:szCs w:val="20"/>
          <w:color w:val="auto"/>
        </w:rPr>
      </w:pPr>
      <w:r>
        <w:rPr>
          <w:rFonts w:ascii="Arial" w:cs="Arial" w:eastAsia="Arial" w:hAnsi="Arial"/>
          <w:sz w:val="16"/>
          <w:szCs w:val="16"/>
          <w:color w:val="26262A"/>
        </w:rPr>
        <w:t>1.2</w:t>
      </w:r>
      <w:r>
        <w:rPr>
          <w:sz w:val="20"/>
          <w:szCs w:val="20"/>
          <w:color w:val="auto"/>
        </w:rPr>
        <w:tab/>
      </w:r>
      <w:r>
        <w:rPr>
          <w:rFonts w:ascii="Arial" w:cs="Arial" w:eastAsia="Arial" w:hAnsi="Arial"/>
          <w:sz w:val="20"/>
          <w:szCs w:val="20"/>
          <w:color w:val="26262A"/>
        </w:rPr>
        <w:t xml:space="preserve">For clarity, Regulatory Milestone </w:t>
      </w:r>
      <w:r>
        <w:rPr>
          <w:rFonts w:ascii="Arial" w:cs="Arial" w:eastAsia="Arial" w:hAnsi="Arial"/>
          <w:sz w:val="20"/>
          <w:szCs w:val="20"/>
          <w:b w:val="1"/>
          <w:bCs w:val="1"/>
          <w:color w:val="26262A"/>
        </w:rPr>
        <w:t>#1,</w:t>
      </w:r>
      <w:r>
        <w:rPr>
          <w:rFonts w:ascii="Arial" w:cs="Arial" w:eastAsia="Arial" w:hAnsi="Arial"/>
          <w:sz w:val="20"/>
          <w:szCs w:val="20"/>
          <w:color w:val="26262A"/>
        </w:rPr>
        <w:t xml:space="preserve"> Regulatory Milestone #2(A) and Regulatory Milestone #2(B) are mutually exclusive and no more than one of the milestone payments set forth above will be paid. The Regulatory Milestones #3 and 4 in the table set forth in Section 8.4 of the Agreement will not be modified by this Amendment and will remain in effect as currently drafted under the Agreement.</w:t>
      </w:r>
    </w:p>
    <w:p>
      <w:pPr>
        <w:spacing w:after="0" w:line="81" w:lineRule="exact"/>
        <w:rPr>
          <w:sz w:val="20"/>
          <w:szCs w:val="20"/>
          <w:color w:val="auto"/>
        </w:rPr>
      </w:pPr>
    </w:p>
    <w:p>
      <w:pPr>
        <w:jc w:val="both"/>
        <w:ind w:left="340" w:right="40" w:hanging="332"/>
        <w:spacing w:after="0" w:line="244" w:lineRule="auto"/>
        <w:tabs>
          <w:tab w:leader="none" w:pos="389" w:val="left"/>
        </w:tabs>
        <w:numPr>
          <w:ilvl w:val="0"/>
          <w:numId w:val="40"/>
        </w:numPr>
        <w:rPr>
          <w:rFonts w:ascii="Arial" w:cs="Arial" w:eastAsia="Arial" w:hAnsi="Arial"/>
          <w:sz w:val="20"/>
          <w:szCs w:val="20"/>
          <w:color w:val="26262A"/>
        </w:rPr>
      </w:pPr>
      <w:r>
        <w:rPr>
          <w:rFonts w:ascii="Arial" w:cs="Arial" w:eastAsia="Arial" w:hAnsi="Arial"/>
          <w:sz w:val="20"/>
          <w:szCs w:val="20"/>
          <w:u w:val="single" w:color="auto"/>
          <w:color w:val="26262A"/>
        </w:rPr>
        <w:t>Submission of Application for Full Approval based on the PharmaMar SCLC Study in the Jazz U.S. Territory</w:t>
      </w:r>
      <w:r>
        <w:rPr>
          <w:rFonts w:ascii="Arial" w:cs="Arial" w:eastAsia="Arial" w:hAnsi="Arial"/>
          <w:sz w:val="20"/>
          <w:szCs w:val="20"/>
          <w:color w:val="26262A"/>
        </w:rPr>
        <w:t>. After Jazz obtains from PharmaMar all the study data and information needed to submit the Full Approval application to the FDA, including the PharmaMar SCLC Study final tables, listings, and figures, Jazz will use Commercially Reasonable Efforts to submit the Full Approval application in the Jazz U.S. Territory within [***] of such receipt but in any event, Jazz shall submit the Full Approval application to the FDA no later than [***] of such receipt.</w:t>
      </w:r>
    </w:p>
    <w:p>
      <w:pPr>
        <w:spacing w:after="0" w:line="86" w:lineRule="exact"/>
        <w:rPr>
          <w:rFonts w:ascii="Arial" w:cs="Arial" w:eastAsia="Arial" w:hAnsi="Arial"/>
          <w:sz w:val="20"/>
          <w:szCs w:val="20"/>
          <w:color w:val="26262A"/>
        </w:rPr>
      </w:pPr>
    </w:p>
    <w:p>
      <w:pPr>
        <w:ind w:left="360" w:hanging="352"/>
        <w:spacing w:after="0"/>
        <w:tabs>
          <w:tab w:leader="none" w:pos="360" w:val="left"/>
        </w:tabs>
        <w:numPr>
          <w:ilvl w:val="0"/>
          <w:numId w:val="40"/>
        </w:numPr>
        <w:rPr>
          <w:rFonts w:ascii="Arial" w:cs="Arial" w:eastAsia="Arial" w:hAnsi="Arial"/>
          <w:sz w:val="20"/>
          <w:szCs w:val="20"/>
          <w:color w:val="26262A"/>
        </w:rPr>
      </w:pPr>
      <w:r>
        <w:rPr>
          <w:rFonts w:ascii="Arial" w:cs="Arial" w:eastAsia="Arial" w:hAnsi="Arial"/>
          <w:sz w:val="20"/>
          <w:szCs w:val="20"/>
          <w:u w:val="single" w:color="auto"/>
          <w:color w:val="26262A"/>
        </w:rPr>
        <w:t>Jazz Permission to PharmaMar to Conduct of the PharmaMar SCLC Study/ies in the U.S. and Canada</w:t>
      </w:r>
      <w:r>
        <w:rPr>
          <w:rFonts w:ascii="Arial" w:cs="Arial" w:eastAsia="Arial" w:hAnsi="Arial"/>
          <w:sz w:val="20"/>
          <w:szCs w:val="20"/>
          <w:color w:val="26262A"/>
        </w:rPr>
        <w:t>.</w:t>
      </w:r>
    </w:p>
    <w:p>
      <w:pPr>
        <w:spacing w:after="0" w:line="108" w:lineRule="exact"/>
        <w:rPr>
          <w:sz w:val="20"/>
          <w:szCs w:val="20"/>
          <w:color w:val="auto"/>
        </w:rPr>
      </w:pPr>
    </w:p>
    <w:p>
      <w:pPr>
        <w:jc w:val="both"/>
        <w:ind w:left="900" w:right="40" w:hanging="485"/>
        <w:spacing w:after="0" w:line="243" w:lineRule="auto"/>
        <w:tabs>
          <w:tab w:leader="none" w:pos="880" w:val="left"/>
        </w:tabs>
        <w:rPr>
          <w:sz w:val="20"/>
          <w:szCs w:val="20"/>
          <w:color w:val="auto"/>
        </w:rPr>
      </w:pPr>
      <w:r>
        <w:rPr>
          <w:rFonts w:ascii="Arial" w:cs="Arial" w:eastAsia="Arial" w:hAnsi="Arial"/>
          <w:sz w:val="20"/>
          <w:szCs w:val="20"/>
          <w:color w:val="auto"/>
        </w:rPr>
        <w:t>3.1</w:t>
      </w:r>
      <w:r>
        <w:rPr>
          <w:rFonts w:ascii="Arial" w:cs="Arial" w:eastAsia="Arial" w:hAnsi="Arial"/>
          <w:sz w:val="20"/>
          <w:szCs w:val="20"/>
          <w:color w:val="26262A"/>
        </w:rPr>
        <w:tab/>
        <w:t>PharmaMar will not conduct a PharmaMar SCLC Study at any trial sites in the U.S</w:t>
      </w:r>
      <w:r>
        <w:rPr>
          <w:rFonts w:ascii="Arial" w:cs="Arial" w:eastAsia="Arial" w:hAnsi="Arial"/>
          <w:sz w:val="20"/>
          <w:szCs w:val="20"/>
          <w:color w:val="444448"/>
        </w:rPr>
        <w:t>.</w:t>
      </w:r>
      <w:r>
        <w:rPr>
          <w:rFonts w:ascii="Arial" w:cs="Arial" w:eastAsia="Arial" w:hAnsi="Arial"/>
          <w:sz w:val="20"/>
          <w:szCs w:val="20"/>
          <w:color w:val="26262A"/>
        </w:rPr>
        <w:t xml:space="preserve"> unless [***]. If [***], PharmaMar shall provide its list of sites with the estimated subject enrolment from each site to Jazz for prior written approval. PharmaMar will be allowed to run a U.S. SCLC Post-Approval Commitment Study in a limited number of sites in the U.S. reasonable to recruit the number of U.S. patients as required by FDA and as approved in advance by Jazz in writing. PharmaMar will provide Jazz a list of prospective sites for the PharmaMar SCLC Study for Jazz's </w:t>
      </w:r>
      <w:r>
        <w:rPr>
          <w:rFonts w:ascii="Arial" w:cs="Arial" w:eastAsia="Arial" w:hAnsi="Arial"/>
          <w:sz w:val="20"/>
          <w:szCs w:val="20"/>
          <w:color w:val="26262B"/>
        </w:rPr>
        <w:t>review and approval [***] prior to reaching out to U.S. sites about</w:t>
      </w:r>
      <w:r>
        <w:rPr>
          <w:rFonts w:ascii="Arial" w:cs="Arial" w:eastAsia="Arial" w:hAnsi="Arial"/>
          <w:sz w:val="20"/>
          <w:szCs w:val="20"/>
          <w:color w:val="26262A"/>
        </w:rPr>
        <w:t xml:space="preserve"> </w:t>
      </w:r>
      <w:r>
        <w:rPr>
          <w:rFonts w:ascii="Arial" w:cs="Arial" w:eastAsia="Arial" w:hAnsi="Arial"/>
          <w:sz w:val="20"/>
          <w:szCs w:val="20"/>
          <w:color w:val="26262B"/>
        </w:rPr>
        <w:t>interest in participating in the PharmaMar SCLC.</w:t>
      </w:r>
    </w:p>
    <w:p>
      <w:pPr>
        <w:spacing w:after="0" w:line="88" w:lineRule="exact"/>
        <w:rPr>
          <w:sz w:val="20"/>
          <w:szCs w:val="20"/>
          <w:color w:val="auto"/>
        </w:rPr>
      </w:pPr>
    </w:p>
    <w:p>
      <w:pPr>
        <w:jc w:val="both"/>
        <w:ind w:left="880" w:right="40" w:hanging="485"/>
        <w:spacing w:after="0" w:line="291" w:lineRule="auto"/>
        <w:tabs>
          <w:tab w:leader="none" w:pos="860" w:val="left"/>
        </w:tabs>
        <w:rPr>
          <w:sz w:val="20"/>
          <w:szCs w:val="20"/>
          <w:color w:val="auto"/>
        </w:rPr>
      </w:pPr>
      <w:r>
        <w:rPr>
          <w:rFonts w:ascii="Arial" w:cs="Arial" w:eastAsia="Arial" w:hAnsi="Arial"/>
          <w:sz w:val="20"/>
          <w:szCs w:val="20"/>
          <w:color w:val="26262B"/>
        </w:rPr>
        <w:t>3.2</w:t>
      </w:r>
      <w:r>
        <w:rPr>
          <w:sz w:val="20"/>
          <w:szCs w:val="20"/>
          <w:color w:val="auto"/>
        </w:rPr>
        <w:tab/>
      </w:r>
      <w:r>
        <w:rPr>
          <w:rFonts w:ascii="Arial" w:cs="Arial" w:eastAsia="Arial" w:hAnsi="Arial"/>
          <w:sz w:val="18"/>
          <w:szCs w:val="18"/>
          <w:color w:val="26262B"/>
        </w:rPr>
        <w:t>PharmaMar will have the right to engage up to [***] trial sites in Canada for the conduct of a PharmaMar SCLC Study subject to Jazz's prior written approval. PharmaMar will provide Jazz a list of prospective sites for the PharmaMar SCLC for Jazz's review and approval [***] prior to reaching out to sites in Canada about interest in participating in the PharmaMar SCLC Study.</w:t>
      </w:r>
    </w:p>
    <w:p>
      <w:pPr>
        <w:spacing w:after="0" w:line="44" w:lineRule="exact"/>
        <w:rPr>
          <w:sz w:val="20"/>
          <w:szCs w:val="20"/>
          <w:color w:val="auto"/>
        </w:rPr>
      </w:pPr>
    </w:p>
    <w:p>
      <w:pPr>
        <w:ind w:left="340" w:right="40" w:hanging="332"/>
        <w:spacing w:after="0" w:line="260" w:lineRule="auto"/>
        <w:tabs>
          <w:tab w:leader="none" w:pos="416" w:val="left"/>
        </w:tabs>
        <w:numPr>
          <w:ilvl w:val="0"/>
          <w:numId w:val="41"/>
        </w:numPr>
        <w:rPr>
          <w:rFonts w:ascii="Arial" w:cs="Arial" w:eastAsia="Arial" w:hAnsi="Arial"/>
          <w:sz w:val="20"/>
          <w:szCs w:val="20"/>
          <w:color w:val="26262B"/>
        </w:rPr>
      </w:pPr>
      <w:r>
        <w:rPr>
          <w:rFonts w:ascii="Arial" w:cs="Arial" w:eastAsia="Arial" w:hAnsi="Arial"/>
          <w:sz w:val="20"/>
          <w:szCs w:val="20"/>
          <w:u w:val="single" w:color="auto"/>
          <w:color w:val="26262B"/>
        </w:rPr>
        <w:t>PharmaMar Requirements for Jazz to Conduct the 1LM SCLC Study globally with Roche</w:t>
      </w:r>
      <w:r>
        <w:rPr>
          <w:rFonts w:ascii="Arial" w:cs="Arial" w:eastAsia="Arial" w:hAnsi="Arial"/>
          <w:sz w:val="20"/>
          <w:szCs w:val="20"/>
          <w:color w:val="26262B"/>
        </w:rPr>
        <w:t xml:space="preserve">. The Parties agree to process consents and study waivers as outlined in </w:t>
      </w:r>
      <w:r>
        <w:rPr>
          <w:rFonts w:ascii="Arial" w:cs="Arial" w:eastAsia="Arial" w:hAnsi="Arial"/>
          <w:sz w:val="20"/>
          <w:szCs w:val="20"/>
          <w:color w:val="3B3B3F"/>
        </w:rPr>
        <w:t>Exhibit</w:t>
      </w:r>
      <w:r>
        <w:rPr>
          <w:rFonts w:ascii="Arial" w:cs="Arial" w:eastAsia="Arial" w:hAnsi="Arial"/>
          <w:sz w:val="20"/>
          <w:szCs w:val="20"/>
          <w:color w:val="26262B"/>
        </w:rPr>
        <w:t xml:space="preserve">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40"/>
          </w:cols>
          <w:pgMar w:left="320" w:top="130"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CONFIDENTIAL</w:t>
      </w:r>
    </w:p>
    <w:p>
      <w:pPr>
        <w:spacing w:after="0" w:line="200" w:lineRule="exact"/>
        <w:rPr>
          <w:sz w:val="20"/>
          <w:szCs w:val="20"/>
          <w:color w:val="auto"/>
        </w:rPr>
      </w:pPr>
    </w:p>
    <w:p>
      <w:pPr>
        <w:spacing w:after="0" w:line="297" w:lineRule="exact"/>
        <w:rPr>
          <w:sz w:val="20"/>
          <w:szCs w:val="20"/>
          <w:color w:val="auto"/>
        </w:rPr>
      </w:pPr>
    </w:p>
    <w:p>
      <w:pPr>
        <w:ind w:left="340" w:right="40" w:hanging="332"/>
        <w:spacing w:after="0" w:line="260" w:lineRule="auto"/>
        <w:tabs>
          <w:tab w:leader="none" w:pos="389" w:val="left"/>
        </w:tabs>
        <w:numPr>
          <w:ilvl w:val="0"/>
          <w:numId w:val="42"/>
        </w:numPr>
        <w:rPr>
          <w:rFonts w:ascii="Arial" w:cs="Arial" w:eastAsia="Arial" w:hAnsi="Arial"/>
          <w:sz w:val="20"/>
          <w:szCs w:val="20"/>
          <w:color w:val="26262B"/>
        </w:rPr>
      </w:pPr>
      <w:r>
        <w:rPr>
          <w:rFonts w:ascii="Arial" w:cs="Arial" w:eastAsia="Arial" w:hAnsi="Arial"/>
          <w:sz w:val="20"/>
          <w:szCs w:val="20"/>
          <w:u w:val="single" w:color="auto"/>
          <w:color w:val="26262B"/>
        </w:rPr>
        <w:t>Territorial Clarification</w:t>
      </w:r>
      <w:r>
        <w:rPr>
          <w:rFonts w:ascii="Arial" w:cs="Arial" w:eastAsia="Arial" w:hAnsi="Arial"/>
          <w:sz w:val="20"/>
          <w:szCs w:val="20"/>
          <w:color w:val="26262B"/>
        </w:rPr>
        <w:t xml:space="preserve">. Regarding the 1LM SCLC Study, the Parties </w:t>
      </w:r>
      <w:r>
        <w:rPr>
          <w:rFonts w:ascii="Arial" w:cs="Arial" w:eastAsia="Arial" w:hAnsi="Arial"/>
          <w:sz w:val="20"/>
          <w:szCs w:val="20"/>
          <w:color w:val="3B3B3F"/>
        </w:rPr>
        <w:t>agree</w:t>
      </w:r>
      <w:r>
        <w:rPr>
          <w:rFonts w:ascii="Arial" w:cs="Arial" w:eastAsia="Arial" w:hAnsi="Arial"/>
          <w:sz w:val="20"/>
          <w:szCs w:val="20"/>
          <w:color w:val="26262B"/>
        </w:rPr>
        <w:t xml:space="preserve"> that if PharmaMar Consent and Third Party Study Waivers are granted:</w:t>
      </w:r>
    </w:p>
    <w:p>
      <w:pPr>
        <w:spacing w:after="0" w:line="68" w:lineRule="exact"/>
        <w:rPr>
          <w:rFonts w:ascii="Arial" w:cs="Arial" w:eastAsia="Arial" w:hAnsi="Arial"/>
          <w:sz w:val="20"/>
          <w:szCs w:val="20"/>
          <w:color w:val="26262B"/>
        </w:rPr>
      </w:pPr>
    </w:p>
    <w:p>
      <w:pPr>
        <w:ind w:left="1240" w:hanging="341"/>
        <w:spacing w:after="0"/>
        <w:tabs>
          <w:tab w:leader="none" w:pos="1240" w:val="left"/>
        </w:tabs>
        <w:numPr>
          <w:ilvl w:val="1"/>
          <w:numId w:val="42"/>
        </w:numPr>
        <w:rPr>
          <w:rFonts w:ascii="Arial" w:cs="Arial" w:eastAsia="Arial" w:hAnsi="Arial"/>
          <w:sz w:val="16"/>
          <w:szCs w:val="16"/>
          <w:color w:val="26262B"/>
        </w:rPr>
      </w:pPr>
      <w:r>
        <w:rPr>
          <w:rFonts w:ascii="Arial" w:cs="Arial" w:eastAsia="Arial" w:hAnsi="Arial"/>
          <w:sz w:val="20"/>
          <w:szCs w:val="20"/>
          <w:color w:val="26262B"/>
        </w:rPr>
        <w:t>Jazz and Roche shall not conduct the 1LM SCLC Study in [***] (including [***] and [***]);</w:t>
      </w:r>
    </w:p>
    <w:p>
      <w:pPr>
        <w:spacing w:after="0" w:line="107" w:lineRule="exact"/>
        <w:rPr>
          <w:rFonts w:ascii="Arial" w:cs="Arial" w:eastAsia="Arial" w:hAnsi="Arial"/>
          <w:sz w:val="16"/>
          <w:szCs w:val="16"/>
          <w:color w:val="26262B"/>
        </w:rPr>
      </w:pPr>
    </w:p>
    <w:p>
      <w:pPr>
        <w:jc w:val="both"/>
        <w:ind w:left="1300" w:right="40" w:hanging="401"/>
        <w:spacing w:after="0" w:line="250" w:lineRule="auto"/>
        <w:tabs>
          <w:tab w:leader="none" w:pos="1286" w:val="left"/>
        </w:tabs>
        <w:numPr>
          <w:ilvl w:val="1"/>
          <w:numId w:val="42"/>
        </w:numPr>
        <w:rPr>
          <w:rFonts w:ascii="Arial" w:cs="Arial" w:eastAsia="Arial" w:hAnsi="Arial"/>
          <w:sz w:val="16"/>
          <w:szCs w:val="16"/>
          <w:color w:val="26262B"/>
        </w:rPr>
      </w:pPr>
      <w:r>
        <w:rPr>
          <w:rFonts w:ascii="Arial" w:cs="Arial" w:eastAsia="Arial" w:hAnsi="Arial"/>
          <w:sz w:val="20"/>
          <w:szCs w:val="20"/>
          <w:color w:val="26262B"/>
        </w:rPr>
        <w:t xml:space="preserve">For any territory (listed in </w:t>
      </w:r>
      <w:r>
        <w:rPr>
          <w:rFonts w:ascii="Arial" w:cs="Arial" w:eastAsia="Arial" w:hAnsi="Arial"/>
          <w:sz w:val="20"/>
          <w:szCs w:val="20"/>
          <w:color w:val="3B3B3F"/>
        </w:rPr>
        <w:t>Exhibit</w:t>
      </w:r>
      <w:r>
        <w:rPr>
          <w:rFonts w:ascii="Arial" w:cs="Arial" w:eastAsia="Arial" w:hAnsi="Arial"/>
          <w:sz w:val="20"/>
          <w:szCs w:val="20"/>
          <w:color w:val="26262B"/>
        </w:rPr>
        <w:t xml:space="preserve"> A, Attachment 1) licensed by PharmaMar to a Third Party Partner, Jazz and Roche shall respect any [***][ . A list of those territories in which PharmaMar has a Third Party Partner as of the Amendment Effective Date is in Exhibit A, Attachment 1; and</w:t>
      </w:r>
    </w:p>
    <w:p>
      <w:pPr>
        <w:spacing w:after="0" w:line="77" w:lineRule="exact"/>
        <w:rPr>
          <w:rFonts w:ascii="Arial" w:cs="Arial" w:eastAsia="Arial" w:hAnsi="Arial"/>
          <w:sz w:val="16"/>
          <w:szCs w:val="16"/>
          <w:color w:val="26262B"/>
        </w:rPr>
      </w:pPr>
    </w:p>
    <w:p>
      <w:pPr>
        <w:jc w:val="both"/>
        <w:ind w:left="1300" w:right="40" w:hanging="401"/>
        <w:spacing w:after="0" w:line="250" w:lineRule="auto"/>
        <w:tabs>
          <w:tab w:leader="none" w:pos="1250" w:val="left"/>
        </w:tabs>
        <w:numPr>
          <w:ilvl w:val="1"/>
          <w:numId w:val="42"/>
        </w:numPr>
        <w:rPr>
          <w:rFonts w:ascii="Arial" w:cs="Arial" w:eastAsia="Arial" w:hAnsi="Arial"/>
          <w:sz w:val="16"/>
          <w:szCs w:val="16"/>
          <w:color w:val="26262B"/>
        </w:rPr>
      </w:pPr>
      <w:r>
        <w:rPr>
          <w:rFonts w:ascii="Arial" w:cs="Arial" w:eastAsia="Arial" w:hAnsi="Arial"/>
          <w:sz w:val="20"/>
          <w:szCs w:val="20"/>
          <w:color w:val="26262B"/>
        </w:rPr>
        <w:t>For any other country other than [***] as per the preceding (a) and (b)</w:t>
      </w:r>
      <w:r>
        <w:rPr>
          <w:rFonts w:ascii="Arial" w:cs="Arial" w:eastAsia="Arial" w:hAnsi="Arial"/>
          <w:sz w:val="20"/>
          <w:szCs w:val="20"/>
          <w:color w:val="545456"/>
        </w:rPr>
        <w:t>,</w:t>
      </w:r>
      <w:r>
        <w:rPr>
          <w:rFonts w:ascii="Arial" w:cs="Arial" w:eastAsia="Arial" w:hAnsi="Arial"/>
          <w:sz w:val="20"/>
          <w:szCs w:val="20"/>
          <w:color w:val="26262B"/>
        </w:rPr>
        <w:t xml:space="preserve"> Jazz or Roche will have the right to engage trial sites without limitation in such countries of the PharmaMar Territory. For clarity, this includes any [***] countries in the PharmaMar Territory not licensed by PharmaMar to a Third Party Partner.</w:t>
      </w:r>
    </w:p>
    <w:p>
      <w:pPr>
        <w:spacing w:after="0" w:line="77" w:lineRule="exact"/>
        <w:rPr>
          <w:rFonts w:ascii="Arial" w:cs="Arial" w:eastAsia="Arial" w:hAnsi="Arial"/>
          <w:sz w:val="16"/>
          <w:szCs w:val="16"/>
          <w:color w:val="26262B"/>
        </w:rPr>
      </w:pPr>
    </w:p>
    <w:p>
      <w:pPr>
        <w:jc w:val="both"/>
        <w:ind w:left="340" w:right="40" w:hanging="332"/>
        <w:spacing w:after="0" w:line="291" w:lineRule="auto"/>
        <w:tabs>
          <w:tab w:leader="none" w:pos="376" w:val="left"/>
        </w:tabs>
        <w:numPr>
          <w:ilvl w:val="0"/>
          <w:numId w:val="42"/>
        </w:numPr>
        <w:rPr>
          <w:rFonts w:ascii="Arial" w:cs="Arial" w:eastAsia="Arial" w:hAnsi="Arial"/>
          <w:sz w:val="18"/>
          <w:szCs w:val="18"/>
          <w:color w:val="26262B"/>
        </w:rPr>
      </w:pPr>
      <w:r>
        <w:rPr>
          <w:rFonts w:ascii="Arial" w:cs="Arial" w:eastAsia="Arial" w:hAnsi="Arial"/>
          <w:sz w:val="18"/>
          <w:szCs w:val="18"/>
          <w:u w:val="single" w:color="auto"/>
          <w:color w:val="26262B"/>
        </w:rPr>
        <w:t>Confidentiality</w:t>
      </w:r>
      <w:r>
        <w:rPr>
          <w:rFonts w:ascii="Arial" w:cs="Arial" w:eastAsia="Arial" w:hAnsi="Arial"/>
          <w:sz w:val="18"/>
          <w:szCs w:val="18"/>
          <w:color w:val="26262B"/>
        </w:rPr>
        <w:t>. Neither Party will issue any press release or other public disclosure announcing or otherwise disclosing the existence of the Amendment to the Agreement except (a) with the prior written consent of the other Party or (b) in accordance with Section 11.5 of the Agreement as may be required by applicable law or the rules of any securities exchange on which such Party's securities are traded.</w:t>
      </w:r>
    </w:p>
    <w:p>
      <w:pPr>
        <w:spacing w:after="0" w:line="43" w:lineRule="exact"/>
        <w:rPr>
          <w:rFonts w:ascii="Arial" w:cs="Arial" w:eastAsia="Arial" w:hAnsi="Arial"/>
          <w:sz w:val="18"/>
          <w:szCs w:val="18"/>
          <w:color w:val="26262B"/>
        </w:rPr>
      </w:pPr>
    </w:p>
    <w:p>
      <w:pPr>
        <w:ind w:left="340" w:right="40" w:hanging="332"/>
        <w:spacing w:after="0" w:line="260" w:lineRule="auto"/>
        <w:tabs>
          <w:tab w:leader="none" w:pos="471" w:val="left"/>
        </w:tabs>
        <w:numPr>
          <w:ilvl w:val="0"/>
          <w:numId w:val="42"/>
        </w:numPr>
        <w:rPr>
          <w:rFonts w:ascii="Arial" w:cs="Arial" w:eastAsia="Arial" w:hAnsi="Arial"/>
          <w:sz w:val="20"/>
          <w:szCs w:val="20"/>
          <w:color w:val="26262B"/>
        </w:rPr>
      </w:pPr>
      <w:r>
        <w:rPr>
          <w:rFonts w:ascii="Arial" w:cs="Arial" w:eastAsia="Arial" w:hAnsi="Arial"/>
          <w:sz w:val="20"/>
          <w:szCs w:val="20"/>
          <w:color w:val="26262B"/>
        </w:rPr>
        <w:t>As of the Amendment Effective Date, this Amendment, including its Exhibits and their Attachments, shall be made a part of the Agreement, and shall be incorporated by reference therein.</w:t>
      </w:r>
    </w:p>
    <w:p>
      <w:pPr>
        <w:spacing w:after="0" w:line="68" w:lineRule="exact"/>
        <w:rPr>
          <w:rFonts w:ascii="Arial" w:cs="Arial" w:eastAsia="Arial" w:hAnsi="Arial"/>
          <w:sz w:val="20"/>
          <w:szCs w:val="20"/>
          <w:color w:val="26262B"/>
        </w:rPr>
      </w:pPr>
    </w:p>
    <w:p>
      <w:pPr>
        <w:jc w:val="both"/>
        <w:ind w:left="340" w:right="40" w:hanging="332"/>
        <w:spacing w:after="0" w:line="250" w:lineRule="auto"/>
        <w:tabs>
          <w:tab w:leader="none" w:pos="497" w:val="left"/>
        </w:tabs>
        <w:numPr>
          <w:ilvl w:val="0"/>
          <w:numId w:val="42"/>
        </w:numPr>
        <w:rPr>
          <w:rFonts w:ascii="Arial" w:cs="Arial" w:eastAsia="Arial" w:hAnsi="Arial"/>
          <w:sz w:val="20"/>
          <w:szCs w:val="20"/>
          <w:color w:val="26262B"/>
        </w:rPr>
      </w:pPr>
      <w:r>
        <w:rPr>
          <w:rFonts w:ascii="Arial" w:cs="Arial" w:eastAsia="Arial" w:hAnsi="Arial"/>
          <w:sz w:val="20"/>
          <w:szCs w:val="20"/>
          <w:color w:val="3B3B3F"/>
        </w:rPr>
        <w:t xml:space="preserve">Except </w:t>
      </w:r>
      <w:r>
        <w:rPr>
          <w:rFonts w:ascii="Arial" w:cs="Arial" w:eastAsia="Arial" w:hAnsi="Arial"/>
          <w:sz w:val="20"/>
          <w:szCs w:val="20"/>
          <w:color w:val="26262B"/>
        </w:rPr>
        <w:t>as expressly amended by this Amendment, the Agreement shall be unchanged and all other terms and conditions of the</w:t>
      </w:r>
      <w:r>
        <w:rPr>
          <w:rFonts w:ascii="Arial" w:cs="Arial" w:eastAsia="Arial" w:hAnsi="Arial"/>
          <w:sz w:val="20"/>
          <w:szCs w:val="20"/>
          <w:color w:val="3B3B3F"/>
        </w:rPr>
        <w:t xml:space="preserve"> </w:t>
      </w:r>
      <w:r>
        <w:rPr>
          <w:rFonts w:ascii="Arial" w:cs="Arial" w:eastAsia="Arial" w:hAnsi="Arial"/>
          <w:sz w:val="20"/>
          <w:szCs w:val="20"/>
          <w:color w:val="26262B"/>
        </w:rPr>
        <w:t>Agreement shall remain in full force and effect. In the event of any conflict between the terms of the Agreement and this Amendment, the terms of this Amendment shall govern and control.</w:t>
      </w:r>
    </w:p>
    <w:p>
      <w:pPr>
        <w:spacing w:after="0" w:line="77" w:lineRule="exact"/>
        <w:rPr>
          <w:rFonts w:ascii="Arial" w:cs="Arial" w:eastAsia="Arial" w:hAnsi="Arial"/>
          <w:sz w:val="20"/>
          <w:szCs w:val="20"/>
          <w:color w:val="26262B"/>
        </w:rPr>
      </w:pPr>
    </w:p>
    <w:p>
      <w:pPr>
        <w:ind w:left="340" w:hanging="332"/>
        <w:spacing w:after="0"/>
        <w:tabs>
          <w:tab w:leader="none" w:pos="340" w:val="left"/>
        </w:tabs>
        <w:numPr>
          <w:ilvl w:val="0"/>
          <w:numId w:val="42"/>
        </w:numPr>
        <w:rPr>
          <w:rFonts w:ascii="Arial" w:cs="Arial" w:eastAsia="Arial" w:hAnsi="Arial"/>
          <w:sz w:val="20"/>
          <w:szCs w:val="20"/>
          <w:color w:val="26262B"/>
        </w:rPr>
      </w:pPr>
      <w:r>
        <w:rPr>
          <w:rFonts w:ascii="Arial" w:cs="Arial" w:eastAsia="Arial" w:hAnsi="Arial"/>
          <w:sz w:val="20"/>
          <w:szCs w:val="20"/>
          <w:color w:val="26262B"/>
        </w:rPr>
        <w:t>All capitalized terms used, but not otherwise defined herein, shall have the meanings ascribed to them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40"/>
          </w:cols>
          <w:pgMar w:left="320" w:top="13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CONFIDENTIAL</w:t>
      </w:r>
    </w:p>
    <w:p>
      <w:pPr>
        <w:spacing w:after="0" w:line="3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22"/>
          <w:szCs w:val="22"/>
          <w:color w:val="auto"/>
        </w:rPr>
        <w:t>Intending to be bound by the provisions hereof, the Parties hereto have executed this Amendment as of the Amendment Effective Date by their duly authorized representatives.</w:t>
      </w:r>
    </w:p>
    <w:p>
      <w:pPr>
        <w:spacing w:after="0" w:line="200" w:lineRule="exact"/>
        <w:rPr>
          <w:sz w:val="20"/>
          <w:szCs w:val="20"/>
          <w:color w:val="auto"/>
        </w:rPr>
      </w:pPr>
    </w:p>
    <w:p>
      <w:pPr>
        <w:spacing w:after="0" w:line="230" w:lineRule="exact"/>
        <w:rPr>
          <w:sz w:val="20"/>
          <w:szCs w:val="20"/>
          <w:color w:val="auto"/>
        </w:rPr>
      </w:pPr>
    </w:p>
    <w:p>
      <w:pPr>
        <w:spacing w:after="0"/>
        <w:tabs>
          <w:tab w:leader="none" w:pos="4720" w:val="left"/>
        </w:tabs>
        <w:rPr>
          <w:sz w:val="20"/>
          <w:szCs w:val="20"/>
          <w:color w:val="auto"/>
        </w:rPr>
      </w:pPr>
      <w:r>
        <w:rPr>
          <w:rFonts w:ascii="Arial" w:cs="Arial" w:eastAsia="Arial" w:hAnsi="Arial"/>
          <w:sz w:val="20"/>
          <w:szCs w:val="20"/>
          <w:b w:val="1"/>
          <w:bCs w:val="1"/>
          <w:color w:val="auto"/>
        </w:rPr>
        <w:t>JAZZ PHARMACEUTICALS IRELAND LIMITED</w:t>
      </w:r>
      <w:r>
        <w:rPr>
          <w:sz w:val="20"/>
          <w:szCs w:val="20"/>
          <w:color w:val="auto"/>
        </w:rPr>
        <w:tab/>
      </w:r>
      <w:r>
        <w:rPr>
          <w:rFonts w:ascii="Arial" w:cs="Arial" w:eastAsia="Arial" w:hAnsi="Arial"/>
          <w:sz w:val="19"/>
          <w:szCs w:val="19"/>
          <w:b w:val="1"/>
          <w:bCs w:val="1"/>
          <w:color w:val="auto"/>
        </w:rPr>
        <w:t>PHARMA MAR S.A.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gridSpan w:val="2"/>
          </w:tcPr>
          <w:p>
            <w:pPr>
              <w:spacing w:after="0"/>
              <w:rPr>
                <w:sz w:val="20"/>
                <w:szCs w:val="20"/>
                <w:color w:val="auto"/>
              </w:rPr>
            </w:pPr>
            <w:r>
              <w:rPr>
                <w:rFonts w:ascii="Arial" w:cs="Arial" w:eastAsia="Arial" w:hAnsi="Arial"/>
                <w:sz w:val="22"/>
                <w:szCs w:val="22"/>
                <w:color w:val="auto"/>
              </w:rPr>
              <w:t>By:   /s/ Patricia Carr</w:t>
            </w:r>
          </w:p>
        </w:tc>
        <w:tc>
          <w:tcPr>
            <w:tcW w:w="4200" w:type="dxa"/>
            <w:vAlign w:val="bottom"/>
            <w:gridSpan w:val="2"/>
          </w:tcPr>
          <w:p>
            <w:pPr>
              <w:ind w:left="420"/>
              <w:spacing w:after="0"/>
              <w:rPr>
                <w:sz w:val="20"/>
                <w:szCs w:val="20"/>
                <w:color w:val="auto"/>
              </w:rPr>
            </w:pPr>
            <w:r>
              <w:rPr>
                <w:rFonts w:ascii="Arial" w:cs="Arial" w:eastAsia="Arial" w:hAnsi="Arial"/>
                <w:sz w:val="22"/>
                <w:szCs w:val="22"/>
                <w:color w:val="auto"/>
                <w:w w:val="92"/>
              </w:rPr>
              <w:t>By: /s/ Jose María Fernandez Sousa-Faro</w:t>
            </w:r>
          </w:p>
        </w:tc>
      </w:tr>
      <w:tr>
        <w:trPr>
          <w:trHeight w:val="20"/>
        </w:trPr>
        <w:tc>
          <w:tcPr>
            <w:tcW w:w="3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r>
        <w:trPr>
          <w:trHeight w:val="269"/>
        </w:trPr>
        <w:tc>
          <w:tcPr>
            <w:tcW w:w="2600" w:type="dxa"/>
            <w:vAlign w:val="bottom"/>
            <w:gridSpan w:val="2"/>
          </w:tcPr>
          <w:p>
            <w:pPr>
              <w:spacing w:after="0"/>
              <w:rPr>
                <w:sz w:val="20"/>
                <w:szCs w:val="20"/>
                <w:color w:val="auto"/>
              </w:rPr>
            </w:pPr>
            <w:r>
              <w:rPr>
                <w:rFonts w:ascii="Arial" w:cs="Arial" w:eastAsia="Arial" w:hAnsi="Arial"/>
                <w:sz w:val="22"/>
                <w:szCs w:val="22"/>
                <w:color w:val="auto"/>
              </w:rPr>
              <w:t>Name: Patricia Carr</w:t>
            </w:r>
          </w:p>
        </w:tc>
        <w:tc>
          <w:tcPr>
            <w:tcW w:w="4200" w:type="dxa"/>
            <w:vAlign w:val="bottom"/>
            <w:gridSpan w:val="2"/>
          </w:tcPr>
          <w:p>
            <w:pPr>
              <w:ind w:left="440"/>
              <w:spacing w:after="0"/>
              <w:rPr>
                <w:sz w:val="20"/>
                <w:szCs w:val="20"/>
                <w:color w:val="auto"/>
              </w:rPr>
            </w:pPr>
            <w:r>
              <w:rPr>
                <w:rFonts w:ascii="Arial" w:cs="Arial" w:eastAsia="Arial" w:hAnsi="Arial"/>
                <w:sz w:val="22"/>
                <w:szCs w:val="22"/>
                <w:color w:val="auto"/>
                <w:w w:val="90"/>
              </w:rPr>
              <w:t>Name; Jose María Fernandez Sousa-Faro</w:t>
            </w:r>
          </w:p>
        </w:tc>
      </w:tr>
      <w:tr>
        <w:trPr>
          <w:trHeight w:val="274"/>
        </w:trPr>
        <w:tc>
          <w:tcPr>
            <w:tcW w:w="2600" w:type="dxa"/>
            <w:vAlign w:val="bottom"/>
            <w:gridSpan w:val="2"/>
          </w:tcPr>
          <w:p>
            <w:pPr>
              <w:spacing w:after="0"/>
              <w:rPr>
                <w:sz w:val="20"/>
                <w:szCs w:val="20"/>
                <w:color w:val="auto"/>
              </w:rPr>
            </w:pPr>
            <w:r>
              <w:rPr>
                <w:rFonts w:ascii="Arial" w:cs="Arial" w:eastAsia="Arial" w:hAnsi="Arial"/>
                <w:sz w:val="22"/>
                <w:szCs w:val="22"/>
                <w:color w:val="auto"/>
              </w:rPr>
              <w:t>Title: VP, Finance &amp; PAO</w:t>
            </w:r>
          </w:p>
        </w:tc>
        <w:tc>
          <w:tcPr>
            <w:tcW w:w="4200" w:type="dxa"/>
            <w:vAlign w:val="bottom"/>
            <w:gridSpan w:val="2"/>
          </w:tcPr>
          <w:p>
            <w:pPr>
              <w:ind w:left="740"/>
              <w:spacing w:after="0"/>
              <w:rPr>
                <w:sz w:val="20"/>
                <w:szCs w:val="20"/>
                <w:color w:val="auto"/>
              </w:rPr>
            </w:pPr>
            <w:r>
              <w:rPr>
                <w:rFonts w:ascii="Arial" w:cs="Arial" w:eastAsia="Arial" w:hAnsi="Arial"/>
                <w:sz w:val="22"/>
                <w:szCs w:val="22"/>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40"/>
          </w:cols>
          <w:pgMar w:left="320" w:top="13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26262A"/>
        </w:rPr>
        <w:t>EXHIBIT A</w:t>
      </w:r>
    </w:p>
    <w:p>
      <w:pPr>
        <w:spacing w:after="0" w:line="116" w:lineRule="exact"/>
        <w:rPr>
          <w:sz w:val="20"/>
          <w:szCs w:val="20"/>
          <w:color w:val="auto"/>
        </w:rPr>
      </w:pPr>
    </w:p>
    <w:p>
      <w:pPr>
        <w:ind w:right="3560" w:firstLine="55"/>
        <w:spacing w:after="0" w:line="355" w:lineRule="auto"/>
        <w:rPr>
          <w:sz w:val="20"/>
          <w:szCs w:val="20"/>
          <w:color w:val="auto"/>
        </w:rPr>
      </w:pPr>
      <w:r>
        <w:rPr>
          <w:rFonts w:ascii="Arial" w:cs="Arial" w:eastAsia="Arial" w:hAnsi="Arial"/>
          <w:sz w:val="20"/>
          <w:szCs w:val="20"/>
          <w:b w:val="1"/>
          <w:bCs w:val="1"/>
          <w:u w:val="single" w:color="auto"/>
          <w:color w:val="26262A"/>
        </w:rPr>
        <w:t xml:space="preserve">PharmaMar Requirements for Jazz to Conduct the 1LM SCLC Study Globally with Roche </w:t>
      </w:r>
      <w:r>
        <w:rPr>
          <w:rFonts w:ascii="Arial" w:cs="Arial" w:eastAsia="Arial" w:hAnsi="Arial"/>
          <w:sz w:val="20"/>
          <w:szCs w:val="20"/>
          <w:b w:val="1"/>
          <w:bCs w:val="1"/>
          <w:color w:val="26262A"/>
        </w:rPr>
        <w:t>1. PharmaMar Consent</w:t>
      </w:r>
    </w:p>
    <w:p>
      <w:pPr>
        <w:spacing w:after="0" w:line="1" w:lineRule="exact"/>
        <w:rPr>
          <w:sz w:val="20"/>
          <w:szCs w:val="20"/>
          <w:color w:val="auto"/>
        </w:rPr>
      </w:pPr>
    </w:p>
    <w:p>
      <w:pPr>
        <w:jc w:val="both"/>
        <w:ind w:left="300" w:right="40"/>
        <w:spacing w:after="0" w:line="246" w:lineRule="auto"/>
        <w:rPr>
          <w:sz w:val="20"/>
          <w:szCs w:val="20"/>
          <w:color w:val="auto"/>
        </w:rPr>
      </w:pPr>
      <w:r>
        <w:rPr>
          <w:rFonts w:ascii="Arial" w:cs="Arial" w:eastAsia="Arial" w:hAnsi="Arial"/>
          <w:sz w:val="20"/>
          <w:szCs w:val="20"/>
          <w:color w:val="26262A"/>
        </w:rPr>
        <w:t>Jazz will request PharmaMar's consent to Jaz</w:t>
      </w:r>
      <w:r>
        <w:rPr>
          <w:rFonts w:ascii="Arial" w:cs="Arial" w:eastAsia="Arial" w:hAnsi="Arial"/>
          <w:sz w:val="20"/>
          <w:szCs w:val="20"/>
          <w:color w:val="444448"/>
        </w:rPr>
        <w:t>z</w:t>
      </w:r>
      <w:r>
        <w:rPr>
          <w:rFonts w:ascii="Arial" w:cs="Arial" w:eastAsia="Arial" w:hAnsi="Arial"/>
          <w:sz w:val="20"/>
          <w:szCs w:val="20"/>
          <w:color w:val="26262A"/>
        </w:rPr>
        <w:t xml:space="preserve"> entering into the CSA and for Jazz and Roche to conduct the 1LM SCLC Study in the Jazz Territory and the PharmaMar Territories per Section 5 above ("</w:t>
      </w:r>
      <w:r>
        <w:rPr>
          <w:rFonts w:ascii="Arial" w:cs="Arial" w:eastAsia="Arial" w:hAnsi="Arial"/>
          <w:sz w:val="20"/>
          <w:szCs w:val="20"/>
          <w:b w:val="1"/>
          <w:bCs w:val="1"/>
          <w:color w:val="26262A"/>
        </w:rPr>
        <w:t>PharmaMar Consent</w:t>
      </w:r>
      <w:r>
        <w:rPr>
          <w:rFonts w:ascii="Arial" w:cs="Arial" w:eastAsia="Arial" w:hAnsi="Arial"/>
          <w:sz w:val="20"/>
          <w:szCs w:val="20"/>
          <w:color w:val="26262A"/>
        </w:rPr>
        <w:t>"). Jazz understands that such PharmaMar Consent is required before Jazz can execute the CSA and conduct the 1LM SCLC Study since certain provisions of the CSA Draft (as defined below) are not consistent with the Agreement.</w:t>
      </w:r>
    </w:p>
    <w:p>
      <w:pPr>
        <w:spacing w:after="0" w:line="77" w:lineRule="exact"/>
        <w:rPr>
          <w:sz w:val="20"/>
          <w:szCs w:val="20"/>
          <w:color w:val="auto"/>
        </w:rPr>
      </w:pPr>
    </w:p>
    <w:p>
      <w:pPr>
        <w:jc w:val="both"/>
        <w:ind w:left="300" w:right="40"/>
        <w:spacing w:after="0" w:line="253" w:lineRule="auto"/>
        <w:rPr>
          <w:sz w:val="20"/>
          <w:szCs w:val="20"/>
          <w:color w:val="auto"/>
        </w:rPr>
      </w:pPr>
      <w:r>
        <w:rPr>
          <w:rFonts w:ascii="Arial" w:cs="Arial" w:eastAsia="Arial" w:hAnsi="Arial"/>
          <w:sz w:val="20"/>
          <w:szCs w:val="20"/>
          <w:color w:val="26262A"/>
        </w:rPr>
        <w:t xml:space="preserve">On </w:t>
      </w:r>
      <w:r>
        <w:rPr>
          <w:rFonts w:ascii="Arial" w:cs="Arial" w:eastAsia="Arial" w:hAnsi="Arial"/>
          <w:sz w:val="20"/>
          <w:szCs w:val="20"/>
          <w:color w:val="26262B"/>
        </w:rPr>
        <w:t>[***]</w:t>
      </w:r>
      <w:r>
        <w:rPr>
          <w:rFonts w:ascii="Arial" w:cs="Arial" w:eastAsia="Arial" w:hAnsi="Arial"/>
          <w:sz w:val="20"/>
          <w:szCs w:val="20"/>
          <w:color w:val="26262A"/>
        </w:rPr>
        <w:t xml:space="preserve"> Jazz provided PharmaMar certain redacted draft of the CSA (the "</w:t>
      </w:r>
      <w:r>
        <w:rPr>
          <w:rFonts w:ascii="Arial" w:cs="Arial" w:eastAsia="Arial" w:hAnsi="Arial"/>
          <w:sz w:val="20"/>
          <w:szCs w:val="20"/>
          <w:b w:val="1"/>
          <w:bCs w:val="1"/>
          <w:color w:val="26262A"/>
        </w:rPr>
        <w:t>CSA Draft</w:t>
      </w:r>
      <w:r>
        <w:rPr>
          <w:rFonts w:ascii="Arial" w:cs="Arial" w:eastAsia="Arial" w:hAnsi="Arial"/>
          <w:sz w:val="20"/>
          <w:szCs w:val="20"/>
          <w:color w:val="26262A"/>
        </w:rPr>
        <w:t>") for the conduction of the 1LM SCLC Study. Jazz will provide PharmaMar the final CSA to be executed by Roche and Jazz (</w:t>
      </w:r>
      <w:r>
        <w:rPr>
          <w:rFonts w:ascii="Arial" w:cs="Arial" w:eastAsia="Arial" w:hAnsi="Arial"/>
          <w:sz w:val="20"/>
          <w:szCs w:val="20"/>
          <w:color w:val="444448"/>
        </w:rPr>
        <w:t>"</w:t>
      </w:r>
      <w:r>
        <w:rPr>
          <w:rFonts w:ascii="Arial" w:cs="Arial" w:eastAsia="Arial" w:hAnsi="Arial"/>
          <w:sz w:val="20"/>
          <w:szCs w:val="20"/>
          <w:b w:val="1"/>
          <w:bCs w:val="1"/>
          <w:color w:val="26262A"/>
        </w:rPr>
        <w:t>CSA Execution Version</w:t>
      </w:r>
      <w:r>
        <w:rPr>
          <w:rFonts w:ascii="Arial" w:cs="Arial" w:eastAsia="Arial" w:hAnsi="Arial"/>
          <w:sz w:val="20"/>
          <w:szCs w:val="20"/>
          <w:color w:val="444448"/>
        </w:rPr>
        <w:t>"</w:t>
      </w:r>
      <w:r>
        <w:rPr>
          <w:rFonts w:ascii="Arial" w:cs="Arial" w:eastAsia="Arial" w:hAnsi="Arial"/>
          <w:sz w:val="20"/>
          <w:szCs w:val="20"/>
          <w:color w:val="26262A"/>
        </w:rPr>
        <w:t>) as soon as available</w:t>
      </w:r>
      <w:r>
        <w:rPr>
          <w:rFonts w:ascii="Arial" w:cs="Arial" w:eastAsia="Arial" w:hAnsi="Arial"/>
          <w:sz w:val="20"/>
          <w:szCs w:val="20"/>
          <w:color w:val="444448"/>
        </w:rPr>
        <w:t>,</w:t>
      </w:r>
      <w:r>
        <w:rPr>
          <w:rFonts w:ascii="Arial" w:cs="Arial" w:eastAsia="Arial" w:hAnsi="Arial"/>
          <w:sz w:val="20"/>
          <w:szCs w:val="20"/>
          <w:color w:val="26262A"/>
        </w:rPr>
        <w:t xml:space="preserve"> if not provided prior to the execution of this Amendment.</w:t>
      </w:r>
    </w:p>
    <w:p>
      <w:pPr>
        <w:spacing w:after="0" w:line="75" w:lineRule="exact"/>
        <w:rPr>
          <w:sz w:val="20"/>
          <w:szCs w:val="20"/>
          <w:color w:val="auto"/>
        </w:rPr>
      </w:pPr>
    </w:p>
    <w:p>
      <w:pPr>
        <w:jc w:val="both"/>
        <w:ind w:left="300" w:right="40"/>
        <w:spacing w:after="0" w:line="282" w:lineRule="auto"/>
        <w:rPr>
          <w:sz w:val="20"/>
          <w:szCs w:val="20"/>
          <w:color w:val="auto"/>
        </w:rPr>
      </w:pPr>
      <w:r>
        <w:rPr>
          <w:rFonts w:ascii="Arial" w:cs="Arial" w:eastAsia="Arial" w:hAnsi="Arial"/>
          <w:sz w:val="18"/>
          <w:szCs w:val="18"/>
          <w:color w:val="26262A"/>
        </w:rPr>
        <w:t>PharmaMar agrees that in the event that (i) there are no Major Changes to CSA Draft (as defined below) in the CSA Execution Version in comparison with the provisions of the CSA Draft (including without limitation any Major Change to CSA Draft with regard to intellectual property and study data provisions or any new provisions not previously included in the CSA Draft which may be deemed a Major Change to the CSA Draft); and (ii) Third Party Study Waivers are granted, then PharmaMar will provide Jazz with PharmaMar Consent.</w:t>
      </w:r>
    </w:p>
    <w:p>
      <w:pPr>
        <w:spacing w:after="0" w:line="53" w:lineRule="exact"/>
        <w:rPr>
          <w:sz w:val="20"/>
          <w:szCs w:val="20"/>
          <w:color w:val="auto"/>
        </w:rPr>
      </w:pPr>
    </w:p>
    <w:p>
      <w:pPr>
        <w:jc w:val="both"/>
        <w:ind w:left="300" w:right="40" w:hanging="9"/>
        <w:spacing w:after="0" w:line="316" w:lineRule="auto"/>
        <w:rPr>
          <w:sz w:val="20"/>
          <w:szCs w:val="20"/>
          <w:color w:val="auto"/>
        </w:rPr>
      </w:pPr>
      <w:r>
        <w:rPr>
          <w:rFonts w:ascii="Arial" w:cs="Arial" w:eastAsia="Arial" w:hAnsi="Arial"/>
          <w:sz w:val="18"/>
          <w:szCs w:val="18"/>
          <w:color w:val="26262A"/>
        </w:rPr>
        <w:t>If the condition set forth in subsection (i) above is not met, then PharmaMar shall be entitled to assess the content of the CSA Execution Version which include such Major Changes to CSA Draft and decide whether PharmaMar Consent can be granted or not.</w:t>
      </w:r>
    </w:p>
    <w:p>
      <w:pPr>
        <w:spacing w:after="0" w:line="16" w:lineRule="exact"/>
        <w:rPr>
          <w:sz w:val="20"/>
          <w:szCs w:val="20"/>
          <w:color w:val="auto"/>
        </w:rPr>
      </w:pPr>
    </w:p>
    <w:p>
      <w:pPr>
        <w:ind w:left="300" w:right="40" w:hanging="1"/>
        <w:spacing w:after="0" w:line="293" w:lineRule="auto"/>
        <w:rPr>
          <w:sz w:val="20"/>
          <w:szCs w:val="20"/>
          <w:color w:val="auto"/>
        </w:rPr>
      </w:pPr>
      <w:r>
        <w:rPr>
          <w:rFonts w:ascii="Arial" w:cs="Arial" w:eastAsia="Arial" w:hAnsi="Arial"/>
          <w:sz w:val="19"/>
          <w:szCs w:val="19"/>
          <w:color w:val="26262A"/>
        </w:rPr>
        <w:t>For the purposes of this section, "</w:t>
      </w:r>
      <w:r>
        <w:rPr>
          <w:rFonts w:ascii="Arial" w:cs="Arial" w:eastAsia="Arial" w:hAnsi="Arial"/>
          <w:sz w:val="19"/>
          <w:szCs w:val="19"/>
          <w:b w:val="1"/>
          <w:bCs w:val="1"/>
          <w:color w:val="26262A"/>
        </w:rPr>
        <w:t>Major Change to CSA Draft</w:t>
      </w:r>
      <w:r>
        <w:rPr>
          <w:rFonts w:ascii="Arial" w:cs="Arial" w:eastAsia="Arial" w:hAnsi="Arial"/>
          <w:sz w:val="19"/>
          <w:szCs w:val="19"/>
          <w:color w:val="26262A"/>
        </w:rPr>
        <w:t>" shall mean (a) if any provision of the CSA Execution Version [***]; or (b) if any provision of the CSA Execution Version [***]; or (c) if any provision of the CSA Executed Version [***].</w:t>
      </w:r>
    </w:p>
    <w:p>
      <w:pPr>
        <w:spacing w:after="0" w:line="40" w:lineRule="exact"/>
        <w:rPr>
          <w:sz w:val="20"/>
          <w:szCs w:val="20"/>
          <w:color w:val="auto"/>
        </w:rPr>
      </w:pPr>
    </w:p>
    <w:p>
      <w:pPr>
        <w:jc w:val="both"/>
        <w:ind w:left="300" w:right="40" w:hanging="2"/>
        <w:spacing w:after="0" w:line="260" w:lineRule="auto"/>
        <w:rPr>
          <w:sz w:val="20"/>
          <w:szCs w:val="20"/>
          <w:color w:val="auto"/>
        </w:rPr>
      </w:pPr>
      <w:r>
        <w:rPr>
          <w:rFonts w:ascii="Arial" w:cs="Arial" w:eastAsia="Arial" w:hAnsi="Arial"/>
          <w:sz w:val="20"/>
          <w:szCs w:val="20"/>
          <w:color w:val="26262A"/>
        </w:rPr>
        <w:t>Jazz represents and warrants that none of the redacted provisions of the CSA Execution Version [***] the CSA draft revised by PharmaMar and provided to Jazz on [***] (the "</w:t>
      </w:r>
      <w:r>
        <w:rPr>
          <w:rFonts w:ascii="Arial" w:cs="Arial" w:eastAsia="Arial" w:hAnsi="Arial"/>
          <w:sz w:val="20"/>
          <w:szCs w:val="20"/>
          <w:b w:val="1"/>
          <w:bCs w:val="1"/>
          <w:color w:val="26262A"/>
        </w:rPr>
        <w:t>CSA Revised Draft</w:t>
      </w:r>
      <w:r>
        <w:rPr>
          <w:rFonts w:ascii="Arial" w:cs="Arial" w:eastAsia="Arial" w:hAnsi="Arial"/>
          <w:sz w:val="20"/>
          <w:szCs w:val="20"/>
          <w:color w:val="26262A"/>
        </w:rPr>
        <w:t>").</w:t>
      </w:r>
    </w:p>
    <w:p>
      <w:pPr>
        <w:spacing w:after="0" w:line="69" w:lineRule="exact"/>
        <w:rPr>
          <w:sz w:val="20"/>
          <w:szCs w:val="20"/>
          <w:color w:val="auto"/>
        </w:rPr>
      </w:pPr>
    </w:p>
    <w:p>
      <w:pPr>
        <w:ind w:left="300" w:right="3120"/>
        <w:spacing w:after="0" w:line="260" w:lineRule="auto"/>
        <w:rPr>
          <w:sz w:val="20"/>
          <w:szCs w:val="20"/>
          <w:color w:val="auto"/>
        </w:rPr>
      </w:pPr>
      <w:r>
        <w:rPr>
          <w:rFonts w:ascii="Arial" w:cs="Arial" w:eastAsia="Arial" w:hAnsi="Arial"/>
          <w:sz w:val="20"/>
          <w:szCs w:val="20"/>
          <w:color w:val="26262A"/>
        </w:rPr>
        <w:t xml:space="preserve">If such PharmaMar Consent is granted, Jazz may enter into the CSA Execution Version with Roche </w:t>
      </w:r>
      <w:r>
        <w:rPr>
          <w:rFonts w:ascii="Arial" w:cs="Arial" w:eastAsia="Arial" w:hAnsi="Arial"/>
          <w:sz w:val="20"/>
          <w:szCs w:val="20"/>
          <w:b w:val="1"/>
          <w:bCs w:val="1"/>
          <w:color w:val="26262A"/>
        </w:rPr>
        <w:t>("Executed CSA").</w:t>
      </w:r>
    </w:p>
    <w:p>
      <w:pPr>
        <w:spacing w:after="0" w:line="63" w:lineRule="exact"/>
        <w:rPr>
          <w:sz w:val="20"/>
          <w:szCs w:val="20"/>
          <w:color w:val="auto"/>
        </w:rPr>
      </w:pPr>
    </w:p>
    <w:p>
      <w:pPr>
        <w:ind w:left="400" w:hanging="352"/>
        <w:spacing w:after="0"/>
        <w:tabs>
          <w:tab w:leader="none" w:pos="400" w:val="left"/>
        </w:tabs>
        <w:numPr>
          <w:ilvl w:val="0"/>
          <w:numId w:val="43"/>
        </w:numPr>
        <w:rPr>
          <w:rFonts w:ascii="Arial" w:cs="Arial" w:eastAsia="Arial" w:hAnsi="Arial"/>
          <w:sz w:val="20"/>
          <w:szCs w:val="20"/>
          <w:b w:val="1"/>
          <w:bCs w:val="1"/>
          <w:color w:val="26262A"/>
        </w:rPr>
      </w:pPr>
      <w:r>
        <w:rPr>
          <w:rFonts w:ascii="Arial" w:cs="Arial" w:eastAsia="Arial" w:hAnsi="Arial"/>
          <w:sz w:val="20"/>
          <w:szCs w:val="20"/>
          <w:b w:val="1"/>
          <w:bCs w:val="1"/>
          <w:u w:val="single" w:color="auto"/>
          <w:color w:val="26262A"/>
        </w:rPr>
        <w:t>Third Party Partner Study Waivers</w:t>
      </w:r>
    </w:p>
    <w:p>
      <w:pPr>
        <w:spacing w:after="0" w:line="113" w:lineRule="exact"/>
        <w:rPr>
          <w:rFonts w:ascii="Arial" w:cs="Arial" w:eastAsia="Arial" w:hAnsi="Arial"/>
          <w:sz w:val="20"/>
          <w:szCs w:val="20"/>
          <w:b w:val="1"/>
          <w:bCs w:val="1"/>
          <w:color w:val="26262A"/>
        </w:rPr>
      </w:pPr>
    </w:p>
    <w:p>
      <w:pPr>
        <w:jc w:val="both"/>
        <w:ind w:left="620" w:right="40" w:hanging="329"/>
        <w:spacing w:after="0" w:line="269" w:lineRule="auto"/>
        <w:tabs>
          <w:tab w:leader="none" w:pos="662" w:val="left"/>
        </w:tabs>
        <w:numPr>
          <w:ilvl w:val="1"/>
          <w:numId w:val="43"/>
        </w:numPr>
        <w:rPr>
          <w:rFonts w:ascii="Arial" w:cs="Arial" w:eastAsia="Arial" w:hAnsi="Arial"/>
          <w:sz w:val="19"/>
          <w:szCs w:val="19"/>
          <w:color w:val="26262A"/>
        </w:rPr>
      </w:pPr>
      <w:r>
        <w:rPr>
          <w:rFonts w:ascii="Arial" w:cs="Arial" w:eastAsia="Arial" w:hAnsi="Arial"/>
          <w:sz w:val="19"/>
          <w:szCs w:val="19"/>
          <w:color w:val="26262A"/>
        </w:rPr>
        <w:t>PharmaMar represents and warrants that [***]. A Third Party Partner Study Waiver from each Third Party Partner whose consent is needed, whether or not its exclusive territory is impacted by the performing of the 1LM SCLC Study, will be requested and obtained prior to Jazz entering into the CSA Execution Version ("</w:t>
      </w:r>
      <w:r>
        <w:rPr>
          <w:rFonts w:ascii="Arial" w:cs="Arial" w:eastAsia="Arial" w:hAnsi="Arial"/>
          <w:sz w:val="19"/>
          <w:szCs w:val="19"/>
          <w:b w:val="1"/>
          <w:bCs w:val="1"/>
          <w:color w:val="26262A"/>
        </w:rPr>
        <w:t>Third Party Partner Study Waivers</w:t>
      </w:r>
      <w:r>
        <w:rPr>
          <w:rFonts w:ascii="Arial" w:cs="Arial" w:eastAsia="Arial" w:hAnsi="Arial"/>
          <w:sz w:val="19"/>
          <w:szCs w:val="19"/>
          <w:color w:val="26262A"/>
        </w:rPr>
        <w:t>").</w:t>
      </w:r>
    </w:p>
    <w:p>
      <w:pPr>
        <w:spacing w:after="0" w:line="61" w:lineRule="exact"/>
        <w:rPr>
          <w:rFonts w:ascii="Arial" w:cs="Arial" w:eastAsia="Arial" w:hAnsi="Arial"/>
          <w:sz w:val="19"/>
          <w:szCs w:val="19"/>
          <w:color w:val="26262A"/>
        </w:rPr>
      </w:pPr>
    </w:p>
    <w:p>
      <w:pPr>
        <w:jc w:val="both"/>
        <w:ind w:left="620" w:right="40" w:hanging="329"/>
        <w:spacing w:after="0" w:line="269" w:lineRule="auto"/>
        <w:tabs>
          <w:tab w:leader="none" w:pos="696" w:val="left"/>
        </w:tabs>
        <w:numPr>
          <w:ilvl w:val="1"/>
          <w:numId w:val="43"/>
        </w:numPr>
        <w:rPr>
          <w:rFonts w:ascii="Arial" w:cs="Arial" w:eastAsia="Arial" w:hAnsi="Arial"/>
          <w:sz w:val="19"/>
          <w:szCs w:val="19"/>
          <w:color w:val="26262A"/>
        </w:rPr>
      </w:pPr>
      <w:r>
        <w:rPr>
          <w:rFonts w:ascii="Arial" w:cs="Arial" w:eastAsia="Arial" w:hAnsi="Arial"/>
          <w:sz w:val="19"/>
          <w:szCs w:val="19"/>
          <w:color w:val="26262A"/>
        </w:rPr>
        <w:t>For the purposes of PharmaMar submitting a request for a Third Party Partner Study Waiver, PharmaMar will share with its Third Party Partners: (1) a copy of a redacted CSA Execution Version; (2) the Amended CDA (as defined below); (3) the 1LM SCLC Study Protocol synopsis; and (4) a list of the participating country/ies, a sites list</w:t>
      </w:r>
      <w:r>
        <w:rPr>
          <w:rFonts w:ascii="Arial" w:cs="Arial" w:eastAsia="Arial" w:hAnsi="Arial"/>
          <w:sz w:val="19"/>
          <w:szCs w:val="19"/>
          <w:color w:val="4B4B4D"/>
        </w:rPr>
        <w:t>,</w:t>
      </w:r>
      <w:r>
        <w:rPr>
          <w:rFonts w:ascii="Arial" w:cs="Arial" w:eastAsia="Arial" w:hAnsi="Arial"/>
          <w:sz w:val="19"/>
          <w:szCs w:val="19"/>
          <w:color w:val="26262A"/>
        </w:rPr>
        <w:t xml:space="preserve"> and estimated subjects enrolment.</w:t>
      </w:r>
    </w:p>
    <w:p>
      <w:pPr>
        <w:spacing w:after="0" w:line="55" w:lineRule="exact"/>
        <w:rPr>
          <w:rFonts w:ascii="Arial" w:cs="Arial" w:eastAsia="Arial" w:hAnsi="Arial"/>
          <w:sz w:val="19"/>
          <w:szCs w:val="19"/>
          <w:color w:val="26262A"/>
        </w:rPr>
      </w:pPr>
    </w:p>
    <w:p>
      <w:pPr>
        <w:ind w:left="400" w:hanging="352"/>
        <w:spacing w:after="0"/>
        <w:tabs>
          <w:tab w:leader="none" w:pos="400" w:val="left"/>
        </w:tabs>
        <w:numPr>
          <w:ilvl w:val="0"/>
          <w:numId w:val="43"/>
        </w:numPr>
        <w:rPr>
          <w:rFonts w:ascii="Arial" w:cs="Arial" w:eastAsia="Arial" w:hAnsi="Arial"/>
          <w:sz w:val="20"/>
          <w:szCs w:val="20"/>
          <w:b w:val="1"/>
          <w:bCs w:val="1"/>
          <w:color w:val="26262A"/>
        </w:rPr>
      </w:pPr>
      <w:r>
        <w:rPr>
          <w:rFonts w:ascii="Arial" w:cs="Arial" w:eastAsia="Arial" w:hAnsi="Arial"/>
          <w:sz w:val="20"/>
          <w:szCs w:val="20"/>
          <w:b w:val="1"/>
          <w:bCs w:val="1"/>
          <w:u w:val="single" w:color="auto"/>
          <w:color w:val="26262A"/>
        </w:rPr>
        <w:t>General Terms Applicable to the PharmaMar Consent and Third Party Partner Study Waivers</w:t>
      </w:r>
    </w:p>
    <w:p>
      <w:pPr>
        <w:spacing w:after="0" w:line="140" w:lineRule="exact"/>
        <w:rPr>
          <w:rFonts w:ascii="Arial" w:cs="Arial" w:eastAsia="Arial" w:hAnsi="Arial"/>
          <w:sz w:val="20"/>
          <w:szCs w:val="20"/>
          <w:b w:val="1"/>
          <w:bCs w:val="1"/>
          <w:color w:val="26262A"/>
        </w:rPr>
      </w:pPr>
    </w:p>
    <w:p>
      <w:pPr>
        <w:jc w:val="both"/>
        <w:ind w:left="620" w:right="40" w:hanging="325"/>
        <w:spacing w:after="0" w:line="238" w:lineRule="auto"/>
        <w:tabs>
          <w:tab w:leader="none" w:pos="675" w:val="left"/>
        </w:tabs>
        <w:numPr>
          <w:ilvl w:val="1"/>
          <w:numId w:val="43"/>
        </w:numPr>
        <w:rPr>
          <w:rFonts w:ascii="Arial" w:cs="Arial" w:eastAsia="Arial" w:hAnsi="Arial"/>
          <w:sz w:val="22"/>
          <w:szCs w:val="22"/>
          <w:color w:val="26262A"/>
        </w:rPr>
      </w:pPr>
      <w:r>
        <w:rPr>
          <w:rFonts w:ascii="Arial" w:cs="Arial" w:eastAsia="Arial" w:hAnsi="Arial"/>
          <w:sz w:val="20"/>
          <w:szCs w:val="20"/>
          <w:color w:val="26262A"/>
        </w:rPr>
        <w:t>PharmaMar Consent and Third Party Partners Study Waivers that PharmaMar and its Third Party Partners may grant hereunder shall only refer to 1LM SCLC Study and not to any other studies that Jazz and Roche may conduct under the Executed CSA, for which new PharmaMar Consent and separate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tabs>
          <w:tab w:leader="none" w:pos="588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80"/>
          </w:cols>
          <w:pgMar w:left="280" w:top="13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0"/>
        <w:spacing w:after="0"/>
        <w:rPr>
          <w:sz w:val="20"/>
          <w:szCs w:val="20"/>
          <w:color w:val="auto"/>
        </w:rPr>
      </w:pPr>
      <w:r>
        <w:rPr>
          <w:rFonts w:ascii="Arial" w:cs="Arial" w:eastAsia="Arial" w:hAnsi="Arial"/>
          <w:sz w:val="20"/>
          <w:szCs w:val="20"/>
          <w:color w:val="26262A"/>
        </w:rPr>
        <w:t>Party Partners Study Waivers would be required respectively from PharmaMar and its Third Party Partners.</w:t>
      </w:r>
    </w:p>
    <w:p>
      <w:pPr>
        <w:spacing w:after="0" w:line="135" w:lineRule="exact"/>
        <w:rPr>
          <w:sz w:val="20"/>
          <w:szCs w:val="20"/>
          <w:color w:val="auto"/>
        </w:rPr>
      </w:pPr>
    </w:p>
    <w:p>
      <w:pPr>
        <w:jc w:val="both"/>
        <w:ind w:left="580" w:right="40" w:hanging="325"/>
        <w:spacing w:after="0" w:line="267" w:lineRule="auto"/>
        <w:tabs>
          <w:tab w:leader="none" w:pos="634" w:val="left"/>
        </w:tabs>
        <w:numPr>
          <w:ilvl w:val="0"/>
          <w:numId w:val="44"/>
        </w:numPr>
        <w:rPr>
          <w:rFonts w:ascii="Arial" w:cs="Arial" w:eastAsia="Arial" w:hAnsi="Arial"/>
          <w:sz w:val="19"/>
          <w:szCs w:val="19"/>
          <w:color w:val="auto"/>
        </w:rPr>
      </w:pPr>
      <w:r>
        <w:rPr>
          <w:rFonts w:ascii="Arial" w:cs="Arial" w:eastAsia="Arial" w:hAnsi="Arial"/>
          <w:sz w:val="18"/>
          <w:szCs w:val="18"/>
          <w:color w:val="26262A"/>
        </w:rPr>
        <w:t>Notwithstanding anything to the contrary in the Agreement, any of Jazz's ownership rights, title and interest (and, for clarity, not any of Roche's ownership rights, title and interest) in [***] (together with any rights granted to Jazz under Section [***] of the CSA Draft in relation to such), as such terms are defined in the CSA Execution Version, shall be deemed [***], as applicable, under the Agreement and therefore subject to [***] of the Agreement and such rights will be [***] under the Agreement. For clarity, none of</w:t>
      </w:r>
    </w:p>
    <w:p>
      <w:pPr>
        <w:ind w:left="1060" w:hanging="481"/>
        <w:spacing w:after="0"/>
        <w:tabs>
          <w:tab w:leader="none" w:pos="1060" w:val="left"/>
        </w:tabs>
        <w:numPr>
          <w:ilvl w:val="1"/>
          <w:numId w:val="44"/>
        </w:numPr>
        <w:rPr>
          <w:rFonts w:ascii="Arial" w:cs="Arial" w:eastAsia="Arial" w:hAnsi="Arial"/>
          <w:sz w:val="20"/>
          <w:szCs w:val="20"/>
          <w:color w:val="26262A"/>
        </w:rPr>
      </w:pPr>
      <w:r>
        <w:rPr>
          <w:rFonts w:ascii="Arial" w:cs="Arial" w:eastAsia="Arial" w:hAnsi="Arial"/>
          <w:sz w:val="20"/>
          <w:szCs w:val="20"/>
          <w:color w:val="26262A"/>
        </w:rPr>
        <w:t>shall be deemed a [***] under the Agreement.</w:t>
      </w:r>
    </w:p>
    <w:p>
      <w:pPr>
        <w:spacing w:after="0" w:line="118" w:lineRule="exact"/>
        <w:rPr>
          <w:rFonts w:ascii="Arial" w:cs="Arial" w:eastAsia="Arial" w:hAnsi="Arial"/>
          <w:sz w:val="20"/>
          <w:szCs w:val="20"/>
          <w:color w:val="26262A"/>
        </w:rPr>
      </w:pPr>
    </w:p>
    <w:p>
      <w:pPr>
        <w:jc w:val="both"/>
        <w:ind w:left="580" w:right="40" w:hanging="325"/>
        <w:spacing w:after="0" w:line="238" w:lineRule="auto"/>
        <w:tabs>
          <w:tab w:leader="none" w:pos="622" w:val="left"/>
        </w:tabs>
        <w:numPr>
          <w:ilvl w:val="0"/>
          <w:numId w:val="44"/>
        </w:numPr>
        <w:rPr>
          <w:rFonts w:ascii="Arial" w:cs="Arial" w:eastAsia="Arial" w:hAnsi="Arial"/>
          <w:sz w:val="22"/>
          <w:szCs w:val="22"/>
          <w:color w:val="26262A"/>
        </w:rPr>
      </w:pPr>
      <w:r>
        <w:rPr>
          <w:rFonts w:ascii="Arial" w:cs="Arial" w:eastAsia="Arial" w:hAnsi="Arial"/>
          <w:sz w:val="20"/>
          <w:szCs w:val="20"/>
          <w:color w:val="26262A"/>
        </w:rPr>
        <w:t>PharmaMar will have use rights of [***] Data (as defined in the CSA Execution Version) as permitted in the Amended CDA (i.e. use rights for [***]). As between Jazz and PharmaMar, the Parties agree that [***] Data will be treated as [***] (as such terms are defined in and pursuant to the Agreement).</w:t>
      </w:r>
    </w:p>
    <w:p>
      <w:pPr>
        <w:spacing w:after="0" w:line="116" w:lineRule="exact"/>
        <w:rPr>
          <w:rFonts w:ascii="Arial" w:cs="Arial" w:eastAsia="Arial" w:hAnsi="Arial"/>
          <w:sz w:val="22"/>
          <w:szCs w:val="22"/>
          <w:color w:val="26262A"/>
        </w:rPr>
      </w:pPr>
    </w:p>
    <w:p>
      <w:pPr>
        <w:jc w:val="both"/>
        <w:ind w:left="580" w:right="40" w:hanging="325"/>
        <w:spacing w:after="0" w:line="238" w:lineRule="auto"/>
        <w:tabs>
          <w:tab w:leader="none" w:pos="647" w:val="left"/>
        </w:tabs>
        <w:numPr>
          <w:ilvl w:val="0"/>
          <w:numId w:val="44"/>
        </w:numPr>
        <w:rPr>
          <w:rFonts w:ascii="Arial" w:cs="Arial" w:eastAsia="Arial" w:hAnsi="Arial"/>
          <w:sz w:val="22"/>
          <w:szCs w:val="22"/>
          <w:color w:val="auto"/>
        </w:rPr>
      </w:pPr>
      <w:r>
        <w:rPr>
          <w:rFonts w:ascii="Arial" w:cs="Arial" w:eastAsia="Arial" w:hAnsi="Arial"/>
          <w:sz w:val="20"/>
          <w:szCs w:val="20"/>
          <w:color w:val="26262A"/>
        </w:rPr>
        <w:t>Further, any [***]Data (as defined in the CSA Execution Version) to the extent Controlled by Jazz pursuant to the terms of the CSA Execution Version shall be deemed [***] (as such terms are defined in and pursuant to the Agreement) and subject to the terms of the Amended CDA. PharmaMar shall have the right to use such [***] as set forth in the Agreement and not in conflict with the Amended CDA.</w:t>
      </w:r>
    </w:p>
    <w:p>
      <w:pPr>
        <w:spacing w:after="0" w:line="117" w:lineRule="exact"/>
        <w:rPr>
          <w:rFonts w:ascii="Arial" w:cs="Arial" w:eastAsia="Arial" w:hAnsi="Arial"/>
          <w:sz w:val="22"/>
          <w:szCs w:val="22"/>
          <w:color w:val="auto"/>
        </w:rPr>
      </w:pPr>
    </w:p>
    <w:p>
      <w:pPr>
        <w:jc w:val="both"/>
        <w:ind w:left="580" w:right="40" w:hanging="325"/>
        <w:spacing w:after="0" w:line="267" w:lineRule="auto"/>
        <w:tabs>
          <w:tab w:leader="none" w:pos="797" w:val="left"/>
        </w:tabs>
        <w:numPr>
          <w:ilvl w:val="0"/>
          <w:numId w:val="44"/>
        </w:numPr>
        <w:rPr>
          <w:rFonts w:ascii="Arial" w:cs="Arial" w:eastAsia="Arial" w:hAnsi="Arial"/>
          <w:sz w:val="19"/>
          <w:szCs w:val="19"/>
          <w:color w:val="auto"/>
        </w:rPr>
      </w:pPr>
      <w:r>
        <w:rPr>
          <w:rFonts w:ascii="Arial" w:cs="Arial" w:eastAsia="Arial" w:hAnsi="Arial"/>
          <w:sz w:val="18"/>
          <w:szCs w:val="18"/>
          <w:color w:val="26262A"/>
        </w:rPr>
        <w:t xml:space="preserve">PharmaMar's rights of use in relation to such [***] Data and [***] Data will be governed by the Amended and Restated Confidentiality and Data Sharing Agreement by and among PharmaMar, Roche and Jazz effective [***] (the </w:t>
      </w:r>
      <w:r>
        <w:rPr>
          <w:rFonts w:ascii="Arial" w:cs="Arial" w:eastAsia="Arial" w:hAnsi="Arial"/>
          <w:sz w:val="18"/>
          <w:szCs w:val="18"/>
          <w:color w:val="4B4B4D"/>
        </w:rPr>
        <w:t>"</w:t>
      </w:r>
      <w:r>
        <w:rPr>
          <w:rFonts w:ascii="Arial" w:cs="Arial" w:eastAsia="Arial" w:hAnsi="Arial"/>
          <w:sz w:val="18"/>
          <w:szCs w:val="18"/>
          <w:b w:val="1"/>
          <w:bCs w:val="1"/>
          <w:color w:val="26262A"/>
        </w:rPr>
        <w:t>Amended CDA</w:t>
      </w:r>
      <w:r>
        <w:rPr>
          <w:rFonts w:ascii="Arial" w:cs="Arial" w:eastAsia="Arial" w:hAnsi="Arial"/>
          <w:sz w:val="18"/>
          <w:szCs w:val="18"/>
          <w:color w:val="26262A"/>
        </w:rPr>
        <w:t xml:space="preserve">''). PharmaMar acknowledges and understands that its and its Third Party Partners' [***] Data (as defined in the Amended CDA) access and use rights will not be provided for under the </w:t>
      </w:r>
      <w:r>
        <w:rPr>
          <w:rFonts w:ascii="Arial" w:cs="Arial" w:eastAsia="Arial" w:hAnsi="Arial"/>
          <w:sz w:val="18"/>
          <w:szCs w:val="18"/>
          <w:color w:val="26262B"/>
        </w:rPr>
        <w:t>CSA and that such rights are provided under the Amended CDA. Jazz will share</w:t>
      </w:r>
    </w:p>
    <w:p>
      <w:pPr>
        <w:ind w:left="580" w:right="40" w:hanging="1"/>
        <w:spacing w:after="0" w:line="297" w:lineRule="auto"/>
        <w:tabs>
          <w:tab w:leader="none" w:pos="1061" w:val="left"/>
        </w:tabs>
        <w:numPr>
          <w:ilvl w:val="1"/>
          <w:numId w:val="44"/>
        </w:numPr>
        <w:rPr>
          <w:rFonts w:ascii="Arial" w:cs="Arial" w:eastAsia="Arial" w:hAnsi="Arial"/>
          <w:sz w:val="18"/>
          <w:szCs w:val="18"/>
          <w:color w:val="26262B"/>
        </w:rPr>
      </w:pPr>
      <w:r>
        <w:rPr>
          <w:rFonts w:ascii="Arial" w:cs="Arial" w:eastAsia="Arial" w:hAnsi="Arial"/>
          <w:sz w:val="18"/>
          <w:szCs w:val="18"/>
          <w:color w:val="26262B"/>
        </w:rPr>
        <w:t>Data and [***] Data with PharmaMar as permitted by the Amended CDA and in accordance with the Agreement, and Jazz will provide safety data arising from the 1LM SCLC Study to PharmaMar in accordance with the Agreement and the PV Agreement.</w:t>
      </w:r>
    </w:p>
    <w:p>
      <w:pPr>
        <w:spacing w:after="0" w:line="65" w:lineRule="exact"/>
        <w:rPr>
          <w:rFonts w:ascii="Arial" w:cs="Arial" w:eastAsia="Arial" w:hAnsi="Arial"/>
          <w:sz w:val="18"/>
          <w:szCs w:val="18"/>
          <w:color w:val="26262B"/>
        </w:rPr>
      </w:pPr>
    </w:p>
    <w:p>
      <w:pPr>
        <w:jc w:val="both"/>
        <w:ind w:left="580" w:right="40" w:hanging="325"/>
        <w:spacing w:after="0" w:line="253" w:lineRule="auto"/>
        <w:tabs>
          <w:tab w:leader="none" w:pos="598" w:val="left"/>
        </w:tabs>
        <w:numPr>
          <w:ilvl w:val="0"/>
          <w:numId w:val="44"/>
        </w:numPr>
        <w:rPr>
          <w:rFonts w:ascii="Arial" w:cs="Arial" w:eastAsia="Arial" w:hAnsi="Arial"/>
          <w:sz w:val="21"/>
          <w:szCs w:val="21"/>
          <w:color w:val="26262B"/>
        </w:rPr>
      </w:pPr>
      <w:r>
        <w:rPr>
          <w:rFonts w:ascii="Arial" w:cs="Arial" w:eastAsia="Arial" w:hAnsi="Arial"/>
          <w:sz w:val="19"/>
          <w:szCs w:val="19"/>
          <w:color w:val="26262B"/>
        </w:rPr>
        <w:t>Jazz shall not agree to submitting a Protocol for the 1LM SCLC Study to a Regulatory Authority, which contains a "material change" from the protocol synopsis provided to PharmaMar and attached hereto as Exhibit B, without first obtaining new Consent from PharmaMar and new Study Waivers from its Third Party Partners</w:t>
      </w:r>
      <w:r>
        <w:rPr>
          <w:rFonts w:ascii="Arial" w:cs="Arial" w:eastAsia="Arial" w:hAnsi="Arial"/>
          <w:sz w:val="19"/>
          <w:szCs w:val="19"/>
          <w:color w:val="4D4D50"/>
        </w:rPr>
        <w:t>.</w:t>
      </w:r>
      <w:r>
        <w:rPr>
          <w:rFonts w:ascii="Arial" w:cs="Arial" w:eastAsia="Arial" w:hAnsi="Arial"/>
          <w:sz w:val="19"/>
          <w:szCs w:val="19"/>
          <w:color w:val="26262B"/>
        </w:rPr>
        <w:t xml:space="preserve"> A "</w:t>
      </w:r>
      <w:r>
        <w:rPr>
          <w:rFonts w:ascii="Arial" w:cs="Arial" w:eastAsia="Arial" w:hAnsi="Arial"/>
          <w:sz w:val="19"/>
          <w:szCs w:val="19"/>
          <w:b w:val="1"/>
          <w:bCs w:val="1"/>
          <w:color w:val="26262B"/>
        </w:rPr>
        <w:t>material change</w:t>
      </w:r>
      <w:r>
        <w:rPr>
          <w:rFonts w:ascii="Arial" w:cs="Arial" w:eastAsia="Arial" w:hAnsi="Arial"/>
          <w:sz w:val="19"/>
          <w:szCs w:val="19"/>
          <w:color w:val="26262B"/>
        </w:rPr>
        <w:t>" is either [***]or a change of [***] in the Protocol as per the referred protocol synopsis. Upon receipt from Jazz of the Study Waiver request for the given material change(s), PharmaMar shall promptly send the Third Party Partners Study Waiver requests to the corresponding Third Party Partner and will use its best efforts to cause such Third Party Partners to expedite their respective review and decision on such material change(s). Likewise once a Protocol to the 1LM SCLC Study has been submitted to a regulatory authority, Jazz shall not agree to amend such Protocol if such amendment contains a "material change" (as defined above) without first obtaining new Consent from PharmaMar and new Study Waivers from its Third Party Partners.</w:t>
      </w:r>
    </w:p>
    <w:p>
      <w:pPr>
        <w:spacing w:after="0" w:line="103" w:lineRule="exact"/>
        <w:rPr>
          <w:rFonts w:ascii="Arial" w:cs="Arial" w:eastAsia="Arial" w:hAnsi="Arial"/>
          <w:sz w:val="21"/>
          <w:szCs w:val="21"/>
          <w:color w:val="26262B"/>
        </w:rPr>
      </w:pPr>
    </w:p>
    <w:p>
      <w:pPr>
        <w:jc w:val="both"/>
        <w:ind w:left="580" w:right="40" w:hanging="325"/>
        <w:spacing w:after="0" w:line="253" w:lineRule="auto"/>
        <w:tabs>
          <w:tab w:leader="none" w:pos="674" w:val="left"/>
        </w:tabs>
        <w:numPr>
          <w:ilvl w:val="0"/>
          <w:numId w:val="44"/>
        </w:numPr>
        <w:rPr>
          <w:rFonts w:ascii="Arial" w:cs="Arial" w:eastAsia="Arial" w:hAnsi="Arial"/>
          <w:sz w:val="21"/>
          <w:szCs w:val="21"/>
          <w:color w:val="auto"/>
        </w:rPr>
      </w:pPr>
      <w:r>
        <w:rPr>
          <w:rFonts w:ascii="Arial" w:cs="Arial" w:eastAsia="Arial" w:hAnsi="Arial"/>
          <w:sz w:val="19"/>
          <w:szCs w:val="19"/>
          <w:color w:val="26262B"/>
        </w:rPr>
        <w:t>Jazz shall not agree on any amendment to the Executed CSA which contains a "Major Change to the Executed CSA" without first obtaining new Consent from PharmaMar and new Study Waivers from its Third Party Partners. A "</w:t>
      </w:r>
      <w:r>
        <w:rPr>
          <w:rFonts w:ascii="Arial" w:cs="Arial" w:eastAsia="Arial" w:hAnsi="Arial"/>
          <w:sz w:val="19"/>
          <w:szCs w:val="19"/>
          <w:b w:val="1"/>
          <w:bCs w:val="1"/>
          <w:color w:val="26262B"/>
        </w:rPr>
        <w:t>Major Change to the Executed</w:t>
      </w:r>
      <w:r>
        <w:rPr>
          <w:rFonts w:ascii="Arial" w:cs="Arial" w:eastAsia="Arial" w:hAnsi="Arial"/>
          <w:sz w:val="19"/>
          <w:szCs w:val="19"/>
          <w:color w:val="26262B"/>
        </w:rPr>
        <w:t xml:space="preserve"> </w:t>
      </w:r>
      <w:r>
        <w:rPr>
          <w:rFonts w:ascii="Arial" w:cs="Arial" w:eastAsia="Arial" w:hAnsi="Arial"/>
          <w:sz w:val="19"/>
          <w:szCs w:val="19"/>
          <w:b w:val="1"/>
          <w:bCs w:val="1"/>
          <w:color w:val="26262B"/>
        </w:rPr>
        <w:t>CSA</w:t>
      </w:r>
      <w:r>
        <w:rPr>
          <w:rFonts w:ascii="Arial" w:cs="Arial" w:eastAsia="Arial" w:hAnsi="Arial"/>
          <w:sz w:val="19"/>
          <w:szCs w:val="19"/>
          <w:color w:val="26262B"/>
        </w:rPr>
        <w:t>" shall mean (a) an amendment to the provisions of the Executed CSA, which [***] (b) if any amendment to the provisions of</w:t>
      </w:r>
      <w:r>
        <w:rPr>
          <w:rFonts w:ascii="Arial" w:cs="Arial" w:eastAsia="Arial" w:hAnsi="Arial"/>
          <w:sz w:val="19"/>
          <w:szCs w:val="19"/>
          <w:b w:val="1"/>
          <w:bCs w:val="1"/>
          <w:color w:val="26262B"/>
        </w:rPr>
        <w:t xml:space="preserve"> </w:t>
      </w:r>
      <w:r>
        <w:rPr>
          <w:rFonts w:ascii="Arial" w:cs="Arial" w:eastAsia="Arial" w:hAnsi="Arial"/>
          <w:sz w:val="19"/>
          <w:szCs w:val="19"/>
          <w:color w:val="26262B"/>
        </w:rPr>
        <w:t>the Executed CSA [***]; or (c) if any amendment to the provisions of the Executed CSA [***]. Upon receipt from Jazz of the Study Waiver request for the given Major Change(s), PharmaMar shall promptly send the Third Party Partners Study Waiver requests to the corresponding Third Party Partner and will use its best efforts to cause such Third Party Partners to expedite their respective review and decision on such Major Change(s) to the Executed CSA.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40"/>
          </w:cols>
          <w:pgMar w:left="320" w:top="13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580" w:right="40" w:hanging="325"/>
        <w:spacing w:after="0" w:line="238" w:lineRule="auto"/>
        <w:tabs>
          <w:tab w:leader="none" w:pos="796" w:val="left"/>
        </w:tabs>
        <w:numPr>
          <w:ilvl w:val="1"/>
          <w:numId w:val="45"/>
        </w:numPr>
        <w:rPr>
          <w:rFonts w:ascii="Arial" w:cs="Arial" w:eastAsia="Arial" w:hAnsi="Arial"/>
          <w:sz w:val="22"/>
          <w:szCs w:val="22"/>
          <w:color w:val="26262B"/>
        </w:rPr>
      </w:pPr>
      <w:r>
        <w:rPr>
          <w:rFonts w:ascii="Arial" w:cs="Arial" w:eastAsia="Arial" w:hAnsi="Arial"/>
          <w:sz w:val="20"/>
          <w:szCs w:val="20"/>
          <w:color w:val="26262B"/>
        </w:rPr>
        <w:t>Jazz understands that a Third Party Partner may provide a Study Waiver, but with territorial restrictions. Furthermore, Jazz understands that a Third Party Partner may not provide a Study Waiver. PharmaMar shall bear no liability to Jazz for any of its Third Party Partners not providing a Study Waiver. Except as provided in sections f. and g</w:t>
      </w:r>
      <w:r>
        <w:rPr>
          <w:rFonts w:ascii="Arial" w:cs="Arial" w:eastAsia="Arial" w:hAnsi="Arial"/>
          <w:sz w:val="20"/>
          <w:szCs w:val="20"/>
          <w:color w:val="4D4D50"/>
        </w:rPr>
        <w:t>.</w:t>
      </w:r>
      <w:r>
        <w:rPr>
          <w:rFonts w:ascii="Arial" w:cs="Arial" w:eastAsia="Arial" w:hAnsi="Arial"/>
          <w:sz w:val="20"/>
          <w:szCs w:val="20"/>
          <w:color w:val="26262B"/>
        </w:rPr>
        <w:t xml:space="preserve"> above, PharmaMar represents and warrants that[***] </w:t>
      </w:r>
      <w:r>
        <w:rPr>
          <w:rFonts w:ascii="Arial" w:cs="Arial" w:eastAsia="Arial" w:hAnsi="Arial"/>
          <w:sz w:val="20"/>
          <w:szCs w:val="20"/>
          <w:color w:val="4D4D50"/>
        </w:rPr>
        <w:t>.</w:t>
      </w:r>
    </w:p>
    <w:p>
      <w:pPr>
        <w:spacing w:after="0" w:line="117" w:lineRule="exact"/>
        <w:rPr>
          <w:rFonts w:ascii="Arial" w:cs="Arial" w:eastAsia="Arial" w:hAnsi="Arial"/>
          <w:sz w:val="22"/>
          <w:szCs w:val="22"/>
          <w:color w:val="26262B"/>
        </w:rPr>
      </w:pPr>
    </w:p>
    <w:p>
      <w:pPr>
        <w:jc w:val="both"/>
        <w:ind w:left="580" w:right="40" w:hanging="325"/>
        <w:spacing w:after="0" w:line="239" w:lineRule="auto"/>
        <w:tabs>
          <w:tab w:leader="none" w:pos="586" w:val="left"/>
        </w:tabs>
        <w:numPr>
          <w:ilvl w:val="1"/>
          <w:numId w:val="45"/>
        </w:numPr>
        <w:rPr>
          <w:rFonts w:ascii="Arial" w:cs="Arial" w:eastAsia="Arial" w:hAnsi="Arial"/>
          <w:sz w:val="22"/>
          <w:szCs w:val="22"/>
          <w:color w:val="26262B"/>
        </w:rPr>
      </w:pPr>
      <w:r>
        <w:rPr>
          <w:rFonts w:ascii="Arial" w:cs="Arial" w:eastAsia="Arial" w:hAnsi="Arial"/>
          <w:sz w:val="20"/>
          <w:szCs w:val="20"/>
          <w:color w:val="26262B"/>
        </w:rPr>
        <w:t>Except as expressly set forth in this Amendment and solely with respect to the 1LM SCLC Study, nothing in this Amendment shall be construed or understood by either Party as a modification, alternation or waiver by such Party of its rights and/or obligations regarding Licensed Product Data and PharmaMar Technology (as defined in the Agreement). For clarity, the PharmaMar Consent, if provided hereunder, shall apply solely to the 1LM SCLC Study, and shall not be interpreted as a precedent with respect to any other studies with the Licensed Product.</w:t>
      </w:r>
    </w:p>
    <w:p>
      <w:pPr>
        <w:spacing w:after="0" w:line="81" w:lineRule="exact"/>
        <w:rPr>
          <w:rFonts w:ascii="Arial" w:cs="Arial" w:eastAsia="Arial" w:hAnsi="Arial"/>
          <w:sz w:val="22"/>
          <w:szCs w:val="22"/>
          <w:color w:val="26262B"/>
        </w:rPr>
      </w:pPr>
    </w:p>
    <w:p>
      <w:pPr>
        <w:ind w:left="360" w:hanging="352"/>
        <w:spacing w:after="0"/>
        <w:tabs>
          <w:tab w:leader="none" w:pos="360" w:val="left"/>
        </w:tabs>
        <w:numPr>
          <w:ilvl w:val="0"/>
          <w:numId w:val="46"/>
        </w:numPr>
        <w:rPr>
          <w:rFonts w:ascii="Arial" w:cs="Arial" w:eastAsia="Arial" w:hAnsi="Arial"/>
          <w:sz w:val="20"/>
          <w:szCs w:val="20"/>
          <w:b w:val="1"/>
          <w:bCs w:val="1"/>
          <w:color w:val="232328"/>
        </w:rPr>
      </w:pPr>
      <w:r>
        <w:rPr>
          <w:rFonts w:ascii="Arial" w:cs="Arial" w:eastAsia="Arial" w:hAnsi="Arial"/>
          <w:sz w:val="20"/>
          <w:szCs w:val="20"/>
          <w:b w:val="1"/>
          <w:bCs w:val="1"/>
          <w:color w:val="232328"/>
        </w:rPr>
        <w:t>Miscellaneous</w:t>
      </w:r>
    </w:p>
    <w:p>
      <w:pPr>
        <w:spacing w:after="0" w:line="114" w:lineRule="exact"/>
        <w:rPr>
          <w:sz w:val="20"/>
          <w:szCs w:val="20"/>
          <w:color w:val="auto"/>
        </w:rPr>
      </w:pPr>
    </w:p>
    <w:p>
      <w:pPr>
        <w:ind w:left="340" w:right="40" w:firstLine="1"/>
        <w:spacing w:after="0" w:line="260" w:lineRule="auto"/>
        <w:rPr>
          <w:sz w:val="20"/>
          <w:szCs w:val="20"/>
          <w:color w:val="auto"/>
        </w:rPr>
      </w:pPr>
      <w:r>
        <w:rPr>
          <w:rFonts w:ascii="Arial" w:cs="Arial" w:eastAsia="Arial" w:hAnsi="Arial"/>
          <w:sz w:val="20"/>
          <w:szCs w:val="20"/>
          <w:color w:val="232328"/>
        </w:rPr>
        <w:t xml:space="preserve">In relation to </w:t>
      </w:r>
      <w:r>
        <w:rPr>
          <w:rFonts w:ascii="Arial" w:cs="Arial" w:eastAsia="Arial" w:hAnsi="Arial"/>
          <w:sz w:val="20"/>
          <w:szCs w:val="20"/>
          <w:color w:val="343438"/>
        </w:rPr>
        <w:t>Article 3</w:t>
      </w:r>
      <w:r>
        <w:rPr>
          <w:rFonts w:ascii="Arial" w:cs="Arial" w:eastAsia="Arial" w:hAnsi="Arial"/>
          <w:sz w:val="20"/>
          <w:szCs w:val="20"/>
          <w:color w:val="232328"/>
        </w:rPr>
        <w:t xml:space="preserve"> of the CSA, at PharmaMar's request, Jazz shall request Roche to [***]; provided, however, that Jazz </w:t>
      </w:r>
      <w:r>
        <w:rPr>
          <w:rFonts w:ascii="Arial" w:cs="Arial" w:eastAsia="Arial" w:hAnsi="Arial"/>
          <w:sz w:val="20"/>
          <w:szCs w:val="20"/>
          <w:color w:val="343438"/>
        </w:rPr>
        <w:t>shall</w:t>
      </w:r>
      <w:r>
        <w:rPr>
          <w:rFonts w:ascii="Arial" w:cs="Arial" w:eastAsia="Arial" w:hAnsi="Arial"/>
          <w:sz w:val="20"/>
          <w:szCs w:val="20"/>
          <w:color w:val="232328"/>
        </w:rPr>
        <w:t xml:space="preserve"> bear no liability to PharmaMar </w:t>
      </w:r>
      <w:r>
        <w:rPr>
          <w:rFonts w:ascii="Arial" w:cs="Arial" w:eastAsia="Arial" w:hAnsi="Arial"/>
          <w:sz w:val="20"/>
          <w:szCs w:val="20"/>
          <w:color w:val="343438"/>
        </w:rPr>
        <w:t>if</w:t>
      </w:r>
      <w:r>
        <w:rPr>
          <w:rFonts w:ascii="Arial" w:cs="Arial" w:eastAsia="Arial" w:hAnsi="Arial"/>
          <w:sz w:val="20"/>
          <w:szCs w:val="20"/>
          <w:color w:val="232328"/>
        </w:rPr>
        <w:t xml:space="preserve"> Roche does not </w:t>
      </w:r>
      <w:r>
        <w:rPr>
          <w:rFonts w:ascii="Arial" w:cs="Arial" w:eastAsia="Arial" w:hAnsi="Arial"/>
          <w:sz w:val="20"/>
          <w:szCs w:val="20"/>
          <w:color w:val="343438"/>
        </w:rPr>
        <w:t>agree</w:t>
      </w:r>
      <w:r>
        <w:rPr>
          <w:rFonts w:ascii="Arial" w:cs="Arial" w:eastAsia="Arial" w:hAnsi="Arial"/>
          <w:sz w:val="20"/>
          <w:szCs w:val="20"/>
          <w:color w:val="232328"/>
        </w:rPr>
        <w:t xml:space="preserve"> to </w:t>
      </w:r>
      <w:r>
        <w:rPr>
          <w:rFonts w:ascii="Arial" w:cs="Arial" w:eastAsia="Arial" w:hAnsi="Arial"/>
          <w:sz w:val="20"/>
          <w:szCs w:val="20"/>
          <w:color w:val="343438"/>
        </w:rPr>
        <w:t>any such</w:t>
      </w:r>
      <w:r>
        <w:rPr>
          <w:rFonts w:ascii="Arial" w:cs="Arial" w:eastAsia="Arial" w:hAnsi="Arial"/>
          <w:sz w:val="20"/>
          <w:szCs w:val="20"/>
          <w:color w:val="232328"/>
        </w:rPr>
        <w:t xml:space="preserv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7</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40"/>
          </w:cols>
          <w:pgMar w:left="320" w:top="130"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232328"/>
        </w:rPr>
        <w:t>EXHIBIT A ATTACHMENT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2328"/>
        </w:rPr>
        <w:t>TERRITORIES LICENSED TO THIRD PARTY PARTNERS</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0"/>
          <w:szCs w:val="20"/>
          <w:color w:val="26262A"/>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8</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40"/>
          </w:cols>
          <w:pgMar w:left="320" w:top="13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2328"/>
        </w:rPr>
        <w:t>EXHIBIT B</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2328"/>
        </w:rPr>
        <w:t>ILMS Protocol Synopsis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2D343B"/>
        </w:rPr>
        <w:t>[***]</w:t>
      </w:r>
    </w:p>
    <w:p>
      <w:pPr>
        <w:spacing w:after="0" w:line="124"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color w:val="auto"/>
        </w:rPr>
        <w:t>Jazz-PharmaMar Amendment 1 to Amended and Restated License Agreement Execution Version</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9</w:t>
      </w:r>
      <w:r>
        <w:rPr>
          <w:rFonts w:ascii="Arial" w:cs="Arial" w:eastAsia="Arial" w:hAnsi="Arial"/>
          <w:sz w:val="12"/>
          <w:szCs w:val="12"/>
          <w:color w:val="auto"/>
        </w:rPr>
        <w:t xml:space="preserve"> of </w:t>
      </w:r>
      <w:r>
        <w:rPr>
          <w:rFonts w:ascii="Arial" w:cs="Arial" w:eastAsia="Arial" w:hAnsi="Arial"/>
          <w:sz w:val="12"/>
          <w:szCs w:val="12"/>
          <w:b w:val="1"/>
          <w:bCs w:val="1"/>
          <w:color w:val="auto"/>
        </w:rPr>
        <w:t>9</w:t>
      </w:r>
    </w:p>
    <w:p>
      <w:pPr>
        <w:sectPr>
          <w:pgSz w:w="11900" w:h="16838" w:orient="portrait"/>
          <w:cols w:equalWidth="0" w:num="1">
            <w:col w:w="11240"/>
          </w:cols>
          <w:pgMar w:left="320" w:top="130" w:right="339" w:bottom="1440" w:gutter="0" w:footer="0" w:header="0"/>
        </w:sectPr>
      </w:pPr>
    </w:p>
    <w:bookmarkStart w:id="115" w:name="page116"/>
    <w:bookmarkEnd w:id="115"/>
    <w:p>
      <w:pPr>
        <w:ind w:left="4780"/>
        <w:spacing w:after="0"/>
        <w:rPr>
          <w:sz w:val="20"/>
          <w:szCs w:val="20"/>
          <w:color w:val="auto"/>
        </w:rPr>
      </w:pPr>
      <w:r>
        <w:rPr>
          <w:rFonts w:ascii="Arial" w:cs="Arial" w:eastAsia="Arial" w:hAnsi="Arial"/>
          <w:sz w:val="20"/>
          <w:szCs w:val="20"/>
          <w:b w:val="1"/>
          <w:bCs w:val="1"/>
          <w:u w:val="single" w:color="auto"/>
          <w:color w:val="auto"/>
        </w:rPr>
        <w:t>STRICTLY CONFIDENTIAL</w:t>
      </w:r>
    </w:p>
    <w:p>
      <w:pPr>
        <w:spacing w:after="0" w:line="234"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JAZZ PHARMACEUTICALS UK LIMITED</w:t>
      </w:r>
    </w:p>
    <w:p>
      <w:pPr>
        <w:spacing w:after="0" w:line="241"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CHRIS TOVEY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3984884</w:t>
      </w:r>
    </w:p>
    <w:p>
      <w:pPr>
        <w:sectPr>
          <w:pgSz w:w="11900" w:h="16838" w:orient="portrait"/>
          <w:cols w:equalWidth="0" w:num="1">
            <w:col w:w="10120"/>
          </w:cols>
          <w:pgMar w:left="1440" w:top="139" w:right="339" w:bottom="1440" w:gutter="0" w:footer="0" w:header="0"/>
        </w:sectPr>
      </w:pPr>
    </w:p>
    <w:bookmarkStart w:id="116" w:name="page117"/>
    <w:bookmarkEnd w:id="116"/>
    <w:p>
      <w:pPr>
        <w:spacing w:after="0" w:line="18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20" w:type="dxa"/>
            <w:vAlign w:val="bottom"/>
          </w:tcPr>
          <w:p>
            <w:pPr>
              <w:spacing w:after="0"/>
              <w:rPr>
                <w:sz w:val="20"/>
                <w:szCs w:val="20"/>
                <w:color w:val="auto"/>
              </w:rPr>
            </w:pPr>
            <w:r>
              <w:rPr>
                <w:rFonts w:ascii="Arial" w:cs="Arial" w:eastAsia="Arial" w:hAnsi="Arial"/>
                <w:sz w:val="18"/>
                <w:szCs w:val="18"/>
                <w:b w:val="1"/>
                <w:bCs w:val="1"/>
                <w:color w:val="auto"/>
              </w:rPr>
              <w:t>e</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Definitions and interpretation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Appointment</w:t>
            </w:r>
          </w:p>
        </w:tc>
        <w:tc>
          <w:tcPr>
            <w:tcW w:w="3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Conditions to appointment</w:t>
            </w:r>
          </w:p>
        </w:tc>
        <w:tc>
          <w:tcPr>
            <w:tcW w:w="3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Duties</w:t>
            </w:r>
          </w:p>
        </w:tc>
        <w:tc>
          <w:tcPr>
            <w:tcW w:w="3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Salary</w:t>
            </w:r>
          </w:p>
        </w:tc>
        <w:tc>
          <w:tcPr>
            <w:tcW w:w="3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Bonus</w:t>
            </w:r>
          </w:p>
        </w:tc>
        <w:tc>
          <w:tcPr>
            <w:tcW w:w="3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Long-Term Incentive Awards</w:t>
            </w:r>
          </w:p>
        </w:tc>
        <w:tc>
          <w:tcPr>
            <w:tcW w:w="3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Amendment power</w:t>
            </w:r>
          </w:p>
        </w:tc>
        <w:tc>
          <w:tcPr>
            <w:tcW w:w="3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Insurance schemes</w:t>
            </w:r>
          </w:p>
        </w:tc>
        <w:tc>
          <w:tcPr>
            <w:tcW w:w="3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Pension</w:t>
            </w:r>
          </w:p>
        </w:tc>
        <w:tc>
          <w:tcPr>
            <w:tcW w:w="3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Training</w:t>
            </w:r>
          </w:p>
        </w:tc>
        <w:tc>
          <w:tcPr>
            <w:tcW w:w="3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Expenses</w:t>
            </w:r>
          </w:p>
        </w:tc>
        <w:tc>
          <w:tcPr>
            <w:tcW w:w="3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Place of work</w:t>
            </w:r>
          </w:p>
        </w:tc>
        <w:tc>
          <w:tcPr>
            <w:tcW w:w="3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Hours of work</w:t>
            </w:r>
          </w:p>
        </w:tc>
        <w:tc>
          <w:tcPr>
            <w:tcW w:w="3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Holidays</w:t>
            </w:r>
          </w:p>
        </w:tc>
        <w:tc>
          <w:tcPr>
            <w:tcW w:w="3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Illness</w:t>
            </w:r>
          </w:p>
        </w:tc>
        <w:tc>
          <w:tcPr>
            <w:tcW w:w="3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Other leave</w:t>
            </w:r>
          </w:p>
        </w:tc>
        <w:tc>
          <w:tcPr>
            <w:tcW w:w="3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Confidentiality</w:t>
            </w:r>
          </w:p>
        </w:tc>
        <w:tc>
          <w:tcPr>
            <w:tcW w:w="3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Outside interests</w:t>
            </w:r>
          </w:p>
        </w:tc>
        <w:tc>
          <w:tcPr>
            <w:tcW w:w="3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Intellectual property</w:t>
            </w:r>
          </w:p>
        </w:tc>
        <w:tc>
          <w:tcPr>
            <w:tcW w:w="3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Disciplinary matters and grievances</w:t>
            </w:r>
          </w:p>
        </w:tc>
        <w:tc>
          <w:tcPr>
            <w:tcW w:w="3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Termination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Garden leave</w:t>
            </w:r>
          </w:p>
        </w:tc>
        <w:tc>
          <w:tcPr>
            <w:tcW w:w="3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Payment in lieu of notice</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Action to be taken upon termination or notice</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Restrictions following termination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Data protection</w:t>
            </w:r>
          </w:p>
        </w:tc>
        <w:tc>
          <w:tcPr>
            <w:tcW w:w="3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General</w:t>
            </w:r>
          </w:p>
        </w:tc>
        <w:tc>
          <w:tcPr>
            <w:tcW w:w="3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7620" w:type="dxa"/>
            <w:vAlign w:val="bottom"/>
          </w:tcPr>
          <w:p>
            <w:pPr>
              <w:ind w:left="1420"/>
              <w:spacing w:after="0"/>
              <w:rPr>
                <w:sz w:val="20"/>
                <w:szCs w:val="20"/>
                <w:color w:val="auto"/>
              </w:rPr>
            </w:pPr>
            <w:r>
              <w:rPr>
                <w:rFonts w:ascii="Arial" w:cs="Arial" w:eastAsia="Arial" w:hAnsi="Arial"/>
                <w:sz w:val="18"/>
                <w:szCs w:val="18"/>
                <w:color w:val="auto"/>
              </w:rPr>
              <w:t>Governing law and jurisdiction</w:t>
            </w:r>
          </w:p>
        </w:tc>
        <w:tc>
          <w:tcPr>
            <w:tcW w:w="304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0660"/>
          </w:cols>
          <w:pgMar w:left="220" w:top="1440" w:right="1019" w:bottom="1440" w:gutter="0" w:footer="0" w:header="0"/>
        </w:sectPr>
      </w:pPr>
    </w:p>
    <w:bookmarkStart w:id="117" w:name="page118"/>
    <w:bookmarkEnd w:id="117"/>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DATE</w:t>
      </w:r>
      <w:r>
        <w:rPr>
          <w:sz w:val="20"/>
          <w:szCs w:val="20"/>
          <w:color w:val="auto"/>
        </w:rPr>
        <w:tab/>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PARTIES</w:t>
      </w:r>
    </w:p>
    <w:p>
      <w:pPr>
        <w:spacing w:after="0" w:line="234"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JAZZ PHARMACEUTICALS UK LIMITED </w:t>
      </w:r>
      <w:r>
        <w:rPr>
          <w:rFonts w:ascii="Arial" w:cs="Arial" w:eastAsia="Arial" w:hAnsi="Arial"/>
          <w:sz w:val="18"/>
          <w:szCs w:val="18"/>
          <w:color w:val="auto"/>
        </w:rPr>
        <w:t>(registered no. 04555273) whose registered office is at Wing B, Building 5700, Spires House</w:t>
      </w:r>
    </w:p>
    <w:p>
      <w:pPr>
        <w:spacing w:after="0" w:line="58" w:lineRule="exact"/>
        <w:rPr>
          <w:rFonts w:ascii="Arial" w:cs="Arial" w:eastAsia="Arial" w:hAnsi="Arial"/>
          <w:sz w:val="18"/>
          <w:szCs w:val="18"/>
          <w:color w:val="auto"/>
        </w:rPr>
      </w:pPr>
    </w:p>
    <w:p>
      <w:pPr>
        <w:ind w:left="780"/>
        <w:spacing w:after="0" w:line="293" w:lineRule="auto"/>
        <w:rPr>
          <w:rFonts w:ascii="Arial" w:cs="Arial" w:eastAsia="Arial" w:hAnsi="Arial"/>
          <w:sz w:val="18"/>
          <w:szCs w:val="18"/>
          <w:color w:val="auto"/>
        </w:rPr>
      </w:pPr>
      <w:r>
        <w:rPr>
          <w:rFonts w:ascii="Arial" w:cs="Arial" w:eastAsia="Arial" w:hAnsi="Arial"/>
          <w:sz w:val="18"/>
          <w:szCs w:val="18"/>
          <w:color w:val="auto"/>
        </w:rPr>
        <w:t>John Smith Drive, Oxford Business Park South, Oxford, OX4 2RW, or the member of the Group Company that actually employs you,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1" w:lineRule="exact"/>
        <w:rPr>
          <w:sz w:val="20"/>
          <w:szCs w:val="20"/>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CHRIS TOVEY </w:t>
      </w:r>
      <w:r>
        <w:rPr>
          <w:rFonts w:ascii="Arial" w:cs="Arial" w:eastAsia="Arial" w:hAnsi="Arial"/>
          <w:sz w:val="18"/>
          <w:szCs w:val="18"/>
          <w:color w:val="auto"/>
        </w:rPr>
        <w:t>of [Address] (“</w:t>
      </w:r>
      <w:r>
        <w:rPr>
          <w:rFonts w:ascii="Arial" w:cs="Arial" w:eastAsia="Arial" w:hAnsi="Arial"/>
          <w:sz w:val="18"/>
          <w:szCs w:val="18"/>
          <w:b w:val="1"/>
          <w:bCs w:val="1"/>
          <w:color w:val="auto"/>
        </w:rPr>
        <w:t>You</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p>
    <w:p>
      <w:pPr>
        <w:spacing w:after="0" w:line="243"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20"/>
          <w:szCs w:val="20"/>
          <w:b w:val="1"/>
          <w:bCs w:val="1"/>
          <w:color w:val="auto"/>
        </w:rPr>
        <w:t>Definitions and interpretation</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In this agreement, the following words and expressions shall have the following meanings:</w:t>
      </w:r>
    </w:p>
    <w:p>
      <w:pPr>
        <w:spacing w:after="0" w:line="203" w:lineRule="exact"/>
        <w:rPr>
          <w:sz w:val="20"/>
          <w:szCs w:val="20"/>
          <w:color w:val="auto"/>
        </w:rPr>
      </w:pPr>
    </w:p>
    <w:p>
      <w:pPr>
        <w:jc w:val="both"/>
        <w:ind w:left="780"/>
        <w:spacing w:after="0" w:line="318" w:lineRule="auto"/>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 or any committee of the Board appointed by it or the directors present at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directors of the Company at which a quorum is present but excluding you;</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has the meaning given to it in the Transaction Agreement;</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Commencement Date: </w:t>
      </w:r>
      <w:r>
        <w:rPr>
          <w:rFonts w:ascii="Arial" w:cs="Arial" w:eastAsia="Arial" w:hAnsi="Arial"/>
          <w:sz w:val="18"/>
          <w:szCs w:val="18"/>
          <w:color w:val="auto"/>
        </w:rPr>
        <w:t>on or within thirty (30) days after the date of Closing;</w:t>
      </w:r>
    </w:p>
    <w:p>
      <w:pPr>
        <w:spacing w:after="0" w:line="225" w:lineRule="exact"/>
        <w:rPr>
          <w:sz w:val="20"/>
          <w:szCs w:val="20"/>
          <w:color w:val="auto"/>
        </w:rPr>
      </w:pPr>
    </w:p>
    <w:p>
      <w:pPr>
        <w:jc w:val="both"/>
        <w:ind w:left="780"/>
        <w:spacing w:after="0" w:line="300" w:lineRule="auto"/>
        <w:rPr>
          <w:sz w:val="20"/>
          <w:szCs w:val="20"/>
          <w:color w:val="auto"/>
        </w:rPr>
      </w:pPr>
      <w:r>
        <w:rPr>
          <w:rFonts w:ascii="Arial" w:cs="Arial" w:eastAsia="Arial" w:hAnsi="Arial"/>
          <w:sz w:val="18"/>
          <w:szCs w:val="18"/>
          <w:b w:val="1"/>
          <w:bCs w:val="1"/>
          <w:color w:val="auto"/>
        </w:rPr>
        <w:t xml:space="preserve">Company IPR: </w:t>
      </w:r>
      <w:r>
        <w:rPr>
          <w:rFonts w:ascii="Arial" w:cs="Arial" w:eastAsia="Arial" w:hAnsi="Arial"/>
          <w:sz w:val="18"/>
          <w:szCs w:val="18"/>
          <w:color w:val="auto"/>
        </w:rPr>
        <w:t>Intellectual Property Rights made, discovered or produced by you (alone or with one or more others) in the course</w:t>
      </w:r>
      <w:r>
        <w:rPr>
          <w:rFonts w:ascii="Arial" w:cs="Arial" w:eastAsia="Arial" w:hAnsi="Arial"/>
          <w:sz w:val="18"/>
          <w:szCs w:val="18"/>
          <w:b w:val="1"/>
          <w:bCs w:val="1"/>
          <w:color w:val="auto"/>
        </w:rPr>
        <w:t xml:space="preserve"> </w:t>
      </w:r>
      <w:r>
        <w:rPr>
          <w:rFonts w:ascii="Arial" w:cs="Arial" w:eastAsia="Arial" w:hAnsi="Arial"/>
          <w:sz w:val="18"/>
          <w:szCs w:val="18"/>
          <w:color w:val="auto"/>
        </w:rPr>
        <w:t>of employment in connection with or in any way affecting or relating to, or capable of being used or adapted for use in connection with, the business of the Company or any Group Company.</w:t>
      </w:r>
    </w:p>
    <w:p>
      <w:pPr>
        <w:spacing w:after="0" w:line="155" w:lineRule="exact"/>
        <w:rPr>
          <w:sz w:val="20"/>
          <w:szCs w:val="20"/>
          <w:color w:val="auto"/>
        </w:rPr>
      </w:pPr>
    </w:p>
    <w:p>
      <w:pPr>
        <w:jc w:val="both"/>
        <w:ind w:left="780"/>
        <w:spacing w:after="0" w:line="31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and Management Development Committee of the Board of Directors of Jazz</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Pharmaceuticals plc;</w:t>
      </w:r>
    </w:p>
    <w:p>
      <w:pPr>
        <w:spacing w:after="0" w:line="140" w:lineRule="exact"/>
        <w:rPr>
          <w:sz w:val="20"/>
          <w:szCs w:val="20"/>
          <w:color w:val="auto"/>
        </w:rPr>
      </w:pPr>
    </w:p>
    <w:p>
      <w:pPr>
        <w:jc w:val="both"/>
        <w:ind w:left="780"/>
        <w:spacing w:after="0" w:line="294"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information concerning the business, the Company IPRs Inventions and/or finances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Group Company or customers, clients or suppliers of the Company or any Group Company, which you shall have received or obtained at any time by reason of or in connection with your service with the Company or any Group Company including, without limitation:</w:t>
      </w:r>
    </w:p>
    <w:p>
      <w:pPr>
        <w:spacing w:after="0" w:line="169" w:lineRule="exact"/>
        <w:rPr>
          <w:sz w:val="20"/>
          <w:szCs w:val="20"/>
          <w:color w:val="auto"/>
        </w:rPr>
      </w:pPr>
    </w:p>
    <w:p>
      <w:pPr>
        <w:ind w:left="1300" w:hanging="514"/>
        <w:spacing w:after="0" w:line="293" w:lineRule="auto"/>
        <w:tabs>
          <w:tab w:leader="none" w:pos="12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trade secrets (including any information treated as a trade secret for the purposes of the Trade Secrets (Enforcement etc.) Regulations 2018);</w:t>
      </w:r>
    </w:p>
    <w:p>
      <w:pPr>
        <w:spacing w:after="0" w:line="183" w:lineRule="exact"/>
        <w:rPr>
          <w:rFonts w:ascii="Arial" w:cs="Arial" w:eastAsia="Arial" w:hAnsi="Arial"/>
          <w:sz w:val="18"/>
          <w:szCs w:val="18"/>
          <w:color w:val="auto"/>
        </w:rPr>
      </w:pPr>
    </w:p>
    <w:p>
      <w:pPr>
        <w:ind w:left="1180" w:hanging="39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customer/client lists, contact details of clients, customers and suppliers and individuals within those organisations;</w:t>
      </w:r>
    </w:p>
    <w:p>
      <w:pPr>
        <w:spacing w:after="0" w:line="238" w:lineRule="exact"/>
        <w:rPr>
          <w:rFonts w:ascii="Arial" w:cs="Arial" w:eastAsia="Arial" w:hAnsi="Arial"/>
          <w:sz w:val="18"/>
          <w:szCs w:val="18"/>
          <w:color w:val="auto"/>
        </w:rPr>
      </w:pPr>
    </w:p>
    <w:p>
      <w:pPr>
        <w:ind w:left="1300" w:hanging="514"/>
        <w:spacing w:after="0" w:line="293" w:lineRule="auto"/>
        <w:tabs>
          <w:tab w:leader="none" w:pos="12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technical information, Know-How, research and development; inventions and patent applications; including, but not limited to, information concerning plant strains, growing conditions, or any information that is relevant to CBD production.</w:t>
      </w:r>
    </w:p>
    <w:p>
      <w:pPr>
        <w:spacing w:after="0" w:line="169" w:lineRule="exact"/>
        <w:rPr>
          <w:rFonts w:ascii="Arial" w:cs="Arial" w:eastAsia="Arial" w:hAnsi="Arial"/>
          <w:sz w:val="18"/>
          <w:szCs w:val="18"/>
          <w:color w:val="auto"/>
        </w:rPr>
      </w:pPr>
    </w:p>
    <w:p>
      <w:pPr>
        <w:ind w:left="1300" w:right="20" w:hanging="514"/>
        <w:spacing w:after="0" w:line="293" w:lineRule="auto"/>
        <w:tabs>
          <w:tab w:leader="none" w:pos="1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projections, target details and accounts; details of the Company’s or any Group Company’s internal funding and resource allocation;</w:t>
      </w:r>
    </w:p>
    <w:p>
      <w:pPr>
        <w:spacing w:after="0" w:line="183" w:lineRule="exact"/>
        <w:rPr>
          <w:rFonts w:ascii="Arial" w:cs="Arial" w:eastAsia="Arial" w:hAnsi="Arial"/>
          <w:sz w:val="18"/>
          <w:szCs w:val="18"/>
          <w:color w:val="auto"/>
        </w:rPr>
      </w:pPr>
    </w:p>
    <w:p>
      <w:pPr>
        <w:ind w:left="1200" w:hanging="414"/>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 levels, pricing policies, commissions and commission charges;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type w:val="continuous"/>
        </w:sectPr>
      </w:pPr>
    </w:p>
    <w:bookmarkStart w:id="118" w:name="page119"/>
    <w:bookmarkEnd w:id="118"/>
    <w:p>
      <w:pPr>
        <w:spacing w:after="0" w:line="211" w:lineRule="exact"/>
        <w:rPr>
          <w:sz w:val="20"/>
          <w:szCs w:val="20"/>
          <w:color w:val="auto"/>
        </w:rPr>
      </w:pPr>
    </w:p>
    <w:p>
      <w:pPr>
        <w:ind w:left="1080" w:hanging="45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budgets, forecasts, reports, interpretations, records and corporate and business plans;</w:t>
      </w:r>
    </w:p>
    <w:p>
      <w:pPr>
        <w:spacing w:after="0" w:line="225" w:lineRule="exact"/>
        <w:rPr>
          <w:rFonts w:ascii="Arial" w:cs="Arial" w:eastAsia="Arial" w:hAnsi="Arial"/>
          <w:sz w:val="18"/>
          <w:szCs w:val="18"/>
          <w:color w:val="auto"/>
        </w:rPr>
      </w:pPr>
    </w:p>
    <w:p>
      <w:pPr>
        <w:ind w:left="1120" w:hanging="494"/>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planned products and services;</w:t>
      </w:r>
    </w:p>
    <w:p>
      <w:pPr>
        <w:spacing w:after="0" w:line="238" w:lineRule="exact"/>
        <w:rPr>
          <w:rFonts w:ascii="Arial" w:cs="Arial" w:eastAsia="Arial" w:hAnsi="Arial"/>
          <w:sz w:val="18"/>
          <w:szCs w:val="18"/>
          <w:color w:val="auto"/>
        </w:rPr>
      </w:pPr>
    </w:p>
    <w:p>
      <w:pPr>
        <w:ind w:left="1160" w:hanging="534"/>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marketing and advertising plans, requirements and materials, marketing surveys and research reports;</w:t>
      </w:r>
    </w:p>
    <w:p>
      <w:pPr>
        <w:spacing w:after="0" w:line="238" w:lineRule="exact"/>
        <w:rPr>
          <w:rFonts w:ascii="Arial" w:cs="Arial" w:eastAsia="Arial" w:hAnsi="Arial"/>
          <w:sz w:val="18"/>
          <w:szCs w:val="18"/>
          <w:color w:val="auto"/>
        </w:rPr>
      </w:pPr>
    </w:p>
    <w:p>
      <w:pPr>
        <w:ind w:left="1080" w:hanging="45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share and pricing statistics;</w:t>
      </w:r>
    </w:p>
    <w:p>
      <w:pPr>
        <w:spacing w:after="0" w:line="225" w:lineRule="exact"/>
        <w:rPr>
          <w:rFonts w:ascii="Arial" w:cs="Arial" w:eastAsia="Arial" w:hAnsi="Arial"/>
          <w:sz w:val="18"/>
          <w:szCs w:val="18"/>
          <w:color w:val="auto"/>
        </w:rPr>
      </w:pPr>
    </w:p>
    <w:p>
      <w:pPr>
        <w:ind w:left="1040" w:hanging="414"/>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whether existing or threatened; settlement terms;</w:t>
      </w:r>
    </w:p>
    <w:p>
      <w:pPr>
        <w:spacing w:after="0" w:line="238" w:lineRule="exact"/>
        <w:rPr>
          <w:rFonts w:ascii="Arial" w:cs="Arial" w:eastAsia="Arial" w:hAnsi="Arial"/>
          <w:sz w:val="18"/>
          <w:szCs w:val="18"/>
          <w:color w:val="auto"/>
        </w:rPr>
      </w:pPr>
    </w:p>
    <w:p>
      <w:pPr>
        <w:ind w:left="1140" w:hanging="514"/>
        <w:spacing w:after="0" w:line="293" w:lineRule="auto"/>
        <w:tabs>
          <w:tab w:leader="none" w:pos="1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details of employees, workers and officers, including their roles and responsibilities, their remuneration, benefits and organisational structures;</w:t>
      </w:r>
    </w:p>
    <w:p>
      <w:pPr>
        <w:spacing w:after="0" w:line="183" w:lineRule="exact"/>
        <w:rPr>
          <w:rFonts w:ascii="Arial" w:cs="Arial" w:eastAsia="Arial" w:hAnsi="Arial"/>
          <w:sz w:val="18"/>
          <w:szCs w:val="18"/>
          <w:color w:val="auto"/>
        </w:rPr>
      </w:pPr>
    </w:p>
    <w:p>
      <w:pPr>
        <w:ind w:left="1120" w:hanging="494"/>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legally privileged material;</w:t>
      </w:r>
    </w:p>
    <w:p>
      <w:pPr>
        <w:spacing w:after="0" w:line="225" w:lineRule="exact"/>
        <w:rPr>
          <w:rFonts w:ascii="Arial" w:cs="Arial" w:eastAsia="Arial" w:hAnsi="Arial"/>
          <w:sz w:val="18"/>
          <w:szCs w:val="18"/>
          <w:color w:val="auto"/>
        </w:rPr>
      </w:pPr>
    </w:p>
    <w:p>
      <w:pPr>
        <w:ind w:left="1160" w:hanging="534"/>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personal or special category personal data; and</w:t>
      </w:r>
    </w:p>
    <w:p>
      <w:pPr>
        <w:spacing w:after="0" w:line="238" w:lineRule="exact"/>
        <w:rPr>
          <w:rFonts w:ascii="Arial" w:cs="Arial" w:eastAsia="Arial" w:hAnsi="Arial"/>
          <w:sz w:val="18"/>
          <w:szCs w:val="18"/>
          <w:color w:val="auto"/>
        </w:rPr>
      </w:pPr>
    </w:p>
    <w:p>
      <w:pPr>
        <w:ind w:left="1160" w:hanging="534"/>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computer software and passwords;</w:t>
      </w:r>
    </w:p>
    <w:p>
      <w:pPr>
        <w:spacing w:after="0" w:line="217" w:lineRule="exact"/>
        <w:rPr>
          <w:sz w:val="20"/>
          <w:szCs w:val="20"/>
          <w:color w:val="auto"/>
        </w:rPr>
      </w:pPr>
    </w:p>
    <w:p>
      <w:pPr>
        <w:jc w:val="both"/>
        <w:ind w:left="620"/>
        <w:spacing w:after="0" w:line="300" w:lineRule="auto"/>
        <w:rPr>
          <w:sz w:val="20"/>
          <w:szCs w:val="20"/>
          <w:color w:val="auto"/>
        </w:rPr>
      </w:pPr>
      <w:r>
        <w:rPr>
          <w:rFonts w:ascii="Arial" w:cs="Arial" w:eastAsia="Arial" w:hAnsi="Arial"/>
          <w:sz w:val="18"/>
          <w:szCs w:val="18"/>
          <w:b w:val="1"/>
          <w:bCs w:val="1"/>
          <w:color w:val="auto"/>
        </w:rPr>
        <w:t>Data Protection Legislation: GDPR</w:t>
      </w:r>
      <w:r>
        <w:rPr>
          <w:rFonts w:ascii="Arial" w:cs="Arial" w:eastAsia="Arial" w:hAnsi="Arial"/>
          <w:sz w:val="18"/>
          <w:szCs w:val="18"/>
          <w:color w:val="auto"/>
        </w:rPr>
        <w:t>, including, the UK GDPR, Data Protection Act 2018 (“</w:t>
      </w:r>
      <w:r>
        <w:rPr>
          <w:rFonts w:ascii="Arial" w:cs="Arial" w:eastAsia="Arial" w:hAnsi="Arial"/>
          <w:sz w:val="18"/>
          <w:szCs w:val="18"/>
          <w:b w:val="1"/>
          <w:bCs w:val="1"/>
          <w:color w:val="auto"/>
        </w:rPr>
        <w:t>DPA</w:t>
      </w:r>
      <w:r>
        <w:rPr>
          <w:rFonts w:ascii="Arial" w:cs="Arial" w:eastAsia="Arial" w:hAnsi="Arial"/>
          <w:sz w:val="18"/>
          <w:szCs w:val="18"/>
          <w:color w:val="auto"/>
        </w:rPr>
        <w:t>”) and any national implementing</w:t>
      </w:r>
      <w:r>
        <w:rPr>
          <w:rFonts w:ascii="Arial" w:cs="Arial" w:eastAsia="Arial" w:hAnsi="Arial"/>
          <w:sz w:val="18"/>
          <w:szCs w:val="18"/>
          <w:b w:val="1"/>
          <w:bCs w:val="1"/>
          <w:color w:val="auto"/>
        </w:rPr>
        <w:t xml:space="preserve"> </w:t>
      </w:r>
      <w:r>
        <w:rPr>
          <w:rFonts w:ascii="Arial" w:cs="Arial" w:eastAsia="Arial" w:hAnsi="Arial"/>
          <w:sz w:val="18"/>
          <w:szCs w:val="18"/>
          <w:color w:val="auto"/>
        </w:rPr>
        <w:t>laws, regulations and secondary legislation, as amended or updated from time to time in the UK and any successor legislation to the GDPR or the DPA;</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End Date: </w:t>
      </w:r>
      <w:r>
        <w:rPr>
          <w:rFonts w:ascii="Arial" w:cs="Arial" w:eastAsia="Arial" w:hAnsi="Arial"/>
          <w:sz w:val="18"/>
          <w:szCs w:val="18"/>
          <w:color w:val="auto"/>
        </w:rPr>
        <w:t>has the meaning given to it in the Transaction Agreement;</w:t>
      </w:r>
    </w:p>
    <w:p>
      <w:pPr>
        <w:spacing w:after="0" w:line="239"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b w:val="1"/>
          <w:bCs w:val="1"/>
          <w:color w:val="auto"/>
        </w:rPr>
        <w:t>GDPR</w:t>
      </w:r>
      <w:r>
        <w:rPr>
          <w:rFonts w:ascii="Arial" w:cs="Arial" w:eastAsia="Arial" w:hAnsi="Arial"/>
          <w:sz w:val="18"/>
          <w:szCs w:val="18"/>
          <w:color w:val="auto"/>
        </w:rPr>
        <w:t>: means Regulation (EU) 2016/679 of the European Parliament and of the Council of 27 April 2016 on the protection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persons with regard to the processing of personal data and on the free movement of such data, and repealing Directive 95/46/EC (General Data Protection Regulation) (both as it applies from time to time within the European Union and, in relation to matters after 11:00 p.m. UK time on 31 December 2020, as it forms part of UK law by virtue of the European Union (Withdrawal) Act 2018 (the "UK GDPR") and any regulations made under that Act);</w:t>
      </w:r>
    </w:p>
    <w:p>
      <w:pPr>
        <w:spacing w:after="0" w:line="163"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any company, partnership or other entity in any jurisdiction controlled by, or controlling, or in common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or its parent. A person, company, partnership or other entity shall be deemed to control another person, company, partnership or other entity if the former possesses, directly or indirectly, the power to direct, or cause the direction of, the management and policies of the latter whether through the ownership of voting securities or partnership interests, representation on its board of directors or similar governing body, by contract or otherwise;</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Holiday Year: </w:t>
      </w:r>
      <w:r>
        <w:rPr>
          <w:rFonts w:ascii="Arial" w:cs="Arial" w:eastAsia="Arial" w:hAnsi="Arial"/>
          <w:sz w:val="18"/>
          <w:szCs w:val="18"/>
          <w:color w:val="auto"/>
        </w:rPr>
        <w:t>1 January to 31 December;</w:t>
      </w:r>
    </w:p>
    <w:p>
      <w:pPr>
        <w:spacing w:after="0" w:line="239"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b w:val="1"/>
          <w:bCs w:val="1"/>
          <w:color w:val="auto"/>
        </w:rPr>
        <w:t>Intellectual Property Rights</w:t>
      </w:r>
      <w:r>
        <w:rPr>
          <w:rFonts w:ascii="Arial" w:cs="Arial" w:eastAsia="Arial" w:hAnsi="Arial"/>
          <w:sz w:val="18"/>
          <w:szCs w:val="18"/>
          <w:color w:val="auto"/>
        </w:rPr>
        <w:t>: patents, utility models, trade marks (whether registered or unregistered), design rights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or unregistered), applications for any of the foregoing, copyright, moral rights, database rights, rights in databases, performers’ rights, right in Know-How, secret processes, inventions, trade or business names, domain names, goodwill and the right to sue for passing off and all other intellectual property rights, in each case whether registered or unregistered, including all applications and rights to apply for, and be granted renewals and extensions of, such rights and all similar rights in any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80"/>
          </w:cols>
          <w:pgMar w:left="480" w:top="1440" w:right="339" w:bottom="1440" w:gutter="0" w:footer="0" w:header="0"/>
        </w:sectPr>
      </w:pPr>
    </w:p>
    <w:bookmarkStart w:id="119" w:name="page120"/>
    <w:bookmarkEnd w:id="119"/>
    <w:p>
      <w:pPr>
        <w:spacing w:after="0" w:line="211"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whether currently existing or created in the future, together with the right to sue for and recover damages or other relief in respect of infringements of any of them;</w:t>
      </w:r>
    </w:p>
    <w:p>
      <w:pPr>
        <w:spacing w:after="0" w:line="148" w:lineRule="exact"/>
        <w:rPr>
          <w:sz w:val="20"/>
          <w:szCs w:val="20"/>
          <w:color w:val="auto"/>
        </w:rPr>
      </w:pPr>
    </w:p>
    <w:p>
      <w:pPr>
        <w:ind w:left="780"/>
        <w:spacing w:after="0" w:line="318" w:lineRule="auto"/>
        <w:rPr>
          <w:sz w:val="20"/>
          <w:szCs w:val="20"/>
          <w:color w:val="auto"/>
        </w:rPr>
      </w:pPr>
      <w:r>
        <w:rPr>
          <w:rFonts w:ascii="Arial" w:cs="Arial" w:eastAsia="Arial" w:hAnsi="Arial"/>
          <w:sz w:val="18"/>
          <w:szCs w:val="18"/>
          <w:b w:val="1"/>
          <w:bCs w:val="1"/>
          <w:color w:val="auto"/>
        </w:rPr>
        <w:t xml:space="preserve">Invention: </w:t>
      </w:r>
      <w:r>
        <w:rPr>
          <w:rFonts w:ascii="Arial" w:cs="Arial" w:eastAsia="Arial" w:hAnsi="Arial"/>
          <w:sz w:val="18"/>
          <w:szCs w:val="18"/>
          <w:color w:val="auto"/>
        </w:rPr>
        <w:t>all inventions (which term bears the same meaning as in the Patents Act 1977) which you (alone or with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others) may make, originate, suggest, devise or develop in the course of:</w:t>
      </w:r>
    </w:p>
    <w:p>
      <w:pPr>
        <w:spacing w:after="0" w:line="162" w:lineRule="exact"/>
        <w:rPr>
          <w:sz w:val="20"/>
          <w:szCs w:val="20"/>
          <w:color w:val="auto"/>
        </w:rPr>
      </w:pPr>
    </w:p>
    <w:p>
      <w:pPr>
        <w:ind w:left="1140" w:hanging="35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your normal duties where an invention might reasonably be expected to result from the carrying out of your duties;</w:t>
      </w:r>
    </w:p>
    <w:p>
      <w:pPr>
        <w:spacing w:after="0" w:line="238" w:lineRule="exact"/>
        <w:rPr>
          <w:rFonts w:ascii="Arial" w:cs="Arial" w:eastAsia="Arial" w:hAnsi="Arial"/>
          <w:sz w:val="18"/>
          <w:szCs w:val="18"/>
          <w:color w:val="auto"/>
        </w:rPr>
      </w:pPr>
    </w:p>
    <w:p>
      <w:pPr>
        <w:ind w:left="780" w:firstLine="6"/>
        <w:spacing w:after="0" w:line="293" w:lineRule="auto"/>
        <w:tabs>
          <w:tab w:leader="none" w:pos="1197"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duties falling outside your normal duties, but specifically assigned to you where an invention might reasonably be expected to result from the carrying out of your duties; or</w:t>
      </w:r>
    </w:p>
    <w:p>
      <w:pPr>
        <w:spacing w:after="0" w:line="169" w:lineRule="exact"/>
        <w:rPr>
          <w:rFonts w:ascii="Arial" w:cs="Arial" w:eastAsia="Arial" w:hAnsi="Arial"/>
          <w:sz w:val="18"/>
          <w:szCs w:val="18"/>
          <w:color w:val="auto"/>
        </w:rPr>
      </w:pPr>
    </w:p>
    <w:p>
      <w:pPr>
        <w:jc w:val="both"/>
        <w:ind w:left="780" w:firstLine="6"/>
        <w:spacing w:after="0" w:line="287" w:lineRule="auto"/>
        <w:tabs>
          <w:tab w:leader="none" w:pos="13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duties where, at the time of making the invention, because of the nature of your duties and the particular responsibilities arising from the nature of your duties, you had a special obligation to further the interests of the Company and/or Group Companies;</w:t>
      </w:r>
    </w:p>
    <w:p>
      <w:pPr>
        <w:spacing w:after="0" w:line="167" w:lineRule="exact"/>
        <w:rPr>
          <w:sz w:val="20"/>
          <w:szCs w:val="20"/>
          <w:color w:val="auto"/>
        </w:rPr>
      </w:pPr>
    </w:p>
    <w:p>
      <w:pPr>
        <w:ind w:left="780" w:right="20"/>
        <w:spacing w:after="0" w:line="318" w:lineRule="auto"/>
        <w:rPr>
          <w:sz w:val="20"/>
          <w:szCs w:val="20"/>
          <w:color w:val="auto"/>
        </w:rPr>
      </w:pPr>
      <w:r>
        <w:rPr>
          <w:rFonts w:ascii="Arial" w:cs="Arial" w:eastAsia="Arial" w:hAnsi="Arial"/>
          <w:sz w:val="18"/>
          <w:szCs w:val="18"/>
          <w:b w:val="1"/>
          <w:bCs w:val="1"/>
          <w:color w:val="auto"/>
        </w:rPr>
        <w:t xml:space="preserve">Know-How: </w:t>
      </w:r>
      <w:r>
        <w:rPr>
          <w:rFonts w:ascii="Arial" w:cs="Arial" w:eastAsia="Arial" w:hAnsi="Arial"/>
          <w:sz w:val="18"/>
          <w:szCs w:val="18"/>
          <w:color w:val="auto"/>
        </w:rPr>
        <w:t>any unpatented technical and other information which is not in the public domain including, without limitation, any</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secrets, unpublished patent applications and any:</w:t>
      </w:r>
    </w:p>
    <w:p>
      <w:pPr>
        <w:spacing w:after="0" w:line="162" w:lineRule="exact"/>
        <w:rPr>
          <w:sz w:val="20"/>
          <w:szCs w:val="20"/>
          <w:color w:val="auto"/>
        </w:rPr>
      </w:pPr>
    </w:p>
    <w:p>
      <w:pPr>
        <w:ind w:left="780" w:firstLine="6"/>
        <w:spacing w:after="0" w:line="293" w:lineRule="auto"/>
        <w:tabs>
          <w:tab w:leader="none" w:pos="14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comprising or relating to concepts, data, discoveries, formulae, ideas, inventions, research models or specifications;</w:t>
      </w:r>
    </w:p>
    <w:p>
      <w:pPr>
        <w:spacing w:after="0" w:line="169" w:lineRule="exact"/>
        <w:rPr>
          <w:rFonts w:ascii="Arial" w:cs="Arial" w:eastAsia="Arial" w:hAnsi="Arial"/>
          <w:sz w:val="18"/>
          <w:szCs w:val="18"/>
          <w:color w:val="auto"/>
        </w:rPr>
      </w:pPr>
    </w:p>
    <w:p>
      <w:pPr>
        <w:ind w:left="1180" w:hanging="39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methods, research plans, processes, procedures for experiments and tests and results of experimentation and testing; and</w:t>
      </w:r>
    </w:p>
    <w:p>
      <w:pPr>
        <w:spacing w:after="0" w:line="238" w:lineRule="exact"/>
        <w:rPr>
          <w:rFonts w:ascii="Arial" w:cs="Arial" w:eastAsia="Arial" w:hAnsi="Arial"/>
          <w:sz w:val="18"/>
          <w:szCs w:val="18"/>
          <w:color w:val="auto"/>
        </w:rPr>
      </w:pPr>
    </w:p>
    <w:p>
      <w:pPr>
        <w:ind w:left="1220" w:hanging="43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as to biological or chemical structure or functions of any product or material;</w:t>
      </w:r>
    </w:p>
    <w:p>
      <w:pPr>
        <w:spacing w:after="0" w:line="217" w:lineRule="exact"/>
        <w:rPr>
          <w:sz w:val="20"/>
          <w:szCs w:val="20"/>
          <w:color w:val="auto"/>
        </w:rPr>
      </w:pPr>
    </w:p>
    <w:p>
      <w:pPr>
        <w:jc w:val="both"/>
        <w:ind w:left="780"/>
        <w:spacing w:after="0" w:line="300" w:lineRule="auto"/>
        <w:rPr>
          <w:sz w:val="20"/>
          <w:szCs w:val="20"/>
          <w:color w:val="auto"/>
        </w:rPr>
      </w:pPr>
      <w:r>
        <w:rPr>
          <w:rFonts w:ascii="Arial" w:cs="Arial" w:eastAsia="Arial" w:hAnsi="Arial"/>
          <w:sz w:val="18"/>
          <w:szCs w:val="18"/>
          <w:b w:val="1"/>
          <w:bCs w:val="1"/>
          <w:color w:val="auto"/>
        </w:rPr>
        <w:t xml:space="preserve">Participation Agreement: </w:t>
      </w:r>
      <w:r>
        <w:rPr>
          <w:rFonts w:ascii="Arial" w:cs="Arial" w:eastAsia="Arial" w:hAnsi="Arial"/>
          <w:sz w:val="18"/>
          <w:szCs w:val="18"/>
          <w:color w:val="auto"/>
        </w:rPr>
        <w:t>the participation agreement between you and the Company, dated [insert date], pursuant to which you</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designated a participant under the UK Change in Control and Severance Benefit Plan, and entitled to certain payments and benefits thereunder. A copy of the Participation Agreement and related plan are attached as Exhibit 1 to this Agreement;</w:t>
      </w:r>
    </w:p>
    <w:p>
      <w:pPr>
        <w:spacing w:after="0" w:line="142" w:lineRule="exact"/>
        <w:rPr>
          <w:sz w:val="20"/>
          <w:szCs w:val="20"/>
          <w:color w:val="auto"/>
        </w:rPr>
      </w:pPr>
    </w:p>
    <w:p>
      <w:pPr>
        <w:jc w:val="both"/>
        <w:ind w:left="780"/>
        <w:spacing w:after="0" w:line="300" w:lineRule="auto"/>
        <w:rPr>
          <w:sz w:val="20"/>
          <w:szCs w:val="20"/>
          <w:color w:val="auto"/>
        </w:rPr>
      </w:pPr>
      <w:r>
        <w:rPr>
          <w:rFonts w:ascii="Arial" w:cs="Arial" w:eastAsia="Arial" w:hAnsi="Arial"/>
          <w:sz w:val="18"/>
          <w:szCs w:val="18"/>
          <w:b w:val="1"/>
          <w:bCs w:val="1"/>
          <w:color w:val="auto"/>
        </w:rPr>
        <w:t>Transaction Agreement</w:t>
      </w:r>
      <w:r>
        <w:rPr>
          <w:rFonts w:ascii="Arial" w:cs="Arial" w:eastAsia="Arial" w:hAnsi="Arial"/>
          <w:sz w:val="18"/>
          <w:szCs w:val="18"/>
          <w:color w:val="auto"/>
        </w:rPr>
        <w:t>: the transaction agreement dated 3 February 2021 and entered into between GW Pharmaceuticals plc,</w:t>
      </w:r>
      <w:r>
        <w:rPr>
          <w:rFonts w:ascii="Arial" w:cs="Arial" w:eastAsia="Arial" w:hAnsi="Arial"/>
          <w:sz w:val="18"/>
          <w:szCs w:val="18"/>
          <w:b w:val="1"/>
          <w:bCs w:val="1"/>
          <w:color w:val="auto"/>
        </w:rPr>
        <w:t xml:space="preserve"> </w:t>
      </w:r>
      <w:r>
        <w:rPr>
          <w:rFonts w:ascii="Arial" w:cs="Arial" w:eastAsia="Arial" w:hAnsi="Arial"/>
          <w:sz w:val="18"/>
          <w:szCs w:val="18"/>
          <w:color w:val="auto"/>
        </w:rPr>
        <w:t>Jazz Pharmaceuticals Public Limited Company and Jazz Pharmaceuticals UK Holdings Limited, as it may be amended from time to time; and</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the date on which your employment under this agreement terminates.</w:t>
      </w:r>
    </w:p>
    <w:p>
      <w:pPr>
        <w:spacing w:after="0" w:line="247"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20"/>
          <w:szCs w:val="20"/>
          <w:b w:val="1"/>
          <w:bCs w:val="1"/>
          <w:color w:val="auto"/>
        </w:rPr>
        <w:t>Appointment</w:t>
      </w:r>
    </w:p>
    <w:p>
      <w:pPr>
        <w:spacing w:after="0" w:line="242" w:lineRule="exact"/>
        <w:rPr>
          <w:sz w:val="20"/>
          <w:szCs w:val="20"/>
          <w:color w:val="auto"/>
        </w:rPr>
      </w:pPr>
    </w:p>
    <w:p>
      <w:pPr>
        <w:jc w:val="both"/>
        <w:ind w:left="540" w:hanging="777"/>
        <w:spacing w:after="0" w:line="287" w:lineRule="auto"/>
        <w:tabs>
          <w:tab w:leader="none" w:pos="520" w:val="left"/>
        </w:tabs>
        <w:rPr>
          <w:sz w:val="20"/>
          <w:szCs w:val="20"/>
          <w:color w:val="auto"/>
        </w:rPr>
      </w:pPr>
      <w:r>
        <w:rPr>
          <w:rFonts w:ascii="Arial" w:cs="Arial" w:eastAsia="Arial" w:hAnsi="Arial"/>
          <w:sz w:val="18"/>
          <w:szCs w:val="18"/>
          <w:color w:val="auto"/>
        </w:rPr>
        <w:t>2.1</w:t>
        <w:tab/>
        <w:t>You agree to serve the Company as Executive Vice President, Chief Operating Officer, Managing Director, Europe &amp; International, subject to the terms and conditions of this agreement. You will report directly to Dan Swisher, President of Jazz Pharmaceuticals plc or his successor. The Company reserves the right to make reasonable changes to your position and reporting lines.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Your appointment shall commence on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11" w:lineRule="exact"/>
        <w:rPr>
          <w:sz w:val="20"/>
          <w:szCs w:val="20"/>
          <w:color w:val="auto"/>
        </w:rPr>
      </w:pPr>
    </w:p>
    <w:p>
      <w:pPr>
        <w:ind w:left="540" w:hanging="777"/>
        <w:spacing w:after="0" w:line="293" w:lineRule="auto"/>
        <w:tabs>
          <w:tab w:leader="none" w:pos="520" w:val="left"/>
        </w:tabs>
        <w:rPr>
          <w:sz w:val="20"/>
          <w:szCs w:val="20"/>
          <w:color w:val="auto"/>
        </w:rPr>
      </w:pPr>
      <w:r>
        <w:rPr>
          <w:rFonts w:ascii="Arial" w:cs="Arial" w:eastAsia="Arial" w:hAnsi="Arial"/>
          <w:sz w:val="18"/>
          <w:szCs w:val="18"/>
          <w:color w:val="auto"/>
        </w:rPr>
        <w:t>2.3</w:t>
        <w:tab/>
        <w:t>Your previous employment with GW Pharma Limited forms part of your continuous employment with the Company which therefore began on 1 October 2012.</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Your employment is not subject to a probationary period.</w:t>
      </w:r>
    </w:p>
    <w:p>
      <w:pPr>
        <w:spacing w:after="0" w:line="225"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20"/>
          <w:szCs w:val="20"/>
          <w:b w:val="1"/>
          <w:bCs w:val="1"/>
          <w:color w:val="auto"/>
        </w:rPr>
        <w:t>Conditions to appointment</w:t>
      </w:r>
    </w:p>
    <w:p>
      <w:pPr>
        <w:spacing w:after="0" w:line="256"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Your employment under this agreement is subject to and effective upon Closing. In the event that Closing does not occur on or before the End Date, this agreement will lapse and not have any effect.</w:t>
      </w:r>
    </w:p>
    <w:p>
      <w:pPr>
        <w:spacing w:after="0" w:line="156"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20"/>
          <w:szCs w:val="20"/>
          <w:b w:val="1"/>
          <w:bCs w:val="1"/>
          <w:color w:val="auto"/>
        </w:rPr>
        <w:t>Duties</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You acknowledge that your seniority and the fiduciary nature of your position place you in a position of trust. You agree:</w:t>
      </w:r>
    </w:p>
    <w:p>
      <w:pPr>
        <w:spacing w:after="0" w:line="239" w:lineRule="exact"/>
        <w:rPr>
          <w:sz w:val="20"/>
          <w:szCs w:val="20"/>
          <w:color w:val="auto"/>
        </w:rPr>
      </w:pPr>
    </w:p>
    <w:p>
      <w:pPr>
        <w:ind w:left="1400" w:hanging="1036"/>
        <w:spacing w:after="0" w:line="293" w:lineRule="auto"/>
        <w:tabs>
          <w:tab w:leader="none" w:pos="1380" w:val="left"/>
        </w:tabs>
        <w:rPr>
          <w:sz w:val="20"/>
          <w:szCs w:val="20"/>
          <w:color w:val="auto"/>
        </w:rPr>
      </w:pPr>
      <w:r>
        <w:rPr>
          <w:rFonts w:ascii="Arial" w:cs="Arial" w:eastAsia="Arial" w:hAnsi="Arial"/>
          <w:sz w:val="18"/>
          <w:szCs w:val="18"/>
          <w:color w:val="auto"/>
        </w:rPr>
        <w:t>4.1.1</w:t>
        <w:tab/>
        <w:t>to perform such duties and exercise such powers in relation to the business of the Company and Group Companies as may from time to time be assigned to or vested in you by your manager;</w:t>
      </w:r>
    </w:p>
    <w:p>
      <w:pPr>
        <w:spacing w:after="0" w:line="170" w:lineRule="exact"/>
        <w:rPr>
          <w:sz w:val="20"/>
          <w:szCs w:val="20"/>
          <w:color w:val="auto"/>
        </w:rPr>
      </w:pPr>
    </w:p>
    <w:p>
      <w:pPr>
        <w:ind w:left="1420" w:hanging="1036"/>
        <w:spacing w:after="0" w:line="293" w:lineRule="auto"/>
        <w:tabs>
          <w:tab w:leader="none" w:pos="1400" w:val="left"/>
        </w:tabs>
        <w:rPr>
          <w:sz w:val="20"/>
          <w:szCs w:val="20"/>
          <w:color w:val="auto"/>
        </w:rPr>
      </w:pPr>
      <w:r>
        <w:rPr>
          <w:rFonts w:ascii="Arial" w:cs="Arial" w:eastAsia="Arial" w:hAnsi="Arial"/>
          <w:sz w:val="18"/>
          <w:szCs w:val="18"/>
          <w:color w:val="auto"/>
        </w:rPr>
        <w:t>4.1.2</w:t>
        <w:tab/>
        <w:t>to serve the Company and Group Companies faithfully and well and conform to and comply with the reasonable directions of your manager and regulations made by the Company;</w:t>
      </w:r>
    </w:p>
    <w:p>
      <w:pPr>
        <w:spacing w:after="0" w:line="183" w:lineRule="exact"/>
        <w:rPr>
          <w:sz w:val="20"/>
          <w:szCs w:val="20"/>
          <w:color w:val="auto"/>
        </w:rPr>
      </w:pPr>
    </w:p>
    <w:p>
      <w:pPr>
        <w:ind w:left="1520" w:hanging="1036"/>
        <w:spacing w:after="0" w:line="293" w:lineRule="auto"/>
        <w:tabs>
          <w:tab w:leader="none" w:pos="15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to devote the whole of your working time, attention and skill to the business and affairs of the Company and Group Companies;</w:t>
      </w:r>
    </w:p>
    <w:p>
      <w:pPr>
        <w:spacing w:after="0" w:line="183" w:lineRule="exact"/>
        <w:rPr>
          <w:sz w:val="20"/>
          <w:szCs w:val="20"/>
          <w:color w:val="auto"/>
        </w:rPr>
      </w:pPr>
    </w:p>
    <w:p>
      <w:pPr>
        <w:ind w:left="1460" w:hanging="1036"/>
        <w:spacing w:after="0" w:line="293" w:lineRule="auto"/>
        <w:tabs>
          <w:tab w:leader="none" w:pos="1440" w:val="left"/>
        </w:tabs>
        <w:rPr>
          <w:sz w:val="20"/>
          <w:szCs w:val="20"/>
          <w:color w:val="auto"/>
        </w:rPr>
      </w:pPr>
      <w:r>
        <w:rPr>
          <w:rFonts w:ascii="Arial" w:cs="Arial" w:eastAsia="Arial" w:hAnsi="Arial"/>
          <w:sz w:val="18"/>
          <w:szCs w:val="18"/>
          <w:color w:val="auto"/>
        </w:rPr>
        <w:t>4.1.4</w:t>
        <w:tab/>
        <w:t>to keep your manager properly informed of all matters of which you are aware that may materially affect the present or future business of the Company or any Group Company, including;</w:t>
      </w:r>
    </w:p>
    <w:p>
      <w:pPr>
        <w:spacing w:after="0" w:line="170" w:lineRule="exact"/>
        <w:rPr>
          <w:sz w:val="20"/>
          <w:szCs w:val="20"/>
          <w:color w:val="auto"/>
        </w:rPr>
      </w:pPr>
    </w:p>
    <w:p>
      <w:pPr>
        <w:jc w:val="both"/>
        <w:ind w:left="2760" w:hanging="1295"/>
        <w:spacing w:after="0" w:line="287" w:lineRule="auto"/>
        <w:tabs>
          <w:tab w:leader="none" w:pos="2740" w:val="left"/>
        </w:tabs>
        <w:rPr>
          <w:sz w:val="20"/>
          <w:szCs w:val="20"/>
          <w:color w:val="auto"/>
        </w:rPr>
      </w:pPr>
      <w:r>
        <w:rPr>
          <w:rFonts w:ascii="Arial" w:cs="Arial" w:eastAsia="Arial" w:hAnsi="Arial"/>
          <w:sz w:val="18"/>
          <w:szCs w:val="18"/>
          <w:color w:val="auto"/>
        </w:rPr>
        <w:t>4.1.4.1</w:t>
      </w:r>
      <w:r>
        <w:rPr>
          <w:sz w:val="20"/>
          <w:szCs w:val="20"/>
          <w:color w:val="auto"/>
        </w:rPr>
        <w:tab/>
      </w:r>
      <w:r>
        <w:rPr>
          <w:rFonts w:ascii="Arial" w:cs="Arial" w:eastAsia="Arial" w:hAnsi="Arial"/>
          <w:sz w:val="18"/>
          <w:szCs w:val="18"/>
          <w:color w:val="auto"/>
        </w:rPr>
        <w:t>any wrongdoing (including your own) whether committed, contemplated or discussed by any person employed or engaged by the Company or any Group Company irrespective of whether this may involve some degree of self-incrimination;</w:t>
      </w:r>
    </w:p>
    <w:p>
      <w:pPr>
        <w:spacing w:after="0" w:line="189" w:lineRule="exact"/>
        <w:rPr>
          <w:sz w:val="20"/>
          <w:szCs w:val="20"/>
          <w:color w:val="auto"/>
        </w:rPr>
      </w:pPr>
    </w:p>
    <w:p>
      <w:pPr>
        <w:jc w:val="both"/>
        <w:ind w:left="2700" w:hanging="1295"/>
        <w:spacing w:after="0" w:line="287" w:lineRule="auto"/>
        <w:tabs>
          <w:tab w:leader="none" w:pos="2680" w:val="left"/>
        </w:tabs>
        <w:rPr>
          <w:sz w:val="20"/>
          <w:szCs w:val="20"/>
          <w:color w:val="auto"/>
        </w:rPr>
      </w:pPr>
      <w:r>
        <w:rPr>
          <w:rFonts w:ascii="Arial" w:cs="Arial" w:eastAsia="Arial" w:hAnsi="Arial"/>
          <w:sz w:val="18"/>
          <w:szCs w:val="18"/>
          <w:color w:val="auto"/>
        </w:rPr>
        <w:t>4.1.4.2</w:t>
      </w:r>
      <w:r>
        <w:rPr>
          <w:sz w:val="20"/>
          <w:szCs w:val="20"/>
          <w:color w:val="auto"/>
        </w:rPr>
        <w:tab/>
      </w:r>
      <w:r>
        <w:rPr>
          <w:rFonts w:ascii="Arial" w:cs="Arial" w:eastAsia="Arial" w:hAnsi="Arial"/>
          <w:sz w:val="18"/>
          <w:szCs w:val="18"/>
          <w:color w:val="auto"/>
        </w:rPr>
        <w:t>any plans by any person employed or engaged by the Company or any Group Company to leave the Company or any Group Company, whether alone or in concert with other employees, and whether to join or establish a competitor or any other business;</w:t>
      </w:r>
    </w:p>
    <w:p>
      <w:pPr>
        <w:spacing w:after="0" w:line="189" w:lineRule="exact"/>
        <w:rPr>
          <w:sz w:val="20"/>
          <w:szCs w:val="20"/>
          <w:color w:val="auto"/>
        </w:rPr>
      </w:pPr>
    </w:p>
    <w:p>
      <w:pPr>
        <w:jc w:val="both"/>
        <w:ind w:left="2600" w:hanging="1295"/>
        <w:spacing w:after="0" w:line="293" w:lineRule="auto"/>
        <w:tabs>
          <w:tab w:leader="none" w:pos="2580" w:val="left"/>
        </w:tabs>
        <w:rPr>
          <w:sz w:val="20"/>
          <w:szCs w:val="20"/>
          <w:color w:val="auto"/>
        </w:rPr>
      </w:pPr>
      <w:r>
        <w:rPr>
          <w:rFonts w:ascii="Arial" w:cs="Arial" w:eastAsia="Arial" w:hAnsi="Arial"/>
          <w:sz w:val="18"/>
          <w:szCs w:val="18"/>
          <w:color w:val="auto"/>
        </w:rPr>
        <w:t>4.1.4.3</w:t>
        <w:tab/>
        <w:t>any misuse of Confidential Information by any person employed or engaged by the Company or any Group Company;</w:t>
      </w:r>
    </w:p>
    <w:p>
      <w:pPr>
        <w:spacing w:after="0" w:line="170" w:lineRule="exact"/>
        <w:rPr>
          <w:sz w:val="20"/>
          <w:szCs w:val="20"/>
          <w:color w:val="auto"/>
        </w:rPr>
      </w:pPr>
    </w:p>
    <w:p>
      <w:pPr>
        <w:ind w:left="1400" w:right="20" w:hanging="1036"/>
        <w:spacing w:after="0" w:line="293" w:lineRule="auto"/>
        <w:tabs>
          <w:tab w:leader="none" w:pos="1380" w:val="left"/>
        </w:tabs>
        <w:rPr>
          <w:sz w:val="20"/>
          <w:szCs w:val="20"/>
          <w:color w:val="auto"/>
        </w:rPr>
      </w:pPr>
      <w:r>
        <w:rPr>
          <w:rFonts w:ascii="Arial" w:cs="Arial" w:eastAsia="Arial" w:hAnsi="Arial"/>
          <w:sz w:val="18"/>
          <w:szCs w:val="18"/>
          <w:color w:val="auto"/>
        </w:rPr>
        <w:t>4.1.5</w:t>
        <w:tab/>
        <w:t>to comply with the Company’s policies, employee handbook, all relevant codes of conduct and regulatory requirements that are applicable to your employment and are in force from time to time;</w:t>
      </w:r>
    </w:p>
    <w:p>
      <w:pPr>
        <w:spacing w:after="0" w:line="183"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7"/>
          <w:szCs w:val="17"/>
          <w:color w:val="auto"/>
        </w:rPr>
        <w:t>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11" w:lineRule="exact"/>
        <w:rPr>
          <w:sz w:val="20"/>
          <w:szCs w:val="20"/>
          <w:color w:val="auto"/>
        </w:rPr>
      </w:pPr>
    </w:p>
    <w:p>
      <w:pPr>
        <w:ind w:left="2580" w:hanging="1295"/>
        <w:spacing w:after="0" w:line="293" w:lineRule="auto"/>
        <w:tabs>
          <w:tab w:leader="none" w:pos="2560" w:val="left"/>
        </w:tabs>
        <w:rPr>
          <w:sz w:val="20"/>
          <w:szCs w:val="20"/>
          <w:color w:val="auto"/>
        </w:rPr>
      </w:pPr>
      <w:r>
        <w:rPr>
          <w:rFonts w:ascii="Arial" w:cs="Arial" w:eastAsia="Arial" w:hAnsi="Arial"/>
          <w:sz w:val="18"/>
          <w:szCs w:val="18"/>
          <w:color w:val="auto"/>
        </w:rPr>
        <w:t>4.1.6.1</w:t>
        <w:tab/>
        <w:t>offer, promise or provide any bribe, inducement or reward to any third party in order to gain any commercial, contractual, regulatory or personal advantage;</w:t>
      </w:r>
    </w:p>
    <w:p>
      <w:pPr>
        <w:spacing w:after="0" w:line="170" w:lineRule="exact"/>
        <w:rPr>
          <w:sz w:val="20"/>
          <w:szCs w:val="20"/>
          <w:color w:val="auto"/>
        </w:rPr>
      </w:pPr>
    </w:p>
    <w:p>
      <w:pPr>
        <w:ind w:left="2760" w:hanging="1295"/>
        <w:spacing w:after="0" w:line="293" w:lineRule="auto"/>
        <w:tabs>
          <w:tab w:leader="none" w:pos="2740" w:val="left"/>
        </w:tabs>
        <w:rPr>
          <w:sz w:val="20"/>
          <w:szCs w:val="20"/>
          <w:color w:val="auto"/>
        </w:rPr>
      </w:pPr>
      <w:r>
        <w:rPr>
          <w:rFonts w:ascii="Arial" w:cs="Arial" w:eastAsia="Arial" w:hAnsi="Arial"/>
          <w:sz w:val="18"/>
          <w:szCs w:val="18"/>
          <w:color w:val="auto"/>
        </w:rPr>
        <w:t>4.1.6.2</w:t>
      </w:r>
      <w:r>
        <w:rPr>
          <w:sz w:val="20"/>
          <w:szCs w:val="20"/>
          <w:color w:val="auto"/>
        </w:rPr>
        <w:tab/>
      </w:r>
      <w:r>
        <w:rPr>
          <w:rFonts w:ascii="Arial" w:cs="Arial" w:eastAsia="Arial" w:hAnsi="Arial"/>
          <w:sz w:val="18"/>
          <w:szCs w:val="18"/>
          <w:color w:val="auto"/>
        </w:rPr>
        <w:t>receive or accept any bribe, inducement or reward from any third party made in order to gain any commercial, contractual, regulatory or personal advantage;</w:t>
      </w:r>
    </w:p>
    <w:p>
      <w:pPr>
        <w:spacing w:after="0" w:line="183" w:lineRule="exact"/>
        <w:rPr>
          <w:sz w:val="20"/>
          <w:szCs w:val="20"/>
          <w:color w:val="auto"/>
        </w:rPr>
      </w:pPr>
    </w:p>
    <w:p>
      <w:pPr>
        <w:ind w:left="2700" w:hanging="1295"/>
        <w:spacing w:after="0" w:line="293" w:lineRule="auto"/>
        <w:tabs>
          <w:tab w:leader="none" w:pos="2680" w:val="left"/>
        </w:tabs>
        <w:rPr>
          <w:sz w:val="20"/>
          <w:szCs w:val="20"/>
          <w:color w:val="auto"/>
        </w:rPr>
      </w:pPr>
      <w:r>
        <w:rPr>
          <w:rFonts w:ascii="Arial" w:cs="Arial" w:eastAsia="Arial" w:hAnsi="Arial"/>
          <w:sz w:val="18"/>
          <w:szCs w:val="18"/>
          <w:color w:val="auto"/>
        </w:rPr>
        <w:t>4.1.6.3</w:t>
      </w:r>
      <w:r>
        <w:rPr>
          <w:sz w:val="20"/>
          <w:szCs w:val="20"/>
          <w:color w:val="auto"/>
        </w:rPr>
        <w:tab/>
      </w:r>
      <w:r>
        <w:rPr>
          <w:rFonts w:ascii="Arial" w:cs="Arial" w:eastAsia="Arial" w:hAnsi="Arial"/>
          <w:sz w:val="18"/>
          <w:szCs w:val="18"/>
          <w:color w:val="auto"/>
        </w:rPr>
        <w:t>receive any gifts, goods, services, rebates or commission from any third party except normal business entertainment other than in accordance with Company policy from time to time in force; or</w:t>
      </w:r>
    </w:p>
    <w:p>
      <w:pPr>
        <w:spacing w:after="0" w:line="183" w:lineRule="exact"/>
        <w:rPr>
          <w:sz w:val="20"/>
          <w:szCs w:val="20"/>
          <w:color w:val="auto"/>
        </w:rPr>
      </w:pPr>
    </w:p>
    <w:p>
      <w:pPr>
        <w:ind w:left="1820"/>
        <w:spacing w:after="0"/>
        <w:tabs>
          <w:tab w:leader="none" w:pos="2560" w:val="left"/>
        </w:tabs>
        <w:rPr>
          <w:sz w:val="20"/>
          <w:szCs w:val="20"/>
          <w:color w:val="auto"/>
        </w:rPr>
      </w:pPr>
      <w:r>
        <w:rPr>
          <w:rFonts w:ascii="Arial" w:cs="Arial" w:eastAsia="Arial" w:hAnsi="Arial"/>
          <w:sz w:val="18"/>
          <w:szCs w:val="18"/>
          <w:color w:val="auto"/>
        </w:rPr>
        <w:t>4.1.6.4</w:t>
      </w:r>
      <w:r>
        <w:rPr>
          <w:sz w:val="20"/>
          <w:szCs w:val="20"/>
          <w:color w:val="auto"/>
        </w:rPr>
        <w:tab/>
      </w:r>
      <w:r>
        <w:rPr>
          <w:rFonts w:ascii="Arial" w:cs="Arial" w:eastAsia="Arial" w:hAnsi="Arial"/>
          <w:sz w:val="17"/>
          <w:szCs w:val="17"/>
          <w:color w:val="auto"/>
        </w:rPr>
        <w:t>engage in any form of facilitating tax evasion; and</w:t>
      </w:r>
    </w:p>
    <w:p>
      <w:pPr>
        <w:spacing w:after="0" w:line="225"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color w:val="auto"/>
        </w:rPr>
        <w:t>to perform such other duties as your manager may reasonably require that are consistent with your position.</w:t>
      </w:r>
    </w:p>
    <w:p>
      <w:pPr>
        <w:spacing w:after="0" w:line="225"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8"/>
          <w:szCs w:val="18"/>
          <w:color w:val="auto"/>
        </w:rPr>
      </w:pPr>
      <w:r>
        <w:rPr>
          <w:rFonts w:ascii="Arial" w:cs="Arial" w:eastAsia="Arial" w:hAnsi="Arial"/>
          <w:sz w:val="20"/>
          <w:szCs w:val="20"/>
          <w:b w:val="1"/>
          <w:bCs w:val="1"/>
          <w:color w:val="auto"/>
        </w:rPr>
        <w:t>Salary</w:t>
      </w:r>
    </w:p>
    <w:p>
      <w:pPr>
        <w:spacing w:after="0" w:line="256" w:lineRule="exact"/>
        <w:rPr>
          <w:sz w:val="20"/>
          <w:szCs w:val="20"/>
          <w:color w:val="auto"/>
        </w:rPr>
      </w:pPr>
    </w:p>
    <w:p>
      <w:pPr>
        <w:jc w:val="both"/>
        <w:ind w:left="540" w:right="20" w:hanging="777"/>
        <w:spacing w:after="0" w:line="293" w:lineRule="auto"/>
        <w:tabs>
          <w:tab w:leader="none" w:pos="520" w:val="left"/>
        </w:tabs>
        <w:rPr>
          <w:sz w:val="20"/>
          <w:szCs w:val="20"/>
          <w:color w:val="auto"/>
        </w:rPr>
      </w:pPr>
      <w:r>
        <w:rPr>
          <w:rFonts w:ascii="Arial" w:cs="Arial" w:eastAsia="Arial" w:hAnsi="Arial"/>
          <w:sz w:val="18"/>
          <w:szCs w:val="18"/>
          <w:color w:val="auto"/>
        </w:rPr>
        <w:t>5.1</w:t>
        <w:tab/>
        <w:t>The Company shall pay you a salary of £400,000 a year subject to such deductions as are required by law, including for tax and national insurance.</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The salary shall be paid by equal monthly instalments in arrears or pro rata where you are only employed during part of a month.</w:t>
      </w:r>
    </w:p>
    <w:p>
      <w:pPr>
        <w:spacing w:after="0" w:line="239" w:lineRule="exact"/>
        <w:rPr>
          <w:sz w:val="20"/>
          <w:szCs w:val="20"/>
          <w:color w:val="auto"/>
        </w:rPr>
      </w:pPr>
    </w:p>
    <w:p>
      <w:pPr>
        <w:jc w:val="both"/>
        <w:ind w:left="460" w:hanging="777"/>
        <w:spacing w:after="0" w:line="293" w:lineRule="auto"/>
        <w:tabs>
          <w:tab w:leader="none" w:pos="440" w:val="left"/>
        </w:tabs>
        <w:rPr>
          <w:sz w:val="20"/>
          <w:szCs w:val="20"/>
          <w:color w:val="auto"/>
        </w:rPr>
      </w:pPr>
      <w:r>
        <w:rPr>
          <w:rFonts w:ascii="Arial" w:cs="Arial" w:eastAsia="Arial" w:hAnsi="Arial"/>
          <w:sz w:val="18"/>
          <w:szCs w:val="18"/>
          <w:color w:val="auto"/>
        </w:rPr>
        <w:t>5.3</w:t>
        <w:tab/>
        <w:t>The Compensation Committee will review your salary annually but will not be obliged to increase it. The salary will not be reviewed after notice has been given in accordance with clause 22.1.</w:t>
      </w:r>
    </w:p>
    <w:p>
      <w:pPr>
        <w:spacing w:after="0" w:line="183" w:lineRule="exact"/>
        <w:rPr>
          <w:sz w:val="20"/>
          <w:szCs w:val="20"/>
          <w:color w:val="auto"/>
        </w:rPr>
      </w:pPr>
    </w:p>
    <w:p>
      <w:pPr>
        <w:jc w:val="both"/>
        <w:ind w:left="460" w:hanging="777"/>
        <w:spacing w:after="0" w:line="293" w:lineRule="auto"/>
        <w:tabs>
          <w:tab w:leader="none" w:pos="440" w:val="left"/>
        </w:tabs>
        <w:rPr>
          <w:sz w:val="20"/>
          <w:szCs w:val="20"/>
          <w:color w:val="auto"/>
        </w:rPr>
      </w:pPr>
      <w:r>
        <w:rPr>
          <w:rFonts w:ascii="Arial" w:cs="Arial" w:eastAsia="Arial" w:hAnsi="Arial"/>
          <w:sz w:val="18"/>
          <w:szCs w:val="18"/>
          <w:color w:val="auto"/>
        </w:rPr>
        <w:t>5.4</w:t>
        <w:tab/>
        <w:t>You authorise the Company to deduct and retain any sum due from you to the Company or any Group Company from time to time from any payment, salary or other remuneration or payment in lieu of notice due to you from the Company.</w:t>
      </w:r>
    </w:p>
    <w:p>
      <w:pPr>
        <w:spacing w:after="0" w:line="170" w:lineRule="exact"/>
        <w:rPr>
          <w:sz w:val="20"/>
          <w:szCs w:val="20"/>
          <w:color w:val="auto"/>
        </w:rPr>
      </w:pPr>
    </w:p>
    <w:p>
      <w:pPr>
        <w:jc w:val="both"/>
        <w:ind w:left="480" w:hanging="777"/>
        <w:spacing w:after="0" w:line="287" w:lineRule="auto"/>
        <w:tabs>
          <w:tab w:leader="none" w:pos="460" w:val="left"/>
        </w:tabs>
        <w:rPr>
          <w:sz w:val="20"/>
          <w:szCs w:val="20"/>
          <w:color w:val="auto"/>
        </w:rPr>
      </w:pPr>
      <w:r>
        <w:rPr>
          <w:rFonts w:ascii="Arial" w:cs="Arial" w:eastAsia="Arial" w:hAnsi="Arial"/>
          <w:sz w:val="18"/>
          <w:szCs w:val="18"/>
          <w:color w:val="auto"/>
        </w:rPr>
        <w:t>5.5</w:t>
        <w:tab/>
        <w:t>Provided that you hold a current valid driving licence, you will be entitled to receive a car allowance for the use of your own car under the terms of the Company’s Car Benefit Policy as amended from time to time. You shall immediately inform the Company if you are disqualified from driving and upon such disqualification you shall cease to be entitled to receive the allowance</w:t>
      </w:r>
    </w:p>
    <w:p>
      <w:pPr>
        <w:spacing w:after="0" w:line="176" w:lineRule="exact"/>
        <w:rPr>
          <w:sz w:val="20"/>
          <w:szCs w:val="20"/>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20"/>
          <w:szCs w:val="20"/>
          <w:b w:val="1"/>
          <w:bCs w:val="1"/>
          <w:color w:val="auto"/>
        </w:rPr>
        <w:t>Bonus</w:t>
      </w:r>
    </w:p>
    <w:p>
      <w:pPr>
        <w:spacing w:after="0" w:line="256" w:lineRule="exact"/>
        <w:rPr>
          <w:sz w:val="20"/>
          <w:szCs w:val="20"/>
          <w:color w:val="auto"/>
        </w:rPr>
      </w:pPr>
    </w:p>
    <w:p>
      <w:pPr>
        <w:jc w:val="both"/>
        <w:ind w:left="460" w:hanging="777"/>
        <w:spacing w:after="0" w:line="285" w:lineRule="auto"/>
        <w:tabs>
          <w:tab w:leader="none" w:pos="440" w:val="left"/>
        </w:tabs>
        <w:rPr>
          <w:sz w:val="20"/>
          <w:szCs w:val="20"/>
          <w:color w:val="auto"/>
        </w:rPr>
      </w:pPr>
      <w:r>
        <w:rPr>
          <w:rFonts w:ascii="Arial" w:cs="Arial" w:eastAsia="Arial" w:hAnsi="Arial"/>
          <w:sz w:val="18"/>
          <w:szCs w:val="18"/>
          <w:color w:val="auto"/>
        </w:rPr>
        <w:t>6.1</w:t>
        <w:tab/>
        <w:t>You shall be eligible to participate in such bonus arrangements as the Compensation Committee may specify from time to time. For the 2021 calendar year, you shall be eligible for a discretionary target cash bonus of 55% of your salary. The actual bonus amount, if any, shall be determined within the sole discretion of the Compensation Committee including consideration of your performance and the Company’s performance.</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No bonus shall be paid if:</w:t>
      </w:r>
    </w:p>
    <w:p>
      <w:pPr>
        <w:spacing w:after="0" w:line="23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color w:val="auto"/>
        </w:rPr>
        <w:t>you are not employed by the Company;</w:t>
      </w:r>
    </w:p>
    <w:p>
      <w:pPr>
        <w:spacing w:after="0" w:line="23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7"/>
          <w:szCs w:val="17"/>
          <w:color w:val="auto"/>
        </w:rPr>
        <w:t>notice has been served by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11"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7"/>
          <w:szCs w:val="17"/>
          <w:color w:val="auto"/>
        </w:rPr>
        <w:t>you are the subject of a disciplinary investigation which results or could result in your dismissal for gross misconduct; or</w:t>
      </w:r>
    </w:p>
    <w:p>
      <w:pPr>
        <w:spacing w:after="0" w:line="225"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6.2.4</w:t>
        <w:tab/>
        <w:t>you are under a performance improvement plan,</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 the bonus payment date.</w:t>
      </w:r>
    </w:p>
    <w:p>
      <w:pPr>
        <w:spacing w:after="0" w:line="239" w:lineRule="exact"/>
        <w:rPr>
          <w:sz w:val="20"/>
          <w:szCs w:val="20"/>
          <w:color w:val="auto"/>
        </w:rPr>
      </w:pPr>
    </w:p>
    <w:p>
      <w:pPr>
        <w:ind w:left="460" w:hanging="777"/>
        <w:spacing w:after="0" w:line="293" w:lineRule="auto"/>
        <w:tabs>
          <w:tab w:leader="none" w:pos="440" w:val="left"/>
        </w:tabs>
        <w:rPr>
          <w:sz w:val="20"/>
          <w:szCs w:val="20"/>
          <w:color w:val="auto"/>
        </w:rPr>
      </w:pPr>
      <w:r>
        <w:rPr>
          <w:rFonts w:ascii="Arial" w:cs="Arial" w:eastAsia="Arial" w:hAnsi="Arial"/>
          <w:sz w:val="18"/>
          <w:szCs w:val="18"/>
          <w:color w:val="auto"/>
        </w:rPr>
        <w:t>6.3</w:t>
        <w:tab/>
        <w:t>Any bonus may, at the Compensation Committee’s discretion, be reduced pro-rata by reference to any period for which you have been absent from work for any reason during the period to which the bonus relates.</w:t>
      </w:r>
    </w:p>
    <w:p>
      <w:pPr>
        <w:spacing w:after="0" w:line="170" w:lineRule="exact"/>
        <w:rPr>
          <w:sz w:val="20"/>
          <w:szCs w:val="20"/>
          <w:color w:val="auto"/>
        </w:rPr>
      </w:pPr>
    </w:p>
    <w:p>
      <w:pPr>
        <w:ind w:left="480" w:hanging="777"/>
        <w:spacing w:after="0" w:line="293" w:lineRule="auto"/>
        <w:tabs>
          <w:tab w:leader="none" w:pos="460" w:val="left"/>
        </w:tabs>
        <w:rPr>
          <w:sz w:val="20"/>
          <w:szCs w:val="20"/>
          <w:color w:val="auto"/>
        </w:rPr>
      </w:pPr>
      <w:r>
        <w:rPr>
          <w:rFonts w:ascii="Arial" w:cs="Arial" w:eastAsia="Arial" w:hAnsi="Arial"/>
          <w:sz w:val="18"/>
          <w:szCs w:val="18"/>
          <w:color w:val="auto"/>
        </w:rPr>
        <w:t>6.4</w:t>
        <w:tab/>
        <w:t>You shall not be entitled to compensation for loss of bonus on termination of your employment. Receipt of a bonus in one year will not entitle you to a bonus in any other year.</w:t>
      </w:r>
    </w:p>
    <w:p>
      <w:pPr>
        <w:spacing w:after="0" w:line="170"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20"/>
          <w:szCs w:val="20"/>
          <w:b w:val="1"/>
          <w:bCs w:val="1"/>
          <w:color w:val="auto"/>
        </w:rPr>
        <w:t>Long Term Incentive Program</w:t>
      </w:r>
    </w:p>
    <w:p>
      <w:pPr>
        <w:spacing w:after="0" w:line="256" w:lineRule="exact"/>
        <w:rPr>
          <w:sz w:val="20"/>
          <w:szCs w:val="20"/>
          <w:color w:val="auto"/>
        </w:rPr>
      </w:pPr>
    </w:p>
    <w:p>
      <w:pPr>
        <w:ind w:left="780"/>
        <w:spacing w:after="0" w:line="293" w:lineRule="auto"/>
        <w:rPr>
          <w:sz w:val="20"/>
          <w:szCs w:val="20"/>
          <w:color w:val="auto"/>
        </w:rPr>
      </w:pPr>
      <w:r>
        <w:rPr>
          <w:rFonts w:ascii="Arial" w:cs="Arial" w:eastAsia="Arial" w:hAnsi="Arial"/>
          <w:sz w:val="18"/>
          <w:szCs w:val="18"/>
          <w:color w:val="auto"/>
        </w:rPr>
        <w:t>You will be eligible to participate in the Company’s executive long-term incentive program under which you will be eligible to receive grants of equity awards in such forms and amounts as determined by the Compensation Committee in its discretion.</w:t>
      </w:r>
    </w:p>
    <w:p>
      <w:pPr>
        <w:spacing w:after="0" w:line="156"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20"/>
          <w:szCs w:val="20"/>
          <w:b w:val="1"/>
          <w:bCs w:val="1"/>
          <w:color w:val="auto"/>
        </w:rPr>
        <w:t>Amendment power</w:t>
      </w:r>
    </w:p>
    <w:p>
      <w:pPr>
        <w:spacing w:after="0" w:line="256" w:lineRule="exact"/>
        <w:rPr>
          <w:sz w:val="20"/>
          <w:szCs w:val="20"/>
          <w:color w:val="auto"/>
        </w:rPr>
      </w:pPr>
    </w:p>
    <w:p>
      <w:pPr>
        <w:jc w:val="both"/>
        <w:ind w:left="780"/>
        <w:spacing w:after="0" w:line="287" w:lineRule="auto"/>
        <w:rPr>
          <w:sz w:val="20"/>
          <w:szCs w:val="20"/>
          <w:color w:val="auto"/>
        </w:rPr>
      </w:pPr>
      <w:r>
        <w:rPr>
          <w:rFonts w:ascii="Arial" w:cs="Arial" w:eastAsia="Arial" w:hAnsi="Arial"/>
          <w:sz w:val="18"/>
          <w:szCs w:val="18"/>
          <w:color w:val="auto"/>
        </w:rPr>
        <w:t>If any payment or other obligation under this agreement or any related benefit or remuneration plan does not comply with any applicable legal or regulatory requirement, the Company may, at its sole discretion, amend the terms of the payment or other obligation (including by reducing, revoking, cancelling or recovering any payment or award) to make it compliant.</w:t>
      </w:r>
    </w:p>
    <w:p>
      <w:pPr>
        <w:spacing w:after="0" w:line="176"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20"/>
          <w:szCs w:val="20"/>
          <w:b w:val="1"/>
          <w:bCs w:val="1"/>
          <w:color w:val="auto"/>
        </w:rPr>
        <w:t>Insurance schemes</w:t>
      </w:r>
    </w:p>
    <w:p>
      <w:pPr>
        <w:spacing w:after="0" w:line="242" w:lineRule="exact"/>
        <w:rPr>
          <w:sz w:val="20"/>
          <w:szCs w:val="20"/>
          <w:color w:val="auto"/>
        </w:rPr>
      </w:pPr>
    </w:p>
    <w:p>
      <w:pPr>
        <w:jc w:val="both"/>
        <w:ind w:left="560" w:hanging="777"/>
        <w:spacing w:after="0" w:line="283" w:lineRule="auto"/>
        <w:tabs>
          <w:tab w:leader="none" w:pos="5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You are eligible to participate in the Company's permanent health insurance scheme, life assurance scheme and private medical insurance scheme subject to the terms and conditions of such schemes in force from time to time at the same levels as similarly situated executives at the Company. Details of the schemes can be obtained from the HR Department. The Company reserves the right to terminate its participation in any of the schemes or substitute another schemes, or alter the benefits available to you under any schemes. If a scheme provider (e.g. an insurance company) refuses for any reason (whether under its own interpretation of the terms of the relevant insurance policy or otherwise) to provide the relevant benefit(s) to you under the applicable scheme, the Company shall not be liable to provide, or compensate for the loss of, such benefit(s).</w:t>
      </w:r>
    </w:p>
    <w:p>
      <w:pPr>
        <w:spacing w:after="0" w:line="195" w:lineRule="exact"/>
        <w:rPr>
          <w:sz w:val="20"/>
          <w:szCs w:val="20"/>
          <w:color w:val="auto"/>
        </w:rPr>
      </w:pPr>
    </w:p>
    <w:p>
      <w:pPr>
        <w:jc w:val="both"/>
        <w:ind w:left="500" w:hanging="777"/>
        <w:spacing w:after="0" w:line="287" w:lineRule="auto"/>
        <w:tabs>
          <w:tab w:leader="none" w:pos="480" w:val="left"/>
        </w:tabs>
        <w:rPr>
          <w:sz w:val="20"/>
          <w:szCs w:val="20"/>
          <w:color w:val="auto"/>
        </w:rPr>
      </w:pPr>
      <w:r>
        <w:rPr>
          <w:rFonts w:ascii="Arial" w:cs="Arial" w:eastAsia="Arial" w:hAnsi="Arial"/>
          <w:sz w:val="18"/>
          <w:szCs w:val="18"/>
          <w:color w:val="auto"/>
        </w:rPr>
        <w:t>9.2</w:t>
        <w:tab/>
        <w:t>Any actual or prospective loss of entitlement to long term disability or private medical insurance benefits shall not limit or prevent the Company from exercising its right to terminate your employment in accordance with paragraph 16 below, or otherwise, and the Company shall not be liable to provide, or compensate for the loss of, such benefit(s).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Your rights and entitlements and the Company’s obligations pursuant to this clause 8 shall be subject always to:</w:t>
      </w:r>
    </w:p>
    <w:p>
      <w:pPr>
        <w:spacing w:after="0" w:line="225"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7"/>
          <w:szCs w:val="17"/>
          <w:color w:val="auto"/>
        </w:rPr>
        <w:t>the rules and the terms of such schemes from time to time in force;</w:t>
      </w:r>
    </w:p>
    <w:p>
      <w:pPr>
        <w:spacing w:after="0" w:line="239"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7"/>
          <w:szCs w:val="17"/>
          <w:color w:val="auto"/>
        </w:rPr>
        <w:t>the Company’s absolute discretion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11" w:lineRule="exact"/>
        <w:rPr>
          <w:sz w:val="20"/>
          <w:szCs w:val="20"/>
          <w:color w:val="auto"/>
        </w:rPr>
      </w:pPr>
    </w:p>
    <w:p>
      <w:pPr>
        <w:ind w:left="1820"/>
        <w:spacing w:after="0"/>
        <w:tabs>
          <w:tab w:leader="none" w:pos="2560" w:val="left"/>
        </w:tabs>
        <w:rPr>
          <w:sz w:val="20"/>
          <w:szCs w:val="20"/>
          <w:color w:val="auto"/>
        </w:rPr>
      </w:pPr>
      <w:r>
        <w:rPr>
          <w:rFonts w:ascii="Arial" w:cs="Arial" w:eastAsia="Arial" w:hAnsi="Arial"/>
          <w:sz w:val="18"/>
          <w:szCs w:val="18"/>
          <w:color w:val="auto"/>
        </w:rPr>
        <w:t>9.3.2.1</w:t>
      </w:r>
      <w:r>
        <w:rPr>
          <w:sz w:val="20"/>
          <w:szCs w:val="20"/>
          <w:color w:val="auto"/>
        </w:rPr>
        <w:tab/>
      </w:r>
      <w:r>
        <w:rPr>
          <w:rFonts w:ascii="Arial" w:cs="Arial" w:eastAsia="Arial" w:hAnsi="Arial"/>
          <w:sz w:val="17"/>
          <w:szCs w:val="17"/>
          <w:color w:val="auto"/>
        </w:rPr>
        <w:t>change schemes and/or scheme providers;</w:t>
      </w:r>
    </w:p>
    <w:p>
      <w:pPr>
        <w:spacing w:after="0" w:line="225" w:lineRule="exact"/>
        <w:rPr>
          <w:sz w:val="20"/>
          <w:szCs w:val="20"/>
          <w:color w:val="auto"/>
        </w:rPr>
      </w:pPr>
    </w:p>
    <w:p>
      <w:pPr>
        <w:ind w:left="1820"/>
        <w:spacing w:after="0"/>
        <w:tabs>
          <w:tab w:leader="none" w:pos="2560" w:val="left"/>
        </w:tabs>
        <w:rPr>
          <w:sz w:val="20"/>
          <w:szCs w:val="20"/>
          <w:color w:val="auto"/>
        </w:rPr>
      </w:pPr>
      <w:r>
        <w:rPr>
          <w:rFonts w:ascii="Arial" w:cs="Arial" w:eastAsia="Arial" w:hAnsi="Arial"/>
          <w:sz w:val="18"/>
          <w:szCs w:val="18"/>
          <w:color w:val="auto"/>
        </w:rPr>
        <w:t>9.3.2.2</w:t>
      </w:r>
      <w:r>
        <w:rPr>
          <w:sz w:val="20"/>
          <w:szCs w:val="20"/>
          <w:color w:val="auto"/>
        </w:rPr>
        <w:tab/>
      </w:r>
      <w:r>
        <w:rPr>
          <w:rFonts w:ascii="Arial" w:cs="Arial" w:eastAsia="Arial" w:hAnsi="Arial"/>
          <w:sz w:val="17"/>
          <w:szCs w:val="17"/>
          <w:color w:val="auto"/>
        </w:rPr>
        <w:t>terminate the Company’s participation in any scheme; or</w:t>
      </w:r>
    </w:p>
    <w:p>
      <w:pPr>
        <w:spacing w:after="0" w:line="239" w:lineRule="exact"/>
        <w:rPr>
          <w:sz w:val="20"/>
          <w:szCs w:val="20"/>
          <w:color w:val="auto"/>
        </w:rPr>
      </w:pPr>
    </w:p>
    <w:p>
      <w:pPr>
        <w:ind w:left="2600" w:hanging="1295"/>
        <w:spacing w:after="0" w:line="293" w:lineRule="auto"/>
        <w:tabs>
          <w:tab w:leader="none" w:pos="2580" w:val="left"/>
        </w:tabs>
        <w:rPr>
          <w:sz w:val="20"/>
          <w:szCs w:val="20"/>
          <w:color w:val="auto"/>
        </w:rPr>
      </w:pPr>
      <w:r>
        <w:rPr>
          <w:rFonts w:ascii="Arial" w:cs="Arial" w:eastAsia="Arial" w:hAnsi="Arial"/>
          <w:sz w:val="18"/>
          <w:szCs w:val="18"/>
          <w:color w:val="auto"/>
        </w:rPr>
        <w:t>9.3.2.3</w:t>
        <w:tab/>
        <w:t>discontinue to provide these benefits if they are not available for you or not available at a cost the Company considers reasonable; and</w:t>
      </w:r>
    </w:p>
    <w:p>
      <w:pPr>
        <w:spacing w:after="0" w:line="183" w:lineRule="exact"/>
        <w:rPr>
          <w:sz w:val="20"/>
          <w:szCs w:val="20"/>
          <w:color w:val="auto"/>
        </w:rPr>
      </w:pPr>
    </w:p>
    <w:p>
      <w:pPr>
        <w:ind w:left="780"/>
        <w:spacing w:after="0"/>
        <w:tabs>
          <w:tab w:leader="none" w:pos="136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17"/>
          <w:szCs w:val="17"/>
          <w:color w:val="auto"/>
        </w:rPr>
        <w:t>you satisfying any underwriting or other requirements of the relevant scheme provider.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You shall cooperate with the Company and the relevant scheme provider when making any claim.</w:t>
      </w:r>
    </w:p>
    <w:p>
      <w:pPr>
        <w:spacing w:after="0" w:line="239" w:lineRule="exact"/>
        <w:rPr>
          <w:sz w:val="20"/>
          <w:szCs w:val="20"/>
          <w:color w:val="auto"/>
        </w:rPr>
      </w:pPr>
    </w:p>
    <w:p>
      <w:pPr>
        <w:jc w:val="both"/>
        <w:ind w:left="460" w:hanging="777"/>
        <w:spacing w:after="0" w:line="293" w:lineRule="auto"/>
        <w:tabs>
          <w:tab w:leader="none" w:pos="440" w:val="left"/>
        </w:tabs>
        <w:rPr>
          <w:sz w:val="20"/>
          <w:szCs w:val="20"/>
          <w:color w:val="auto"/>
        </w:rPr>
      </w:pPr>
      <w:r>
        <w:rPr>
          <w:rFonts w:ascii="Arial" w:cs="Arial" w:eastAsia="Arial" w:hAnsi="Arial"/>
          <w:sz w:val="18"/>
          <w:szCs w:val="18"/>
          <w:color w:val="auto"/>
        </w:rPr>
        <w:t>9.5</w:t>
        <w:tab/>
        <w:t>The Company has no obligation to pursue any claim for benefits on behalf of you or your dependants if it is not accepted by the scheme provider.</w:t>
      </w:r>
    </w:p>
    <w:p>
      <w:pPr>
        <w:spacing w:after="0" w:line="183" w:lineRule="exact"/>
        <w:rPr>
          <w:sz w:val="20"/>
          <w:szCs w:val="20"/>
          <w:color w:val="auto"/>
        </w:rPr>
      </w:pPr>
    </w:p>
    <w:p>
      <w:pPr>
        <w:jc w:val="both"/>
        <w:ind w:left="480" w:hanging="777"/>
        <w:spacing w:after="0" w:line="287" w:lineRule="auto"/>
        <w:tabs>
          <w:tab w:leader="none" w:pos="460" w:val="left"/>
        </w:tabs>
        <w:rPr>
          <w:sz w:val="20"/>
          <w:szCs w:val="20"/>
          <w:color w:val="auto"/>
        </w:rPr>
      </w:pPr>
      <w:r>
        <w:rPr>
          <w:rFonts w:ascii="Arial" w:cs="Arial" w:eastAsia="Arial" w:hAnsi="Arial"/>
          <w:sz w:val="18"/>
          <w:szCs w:val="18"/>
          <w:color w:val="auto"/>
        </w:rPr>
        <w:t>9.6</w:t>
        <w:tab/>
        <w:t>The Company will have no liability to you or your dependants for failure or refusal by the scheme provider for whatever reason to pay benefits or for cessation of benefits on termination of your employment, and is entitled to terminate your employment notwithstanding the fact that you may lose entitlement to benefits under these arrangements as a result.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color w:val="auto"/>
        </w:rPr>
        <w:t>You are not contractually entitled to any benefit you receive which is not referred to in this agreement.</w:t>
      </w:r>
    </w:p>
    <w:p>
      <w:pPr>
        <w:spacing w:after="0" w:line="225"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20"/>
          <w:szCs w:val="20"/>
          <w:b w:val="1"/>
          <w:bCs w:val="1"/>
          <w:color w:val="auto"/>
        </w:rPr>
        <w:t>Pension</w:t>
      </w:r>
    </w:p>
    <w:p>
      <w:pPr>
        <w:spacing w:after="0" w:line="256" w:lineRule="exact"/>
        <w:rPr>
          <w:sz w:val="20"/>
          <w:szCs w:val="20"/>
          <w:color w:val="auto"/>
        </w:rPr>
      </w:pPr>
    </w:p>
    <w:p>
      <w:pPr>
        <w:jc w:val="both"/>
        <w:ind w:left="1400" w:hanging="777"/>
        <w:spacing w:after="0" w:line="287" w:lineRule="auto"/>
        <w:tabs>
          <w:tab w:leader="none" w:pos="1380" w:val="left"/>
        </w:tabs>
        <w:rPr>
          <w:sz w:val="20"/>
          <w:szCs w:val="20"/>
          <w:color w:val="auto"/>
        </w:rPr>
      </w:pPr>
      <w:r>
        <w:rPr>
          <w:rFonts w:ascii="Arial" w:cs="Arial" w:eastAsia="Arial" w:hAnsi="Arial"/>
          <w:sz w:val="18"/>
          <w:szCs w:val="18"/>
          <w:color w:val="auto"/>
        </w:rPr>
        <w:t>10.1</w:t>
        <w:tab/>
        <w:t>You are eligible to participate in the Company's group personal pension scheme subject to the terms and conditions of such scheme in force from time to time at the same levels as similarly situated executives at the Company. Further details about this scheme will be provided to you by a member of the Compensation and Benefits group. By signing this agreement, you agree that the Company will act on your behalf in taking the steps necessary to enrol you in the Pension Scheme.</w:t>
      </w:r>
    </w:p>
    <w:p>
      <w:pPr>
        <w:spacing w:after="0" w:line="200" w:lineRule="exact"/>
        <w:rPr>
          <w:sz w:val="20"/>
          <w:szCs w:val="20"/>
          <w:color w:val="auto"/>
        </w:rPr>
      </w:pPr>
    </w:p>
    <w:p>
      <w:pPr>
        <w:spacing w:after="0" w:line="214" w:lineRule="exact"/>
        <w:rPr>
          <w:sz w:val="20"/>
          <w:szCs w:val="20"/>
          <w:color w:val="auto"/>
        </w:rPr>
      </w:pPr>
    </w:p>
    <w:p>
      <w:pPr>
        <w:jc w:val="both"/>
        <w:ind w:left="1480" w:hanging="777"/>
        <w:spacing w:after="0" w:line="285" w:lineRule="auto"/>
        <w:tabs>
          <w:tab w:leader="none" w:pos="1460" w:val="left"/>
        </w:tabs>
        <w:rPr>
          <w:sz w:val="20"/>
          <w:szCs w:val="20"/>
          <w:color w:val="auto"/>
        </w:rPr>
      </w:pPr>
      <w:r>
        <w:rPr>
          <w:rFonts w:ascii="Arial" w:cs="Arial" w:eastAsia="Arial" w:hAnsi="Arial"/>
          <w:sz w:val="18"/>
          <w:szCs w:val="18"/>
          <w:color w:val="auto"/>
        </w:rPr>
        <w:t>10.2</w:t>
        <w:tab/>
        <w:t>Both you and the Company will make such contributions into the Pension Scheme in line with the rules of the Pension Scheme in force at the time. The overall contributions shall not be lower than that required to meet legislative requirements. You agree that any pension contributions payable by you will be deducted from your pay and paid across to the Pension Scheme.</w:t>
      </w:r>
    </w:p>
    <w:p>
      <w:pPr>
        <w:spacing w:after="0" w:line="191" w:lineRule="exact"/>
        <w:rPr>
          <w:sz w:val="20"/>
          <w:szCs w:val="20"/>
          <w:color w:val="auto"/>
        </w:rPr>
      </w:pPr>
    </w:p>
    <w:p>
      <w:pPr>
        <w:jc w:val="both"/>
        <w:ind w:left="1420" w:hanging="777"/>
        <w:spacing w:after="0" w:line="293" w:lineRule="auto"/>
        <w:tabs>
          <w:tab w:leader="none" w:pos="1400" w:val="left"/>
        </w:tabs>
        <w:rPr>
          <w:sz w:val="20"/>
          <w:szCs w:val="20"/>
          <w:color w:val="auto"/>
        </w:rPr>
      </w:pPr>
      <w:r>
        <w:rPr>
          <w:rFonts w:ascii="Arial" w:cs="Arial" w:eastAsia="Arial" w:hAnsi="Arial"/>
          <w:sz w:val="18"/>
          <w:szCs w:val="18"/>
          <w:color w:val="auto"/>
        </w:rPr>
        <w:t>10.3</w:t>
        <w:tab/>
        <w:t>The Company reserves the right to terminate its participation in the Pension Scheme, to amend the Pension Scheme or to substitute another pension scheme.</w:t>
      </w:r>
    </w:p>
    <w:p>
      <w:pPr>
        <w:spacing w:after="0" w:line="170"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color w:val="auto"/>
        </w:rPr>
      </w:pPr>
      <w:r>
        <w:rPr>
          <w:rFonts w:ascii="Arial" w:cs="Arial" w:eastAsia="Arial" w:hAnsi="Arial"/>
          <w:sz w:val="20"/>
          <w:szCs w:val="20"/>
          <w:b w:val="1"/>
          <w:bCs w:val="1"/>
          <w:color w:val="auto"/>
        </w:rPr>
        <w:t>Training</w:t>
      </w:r>
    </w:p>
    <w:p>
      <w:pPr>
        <w:spacing w:after="0" w:line="242" w:lineRule="exact"/>
        <w:rPr>
          <w:sz w:val="20"/>
          <w:szCs w:val="20"/>
          <w:color w:val="auto"/>
        </w:rPr>
      </w:pPr>
    </w:p>
    <w:p>
      <w:pPr>
        <w:jc w:val="both"/>
        <w:ind w:left="780"/>
        <w:spacing w:after="0" w:line="285" w:lineRule="auto"/>
        <w:rPr>
          <w:sz w:val="20"/>
          <w:szCs w:val="20"/>
          <w:color w:val="auto"/>
        </w:rPr>
      </w:pPr>
      <w:r>
        <w:rPr>
          <w:rFonts w:ascii="Arial" w:cs="Arial" w:eastAsia="Arial" w:hAnsi="Arial"/>
          <w:sz w:val="18"/>
          <w:szCs w:val="18"/>
          <w:color w:val="auto"/>
        </w:rPr>
        <w:t>For the purposes of s.1(4)(l) to (n) of the Employment Rights Act 1996 there is no training entitlement provided to you; there is no training entitlement which the Company requires to complete (other than such training and continuing professional development as may be a regulatory requirement applicable to you and such internal training and compliance activities as the Group may reasonably require you to complete from time to time); and there is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training which the Company requires you to complete of which the Company will not bear the cost.</w:t>
      </w:r>
    </w:p>
    <w:p>
      <w:pPr>
        <w:spacing w:after="0" w:line="212"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20"/>
          <w:szCs w:val="20"/>
          <w:b w:val="1"/>
          <w:bCs w:val="1"/>
          <w:color w:val="auto"/>
        </w:rPr>
        <w:t>Expenses</w:t>
      </w:r>
    </w:p>
    <w:p>
      <w:pPr>
        <w:spacing w:after="0" w:line="234" w:lineRule="exact"/>
        <w:rPr>
          <w:sz w:val="20"/>
          <w:szCs w:val="20"/>
          <w:color w:val="auto"/>
        </w:rPr>
      </w:pPr>
    </w:p>
    <w:p>
      <w:pPr>
        <w:jc w:val="both"/>
        <w:ind w:left="780"/>
        <w:spacing w:after="0" w:line="294" w:lineRule="auto"/>
        <w:rPr>
          <w:sz w:val="20"/>
          <w:szCs w:val="20"/>
          <w:color w:val="auto"/>
        </w:rPr>
      </w:pPr>
      <w:r>
        <w:rPr>
          <w:rFonts w:ascii="Arial" w:cs="Arial" w:eastAsia="Arial" w:hAnsi="Arial"/>
          <w:sz w:val="18"/>
          <w:szCs w:val="18"/>
          <w:color w:val="auto"/>
        </w:rPr>
        <w:t>Subject to the global Travel &amp; Expense policy (“</w:t>
      </w:r>
      <w:r>
        <w:rPr>
          <w:rFonts w:ascii="Arial" w:cs="Arial" w:eastAsia="Arial" w:hAnsi="Arial"/>
          <w:sz w:val="18"/>
          <w:szCs w:val="18"/>
          <w:b w:val="1"/>
          <w:bCs w:val="1"/>
          <w:color w:val="auto"/>
        </w:rPr>
        <w:t>T&amp;E policy</w:t>
      </w:r>
      <w:r>
        <w:rPr>
          <w:rFonts w:ascii="Arial" w:cs="Arial" w:eastAsia="Arial" w:hAnsi="Arial"/>
          <w:sz w:val="18"/>
          <w:szCs w:val="18"/>
          <w:color w:val="auto"/>
        </w:rPr>
        <w:t>”) or its substitute as may be in operation from time to time, the Company will reimburse you for all reasonable travelling, hotel and other outofpocket expenses which are properly and necessarily incurred by you in the performance of your duties and for which receipts or other supporting documents are provided to the reasonable satisfaction of the Company.</w:t>
      </w:r>
    </w:p>
    <w:p>
      <w:pPr>
        <w:spacing w:after="0" w:line="169"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color w:val="auto"/>
        </w:rPr>
      </w:pPr>
      <w:r>
        <w:rPr>
          <w:rFonts w:ascii="Arial" w:cs="Arial" w:eastAsia="Arial" w:hAnsi="Arial"/>
          <w:sz w:val="20"/>
          <w:szCs w:val="20"/>
          <w:b w:val="1"/>
          <w:bCs w:val="1"/>
          <w:color w:val="auto"/>
        </w:rPr>
        <w:t>Place of work</w:t>
      </w:r>
    </w:p>
    <w:p>
      <w:pPr>
        <w:spacing w:after="0" w:line="242" w:lineRule="exact"/>
        <w:rPr>
          <w:sz w:val="20"/>
          <w:szCs w:val="20"/>
          <w:color w:val="auto"/>
        </w:rPr>
      </w:pPr>
    </w:p>
    <w:p>
      <w:pPr>
        <w:ind w:left="560" w:hanging="777"/>
        <w:spacing w:after="0" w:line="293" w:lineRule="auto"/>
        <w:tabs>
          <w:tab w:leader="none" w:pos="540" w:val="left"/>
        </w:tabs>
        <w:rPr>
          <w:sz w:val="20"/>
          <w:szCs w:val="20"/>
          <w:color w:val="auto"/>
        </w:rPr>
      </w:pPr>
      <w:r>
        <w:rPr>
          <w:rFonts w:ascii="Arial" w:cs="Arial" w:eastAsia="Arial" w:hAnsi="Arial"/>
          <w:sz w:val="18"/>
          <w:szCs w:val="18"/>
          <w:color w:val="auto"/>
        </w:rPr>
        <w:t>13.1</w:t>
        <w:tab/>
        <w:t>You shall perform your duties at your current work location as of the Commencement Date or any place within the United Kingdom as the Board may reasonably require for the proper performance and exercise of your duties and powers.</w:t>
      </w:r>
    </w:p>
    <w:p>
      <w:pPr>
        <w:spacing w:after="0" w:line="183" w:lineRule="exact"/>
        <w:rPr>
          <w:sz w:val="20"/>
          <w:szCs w:val="20"/>
          <w:color w:val="auto"/>
        </w:rPr>
      </w:pPr>
    </w:p>
    <w:p>
      <w:pPr>
        <w:ind w:left="600" w:hanging="777"/>
        <w:spacing w:after="0" w:line="293" w:lineRule="auto"/>
        <w:tabs>
          <w:tab w:leader="none" w:pos="580" w:val="left"/>
        </w:tabs>
        <w:rPr>
          <w:sz w:val="20"/>
          <w:szCs w:val="20"/>
          <w:color w:val="auto"/>
        </w:rPr>
      </w:pPr>
      <w:r>
        <w:rPr>
          <w:rFonts w:ascii="Arial" w:cs="Arial" w:eastAsia="Arial" w:hAnsi="Arial"/>
          <w:sz w:val="18"/>
          <w:szCs w:val="18"/>
          <w:color w:val="auto"/>
        </w:rPr>
        <w:t>13.2</w:t>
        <w:tab/>
        <w:t>You may be required to travel abroad on the business of the Company or any Group Company, but generally not for periods longer than one month.</w:t>
      </w:r>
    </w:p>
    <w:p>
      <w:pPr>
        <w:spacing w:after="0" w:line="170"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20"/>
          <w:szCs w:val="20"/>
          <w:b w:val="1"/>
          <w:bCs w:val="1"/>
          <w:color w:val="auto"/>
        </w:rPr>
        <w:t>Hours of work</w:t>
      </w:r>
    </w:p>
    <w:p>
      <w:pPr>
        <w:spacing w:after="0" w:line="242" w:lineRule="exact"/>
        <w:rPr>
          <w:sz w:val="20"/>
          <w:szCs w:val="20"/>
          <w:color w:val="auto"/>
        </w:rPr>
      </w:pPr>
    </w:p>
    <w:p>
      <w:pPr>
        <w:jc w:val="both"/>
        <w:ind w:left="560" w:hanging="777"/>
        <w:spacing w:after="0" w:line="287" w:lineRule="auto"/>
        <w:tabs>
          <w:tab w:leader="none" w:pos="540" w:val="left"/>
        </w:tabs>
        <w:rPr>
          <w:sz w:val="20"/>
          <w:szCs w:val="20"/>
          <w:color w:val="auto"/>
        </w:rPr>
      </w:pPr>
      <w:r>
        <w:rPr>
          <w:rFonts w:ascii="Arial" w:cs="Arial" w:eastAsia="Arial" w:hAnsi="Arial"/>
          <w:sz w:val="18"/>
          <w:szCs w:val="18"/>
          <w:color w:val="auto"/>
        </w:rPr>
        <w:t>14.1</w:t>
        <w:tab/>
        <w:t>There are no normal hours of work applicable to you but you shall work during normal business hours and such other hours as may be necessary for the proper performance of your duties. You are not entitled to any further remuneration for work outside normal office hours.</w:t>
      </w:r>
    </w:p>
    <w:p>
      <w:pPr>
        <w:spacing w:after="0" w:line="189" w:lineRule="exact"/>
        <w:rPr>
          <w:sz w:val="20"/>
          <w:szCs w:val="20"/>
          <w:color w:val="auto"/>
        </w:rPr>
      </w:pPr>
    </w:p>
    <w:p>
      <w:pPr>
        <w:jc w:val="both"/>
        <w:ind w:left="600" w:hanging="777"/>
        <w:spacing w:after="0" w:line="293" w:lineRule="auto"/>
        <w:tabs>
          <w:tab w:leader="none" w:pos="580" w:val="left"/>
        </w:tabs>
        <w:rPr>
          <w:sz w:val="20"/>
          <w:szCs w:val="20"/>
          <w:color w:val="auto"/>
        </w:rPr>
      </w:pPr>
      <w:r>
        <w:rPr>
          <w:rFonts w:ascii="Arial" w:cs="Arial" w:eastAsia="Arial" w:hAnsi="Arial"/>
          <w:sz w:val="18"/>
          <w:szCs w:val="18"/>
          <w:color w:val="auto"/>
        </w:rPr>
        <w:t>14.2</w:t>
        <w:tab/>
        <w:t>You agree that the limit on weekly working time contained in Regulation 4 of the Working Time Regulations 1998 does not apply to you because Regulation 20 applies to you.</w:t>
      </w:r>
    </w:p>
    <w:p>
      <w:pPr>
        <w:spacing w:after="0" w:line="170"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20"/>
          <w:szCs w:val="20"/>
          <w:b w:val="1"/>
          <w:bCs w:val="1"/>
          <w:color w:val="auto"/>
        </w:rPr>
        <w:t>Holidays</w:t>
      </w:r>
    </w:p>
    <w:p>
      <w:pPr>
        <w:spacing w:after="0" w:line="242" w:lineRule="exact"/>
        <w:rPr>
          <w:sz w:val="20"/>
          <w:szCs w:val="20"/>
          <w:color w:val="auto"/>
        </w:rPr>
      </w:pPr>
    </w:p>
    <w:p>
      <w:pPr>
        <w:jc w:val="both"/>
        <w:ind w:left="580" w:hanging="777"/>
        <w:spacing w:after="0" w:line="287" w:lineRule="auto"/>
        <w:tabs>
          <w:tab w:leader="none" w:pos="560" w:val="left"/>
        </w:tabs>
        <w:rPr>
          <w:sz w:val="20"/>
          <w:szCs w:val="20"/>
          <w:color w:val="auto"/>
        </w:rPr>
      </w:pPr>
      <w:r>
        <w:rPr>
          <w:rFonts w:ascii="Arial" w:cs="Arial" w:eastAsia="Arial" w:hAnsi="Arial"/>
          <w:sz w:val="18"/>
          <w:szCs w:val="18"/>
          <w:color w:val="auto"/>
        </w:rPr>
        <w:t>15.1</w:t>
        <w:tab/>
        <w:t>In addition to normal English bank and public holidays, you shall be entitled to 25 working days’ paid holiday in each Holiday Year to be taken at such times as may be approved by the Board. The first 28 days of holiday (including any bank or public holidays) taken in any calendar year are deemed statutory holiday for the purpose of the Working Time Regulations 1998.</w:t>
      </w:r>
    </w:p>
    <w:p>
      <w:pPr>
        <w:spacing w:after="0" w:line="1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Any entitlement to holiday remaining at the end of any Holiday Year shall lapse, save otherwise permitted by the Board.</w:t>
      </w:r>
    </w:p>
    <w:p>
      <w:pPr>
        <w:spacing w:after="0" w:line="239" w:lineRule="exact"/>
        <w:rPr>
          <w:sz w:val="20"/>
          <w:szCs w:val="20"/>
          <w:color w:val="auto"/>
        </w:rPr>
      </w:pPr>
    </w:p>
    <w:p>
      <w:pPr>
        <w:jc w:val="both"/>
        <w:ind w:left="580" w:right="20" w:hanging="777"/>
        <w:spacing w:after="0" w:line="293" w:lineRule="auto"/>
        <w:tabs>
          <w:tab w:leader="none" w:pos="560" w:val="left"/>
        </w:tabs>
        <w:rPr>
          <w:sz w:val="20"/>
          <w:szCs w:val="20"/>
          <w:color w:val="auto"/>
        </w:rPr>
      </w:pPr>
      <w:r>
        <w:rPr>
          <w:rFonts w:ascii="Arial" w:cs="Arial" w:eastAsia="Arial" w:hAnsi="Arial"/>
          <w:sz w:val="18"/>
          <w:szCs w:val="18"/>
          <w:color w:val="auto"/>
        </w:rPr>
        <w:t>15.3</w:t>
        <w:tab/>
        <w:t>You shall be entitled to pay in respect of accrued holiday not taken at the termination date pro rata to the number of complete months of service during the Holiday Year in which your employment terminates.</w:t>
      </w:r>
    </w:p>
    <w:p>
      <w:pPr>
        <w:spacing w:after="0" w:line="170" w:lineRule="exact"/>
        <w:rPr>
          <w:sz w:val="20"/>
          <w:szCs w:val="20"/>
          <w:color w:val="auto"/>
        </w:rPr>
      </w:pPr>
    </w:p>
    <w:p>
      <w:pPr>
        <w:jc w:val="both"/>
        <w:ind w:left="580" w:hanging="777"/>
        <w:spacing w:after="0" w:line="293" w:lineRule="auto"/>
        <w:tabs>
          <w:tab w:leader="none" w:pos="560" w:val="left"/>
        </w:tabs>
        <w:rPr>
          <w:sz w:val="20"/>
          <w:szCs w:val="20"/>
          <w:color w:val="auto"/>
        </w:rPr>
      </w:pPr>
      <w:r>
        <w:rPr>
          <w:rFonts w:ascii="Arial" w:cs="Arial" w:eastAsia="Arial" w:hAnsi="Arial"/>
          <w:sz w:val="18"/>
          <w:szCs w:val="18"/>
          <w:color w:val="auto"/>
        </w:rPr>
        <w:t>15.4</w:t>
        <w:tab/>
        <w:t>The Company may require you to take holiday on particular dates, including during any notice period. If on the Termination Date you have exceeded your accrued holiday entitlement, the excess may be deducted from any sums due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8" w:lineRule="exact"/>
        <w:rPr>
          <w:sz w:val="20"/>
          <w:szCs w:val="20"/>
          <w:color w:val="auto"/>
        </w:rPr>
      </w:pPr>
    </w:p>
    <w:p>
      <w:pPr>
        <w:ind w:left="400" w:hanging="392"/>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20"/>
          <w:szCs w:val="20"/>
          <w:b w:val="1"/>
          <w:bCs w:val="1"/>
          <w:color w:val="auto"/>
        </w:rPr>
        <w:t>Illness</w:t>
      </w:r>
    </w:p>
    <w:p>
      <w:pPr>
        <w:spacing w:after="0" w:line="242" w:lineRule="exact"/>
        <w:rPr>
          <w:sz w:val="20"/>
          <w:szCs w:val="20"/>
          <w:color w:val="auto"/>
        </w:rPr>
      </w:pPr>
    </w:p>
    <w:p>
      <w:pPr>
        <w:ind w:left="620" w:hanging="777"/>
        <w:spacing w:after="0" w:line="293" w:lineRule="auto"/>
        <w:tabs>
          <w:tab w:leader="none" w:pos="600" w:val="left"/>
        </w:tabs>
        <w:rPr>
          <w:sz w:val="20"/>
          <w:szCs w:val="20"/>
          <w:color w:val="auto"/>
        </w:rPr>
      </w:pPr>
      <w:r>
        <w:rPr>
          <w:rFonts w:ascii="Arial" w:cs="Arial" w:eastAsia="Arial" w:hAnsi="Arial"/>
          <w:sz w:val="18"/>
          <w:szCs w:val="18"/>
          <w:color w:val="auto"/>
        </w:rPr>
        <w:t>16.1</w:t>
        <w:tab/>
        <w:t>You will be entitled to such Company sick pay as is set out, in the Company's Employee Handbook in force from time to time, and subject to the Company's rules and policies relating to sickness absence in force at the time.</w:t>
      </w:r>
    </w:p>
    <w:p>
      <w:pPr>
        <w:spacing w:after="0" w:line="183" w:lineRule="exact"/>
        <w:rPr>
          <w:sz w:val="20"/>
          <w:szCs w:val="20"/>
          <w:color w:val="auto"/>
        </w:rPr>
      </w:pPr>
    </w:p>
    <w:p>
      <w:pPr>
        <w:jc w:val="right"/>
        <w:spacing w:after="0" w:line="293" w:lineRule="auto"/>
        <w:rPr>
          <w:sz w:val="20"/>
          <w:szCs w:val="20"/>
          <w:color w:val="auto"/>
        </w:rPr>
      </w:pPr>
      <w:r>
        <w:rPr>
          <w:rFonts w:ascii="Arial" w:cs="Arial" w:eastAsia="Arial" w:hAnsi="Arial"/>
          <w:sz w:val="18"/>
          <w:szCs w:val="18"/>
          <w:color w:val="auto"/>
        </w:rPr>
        <w:t>16.2   Your entitlement to Company sick pay and statutory sick pay are subject to the Company's right to terminate your employment in accordance with paragraph 17 below and the Company shall not be liable to provide, or compensate for the loss of, such benefit(s).</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For absence notification procedures, please refer to the Employee Handbook and the Sickness and Absence Policy.</w:t>
      </w:r>
    </w:p>
    <w:p>
      <w:pPr>
        <w:spacing w:after="0" w:line="212"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color w:val="auto"/>
        </w:rPr>
      </w:pPr>
      <w:r>
        <w:rPr>
          <w:rFonts w:ascii="Arial" w:cs="Arial" w:eastAsia="Arial" w:hAnsi="Arial"/>
          <w:sz w:val="20"/>
          <w:szCs w:val="20"/>
          <w:b w:val="1"/>
          <w:bCs w:val="1"/>
          <w:color w:val="auto"/>
        </w:rPr>
        <w:t>Other leave</w:t>
      </w:r>
    </w:p>
    <w:p>
      <w:pPr>
        <w:spacing w:after="0" w:line="256" w:lineRule="exact"/>
        <w:rPr>
          <w:sz w:val="20"/>
          <w:szCs w:val="20"/>
          <w:color w:val="auto"/>
        </w:rPr>
      </w:pPr>
    </w:p>
    <w:p>
      <w:pPr>
        <w:jc w:val="both"/>
        <w:ind w:left="580" w:hanging="777"/>
        <w:spacing w:after="0" w:line="287" w:lineRule="auto"/>
        <w:tabs>
          <w:tab w:leader="none" w:pos="560" w:val="left"/>
        </w:tabs>
        <w:rPr>
          <w:sz w:val="20"/>
          <w:szCs w:val="20"/>
          <w:color w:val="auto"/>
        </w:rPr>
      </w:pPr>
      <w:r>
        <w:rPr>
          <w:rFonts w:ascii="Arial" w:cs="Arial" w:eastAsia="Arial" w:hAnsi="Arial"/>
          <w:sz w:val="18"/>
          <w:szCs w:val="18"/>
          <w:color w:val="auto"/>
        </w:rPr>
        <w:t>17.1</w:t>
        <w:tab/>
        <w:t>You may be eligible to take the following types of leave: statutory maternity leave, statutory paternity leave, statutory adoption leave, shared parental leave, parental leave, and parental bereavement leave. Each is subject to statutory eligibility requirements, and the Company’s rules from time to time. Some types of leave can be paid, as set out in the Company’s rules from time to time.</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Details of such leave and pay are set out in the Company’s Employee Handbook.</w:t>
      </w:r>
    </w:p>
    <w:p>
      <w:pPr>
        <w:spacing w:after="0" w:line="212" w:lineRule="exact"/>
        <w:rPr>
          <w:sz w:val="20"/>
          <w:szCs w:val="20"/>
          <w:color w:val="auto"/>
        </w:rPr>
      </w:pPr>
    </w:p>
    <w:p>
      <w:pPr>
        <w:ind w:left="400" w:hanging="392"/>
        <w:spacing w:after="0"/>
        <w:tabs>
          <w:tab w:leader="none" w:pos="400" w:val="left"/>
        </w:tabs>
        <w:numPr>
          <w:ilvl w:val="0"/>
          <w:numId w:val="70"/>
        </w:numPr>
        <w:rPr>
          <w:rFonts w:ascii="Arial" w:cs="Arial" w:eastAsia="Arial" w:hAnsi="Arial"/>
          <w:sz w:val="18"/>
          <w:szCs w:val="18"/>
          <w:color w:val="auto"/>
        </w:rPr>
      </w:pPr>
      <w:r>
        <w:rPr>
          <w:rFonts w:ascii="Arial" w:cs="Arial" w:eastAsia="Arial" w:hAnsi="Arial"/>
          <w:sz w:val="20"/>
          <w:szCs w:val="20"/>
          <w:b w:val="1"/>
          <w:bCs w:val="1"/>
          <w:color w:val="auto"/>
        </w:rPr>
        <w:t>Confidentiality</w:t>
      </w:r>
    </w:p>
    <w:p>
      <w:pPr>
        <w:spacing w:after="0" w:line="256" w:lineRule="exact"/>
        <w:rPr>
          <w:sz w:val="20"/>
          <w:szCs w:val="20"/>
          <w:color w:val="auto"/>
        </w:rPr>
      </w:pPr>
    </w:p>
    <w:p>
      <w:pPr>
        <w:jc w:val="both"/>
        <w:ind w:left="640" w:hanging="777"/>
        <w:spacing w:after="0" w:line="285" w:lineRule="auto"/>
        <w:tabs>
          <w:tab w:leader="none" w:pos="620" w:val="left"/>
        </w:tabs>
        <w:rPr>
          <w:sz w:val="20"/>
          <w:szCs w:val="20"/>
          <w:color w:val="auto"/>
        </w:rPr>
      </w:pPr>
      <w:r>
        <w:rPr>
          <w:rFonts w:ascii="Arial" w:cs="Arial" w:eastAsia="Arial" w:hAnsi="Arial"/>
          <w:sz w:val="18"/>
          <w:szCs w:val="18"/>
          <w:color w:val="auto"/>
        </w:rPr>
        <w:t>18.1</w:t>
        <w:tab/>
        <w:t>You acknowledge that you will be exposed to information about the Company’s business that could cause significant harm to the Company if misused or disclosed. You are responsible for protecting the Company’s and any Group Company’s Confidential Information. Except as required for the proper performance of your duties or with the consent of your manager or the Company’s Chief Executive Officer, both during your employment and after it ends:</w:t>
      </w:r>
    </w:p>
    <w:p>
      <w:pPr>
        <w:spacing w:after="0" w:line="191" w:lineRule="exact"/>
        <w:rPr>
          <w:sz w:val="20"/>
          <w:szCs w:val="20"/>
          <w:color w:val="auto"/>
        </w:rPr>
      </w:pPr>
    </w:p>
    <w:p>
      <w:pPr>
        <w:ind w:left="1500" w:right="20" w:hanging="1036"/>
        <w:spacing w:after="0" w:line="293" w:lineRule="auto"/>
        <w:tabs>
          <w:tab w:leader="none" w:pos="1480" w:val="left"/>
        </w:tabs>
        <w:rPr>
          <w:sz w:val="20"/>
          <w:szCs w:val="20"/>
          <w:color w:val="auto"/>
        </w:rPr>
      </w:pPr>
      <w:r>
        <w:rPr>
          <w:rFonts w:ascii="Arial" w:cs="Arial" w:eastAsia="Arial" w:hAnsi="Arial"/>
          <w:sz w:val="18"/>
          <w:szCs w:val="18"/>
          <w:color w:val="auto"/>
        </w:rPr>
        <w:t>18.1.1</w:t>
        <w:tab/>
        <w:t>you must not communicate or divulge to any person, concern, undertaking, firm or body corporate or make use of or make or hold any copies of any Confidential Information; and</w:t>
      </w:r>
    </w:p>
    <w:p>
      <w:pPr>
        <w:spacing w:after="0" w:line="170" w:lineRule="exact"/>
        <w:rPr>
          <w:sz w:val="20"/>
          <w:szCs w:val="20"/>
          <w:color w:val="auto"/>
        </w:rPr>
      </w:pPr>
    </w:p>
    <w:p>
      <w:pPr>
        <w:ind w:left="1640" w:hanging="1036"/>
        <w:spacing w:after="0" w:line="293" w:lineRule="auto"/>
        <w:tabs>
          <w:tab w:leader="none" w:pos="162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8"/>
          <w:szCs w:val="18"/>
          <w:color w:val="auto"/>
        </w:rPr>
        <w:t>you must use your best endeavours to prevent the publication, disclosure or unauthorised use of any Confidential Information.</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Clause 18.1 shall not apply to any Confidential Information:</w:t>
      </w:r>
    </w:p>
    <w:p>
      <w:pPr>
        <w:spacing w:after="0" w:line="239"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color w:val="auto"/>
        </w:rPr>
        <w:t>18.2.1</w:t>
      </w:r>
      <w:r>
        <w:rPr>
          <w:sz w:val="20"/>
          <w:szCs w:val="20"/>
          <w:color w:val="auto"/>
        </w:rPr>
        <w:tab/>
      </w:r>
      <w:r>
        <w:rPr>
          <w:rFonts w:ascii="Arial" w:cs="Arial" w:eastAsia="Arial" w:hAnsi="Arial"/>
          <w:sz w:val="17"/>
          <w:szCs w:val="17"/>
          <w:color w:val="auto"/>
        </w:rPr>
        <w:t>which you can demonstrate:</w:t>
      </w:r>
    </w:p>
    <w:p>
      <w:pPr>
        <w:spacing w:after="0" w:line="225" w:lineRule="exact"/>
        <w:rPr>
          <w:sz w:val="20"/>
          <w:szCs w:val="20"/>
          <w:color w:val="auto"/>
        </w:rPr>
      </w:pPr>
    </w:p>
    <w:p>
      <w:pPr>
        <w:ind w:left="2140" w:hanging="350"/>
        <w:spacing w:after="0"/>
        <w:tabs>
          <w:tab w:leader="none" w:pos="2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already in the public domain at the time of disclosure;</w:t>
      </w:r>
    </w:p>
    <w:p>
      <w:pPr>
        <w:spacing w:after="0" w:line="238" w:lineRule="exact"/>
        <w:rPr>
          <w:rFonts w:ascii="Arial" w:cs="Arial" w:eastAsia="Arial" w:hAnsi="Arial"/>
          <w:sz w:val="18"/>
          <w:szCs w:val="18"/>
          <w:color w:val="auto"/>
        </w:rPr>
      </w:pPr>
    </w:p>
    <w:p>
      <w:pPr>
        <w:ind w:left="2180" w:hanging="390"/>
        <w:spacing w:after="0"/>
        <w:tabs>
          <w:tab w:leader="none" w:pos="2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identifiable without requiring significant expenditure of time, skill or money; and</w:t>
      </w:r>
    </w:p>
    <w:p>
      <w:pPr>
        <w:spacing w:after="0" w:line="238" w:lineRule="exact"/>
        <w:rPr>
          <w:rFonts w:ascii="Arial" w:cs="Arial" w:eastAsia="Arial" w:hAnsi="Arial"/>
          <w:sz w:val="18"/>
          <w:szCs w:val="18"/>
          <w:color w:val="auto"/>
        </w:rPr>
      </w:pPr>
    </w:p>
    <w:p>
      <w:pPr>
        <w:ind w:left="2360" w:right="20" w:hanging="570"/>
        <w:spacing w:after="0" w:line="293" w:lineRule="auto"/>
        <w:tabs>
          <w:tab w:leader="none" w:pos="22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came into the public domain other than by reason of or as a direct or indirect result of the disclosure by you of any Confidential Information; or</w:t>
      </w:r>
    </w:p>
    <w:p>
      <w:pPr>
        <w:spacing w:after="0" w:line="170" w:lineRule="exact"/>
        <w:rPr>
          <w:sz w:val="20"/>
          <w:szCs w:val="20"/>
          <w:color w:val="auto"/>
        </w:rPr>
      </w:pPr>
    </w:p>
    <w:p>
      <w:pPr>
        <w:ind w:left="1540" w:hanging="1036"/>
        <w:spacing w:after="0" w:line="293" w:lineRule="auto"/>
        <w:tabs>
          <w:tab w:leader="none" w:pos="1520" w:val="left"/>
        </w:tabs>
        <w:rPr>
          <w:sz w:val="20"/>
          <w:szCs w:val="20"/>
          <w:color w:val="auto"/>
        </w:rPr>
      </w:pPr>
      <w:r>
        <w:rPr>
          <w:rFonts w:ascii="Arial" w:cs="Arial" w:eastAsia="Arial" w:hAnsi="Arial"/>
          <w:sz w:val="18"/>
          <w:szCs w:val="18"/>
          <w:color w:val="auto"/>
        </w:rPr>
        <w:t>18.2.2</w:t>
        <w:tab/>
        <w:t>which you are required to disclose pursuant to an order of a court of competent jurisdiction or which you are otherwise required to disclose by law, and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disclosure is made strictly in accordance with the terms of that order or requirement of law.</w:t>
      </w:r>
    </w:p>
    <w:p>
      <w:pPr>
        <w:spacing w:after="0" w:line="225" w:lineRule="exact"/>
        <w:rPr>
          <w:sz w:val="20"/>
          <w:szCs w:val="20"/>
          <w:color w:val="auto"/>
        </w:rPr>
      </w:pPr>
    </w:p>
    <w:p>
      <w:pPr>
        <w:jc w:val="both"/>
        <w:ind w:left="580" w:hanging="777"/>
        <w:spacing w:after="0" w:line="285" w:lineRule="auto"/>
        <w:tabs>
          <w:tab w:leader="none" w:pos="560" w:val="left"/>
        </w:tabs>
        <w:rPr>
          <w:sz w:val="20"/>
          <w:szCs w:val="20"/>
          <w:color w:val="auto"/>
        </w:rPr>
      </w:pPr>
      <w:r>
        <w:rPr>
          <w:rFonts w:ascii="Arial" w:cs="Arial" w:eastAsia="Arial" w:hAnsi="Arial"/>
          <w:sz w:val="18"/>
          <w:szCs w:val="18"/>
          <w:color w:val="auto"/>
        </w:rPr>
        <w:t>18.3</w:t>
        <w:tab/>
        <w:t>Any public disclosures you make, including any disclosures to any press or other media outlet, and any content posted on any social media platform relating directly or indirectly to the business affairs of the Company or any Group Company or which contains Confidential Information, must be in accordance with the global Social Media Policy (as in effect from time to time) or as otherwise authorized by your manager or the Chief Executive Officer.</w:t>
      </w:r>
    </w:p>
    <w:p>
      <w:pPr>
        <w:spacing w:after="0" w:line="191" w:lineRule="exact"/>
        <w:rPr>
          <w:sz w:val="20"/>
          <w:szCs w:val="20"/>
          <w:color w:val="auto"/>
        </w:rPr>
      </w:pPr>
    </w:p>
    <w:p>
      <w:pPr>
        <w:jc w:val="both"/>
        <w:ind w:left="560" w:hanging="777"/>
        <w:spacing w:after="0" w:line="283" w:lineRule="auto"/>
        <w:tabs>
          <w:tab w:leader="none" w:pos="540" w:val="left"/>
        </w:tabs>
        <w:rPr>
          <w:sz w:val="20"/>
          <w:szCs w:val="20"/>
          <w:color w:val="auto"/>
        </w:rPr>
      </w:pPr>
      <w:r>
        <w:rPr>
          <w:rFonts w:ascii="Arial" w:cs="Arial" w:eastAsia="Arial" w:hAnsi="Arial"/>
          <w:sz w:val="18"/>
          <w:szCs w:val="18"/>
          <w:color w:val="auto"/>
        </w:rPr>
        <w:t>18.4</w:t>
        <w:tab/>
        <w:t>All notes, memoranda, and other records (however stored) made by you during your employment with the Company and which relate to the business of the Company or any Group Company (“</w:t>
      </w:r>
      <w:r>
        <w:rPr>
          <w:rFonts w:ascii="Arial" w:cs="Arial" w:eastAsia="Arial" w:hAnsi="Arial"/>
          <w:sz w:val="18"/>
          <w:szCs w:val="18"/>
          <w:b w:val="1"/>
          <w:bCs w:val="1"/>
          <w:color w:val="auto"/>
        </w:rPr>
        <w:t>Documents</w:t>
      </w:r>
      <w:r>
        <w:rPr>
          <w:rFonts w:ascii="Arial" w:cs="Arial" w:eastAsia="Arial" w:hAnsi="Arial"/>
          <w:sz w:val="18"/>
          <w:szCs w:val="18"/>
          <w:color w:val="auto"/>
        </w:rPr>
        <w:t>”) will belong to Company or to the relevant Group Company (as the case may be). You will, promptly on request by the Company from time to time and in any event promptly upon the Termination Date (without the need for any request by the Company), hand over to the Company all originals and copies of such Documents and all Confidential 9 Information that are in your possession or control, without copies being kept by you or by anyone else on your behalf. Upon handing back such Documents and/or Confidential Information, you agree to provide a written undertaking to the Company that you have not retained any Documents or Confidential Information or any copies of the same.</w:t>
      </w:r>
    </w:p>
    <w:p>
      <w:pPr>
        <w:spacing w:after="0" w:line="182"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20"/>
          <w:szCs w:val="20"/>
          <w:b w:val="1"/>
          <w:bCs w:val="1"/>
          <w:color w:val="auto"/>
        </w:rPr>
        <w:t>Outside interests</w:t>
      </w:r>
    </w:p>
    <w:p>
      <w:pPr>
        <w:spacing w:after="0" w:line="24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Except with the prior written consent of the Company, you must not during your employment (including during any period of notice):</w:t>
      </w:r>
    </w:p>
    <w:p>
      <w:pPr>
        <w:spacing w:after="0" w:line="239" w:lineRule="exact"/>
        <w:rPr>
          <w:sz w:val="20"/>
          <w:szCs w:val="20"/>
          <w:color w:val="auto"/>
        </w:rPr>
      </w:pPr>
    </w:p>
    <w:p>
      <w:pPr>
        <w:jc w:val="both"/>
        <w:ind w:left="1560" w:hanging="1036"/>
        <w:spacing w:after="0" w:line="293" w:lineRule="auto"/>
        <w:tabs>
          <w:tab w:leader="none" w:pos="1540" w:val="left"/>
        </w:tabs>
        <w:rPr>
          <w:sz w:val="20"/>
          <w:szCs w:val="20"/>
          <w:color w:val="auto"/>
        </w:rPr>
      </w:pPr>
      <w:r>
        <w:rPr>
          <w:rFonts w:ascii="Arial" w:cs="Arial" w:eastAsia="Arial" w:hAnsi="Arial"/>
          <w:sz w:val="18"/>
          <w:szCs w:val="18"/>
          <w:color w:val="auto"/>
        </w:rPr>
        <w:t>19.1.1</w:t>
        <w:tab/>
        <w:t>directly or indirectly engage or be interested in any business (or the setting up of any business) other than that of the Company and the Group Companies, whether paid or unpaid; or</w:t>
      </w:r>
    </w:p>
    <w:p>
      <w:pPr>
        <w:spacing w:after="0" w:line="18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17"/>
          <w:szCs w:val="17"/>
          <w:color w:val="auto"/>
        </w:rPr>
        <w:t>hold any directorship, whether paid or unpaid, of any company other than that of the Company and any Group Company,</w:t>
      </w:r>
    </w:p>
    <w:p>
      <w:pPr>
        <w:spacing w:after="0" w:line="225" w:lineRule="exact"/>
        <w:rPr>
          <w:sz w:val="20"/>
          <w:szCs w:val="20"/>
          <w:color w:val="auto"/>
        </w:rPr>
      </w:pPr>
    </w:p>
    <w:p>
      <w:pPr>
        <w:jc w:val="both"/>
        <w:ind w:left="780"/>
        <w:spacing w:after="0" w:line="287" w:lineRule="auto"/>
        <w:rPr>
          <w:sz w:val="20"/>
          <w:szCs w:val="20"/>
          <w:color w:val="auto"/>
        </w:rPr>
      </w:pPr>
      <w:r>
        <w:rPr>
          <w:rFonts w:ascii="Arial" w:cs="Arial" w:eastAsia="Arial" w:hAnsi="Arial"/>
          <w:sz w:val="18"/>
          <w:szCs w:val="18"/>
          <w:color w:val="auto"/>
        </w:rPr>
        <w:t>save that you are permitted to hold (or be the beneficial owner) solely for investment purposes of up to three percent (3%) of the securities of any company whose securities are listed or quoted on any recognised investment exchange (as defined in section 285 of the Financial Services and Markets Act 2000).</w:t>
      </w:r>
    </w:p>
    <w:p>
      <w:pPr>
        <w:spacing w:after="0" w:line="176" w:lineRule="exact"/>
        <w:rPr>
          <w:sz w:val="20"/>
          <w:szCs w:val="20"/>
          <w:color w:val="auto"/>
        </w:rPr>
      </w:pPr>
    </w:p>
    <w:p>
      <w:pPr>
        <w:ind w:left="400" w:hanging="392"/>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20"/>
          <w:szCs w:val="20"/>
          <w:b w:val="1"/>
          <w:bCs w:val="1"/>
          <w:color w:val="auto"/>
        </w:rPr>
        <w:t>Intellectual property</w:t>
      </w:r>
    </w:p>
    <w:p>
      <w:pPr>
        <w:spacing w:after="0" w:line="256" w:lineRule="exact"/>
        <w:rPr>
          <w:sz w:val="20"/>
          <w:szCs w:val="20"/>
          <w:color w:val="auto"/>
        </w:rPr>
      </w:pPr>
    </w:p>
    <w:p>
      <w:pPr>
        <w:jc w:val="both"/>
        <w:ind w:left="720" w:hanging="777"/>
        <w:spacing w:after="0" w:line="284" w:lineRule="auto"/>
        <w:tabs>
          <w:tab w:leader="none" w:pos="7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All Company IPRs (including, without limitation, all Inventions) shall immediately be disclosed by you to the Company in an appropriate manner (bearing in mind the need to keep inventions confidential) and you will keep all Company IPRs (including, without limitation, all Inventions) confidential. The foregoing disclosure obligation in this clause 20.1 shall apply in respect of any Invention irrespective of whether the Company is entitled to ownership of such Invention by virtue of s39 Patents Act 1977. If the Company is not entitled to ownership of such Invention by virtue of such Act, the Company will keep the information confidential.</w:t>
      </w:r>
    </w:p>
    <w:p>
      <w:pPr>
        <w:spacing w:after="0" w:line="179" w:lineRule="exact"/>
        <w:rPr>
          <w:sz w:val="20"/>
          <w:szCs w:val="20"/>
          <w:color w:val="auto"/>
        </w:rPr>
      </w:pPr>
    </w:p>
    <w:p>
      <w:pPr>
        <w:jc w:val="both"/>
        <w:ind w:left="620" w:hanging="777"/>
        <w:spacing w:after="0" w:line="293" w:lineRule="auto"/>
        <w:tabs>
          <w:tab w:leader="none" w:pos="600" w:val="left"/>
        </w:tabs>
        <w:rPr>
          <w:sz w:val="20"/>
          <w:szCs w:val="20"/>
          <w:color w:val="auto"/>
        </w:rPr>
      </w:pPr>
      <w:r>
        <w:rPr>
          <w:rFonts w:ascii="Arial" w:cs="Arial" w:eastAsia="Arial" w:hAnsi="Arial"/>
          <w:sz w:val="18"/>
          <w:szCs w:val="18"/>
          <w:color w:val="auto"/>
        </w:rPr>
        <w:t>20.2</w:t>
        <w:tab/>
        <w:t>Save as provided by law and in particular as provided by the Patents Act 1977, all rights in the Company IPRs (including, without limitation, the Inventions) shall belong to the Company and shall automatically, on creation, vest absolutely in the Company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11" w:lineRule="exact"/>
        <w:rPr>
          <w:sz w:val="20"/>
          <w:szCs w:val="20"/>
          <w:color w:val="auto"/>
        </w:rPr>
      </w:pPr>
    </w:p>
    <w:p>
      <w:pPr>
        <w:jc w:val="both"/>
        <w:ind w:left="620"/>
        <w:spacing w:after="0" w:line="283" w:lineRule="auto"/>
        <w:rPr>
          <w:sz w:val="20"/>
          <w:szCs w:val="20"/>
          <w:color w:val="auto"/>
        </w:rPr>
      </w:pPr>
      <w:r>
        <w:rPr>
          <w:rFonts w:ascii="Arial" w:cs="Arial" w:eastAsia="Arial" w:hAnsi="Arial"/>
          <w:sz w:val="18"/>
          <w:szCs w:val="18"/>
          <w:color w:val="auto"/>
        </w:rPr>
        <w:t>Group Company as the Company may nominate for that purpose. To the extent that any rights in the Company’s IPRs do not automatically vest in the Company, you hereby assign, including by way of present assignment of future rights, all Intellectual Property Rights in the Company’s IPRs to the Company absolutely with full title guarantee free from all encumbrances and third party rights. You shall (at the request and reasonable expense of the Company) sign all such documents and perform all such acts as may be required fully to vest all such rights in the Company in the Company’s IPRs (or its nominee). Any right in the Company IPRs (including, without limitation, the Inventions) which cannot be assigned to the Company in accordance with this clause 20.2 will, insofar as permissible by law, be held on trust by you for the benefit of the Company (or relevant Group Company) until the same are vested absolutely in the Company.</w:t>
      </w:r>
    </w:p>
    <w:p>
      <w:pPr>
        <w:spacing w:after="0" w:line="180" w:lineRule="exact"/>
        <w:rPr>
          <w:sz w:val="20"/>
          <w:szCs w:val="20"/>
          <w:color w:val="auto"/>
        </w:rPr>
      </w:pPr>
    </w:p>
    <w:p>
      <w:pPr>
        <w:jc w:val="both"/>
        <w:ind w:left="480" w:hanging="777"/>
        <w:spacing w:after="0" w:line="287" w:lineRule="auto"/>
        <w:tabs>
          <w:tab w:leader="none" w:pos="460" w:val="left"/>
        </w:tabs>
        <w:rPr>
          <w:sz w:val="20"/>
          <w:szCs w:val="20"/>
          <w:color w:val="auto"/>
        </w:rPr>
      </w:pPr>
      <w:r>
        <w:rPr>
          <w:rFonts w:ascii="Arial" w:cs="Arial" w:eastAsia="Arial" w:hAnsi="Arial"/>
          <w:sz w:val="18"/>
          <w:szCs w:val="18"/>
          <w:color w:val="auto"/>
        </w:rPr>
        <w:t>20.3</w:t>
        <w:tab/>
        <w:t>You acknowledge, including for the purpose of s39 Patents Act 1977, that because of the nature of your duties and the particular responsibilities arising from those duties, your employment with the Company carries with it a special obligation to further the interests of the Company and the Group Companies.</w:t>
      </w:r>
    </w:p>
    <w:p>
      <w:pPr>
        <w:spacing w:after="0" w:line="189" w:lineRule="exact"/>
        <w:rPr>
          <w:sz w:val="20"/>
          <w:szCs w:val="20"/>
          <w:color w:val="auto"/>
        </w:rPr>
      </w:pPr>
    </w:p>
    <w:p>
      <w:pPr>
        <w:jc w:val="both"/>
        <w:ind w:left="480" w:hanging="777"/>
        <w:spacing w:after="0" w:line="287" w:lineRule="auto"/>
        <w:tabs>
          <w:tab w:leader="none" w:pos="460" w:val="left"/>
        </w:tabs>
        <w:rPr>
          <w:sz w:val="20"/>
          <w:szCs w:val="20"/>
          <w:color w:val="auto"/>
        </w:rPr>
      </w:pPr>
      <w:r>
        <w:rPr>
          <w:rFonts w:ascii="Arial" w:cs="Arial" w:eastAsia="Arial" w:hAnsi="Arial"/>
          <w:sz w:val="18"/>
          <w:szCs w:val="18"/>
          <w:color w:val="auto"/>
        </w:rPr>
        <w:t>20.4</w:t>
        <w:tab/>
        <w:t>You waive irrevocably all moral rights (as defined in Chapter IV of Part I of the Copyright, Designs and Patents Act 1988, and all similar rights in other jurisdictions to the extent permitted in the relevant jurisdiction) in any works produced during your employment in which copyright is vested in the Company or any Group Company whether by virtue of this clause 20 or otherwise.</w:t>
      </w:r>
    </w:p>
    <w:p>
      <w:pPr>
        <w:spacing w:after="0" w:line="189" w:lineRule="exact"/>
        <w:rPr>
          <w:sz w:val="20"/>
          <w:szCs w:val="20"/>
          <w:color w:val="auto"/>
        </w:rPr>
      </w:pPr>
    </w:p>
    <w:p>
      <w:pPr>
        <w:jc w:val="both"/>
        <w:ind w:left="520" w:right="20" w:hanging="777"/>
        <w:spacing w:after="0" w:line="293" w:lineRule="auto"/>
        <w:tabs>
          <w:tab w:leader="none" w:pos="50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Save as provided by law and set out herein, you acknowledge and agree that you have no right to additional remuneration or compensation in respect of any Company IPRs (including, without limitation, in respect of any Invention).</w:t>
      </w:r>
    </w:p>
    <w:p>
      <w:pPr>
        <w:spacing w:after="0" w:line="170" w:lineRule="exact"/>
        <w:rPr>
          <w:sz w:val="20"/>
          <w:szCs w:val="20"/>
          <w:color w:val="auto"/>
        </w:rPr>
      </w:pPr>
    </w:p>
    <w:p>
      <w:pPr>
        <w:jc w:val="both"/>
        <w:ind w:left="460" w:hanging="777"/>
        <w:spacing w:after="0" w:line="284" w:lineRule="auto"/>
        <w:tabs>
          <w:tab w:leader="none" w:pos="440" w:val="left"/>
        </w:tabs>
        <w:rPr>
          <w:sz w:val="20"/>
          <w:szCs w:val="20"/>
          <w:color w:val="auto"/>
        </w:rPr>
      </w:pPr>
      <w:r>
        <w:rPr>
          <w:rFonts w:ascii="Arial" w:cs="Arial" w:eastAsia="Arial" w:hAnsi="Arial"/>
          <w:sz w:val="18"/>
          <w:szCs w:val="18"/>
          <w:color w:val="auto"/>
        </w:rPr>
        <w:t>20.6</w:t>
        <w:tab/>
        <w:t>You undertake that, at the Company's expense and upon request (whether during your employment or after the Termination Date), you will execute such documents, make such applications, give such assistance and do such acts and things as may be necessary to enable the Company or relevant Group Company to enjoy the full benefit of this clause 19, whether during or after termination of your employment. This will include the giving of assistance or advice (including, without limitation, giving evidence if so required) in connection with:</w:t>
      </w:r>
    </w:p>
    <w:p>
      <w:pPr>
        <w:spacing w:after="0" w:line="193"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8"/>
          <w:szCs w:val="18"/>
          <w:color w:val="auto"/>
        </w:rPr>
        <w:t>20.6.1</w:t>
      </w:r>
      <w:r>
        <w:rPr>
          <w:sz w:val="20"/>
          <w:szCs w:val="20"/>
          <w:color w:val="auto"/>
        </w:rPr>
        <w:tab/>
      </w:r>
      <w:r>
        <w:rPr>
          <w:rFonts w:ascii="Arial" w:cs="Arial" w:eastAsia="Arial" w:hAnsi="Arial"/>
          <w:sz w:val="17"/>
          <w:szCs w:val="17"/>
          <w:color w:val="auto"/>
        </w:rPr>
        <w:t>the prosecution of any applications for the registration of;</w:t>
      </w:r>
    </w:p>
    <w:p>
      <w:pPr>
        <w:spacing w:after="0" w:line="239"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8"/>
          <w:szCs w:val="18"/>
          <w:color w:val="auto"/>
        </w:rPr>
        <w:t>20.6.2</w:t>
        <w:tab/>
        <w:t>any claims or proceedings brought to prevent or bring to an end the infringement of;</w:t>
      </w:r>
    </w:p>
    <w:p>
      <w:pPr>
        <w:spacing w:after="0" w:line="225"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8"/>
          <w:szCs w:val="18"/>
          <w:color w:val="auto"/>
        </w:rPr>
        <w:t>20.6.3</w:t>
      </w:r>
      <w:r>
        <w:rPr>
          <w:sz w:val="20"/>
          <w:szCs w:val="20"/>
          <w:color w:val="auto"/>
        </w:rPr>
        <w:tab/>
      </w:r>
      <w:r>
        <w:rPr>
          <w:rFonts w:ascii="Arial" w:cs="Arial" w:eastAsia="Arial" w:hAnsi="Arial"/>
          <w:sz w:val="17"/>
          <w:szCs w:val="17"/>
          <w:color w:val="auto"/>
        </w:rPr>
        <w:t>all steps necessary to assign; and/or;</w:t>
      </w:r>
    </w:p>
    <w:p>
      <w:pPr>
        <w:spacing w:after="0" w:line="239" w:lineRule="exact"/>
        <w:rPr>
          <w:sz w:val="20"/>
          <w:szCs w:val="20"/>
          <w:color w:val="auto"/>
        </w:rPr>
      </w:pPr>
    </w:p>
    <w:p>
      <w:pPr>
        <w:ind w:left="1480" w:hanging="1036"/>
        <w:spacing w:after="0" w:line="293" w:lineRule="auto"/>
        <w:tabs>
          <w:tab w:leader="none" w:pos="1460" w:val="left"/>
        </w:tabs>
        <w:rPr>
          <w:sz w:val="20"/>
          <w:szCs w:val="20"/>
          <w:color w:val="auto"/>
        </w:rPr>
      </w:pPr>
      <w:r>
        <w:rPr>
          <w:rFonts w:ascii="Arial" w:cs="Arial" w:eastAsia="Arial" w:hAnsi="Arial"/>
          <w:sz w:val="18"/>
          <w:szCs w:val="18"/>
          <w:color w:val="auto"/>
        </w:rPr>
        <w:t>20.6.4</w:t>
      </w:r>
      <w:r>
        <w:rPr>
          <w:sz w:val="20"/>
          <w:szCs w:val="20"/>
          <w:color w:val="auto"/>
        </w:rPr>
        <w:tab/>
      </w:r>
      <w:r>
        <w:rPr>
          <w:rFonts w:ascii="Arial" w:cs="Arial" w:eastAsia="Arial" w:hAnsi="Arial"/>
          <w:sz w:val="18"/>
          <w:szCs w:val="18"/>
          <w:color w:val="auto"/>
        </w:rPr>
        <w:t>any claims or proceedings concerning or affecting the validity of, any Company IPR (including, without limitation, any Invention).</w:t>
      </w:r>
    </w:p>
    <w:p>
      <w:pPr>
        <w:spacing w:after="0" w:line="183" w:lineRule="exact"/>
        <w:rPr>
          <w:sz w:val="20"/>
          <w:szCs w:val="20"/>
          <w:color w:val="auto"/>
        </w:rPr>
      </w:pPr>
    </w:p>
    <w:p>
      <w:pPr>
        <w:jc w:val="both"/>
        <w:ind w:left="460" w:hanging="777"/>
        <w:spacing w:after="0" w:line="284" w:lineRule="auto"/>
        <w:tabs>
          <w:tab w:leader="none" w:pos="440" w:val="left"/>
        </w:tabs>
        <w:rPr>
          <w:sz w:val="20"/>
          <w:szCs w:val="20"/>
          <w:color w:val="auto"/>
        </w:rPr>
      </w:pPr>
      <w:r>
        <w:rPr>
          <w:rFonts w:ascii="Arial" w:cs="Arial" w:eastAsia="Arial" w:hAnsi="Arial"/>
          <w:sz w:val="18"/>
          <w:szCs w:val="18"/>
          <w:color w:val="auto"/>
        </w:rPr>
        <w:t>20.7</w:t>
        <w:tab/>
        <w:t>Immediately upon the termination of your employment or earlier at the Company's request, you will deliver up to the Company the subject matter of, and all data relating to, Company IPRs (including, without limitation, all Inventions) (including, without limitation, all related documents and materials and, in the case of software, all source code in a format or formats reasonably requested by the Company) in your possession, custody or power; and you will ensure that all Know-How relating to Company IPRs (including, without limitation,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080"/>
          </w:cols>
          <w:pgMar w:left="480" w:top="1440" w:right="339" w:bottom="1440" w:gutter="0" w:footer="0" w:header="0"/>
        </w:sectPr>
      </w:pPr>
    </w:p>
    <w:bookmarkStart w:id="128" w:name="page129"/>
    <w:bookmarkEnd w:id="128"/>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Inventions) is recorded on the Company's know-how systems or otherwise communicated or made available to the Company</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7"/>
          <w:szCs w:val="17"/>
          <w:color w:val="auto"/>
        </w:rPr>
        <w:t>Following termination of your employment, you will:</w:t>
      </w:r>
    </w:p>
    <w:p>
      <w:pPr>
        <w:spacing w:after="0" w:line="239" w:lineRule="exact"/>
        <w:rPr>
          <w:sz w:val="20"/>
          <w:szCs w:val="20"/>
          <w:color w:val="auto"/>
        </w:rPr>
      </w:pPr>
    </w:p>
    <w:p>
      <w:pPr>
        <w:ind w:left="1580" w:right="20" w:hanging="1036"/>
        <w:spacing w:after="0" w:line="293" w:lineRule="auto"/>
        <w:tabs>
          <w:tab w:leader="none" w:pos="1560" w:val="left"/>
        </w:tabs>
        <w:rPr>
          <w:sz w:val="20"/>
          <w:szCs w:val="20"/>
          <w:color w:val="auto"/>
        </w:rPr>
      </w:pPr>
      <w:r>
        <w:rPr>
          <w:rFonts w:ascii="Arial" w:cs="Arial" w:eastAsia="Arial" w:hAnsi="Arial"/>
          <w:sz w:val="18"/>
          <w:szCs w:val="18"/>
          <w:color w:val="auto"/>
        </w:rPr>
        <w:t>20.8.1</w:t>
      </w:r>
      <w:r>
        <w:rPr>
          <w:sz w:val="20"/>
          <w:szCs w:val="20"/>
          <w:color w:val="auto"/>
        </w:rPr>
        <w:tab/>
      </w:r>
      <w:r>
        <w:rPr>
          <w:rFonts w:ascii="Arial" w:cs="Arial" w:eastAsia="Arial" w:hAnsi="Arial"/>
          <w:sz w:val="18"/>
          <w:szCs w:val="18"/>
          <w:color w:val="auto"/>
        </w:rPr>
        <w:t>make yourself available to explain know-how or other aspects of any Company IPRs (including, without limitation, all Inventions), if reasonably requested by the Company; and</w:t>
      </w:r>
    </w:p>
    <w:p>
      <w:pPr>
        <w:spacing w:after="0" w:line="183" w:lineRule="exact"/>
        <w:rPr>
          <w:sz w:val="20"/>
          <w:szCs w:val="20"/>
          <w:color w:val="auto"/>
        </w:rPr>
      </w:pPr>
    </w:p>
    <w:p>
      <w:pPr>
        <w:ind w:left="1540" w:hanging="1036"/>
        <w:spacing w:after="0" w:line="293" w:lineRule="auto"/>
        <w:tabs>
          <w:tab w:leader="none" w:pos="1520" w:val="left"/>
        </w:tabs>
        <w:rPr>
          <w:sz w:val="20"/>
          <w:szCs w:val="20"/>
          <w:color w:val="auto"/>
        </w:rPr>
      </w:pPr>
      <w:r>
        <w:rPr>
          <w:rFonts w:ascii="Arial" w:cs="Arial" w:eastAsia="Arial" w:hAnsi="Arial"/>
          <w:sz w:val="18"/>
          <w:szCs w:val="18"/>
          <w:color w:val="auto"/>
        </w:rPr>
        <w:t>20.8.2</w:t>
        <w:tab/>
        <w:t>keep all Company IPRs (including, without limitation, all Inventions) confidential unless or until they are disclosed in the public domain or otherwise cease to be confidential through no fault or act of your own</w:t>
      </w:r>
    </w:p>
    <w:p>
      <w:pPr>
        <w:spacing w:after="0" w:line="170" w:lineRule="exact"/>
        <w:rPr>
          <w:sz w:val="20"/>
          <w:szCs w:val="20"/>
          <w:color w:val="auto"/>
        </w:rPr>
      </w:pPr>
    </w:p>
    <w:p>
      <w:pPr>
        <w:jc w:val="both"/>
        <w:ind w:left="660" w:right="20" w:hanging="777"/>
        <w:spacing w:after="0" w:line="287" w:lineRule="auto"/>
        <w:tabs>
          <w:tab w:leader="none" w:pos="64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8"/>
          <w:szCs w:val="18"/>
          <w:color w:val="auto"/>
        </w:rPr>
        <w:t>You irrevocably appoint the Company as your attorney to appoint any other Director of the Company as your agent to sign any documents in your name and on your behalf and do anything necessary to obtain for itself or its nominee the full benefit of this clause 20.</w:t>
      </w:r>
    </w:p>
    <w:p>
      <w:pPr>
        <w:spacing w:after="0" w:line="189" w:lineRule="exact"/>
        <w:rPr>
          <w:sz w:val="20"/>
          <w:szCs w:val="20"/>
          <w:color w:val="auto"/>
        </w:rPr>
      </w:pPr>
    </w:p>
    <w:p>
      <w:pPr>
        <w:jc w:val="both"/>
        <w:ind w:left="740" w:hanging="777"/>
        <w:spacing w:after="0" w:line="285" w:lineRule="auto"/>
        <w:tabs>
          <w:tab w:leader="none" w:pos="720" w:val="left"/>
        </w:tabs>
        <w:rPr>
          <w:sz w:val="20"/>
          <w:szCs w:val="20"/>
          <w:color w:val="auto"/>
        </w:rPr>
      </w:pPr>
      <w:r>
        <w:rPr>
          <w:rFonts w:ascii="Arial" w:cs="Arial" w:eastAsia="Arial" w:hAnsi="Arial"/>
          <w:sz w:val="18"/>
          <w:szCs w:val="18"/>
          <w:color w:val="auto"/>
        </w:rPr>
        <w:t>20.10</w:t>
        <w:tab/>
        <w:t>You acknowledge that the Company in its sole and absolute discretion shall decide the extent, if any, of the protection sought in relation to the matters referred to in clause 20.2 and 20.6. Accordingly, you shall not (whether during or after this employment) apply or join in applying for any patent, registered design, trade mark or other equivalent protection in connection with the matters listed in clause 20.2 and 20.6 without the prior written approval of the Company.</w:t>
      </w:r>
    </w:p>
    <w:p>
      <w:pPr>
        <w:spacing w:after="0" w:line="178" w:lineRule="exact"/>
        <w:rPr>
          <w:sz w:val="20"/>
          <w:szCs w:val="20"/>
          <w:color w:val="auto"/>
        </w:rPr>
      </w:pPr>
    </w:p>
    <w:p>
      <w:pPr>
        <w:ind w:left="400" w:hanging="392"/>
        <w:spacing w:after="0"/>
        <w:tabs>
          <w:tab w:leader="none" w:pos="400" w:val="left"/>
        </w:tabs>
        <w:numPr>
          <w:ilvl w:val="0"/>
          <w:numId w:val="74"/>
        </w:numPr>
        <w:rPr>
          <w:rFonts w:ascii="Arial" w:cs="Arial" w:eastAsia="Arial" w:hAnsi="Arial"/>
          <w:sz w:val="18"/>
          <w:szCs w:val="18"/>
          <w:color w:val="auto"/>
        </w:rPr>
      </w:pPr>
      <w:r>
        <w:rPr>
          <w:rFonts w:ascii="Arial" w:cs="Arial" w:eastAsia="Arial" w:hAnsi="Arial"/>
          <w:sz w:val="20"/>
          <w:szCs w:val="20"/>
          <w:b w:val="1"/>
          <w:bCs w:val="1"/>
          <w:color w:val="auto"/>
        </w:rPr>
        <w:t>Disciplinary matters and grievances</w:t>
      </w:r>
    </w:p>
    <w:p>
      <w:pPr>
        <w:spacing w:after="0" w:line="242" w:lineRule="exact"/>
        <w:rPr>
          <w:sz w:val="20"/>
          <w:szCs w:val="20"/>
          <w:color w:val="auto"/>
        </w:rPr>
      </w:pPr>
    </w:p>
    <w:p>
      <w:pPr>
        <w:jc w:val="center"/>
        <w:ind w:right="20"/>
        <w:spacing w:after="0" w:line="293" w:lineRule="auto"/>
        <w:rPr>
          <w:sz w:val="20"/>
          <w:szCs w:val="20"/>
          <w:color w:val="auto"/>
        </w:rPr>
      </w:pPr>
      <w:r>
        <w:rPr>
          <w:rFonts w:ascii="Arial" w:cs="Arial" w:eastAsia="Arial" w:hAnsi="Arial"/>
          <w:sz w:val="18"/>
          <w:szCs w:val="18"/>
          <w:color w:val="auto"/>
        </w:rPr>
        <w:t>21.1   If a disciplinary matter arises involving you, you may be suspended on such terms and conditions as the Company may reasonably determine provided that your salary and benefits shall not be reduced or withheld (except bonus as provided in clause 6).</w:t>
      </w:r>
    </w:p>
    <w:p>
      <w:pPr>
        <w:spacing w:after="0" w:line="183" w:lineRule="exact"/>
        <w:rPr>
          <w:sz w:val="20"/>
          <w:szCs w:val="20"/>
          <w:color w:val="auto"/>
        </w:rPr>
      </w:pPr>
    </w:p>
    <w:p>
      <w:pPr>
        <w:ind w:left="620" w:right="20" w:hanging="777"/>
        <w:spacing w:after="0" w:line="293" w:lineRule="auto"/>
        <w:tabs>
          <w:tab w:leader="none" w:pos="600" w:val="left"/>
        </w:tabs>
        <w:rPr>
          <w:sz w:val="20"/>
          <w:szCs w:val="20"/>
          <w:color w:val="auto"/>
        </w:rPr>
      </w:pPr>
      <w:r>
        <w:rPr>
          <w:rFonts w:ascii="Arial" w:cs="Arial" w:eastAsia="Arial" w:hAnsi="Arial"/>
          <w:sz w:val="18"/>
          <w:szCs w:val="18"/>
          <w:color w:val="auto"/>
        </w:rPr>
        <w:t>21.2</w:t>
        <w:tab/>
        <w:t>The Company’s disciplinary and grievance procedures do not form part of your terms and conditions of employment. Copies of the disciplinary and grievance procedures applicable to you are available from the Human Resources department.</w:t>
      </w:r>
    </w:p>
    <w:p>
      <w:pPr>
        <w:spacing w:after="0" w:line="183" w:lineRule="exact"/>
        <w:rPr>
          <w:sz w:val="20"/>
          <w:szCs w:val="20"/>
          <w:color w:val="auto"/>
        </w:rPr>
      </w:pPr>
    </w:p>
    <w:p>
      <w:pPr>
        <w:ind w:left="560" w:hanging="777"/>
        <w:spacing w:after="0" w:line="293" w:lineRule="auto"/>
        <w:tabs>
          <w:tab w:leader="none" w:pos="540" w:val="left"/>
        </w:tabs>
        <w:rPr>
          <w:sz w:val="20"/>
          <w:szCs w:val="20"/>
          <w:color w:val="auto"/>
        </w:rPr>
      </w:pPr>
      <w:r>
        <w:rPr>
          <w:rFonts w:ascii="Arial" w:cs="Arial" w:eastAsia="Arial" w:hAnsi="Arial"/>
          <w:sz w:val="18"/>
          <w:szCs w:val="18"/>
          <w:color w:val="auto"/>
        </w:rPr>
        <w:t>21.3</w:t>
        <w:tab/>
        <w:t>You should refer any grievance relating to your employment or complaint about any disciplinary action taken against you to the Human Resources department.</w:t>
      </w:r>
    </w:p>
    <w:p>
      <w:pPr>
        <w:spacing w:after="0" w:line="156"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20"/>
          <w:szCs w:val="20"/>
          <w:b w:val="1"/>
          <w:bCs w:val="1"/>
          <w:color w:val="auto"/>
        </w:rPr>
        <w:t>Termination</w:t>
      </w:r>
    </w:p>
    <w:p>
      <w:pPr>
        <w:spacing w:after="0" w:line="256" w:lineRule="exact"/>
        <w:rPr>
          <w:sz w:val="20"/>
          <w:szCs w:val="20"/>
          <w:color w:val="auto"/>
        </w:rPr>
      </w:pPr>
    </w:p>
    <w:p>
      <w:pPr>
        <w:ind w:left="720" w:hanging="777"/>
        <w:spacing w:after="0" w:line="293" w:lineRule="auto"/>
        <w:tabs>
          <w:tab w:leader="none" w:pos="7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Subject to the terms and conditions of the Participation Agreement, to the extent applicable save where your employment is terminated under clauses 3 or 21.2:</w:t>
      </w:r>
    </w:p>
    <w:p>
      <w:pPr>
        <w:spacing w:after="0" w:line="183" w:lineRule="exact"/>
        <w:rPr>
          <w:sz w:val="20"/>
          <w:szCs w:val="20"/>
          <w:color w:val="auto"/>
        </w:rPr>
      </w:pPr>
    </w:p>
    <w:p>
      <w:pPr>
        <w:jc w:val="both"/>
        <w:ind w:left="1540" w:hanging="1036"/>
        <w:spacing w:after="0" w:line="287" w:lineRule="auto"/>
        <w:tabs>
          <w:tab w:leader="none" w:pos="1520" w:val="left"/>
        </w:tabs>
        <w:rPr>
          <w:sz w:val="20"/>
          <w:szCs w:val="20"/>
          <w:color w:val="auto"/>
        </w:rPr>
      </w:pPr>
      <w:r>
        <w:rPr>
          <w:rFonts w:ascii="Arial" w:cs="Arial" w:eastAsia="Arial" w:hAnsi="Arial"/>
          <w:sz w:val="18"/>
          <w:szCs w:val="18"/>
          <w:color w:val="auto"/>
        </w:rPr>
        <w:t>22.1.1</w:t>
        <w:tab/>
        <w:t>the Company may terminate your employment by giving the amount of prior written notice required by applicable law if such termination occurs prior to January 1, 2023 and pursuant to the Participation Agreement. Following January 1, 2023, the Company may only terminate your employment by giving you six (6) months’ prior written notice;</w:t>
      </w:r>
    </w:p>
    <w:p>
      <w:pPr>
        <w:spacing w:after="0" w:line="175" w:lineRule="exact"/>
        <w:rPr>
          <w:sz w:val="20"/>
          <w:szCs w:val="20"/>
          <w:color w:val="auto"/>
        </w:rPr>
      </w:pPr>
    </w:p>
    <w:p>
      <w:pPr>
        <w:jc w:val="both"/>
        <w:ind w:left="1480" w:hanging="1036"/>
        <w:spacing w:after="0" w:line="287" w:lineRule="auto"/>
        <w:tabs>
          <w:tab w:leader="none" w:pos="1460" w:val="left"/>
        </w:tabs>
        <w:rPr>
          <w:sz w:val="20"/>
          <w:szCs w:val="20"/>
          <w:color w:val="auto"/>
        </w:rPr>
      </w:pPr>
      <w:r>
        <w:rPr>
          <w:rFonts w:ascii="Arial" w:cs="Arial" w:eastAsia="Arial" w:hAnsi="Arial"/>
          <w:sz w:val="18"/>
          <w:szCs w:val="18"/>
          <w:color w:val="auto"/>
        </w:rPr>
        <w:t>22.1.2</w:t>
        <w:tab/>
        <w:t>you may terminate your employment by giving 30 days’ prior written notice to the Company if such termination occurs prior to January 1, 2023 and pursuant to the Participation Agreement. Following January 1, 2023, you may only terminate your employment by providing six (6) months’ prior written notice to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11" w:lineRule="exact"/>
        <w:rPr>
          <w:sz w:val="20"/>
          <w:szCs w:val="20"/>
          <w:color w:val="auto"/>
        </w:rPr>
      </w:pPr>
    </w:p>
    <w:p>
      <w:pPr>
        <w:jc w:val="both"/>
        <w:ind w:left="1520" w:hanging="1036"/>
        <w:spacing w:after="0" w:line="287" w:lineRule="auto"/>
        <w:tabs>
          <w:tab w:leader="none" w:pos="1500" w:val="left"/>
        </w:tabs>
        <w:rPr>
          <w:sz w:val="20"/>
          <w:szCs w:val="20"/>
          <w:color w:val="auto"/>
        </w:rPr>
      </w:pPr>
      <w:r>
        <w:rPr>
          <w:rFonts w:ascii="Arial" w:cs="Arial" w:eastAsia="Arial" w:hAnsi="Arial"/>
          <w:sz w:val="18"/>
          <w:szCs w:val="18"/>
          <w:color w:val="auto"/>
        </w:rPr>
        <w:t>22.1.3</w:t>
        <w:tab/>
        <w:t>If you incur an involuntary termination by the Company following the expiration of the Participation Agreement, subject to your execution and non-revocation of a release of claims in a form provided by the Company, you shall receive the following benefits:</w:t>
      </w:r>
    </w:p>
    <w:p>
      <w:pPr>
        <w:spacing w:after="0" w:line="175" w:lineRule="exact"/>
        <w:rPr>
          <w:sz w:val="20"/>
          <w:szCs w:val="20"/>
          <w:color w:val="auto"/>
        </w:rPr>
      </w:pPr>
    </w:p>
    <w:p>
      <w:pPr>
        <w:jc w:val="both"/>
        <w:ind w:left="2700" w:hanging="1295"/>
        <w:spacing w:after="0" w:line="293" w:lineRule="auto"/>
        <w:tabs>
          <w:tab w:leader="none" w:pos="2680" w:val="left"/>
        </w:tabs>
        <w:rPr>
          <w:sz w:val="20"/>
          <w:szCs w:val="20"/>
          <w:color w:val="auto"/>
        </w:rPr>
      </w:pPr>
      <w:r>
        <w:rPr>
          <w:rFonts w:ascii="Arial" w:cs="Arial" w:eastAsia="Arial" w:hAnsi="Arial"/>
          <w:sz w:val="18"/>
          <w:szCs w:val="18"/>
          <w:color w:val="auto"/>
        </w:rPr>
        <w:t>22.1.3.1</w:t>
        <w:tab/>
        <w:t>Notice Period. You shall be entitled to receive the six (6) months’ notice of termination from the Company as provided for under clause 21.1.1 above.</w:t>
      </w:r>
    </w:p>
    <w:p>
      <w:pPr>
        <w:spacing w:after="0" w:line="183" w:lineRule="exact"/>
        <w:rPr>
          <w:sz w:val="20"/>
          <w:szCs w:val="20"/>
          <w:color w:val="auto"/>
        </w:rPr>
      </w:pPr>
    </w:p>
    <w:p>
      <w:pPr>
        <w:jc w:val="both"/>
        <w:ind w:left="2700" w:hanging="1295"/>
        <w:spacing w:after="0" w:line="285" w:lineRule="auto"/>
        <w:tabs>
          <w:tab w:leader="none" w:pos="2680" w:val="left"/>
        </w:tabs>
        <w:rPr>
          <w:sz w:val="20"/>
          <w:szCs w:val="20"/>
          <w:color w:val="auto"/>
        </w:rPr>
      </w:pPr>
      <w:r>
        <w:rPr>
          <w:rFonts w:ascii="Arial" w:cs="Arial" w:eastAsia="Arial" w:hAnsi="Arial"/>
          <w:sz w:val="18"/>
          <w:szCs w:val="18"/>
          <w:color w:val="auto"/>
        </w:rPr>
        <w:t>22.1.3.2</w:t>
        <w:tab/>
        <w:t>Health Insurance. The Company will pay to you in monthly instalments a fully taxable cash payment equal to the premium paid by the Company for your (and your covered dependents, as applicable) health insurance coverage in effect on the termination date until the earliest of: (1) the end of the 12 month period following the date on which your employment terminates; or (2) the date when you become eligible for substantially equivalent health insurance coverage in connection with any new employment..</w:t>
      </w:r>
    </w:p>
    <w:p>
      <w:pPr>
        <w:spacing w:after="0" w:line="200" w:lineRule="exact"/>
        <w:rPr>
          <w:sz w:val="20"/>
          <w:szCs w:val="20"/>
          <w:color w:val="auto"/>
        </w:rPr>
      </w:pPr>
    </w:p>
    <w:p>
      <w:pPr>
        <w:spacing w:after="0" w:line="23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The Company may terminate your employment without notice (and without payment in lieu of notice) if:</w:t>
      </w:r>
    </w:p>
    <w:p>
      <w:pPr>
        <w:spacing w:after="0" w:line="225"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color w:val="auto"/>
        </w:rPr>
        <w:t>22.2.1</w:t>
      </w:r>
      <w:r>
        <w:rPr>
          <w:sz w:val="20"/>
          <w:szCs w:val="20"/>
          <w:color w:val="auto"/>
        </w:rPr>
        <w:tab/>
      </w:r>
      <w:r>
        <w:rPr>
          <w:rFonts w:ascii="Arial" w:cs="Arial" w:eastAsia="Arial" w:hAnsi="Arial"/>
          <w:sz w:val="17"/>
          <w:szCs w:val="17"/>
          <w:color w:val="auto"/>
        </w:rPr>
        <w:t>you commit, in the reasonable belief of the Board, an act of gross misconduct;</w:t>
      </w:r>
    </w:p>
    <w:p>
      <w:pPr>
        <w:spacing w:after="0" w:line="239" w:lineRule="exact"/>
        <w:rPr>
          <w:sz w:val="20"/>
          <w:szCs w:val="20"/>
          <w:color w:val="auto"/>
        </w:rPr>
      </w:pPr>
    </w:p>
    <w:p>
      <w:pPr>
        <w:jc w:val="both"/>
        <w:ind w:left="1520" w:hanging="1036"/>
        <w:spacing w:after="0" w:line="285" w:lineRule="auto"/>
        <w:tabs>
          <w:tab w:leader="none" w:pos="1500" w:val="left"/>
        </w:tabs>
        <w:rPr>
          <w:sz w:val="20"/>
          <w:szCs w:val="20"/>
          <w:color w:val="auto"/>
        </w:rPr>
      </w:pPr>
      <w:r>
        <w:rPr>
          <w:rFonts w:ascii="Arial" w:cs="Arial" w:eastAsia="Arial" w:hAnsi="Arial"/>
          <w:sz w:val="18"/>
          <w:szCs w:val="18"/>
          <w:color w:val="auto"/>
        </w:rPr>
        <w:t>22.2.2</w:t>
        <w:tab/>
        <w:t>you either commit any serious breach or (after warning) repeat or continue any material breach of your obligations under this agreement or persistently fail or neglect to carry out your duties under this agreement or fail to maintain a satisfactory standard of conduct or performance within a reasonable time after receiving written warning from the Board relating to your conduct and/or performance;</w:t>
      </w:r>
    </w:p>
    <w:p>
      <w:pPr>
        <w:spacing w:after="0" w:line="191" w:lineRule="exact"/>
        <w:rPr>
          <w:sz w:val="20"/>
          <w:szCs w:val="20"/>
          <w:color w:val="auto"/>
        </w:rPr>
      </w:pPr>
    </w:p>
    <w:p>
      <w:pPr>
        <w:jc w:val="both"/>
        <w:ind w:left="1500" w:hanging="1036"/>
        <w:spacing w:after="0" w:line="287" w:lineRule="auto"/>
        <w:tabs>
          <w:tab w:leader="none" w:pos="1480" w:val="left"/>
        </w:tabs>
        <w:rPr>
          <w:sz w:val="20"/>
          <w:szCs w:val="20"/>
          <w:color w:val="auto"/>
        </w:rPr>
      </w:pPr>
      <w:r>
        <w:rPr>
          <w:rFonts w:ascii="Arial" w:cs="Arial" w:eastAsia="Arial" w:hAnsi="Arial"/>
          <w:sz w:val="18"/>
          <w:szCs w:val="18"/>
          <w:color w:val="auto"/>
        </w:rPr>
        <w:t>22.2.3</w:t>
        <w:tab/>
        <w:t>you are guilty of fraud, dishonesty or conduct (whether or not in the course of your employment) tending to bring yourself, the Company or any Group Company into disrepute or otherwise to affect prejudicially the interests of the Company or any Group Company;</w:t>
      </w:r>
    </w:p>
    <w:p>
      <w:pPr>
        <w:spacing w:after="0" w:line="175" w:lineRule="exact"/>
        <w:rPr>
          <w:sz w:val="20"/>
          <w:szCs w:val="20"/>
          <w:color w:val="auto"/>
        </w:rPr>
      </w:pPr>
    </w:p>
    <w:p>
      <w:pPr>
        <w:jc w:val="both"/>
        <w:ind w:left="1500" w:hanging="1036"/>
        <w:spacing w:after="0" w:line="293" w:lineRule="auto"/>
        <w:tabs>
          <w:tab w:leader="none" w:pos="1480" w:val="left"/>
        </w:tabs>
        <w:rPr>
          <w:sz w:val="20"/>
          <w:szCs w:val="20"/>
          <w:color w:val="auto"/>
        </w:rPr>
      </w:pPr>
      <w:r>
        <w:rPr>
          <w:rFonts w:ascii="Arial" w:cs="Arial" w:eastAsia="Arial" w:hAnsi="Arial"/>
          <w:sz w:val="18"/>
          <w:szCs w:val="18"/>
          <w:color w:val="auto"/>
        </w:rPr>
        <w:t>22.2.4</w:t>
        <w:tab/>
        <w:t>you are declared bankrupt, compound with your creditors or enter into a voluntary arrangement with your creditors or have had an interim order made against you under the Insolvency Act 1986;</w:t>
      </w:r>
    </w:p>
    <w:p>
      <w:pPr>
        <w:spacing w:after="0" w:line="183" w:lineRule="exact"/>
        <w:rPr>
          <w:sz w:val="20"/>
          <w:szCs w:val="20"/>
          <w:color w:val="auto"/>
        </w:rPr>
      </w:pPr>
    </w:p>
    <w:p>
      <w:pPr>
        <w:jc w:val="both"/>
        <w:ind w:left="1560" w:hanging="1036"/>
        <w:spacing w:after="0" w:line="293" w:lineRule="auto"/>
        <w:tabs>
          <w:tab w:leader="none" w:pos="1540" w:val="left"/>
        </w:tabs>
        <w:rPr>
          <w:sz w:val="20"/>
          <w:szCs w:val="20"/>
          <w:color w:val="auto"/>
        </w:rPr>
      </w:pPr>
      <w:r>
        <w:rPr>
          <w:rFonts w:ascii="Arial" w:cs="Arial" w:eastAsia="Arial" w:hAnsi="Arial"/>
          <w:sz w:val="18"/>
          <w:szCs w:val="18"/>
          <w:color w:val="auto"/>
        </w:rPr>
        <w:t>22.2.5</w:t>
        <w:tab/>
        <w:t>you are convicted of any criminal offence (excluding an offence under road traffic legislation in the United Kingdom or elsewhere in respect of which a custodial sentence is not imposed on you);</w:t>
      </w:r>
    </w:p>
    <w:p>
      <w:pPr>
        <w:spacing w:after="0" w:line="18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color w:val="auto"/>
        </w:rPr>
        <w:t>22.2.6</w:t>
        <w:tab/>
        <w:t>you become prohibited by law from being a director of any company;</w:t>
      </w:r>
    </w:p>
    <w:p>
      <w:pPr>
        <w:spacing w:after="0" w:line="225" w:lineRule="exact"/>
        <w:rPr>
          <w:sz w:val="20"/>
          <w:szCs w:val="20"/>
          <w:color w:val="auto"/>
        </w:rPr>
      </w:pPr>
    </w:p>
    <w:p>
      <w:pPr>
        <w:jc w:val="both"/>
        <w:ind w:left="1580" w:hanging="1036"/>
        <w:spacing w:after="0" w:line="287" w:lineRule="auto"/>
        <w:tabs>
          <w:tab w:leader="none" w:pos="1560" w:val="left"/>
        </w:tabs>
        <w:rPr>
          <w:sz w:val="20"/>
          <w:szCs w:val="20"/>
          <w:color w:val="auto"/>
        </w:rPr>
      </w:pPr>
      <w:r>
        <w:rPr>
          <w:rFonts w:ascii="Arial" w:cs="Arial" w:eastAsia="Arial" w:hAnsi="Arial"/>
          <w:sz w:val="18"/>
          <w:szCs w:val="18"/>
          <w:color w:val="auto"/>
        </w:rPr>
        <w:t>22.2.7</w:t>
      </w:r>
      <w:r>
        <w:rPr>
          <w:sz w:val="20"/>
          <w:szCs w:val="20"/>
          <w:color w:val="auto"/>
        </w:rPr>
        <w:tab/>
      </w:r>
      <w:r>
        <w:rPr>
          <w:rFonts w:ascii="Arial" w:cs="Arial" w:eastAsia="Arial" w:hAnsi="Arial"/>
          <w:sz w:val="18"/>
          <w:szCs w:val="18"/>
          <w:color w:val="auto"/>
        </w:rPr>
        <w:t>you are prevented by illness or accident or other incapacity from properly performing your duties for a period of 180 working days in any fifty-two consecutive weeks notwithstanding that you may remain entitled to payment during absence due to any illness, accident or other incapacity pursuant to clause 16.1 or clause 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11"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color w:val="auto"/>
        </w:rPr>
        <w:t>22.2.8</w:t>
      </w:r>
      <w:r>
        <w:rPr>
          <w:sz w:val="20"/>
          <w:szCs w:val="20"/>
          <w:color w:val="auto"/>
        </w:rPr>
        <w:tab/>
      </w:r>
      <w:r>
        <w:rPr>
          <w:rFonts w:ascii="Arial" w:cs="Arial" w:eastAsia="Arial" w:hAnsi="Arial"/>
          <w:sz w:val="17"/>
          <w:szCs w:val="17"/>
          <w:color w:val="auto"/>
        </w:rPr>
        <w:t>for any reason you (otherwise than at the request of the Company) resign as a director of the Company; and</w:t>
      </w:r>
    </w:p>
    <w:p>
      <w:pPr>
        <w:spacing w:after="0" w:line="225" w:lineRule="exact"/>
        <w:rPr>
          <w:sz w:val="20"/>
          <w:szCs w:val="20"/>
          <w:color w:val="auto"/>
        </w:rPr>
      </w:pPr>
    </w:p>
    <w:p>
      <w:pPr>
        <w:ind w:left="1600" w:hanging="1036"/>
        <w:spacing w:after="0" w:line="293" w:lineRule="auto"/>
        <w:tabs>
          <w:tab w:leader="none" w:pos="1580" w:val="left"/>
        </w:tabs>
        <w:rPr>
          <w:sz w:val="20"/>
          <w:szCs w:val="20"/>
          <w:color w:val="auto"/>
        </w:rPr>
      </w:pPr>
      <w:r>
        <w:rPr>
          <w:rFonts w:ascii="Arial" w:cs="Arial" w:eastAsia="Arial" w:hAnsi="Arial"/>
          <w:sz w:val="18"/>
          <w:szCs w:val="18"/>
          <w:color w:val="auto"/>
        </w:rPr>
        <w:t>22.2.9</w:t>
      </w:r>
      <w:r>
        <w:rPr>
          <w:sz w:val="20"/>
          <w:szCs w:val="20"/>
          <w:color w:val="auto"/>
        </w:rPr>
        <w:tab/>
      </w:r>
      <w:r>
        <w:rPr>
          <w:rFonts w:ascii="Arial" w:cs="Arial" w:eastAsia="Arial" w:hAnsi="Arial"/>
          <w:sz w:val="18"/>
          <w:szCs w:val="18"/>
          <w:color w:val="auto"/>
        </w:rPr>
        <w:t>you commit an offence relating to insider dealing, commit market abuse or are in breach of the rules of any authority or regulatory organisation which apply to you.</w:t>
      </w:r>
    </w:p>
    <w:p>
      <w:pPr>
        <w:spacing w:after="0" w:line="1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22.3</w:t>
        <w:tab/>
        <w:t>Any delay in exercising a right to terminate shall not constitute a waiver of that right.</w:t>
      </w:r>
    </w:p>
    <w:p>
      <w:pPr>
        <w:spacing w:after="0" w:line="239" w:lineRule="exact"/>
        <w:rPr>
          <w:sz w:val="20"/>
          <w:szCs w:val="20"/>
          <w:color w:val="auto"/>
        </w:rPr>
      </w:pPr>
    </w:p>
    <w:p>
      <w:pPr>
        <w:jc w:val="both"/>
        <w:ind w:left="580" w:hanging="777"/>
        <w:spacing w:after="0" w:line="293" w:lineRule="auto"/>
        <w:tabs>
          <w:tab w:leader="none" w:pos="560" w:val="left"/>
        </w:tabs>
        <w:rPr>
          <w:sz w:val="20"/>
          <w:szCs w:val="20"/>
          <w:color w:val="auto"/>
        </w:rPr>
      </w:pPr>
      <w:r>
        <w:rPr>
          <w:rFonts w:ascii="Arial" w:cs="Arial" w:eastAsia="Arial" w:hAnsi="Arial"/>
          <w:sz w:val="18"/>
          <w:szCs w:val="18"/>
          <w:color w:val="auto"/>
        </w:rPr>
        <w:t>22.4</w:t>
        <w:tab/>
        <w:t>The termination by the Company of your employment shall be without prejudice to any other rights or remedies that the Company or any Group Company may have or be entitled to exercise against you.</w:t>
      </w:r>
    </w:p>
    <w:p>
      <w:pPr>
        <w:spacing w:after="0" w:line="170" w:lineRule="exact"/>
        <w:rPr>
          <w:sz w:val="20"/>
          <w:szCs w:val="20"/>
          <w:color w:val="auto"/>
        </w:rPr>
      </w:pPr>
    </w:p>
    <w:p>
      <w:pPr>
        <w:jc w:val="both"/>
        <w:ind w:left="600" w:hanging="777"/>
        <w:spacing w:after="0" w:line="285" w:lineRule="auto"/>
        <w:tabs>
          <w:tab w:leader="none" w:pos="580" w:val="left"/>
        </w:tabs>
        <w:rPr>
          <w:sz w:val="20"/>
          <w:szCs w:val="20"/>
          <w:color w:val="auto"/>
        </w:rPr>
      </w:pPr>
      <w:r>
        <w:rPr>
          <w:rFonts w:ascii="Arial" w:cs="Arial" w:eastAsia="Arial" w:hAnsi="Arial"/>
          <w:sz w:val="18"/>
          <w:szCs w:val="18"/>
          <w:color w:val="auto"/>
        </w:rPr>
        <w:t>22.5</w:t>
        <w:tab/>
        <w:t>If your employment is terminated for the purpose of reconstruction or amalgamation only, whether by reason of the liquidation of the Company or otherwise and you are offered employment with any undertaking resulting from this reconstruction or amalgamation on terms and conditions no less favourable than the terms of this agreement, you shall have no claim against the Company for the termination of your employment.</w:t>
      </w:r>
    </w:p>
    <w:p>
      <w:pPr>
        <w:spacing w:after="0" w:line="191" w:lineRule="exact"/>
        <w:rPr>
          <w:sz w:val="20"/>
          <w:szCs w:val="20"/>
          <w:color w:val="auto"/>
        </w:rPr>
      </w:pPr>
    </w:p>
    <w:p>
      <w:pPr>
        <w:jc w:val="both"/>
        <w:ind w:left="620" w:hanging="777"/>
        <w:spacing w:after="0" w:line="283" w:lineRule="auto"/>
        <w:tabs>
          <w:tab w:leader="none" w:pos="600" w:val="left"/>
        </w:tabs>
        <w:rPr>
          <w:sz w:val="20"/>
          <w:szCs w:val="20"/>
          <w:color w:val="auto"/>
        </w:rPr>
      </w:pPr>
      <w:r>
        <w:rPr>
          <w:rFonts w:ascii="Arial" w:cs="Arial" w:eastAsia="Arial" w:hAnsi="Arial"/>
          <w:sz w:val="18"/>
          <w:szCs w:val="18"/>
          <w:color w:val="auto"/>
        </w:rPr>
        <w:t>22.6</w:t>
        <w:tab/>
        <w:t>This clause applies if you subscribe for or are awarded shares in the Company or any Group Company or participate in any share option, restricted share, restricted share unit, long term incentive or any other form of profit sharing, incentive, bonus or equity plan or arrangement (each, an “</w:t>
      </w:r>
      <w:r>
        <w:rPr>
          <w:rFonts w:ascii="Arial" w:cs="Arial" w:eastAsia="Arial" w:hAnsi="Arial"/>
          <w:sz w:val="18"/>
          <w:szCs w:val="18"/>
          <w:b w:val="1"/>
          <w:bCs w:val="1"/>
          <w:color w:val="auto"/>
        </w:rPr>
        <w:t>Incentive</w:t>
      </w:r>
      <w:r>
        <w:rPr>
          <w:rFonts w:ascii="Arial" w:cs="Arial" w:eastAsia="Arial" w:hAnsi="Arial"/>
          <w:sz w:val="18"/>
          <w:szCs w:val="18"/>
          <w:color w:val="auto"/>
        </w:rPr>
        <w:t>”) or may do so. Upon termination of your employment (whether lawful or unlawful), your rights (if any) in respect of each Incentive shall be solely determined by the applicable rules or other documents governing each Incentive and you hereby irrevocably waive any other claims or rights in respect of the loss of any rights or benefits under or in respect of any Incentive granted or not yet granted to you (including any loss relating to the lapse of, or your ineligibility to exercise, any share options, the value of any shares, the operation of any compulsory transfer provisions or the operation of any vesting criteria).</w:t>
      </w:r>
    </w:p>
    <w:p>
      <w:pPr>
        <w:spacing w:after="0" w:line="182" w:lineRule="exact"/>
        <w:rPr>
          <w:sz w:val="20"/>
          <w:szCs w:val="20"/>
          <w:color w:val="auto"/>
        </w:rPr>
      </w:pPr>
    </w:p>
    <w:p>
      <w:pPr>
        <w:ind w:left="400" w:hanging="392"/>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20"/>
          <w:szCs w:val="20"/>
          <w:b w:val="1"/>
          <w:bCs w:val="1"/>
          <w:color w:val="auto"/>
        </w:rPr>
        <w:t>Garden leave</w:t>
      </w:r>
    </w:p>
    <w:p>
      <w:pPr>
        <w:spacing w:after="0" w:line="24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At any time you agree:</w:t>
      </w:r>
    </w:p>
    <w:p>
      <w:pPr>
        <w:spacing w:after="0" w:line="239"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color w:val="auto"/>
        </w:rPr>
        <w:t>23.1.1</w:t>
        <w:tab/>
        <w:t>that for the period of notice in clause 22.1.1 or any part thereof the Board may in its absolute discretion:</w:t>
      </w:r>
    </w:p>
    <w:p>
      <w:pPr>
        <w:spacing w:after="0" w:line="239" w:lineRule="exact"/>
        <w:rPr>
          <w:sz w:val="20"/>
          <w:szCs w:val="20"/>
          <w:color w:val="auto"/>
        </w:rPr>
      </w:pPr>
    </w:p>
    <w:p>
      <w:pPr>
        <w:jc w:val="both"/>
        <w:ind w:left="2700" w:hanging="1295"/>
        <w:spacing w:after="0" w:line="293" w:lineRule="auto"/>
        <w:tabs>
          <w:tab w:leader="none" w:pos="2680" w:val="left"/>
        </w:tabs>
        <w:rPr>
          <w:sz w:val="20"/>
          <w:szCs w:val="20"/>
          <w:color w:val="auto"/>
        </w:rPr>
      </w:pPr>
      <w:r>
        <w:rPr>
          <w:rFonts w:ascii="Arial" w:cs="Arial" w:eastAsia="Arial" w:hAnsi="Arial"/>
          <w:sz w:val="18"/>
          <w:szCs w:val="18"/>
          <w:color w:val="auto"/>
        </w:rPr>
        <w:t>23.1.1.1</w:t>
        <w:tab/>
        <w:t>require you to perform only such duties as it may allocate to you (whether or not commensurate with those previously undertaken by you) or not to perform any of your duties;</w:t>
      </w:r>
    </w:p>
    <w:p>
      <w:pPr>
        <w:spacing w:after="0" w:line="170" w:lineRule="exact"/>
        <w:rPr>
          <w:sz w:val="20"/>
          <w:szCs w:val="20"/>
          <w:color w:val="auto"/>
        </w:rPr>
      </w:pPr>
    </w:p>
    <w:p>
      <w:pPr>
        <w:jc w:val="both"/>
        <w:ind w:left="2740" w:right="20" w:hanging="1295"/>
        <w:spacing w:after="0" w:line="287" w:lineRule="auto"/>
        <w:tabs>
          <w:tab w:leader="none" w:pos="2720" w:val="left"/>
        </w:tabs>
        <w:rPr>
          <w:sz w:val="20"/>
          <w:szCs w:val="20"/>
          <w:color w:val="auto"/>
        </w:rPr>
      </w:pPr>
      <w:r>
        <w:rPr>
          <w:rFonts w:ascii="Arial" w:cs="Arial" w:eastAsia="Arial" w:hAnsi="Arial"/>
          <w:sz w:val="18"/>
          <w:szCs w:val="18"/>
          <w:color w:val="auto"/>
        </w:rPr>
        <w:t>23.1.1.2</w:t>
        <w:tab/>
        <w:t>require you not to have any contact with customers or clients or suppliers of the Company or any Group Company nor any contact (other than purely social contact) with such employees of the Company or any Group Company as the Board shall determine;</w:t>
      </w:r>
    </w:p>
    <w:p>
      <w:pPr>
        <w:spacing w:after="0" w:line="189" w:lineRule="exact"/>
        <w:rPr>
          <w:sz w:val="20"/>
          <w:szCs w:val="20"/>
          <w:color w:val="auto"/>
        </w:rPr>
      </w:pPr>
    </w:p>
    <w:p>
      <w:pPr>
        <w:jc w:val="center"/>
        <w:ind w:right="180"/>
        <w:spacing w:after="0"/>
        <w:tabs>
          <w:tab w:leader="none" w:pos="180" w:val="left"/>
        </w:tabs>
        <w:rPr>
          <w:sz w:val="20"/>
          <w:szCs w:val="20"/>
          <w:color w:val="auto"/>
        </w:rPr>
      </w:pPr>
      <w:r>
        <w:rPr>
          <w:rFonts w:ascii="Arial" w:cs="Arial" w:eastAsia="Arial" w:hAnsi="Arial"/>
          <w:sz w:val="18"/>
          <w:szCs w:val="18"/>
          <w:color w:val="auto"/>
        </w:rPr>
        <w:t>23.1.1.3</w:t>
      </w:r>
      <w:r>
        <w:rPr>
          <w:sz w:val="20"/>
          <w:szCs w:val="20"/>
          <w:color w:val="auto"/>
        </w:rPr>
        <w:tab/>
      </w:r>
      <w:r>
        <w:rPr>
          <w:rFonts w:ascii="Arial" w:cs="Arial" w:eastAsia="Arial" w:hAnsi="Arial"/>
          <w:sz w:val="17"/>
          <w:szCs w:val="17"/>
          <w:color w:val="auto"/>
        </w:rPr>
        <w:t>require you not to attend any premises of the Company or of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11" w:lineRule="exact"/>
        <w:rPr>
          <w:sz w:val="20"/>
          <w:szCs w:val="20"/>
          <w:color w:val="auto"/>
        </w:rPr>
      </w:pPr>
    </w:p>
    <w:p>
      <w:pPr>
        <w:ind w:left="2692" w:hanging="1295"/>
        <w:spacing w:after="0" w:line="293" w:lineRule="auto"/>
        <w:tabs>
          <w:tab w:leader="none" w:pos="2672" w:val="left"/>
        </w:tabs>
        <w:rPr>
          <w:sz w:val="20"/>
          <w:szCs w:val="20"/>
          <w:color w:val="auto"/>
        </w:rPr>
      </w:pPr>
      <w:r>
        <w:rPr>
          <w:rFonts w:ascii="Arial" w:cs="Arial" w:eastAsia="Arial" w:hAnsi="Arial"/>
          <w:sz w:val="18"/>
          <w:szCs w:val="18"/>
          <w:color w:val="auto"/>
        </w:rPr>
        <w:t>23.1.1.4</w:t>
        <w:tab/>
        <w:t>require you forthwith to resign as a director of the Company or any Group Company (without providing any reason for doing so);</w:t>
      </w:r>
    </w:p>
    <w:p>
      <w:pPr>
        <w:spacing w:after="0" w:line="170" w:lineRule="exact"/>
        <w:rPr>
          <w:sz w:val="20"/>
          <w:szCs w:val="20"/>
          <w:color w:val="auto"/>
        </w:rPr>
      </w:pPr>
    </w:p>
    <w:p>
      <w:pPr>
        <w:ind w:left="1812"/>
        <w:spacing w:after="0"/>
        <w:tabs>
          <w:tab w:leader="none" w:pos="2652" w:val="left"/>
        </w:tabs>
        <w:rPr>
          <w:sz w:val="20"/>
          <w:szCs w:val="20"/>
          <w:color w:val="auto"/>
        </w:rPr>
      </w:pPr>
      <w:r>
        <w:rPr>
          <w:rFonts w:ascii="Arial" w:cs="Arial" w:eastAsia="Arial" w:hAnsi="Arial"/>
          <w:sz w:val="18"/>
          <w:szCs w:val="18"/>
          <w:color w:val="auto"/>
        </w:rPr>
        <w:t>23.1.1.5</w:t>
      </w:r>
      <w:r>
        <w:rPr>
          <w:sz w:val="20"/>
          <w:szCs w:val="20"/>
          <w:color w:val="auto"/>
        </w:rPr>
        <w:tab/>
      </w:r>
      <w:r>
        <w:rPr>
          <w:rFonts w:ascii="Arial" w:cs="Arial" w:eastAsia="Arial" w:hAnsi="Arial"/>
          <w:sz w:val="17"/>
          <w:szCs w:val="17"/>
          <w:color w:val="auto"/>
        </w:rPr>
        <w:t>cease to provide you with access to the Company’s information systems;</w:t>
      </w:r>
    </w:p>
    <w:p>
      <w:pPr>
        <w:spacing w:after="0" w:line="239" w:lineRule="exact"/>
        <w:rPr>
          <w:sz w:val="20"/>
          <w:szCs w:val="20"/>
          <w:color w:val="auto"/>
        </w:rPr>
      </w:pPr>
    </w:p>
    <w:p>
      <w:pPr>
        <w:ind w:left="1812"/>
        <w:spacing w:after="0"/>
        <w:tabs>
          <w:tab w:leader="none" w:pos="2652" w:val="left"/>
        </w:tabs>
        <w:rPr>
          <w:sz w:val="20"/>
          <w:szCs w:val="20"/>
          <w:color w:val="auto"/>
        </w:rPr>
      </w:pPr>
      <w:r>
        <w:rPr>
          <w:rFonts w:ascii="Arial" w:cs="Arial" w:eastAsia="Arial" w:hAnsi="Arial"/>
          <w:sz w:val="18"/>
          <w:szCs w:val="18"/>
          <w:color w:val="auto"/>
        </w:rPr>
        <w:t>23.1.1.6</w:t>
      </w:r>
      <w:r>
        <w:rPr>
          <w:sz w:val="20"/>
          <w:szCs w:val="20"/>
          <w:color w:val="auto"/>
        </w:rPr>
        <w:tab/>
      </w:r>
      <w:r>
        <w:rPr>
          <w:rFonts w:ascii="Arial" w:cs="Arial" w:eastAsia="Arial" w:hAnsi="Arial"/>
          <w:sz w:val="17"/>
          <w:szCs w:val="17"/>
          <w:color w:val="auto"/>
        </w:rPr>
        <w:t>require you to take any accrued holiday due to you; and/or</w:t>
      </w:r>
    </w:p>
    <w:p>
      <w:pPr>
        <w:spacing w:after="0" w:line="239" w:lineRule="exact"/>
        <w:rPr>
          <w:sz w:val="20"/>
          <w:szCs w:val="20"/>
          <w:color w:val="auto"/>
        </w:rPr>
      </w:pPr>
    </w:p>
    <w:p>
      <w:pPr>
        <w:jc w:val="center"/>
        <w:ind w:right="-151"/>
        <w:spacing w:after="0"/>
        <w:tabs>
          <w:tab w:leader="none" w:pos="180" w:val="left"/>
        </w:tabs>
        <w:rPr>
          <w:sz w:val="20"/>
          <w:szCs w:val="20"/>
          <w:color w:val="auto"/>
        </w:rPr>
      </w:pPr>
      <w:r>
        <w:rPr>
          <w:rFonts w:ascii="Arial" w:cs="Arial" w:eastAsia="Arial" w:hAnsi="Arial"/>
          <w:sz w:val="18"/>
          <w:szCs w:val="18"/>
          <w:color w:val="auto"/>
        </w:rPr>
        <w:t>23.1.1.7</w:t>
      </w:r>
      <w:r>
        <w:rPr>
          <w:sz w:val="20"/>
          <w:szCs w:val="20"/>
          <w:color w:val="auto"/>
        </w:rPr>
        <w:tab/>
      </w:r>
      <w:r>
        <w:rPr>
          <w:rFonts w:ascii="Arial" w:cs="Arial" w:eastAsia="Arial" w:hAnsi="Arial"/>
          <w:sz w:val="17"/>
          <w:szCs w:val="17"/>
          <w:color w:val="auto"/>
        </w:rPr>
        <w:t>appoint another person to perform your responsibilities jointly with you or in your place;</w:t>
      </w:r>
    </w:p>
    <w:p>
      <w:pPr>
        <w:spacing w:after="0" w:line="225" w:lineRule="exact"/>
        <w:rPr>
          <w:sz w:val="20"/>
          <w:szCs w:val="20"/>
          <w:color w:val="auto"/>
        </w:rPr>
      </w:pPr>
    </w:p>
    <w:p>
      <w:pPr>
        <w:ind w:left="1512" w:hanging="1036"/>
        <w:spacing w:after="0" w:line="293" w:lineRule="auto"/>
        <w:tabs>
          <w:tab w:leader="none" w:pos="1492" w:val="left"/>
        </w:tabs>
        <w:rPr>
          <w:sz w:val="20"/>
          <w:szCs w:val="20"/>
          <w:color w:val="auto"/>
        </w:rPr>
      </w:pPr>
      <w:r>
        <w:rPr>
          <w:rFonts w:ascii="Arial" w:cs="Arial" w:eastAsia="Arial" w:hAnsi="Arial"/>
          <w:sz w:val="18"/>
          <w:szCs w:val="18"/>
          <w:color w:val="auto"/>
        </w:rPr>
        <w:t>23.1.2</w:t>
        <w:tab/>
        <w:t>that such action on the part of the Company shall not constitute a breach of this agreement nor shall you have any claim against the Company in respect of any such action; and</w:t>
      </w:r>
    </w:p>
    <w:p>
      <w:pPr>
        <w:spacing w:after="0" w:line="183" w:lineRule="exact"/>
        <w:rPr>
          <w:sz w:val="20"/>
          <w:szCs w:val="20"/>
          <w:color w:val="auto"/>
        </w:rPr>
      </w:pPr>
    </w:p>
    <w:p>
      <w:pPr>
        <w:ind w:left="1552" w:hanging="1036"/>
        <w:spacing w:after="0" w:line="293" w:lineRule="auto"/>
        <w:tabs>
          <w:tab w:leader="none" w:pos="1532" w:val="left"/>
        </w:tabs>
        <w:rPr>
          <w:sz w:val="20"/>
          <w:szCs w:val="20"/>
          <w:color w:val="auto"/>
        </w:rPr>
      </w:pPr>
      <w:r>
        <w:rPr>
          <w:rFonts w:ascii="Arial" w:cs="Arial" w:eastAsia="Arial" w:hAnsi="Arial"/>
          <w:sz w:val="18"/>
          <w:szCs w:val="18"/>
          <w:color w:val="auto"/>
        </w:rPr>
        <w:t>23.1.3</w:t>
        <w:tab/>
        <w:t>that your obligations to act in good faith and in the best interests of the Company and all Group Companies (including without limitation your obligations under clauses 4.1.2, 4.1.4, 4.1.5, 17, 18 and 19) shall remain in full force and effect,</w:t>
      </w:r>
    </w:p>
    <w:p>
      <w:pPr>
        <w:spacing w:after="0" w:line="183" w:lineRule="exact"/>
        <w:rPr>
          <w:sz w:val="20"/>
          <w:szCs w:val="20"/>
          <w:color w:val="auto"/>
        </w:rPr>
      </w:pPr>
    </w:p>
    <w:p>
      <w:pPr>
        <w:ind w:left="1812" w:right="20"/>
        <w:spacing w:after="0" w:line="293" w:lineRule="auto"/>
        <w:rPr>
          <w:sz w:val="20"/>
          <w:szCs w:val="20"/>
          <w:color w:val="auto"/>
        </w:rPr>
      </w:pPr>
      <w:r>
        <w:rPr>
          <w:rFonts w:ascii="Arial" w:cs="Arial" w:eastAsia="Arial" w:hAnsi="Arial"/>
          <w:sz w:val="18"/>
          <w:szCs w:val="18"/>
          <w:color w:val="auto"/>
        </w:rPr>
        <w:t>provided always that throughout such period the Company shall continue to provide your salary and contractual benefits (except for bonus under clause 6 above) (unless and until your employment is terminated).</w:t>
      </w:r>
    </w:p>
    <w:p>
      <w:pPr>
        <w:spacing w:after="0" w:line="156" w:lineRule="exact"/>
        <w:rPr>
          <w:sz w:val="20"/>
          <w:szCs w:val="20"/>
          <w:color w:val="auto"/>
        </w:rPr>
      </w:pPr>
    </w:p>
    <w:p>
      <w:pPr>
        <w:ind w:left="392" w:hanging="392"/>
        <w:spacing w:after="0"/>
        <w:tabs>
          <w:tab w:leader="none" w:pos="392" w:val="left"/>
        </w:tabs>
        <w:numPr>
          <w:ilvl w:val="0"/>
          <w:numId w:val="77"/>
        </w:numPr>
        <w:rPr>
          <w:rFonts w:ascii="Arial" w:cs="Arial" w:eastAsia="Arial" w:hAnsi="Arial"/>
          <w:sz w:val="18"/>
          <w:szCs w:val="18"/>
          <w:color w:val="auto"/>
        </w:rPr>
      </w:pPr>
      <w:r>
        <w:rPr>
          <w:rFonts w:ascii="Arial" w:cs="Arial" w:eastAsia="Arial" w:hAnsi="Arial"/>
          <w:sz w:val="20"/>
          <w:szCs w:val="20"/>
          <w:b w:val="1"/>
          <w:bCs w:val="1"/>
          <w:color w:val="auto"/>
        </w:rPr>
        <w:t>Payment in lieu of notice</w:t>
      </w:r>
    </w:p>
    <w:p>
      <w:pPr>
        <w:spacing w:after="0" w:line="256" w:lineRule="exact"/>
        <w:rPr>
          <w:sz w:val="20"/>
          <w:szCs w:val="20"/>
          <w:color w:val="auto"/>
        </w:rPr>
      </w:pPr>
    </w:p>
    <w:p>
      <w:pPr>
        <w:jc w:val="both"/>
        <w:ind w:left="552" w:hanging="777"/>
        <w:spacing w:after="0" w:line="283" w:lineRule="auto"/>
        <w:tabs>
          <w:tab w:leader="none" w:pos="532" w:val="left"/>
        </w:tabs>
        <w:rPr>
          <w:sz w:val="20"/>
          <w:szCs w:val="20"/>
          <w:color w:val="auto"/>
        </w:rPr>
      </w:pPr>
      <w:r>
        <w:rPr>
          <w:rFonts w:ascii="Arial" w:cs="Arial" w:eastAsia="Arial" w:hAnsi="Arial"/>
          <w:sz w:val="18"/>
          <w:szCs w:val="18"/>
          <w:color w:val="auto"/>
        </w:rPr>
        <w:t>24.1</w:t>
        <w:tab/>
        <w:t>The Company may at its sole discretion terminate this agreement (or, where notice has been served by you, bring the period of notice to an end) immediately by serving notice in writing on you and in such circumstances: (i) your employment shall terminate with effect from the date of service of such notice on you; and (ii) the Company shall pay you your basic salary only, in lieu of the notice period or any unexpired part of it. For the avoidance of doubt, any such payment shall be in respect of the applicable period of notice set forth in clause 21.1 above. Payment will be made subject to such deductions as are required by law, including for tax and national insurance. The Company’s right to make a payment in lieu of notice in accordance with this clause 24.1 does not give you any right to demand such a payment.</w:t>
      </w:r>
    </w:p>
    <w:p>
      <w:pPr>
        <w:spacing w:after="0" w:line="182" w:lineRule="exact"/>
        <w:rPr>
          <w:sz w:val="20"/>
          <w:szCs w:val="20"/>
          <w:color w:val="auto"/>
        </w:rPr>
      </w:pPr>
    </w:p>
    <w:p>
      <w:pPr>
        <w:ind w:left="392" w:hanging="392"/>
        <w:spacing w:after="0"/>
        <w:tabs>
          <w:tab w:leader="none" w:pos="392" w:val="left"/>
        </w:tabs>
        <w:numPr>
          <w:ilvl w:val="0"/>
          <w:numId w:val="78"/>
        </w:numPr>
        <w:rPr>
          <w:rFonts w:ascii="Arial" w:cs="Arial" w:eastAsia="Arial" w:hAnsi="Arial"/>
          <w:sz w:val="18"/>
          <w:szCs w:val="18"/>
          <w:color w:val="auto"/>
        </w:rPr>
      </w:pPr>
      <w:r>
        <w:rPr>
          <w:rFonts w:ascii="Arial" w:cs="Arial" w:eastAsia="Arial" w:hAnsi="Arial"/>
          <w:sz w:val="20"/>
          <w:szCs w:val="20"/>
          <w:b w:val="1"/>
          <w:bCs w:val="1"/>
          <w:color w:val="auto"/>
        </w:rPr>
        <w:t>Action to be taken upon termination or notice</w:t>
      </w:r>
    </w:p>
    <w:p>
      <w:pPr>
        <w:spacing w:after="0" w:line="242" w:lineRule="exact"/>
        <w:rPr>
          <w:sz w:val="20"/>
          <w:szCs w:val="20"/>
          <w:color w:val="auto"/>
        </w:rPr>
      </w:pPr>
    </w:p>
    <w:p>
      <w:pPr>
        <w:ind w:left="672" w:right="20" w:hanging="777"/>
        <w:spacing w:after="0" w:line="293" w:lineRule="auto"/>
        <w:tabs>
          <w:tab w:leader="none" w:pos="652"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Upon the termination of your employment with the Company or (if the Company so requires) following notice of termination of employment being given by either party you shall immediately:</w:t>
      </w:r>
    </w:p>
    <w:p>
      <w:pPr>
        <w:spacing w:after="0" w:line="183" w:lineRule="exact"/>
        <w:rPr>
          <w:sz w:val="20"/>
          <w:szCs w:val="20"/>
          <w:color w:val="auto"/>
        </w:rPr>
      </w:pPr>
    </w:p>
    <w:p>
      <w:pPr>
        <w:jc w:val="both"/>
        <w:ind w:left="1572" w:hanging="1036"/>
        <w:spacing w:after="0" w:line="284" w:lineRule="auto"/>
        <w:tabs>
          <w:tab w:leader="none" w:pos="1552"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8"/>
          <w:szCs w:val="18"/>
          <w:color w:val="auto"/>
        </w:rPr>
        <w:t>resign without claim for compensation for loss of office (but without prejudice to any claim you may have against the Company arising out of any breach of this agreement by the Company) from such offices held by you in the Company and any Group Company and from any other offices you may hold as nominee or representative of the Company or any Group Company and you irrevocably appoint the Company as your attorney to appoint any other Director of the Company as your agent to sign any documents in your name and on your behalf and do anything necessary to give effect to such resignations;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52"/>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32"/>
          </w:cols>
          <w:pgMar w:left="328" w:top="1440" w:right="339" w:bottom="1440" w:gutter="0" w:footer="0" w:header="0"/>
        </w:sectPr>
      </w:pPr>
    </w:p>
    <w:bookmarkStart w:id="132" w:name="page133"/>
    <w:bookmarkEnd w:id="132"/>
    <w:p>
      <w:pPr>
        <w:spacing w:after="0" w:line="211" w:lineRule="exact"/>
        <w:rPr>
          <w:sz w:val="20"/>
          <w:szCs w:val="20"/>
          <w:color w:val="auto"/>
        </w:rPr>
      </w:pPr>
    </w:p>
    <w:p>
      <w:pPr>
        <w:jc w:val="both"/>
        <w:ind w:left="1532" w:hanging="1036"/>
        <w:spacing w:after="0" w:line="285" w:lineRule="auto"/>
        <w:tabs>
          <w:tab w:leader="none" w:pos="1512" w:val="left"/>
        </w:tabs>
        <w:rPr>
          <w:sz w:val="20"/>
          <w:szCs w:val="20"/>
          <w:color w:val="auto"/>
        </w:rPr>
      </w:pPr>
      <w:r>
        <w:rPr>
          <w:rFonts w:ascii="Arial" w:cs="Arial" w:eastAsia="Arial" w:hAnsi="Arial"/>
          <w:sz w:val="18"/>
          <w:szCs w:val="18"/>
          <w:color w:val="auto"/>
        </w:rPr>
        <w:t>25.1.2</w:t>
        <w:tab/>
        <w:t>deliver to the Company all property (including documents) of the Company or any Group Company or any of its or their respective customers and/or clients in your possession or under your control, and shall not retain any copies of or extracts from documents belonging to the Company or any Group Company or any documents containing Confidential Information. You shall delete all Confidential Information stored on equipment within your possession;</w:t>
      </w:r>
    </w:p>
    <w:p>
      <w:pPr>
        <w:spacing w:after="0" w:line="178" w:lineRule="exact"/>
        <w:rPr>
          <w:sz w:val="20"/>
          <w:szCs w:val="20"/>
          <w:color w:val="auto"/>
        </w:rPr>
      </w:pPr>
    </w:p>
    <w:p>
      <w:pPr>
        <w:jc w:val="both"/>
        <w:ind w:left="1532" w:hanging="1036"/>
        <w:spacing w:after="0" w:line="293" w:lineRule="auto"/>
        <w:tabs>
          <w:tab w:leader="none" w:pos="1512" w:val="left"/>
        </w:tabs>
        <w:rPr>
          <w:sz w:val="20"/>
          <w:szCs w:val="20"/>
          <w:color w:val="auto"/>
        </w:rPr>
      </w:pPr>
      <w:r>
        <w:rPr>
          <w:rFonts w:ascii="Arial" w:cs="Arial" w:eastAsia="Arial" w:hAnsi="Arial"/>
          <w:sz w:val="18"/>
          <w:szCs w:val="18"/>
          <w:color w:val="auto"/>
        </w:rPr>
        <w:t>25.1.3</w:t>
        <w:tab/>
        <w:t>deliver to the Company on request any computer or other device in your possession or control to allow the Company to remove all Confidential Information and the Company’s licensed software; and</w:t>
      </w:r>
    </w:p>
    <w:p>
      <w:pPr>
        <w:spacing w:after="0" w:line="183" w:lineRule="exact"/>
        <w:rPr>
          <w:sz w:val="20"/>
          <w:szCs w:val="20"/>
          <w:color w:val="auto"/>
        </w:rPr>
      </w:pPr>
    </w:p>
    <w:p>
      <w:pPr>
        <w:jc w:val="both"/>
        <w:ind w:left="1632" w:hanging="1036"/>
        <w:spacing w:after="0" w:line="293" w:lineRule="auto"/>
        <w:tabs>
          <w:tab w:leader="none" w:pos="1612" w:val="left"/>
        </w:tabs>
        <w:rPr>
          <w:sz w:val="20"/>
          <w:szCs w:val="20"/>
          <w:color w:val="auto"/>
        </w:rPr>
      </w:pPr>
      <w:r>
        <w:rPr>
          <w:rFonts w:ascii="Arial" w:cs="Arial" w:eastAsia="Arial" w:hAnsi="Arial"/>
          <w:sz w:val="18"/>
          <w:szCs w:val="18"/>
          <w:color w:val="auto"/>
        </w:rPr>
        <w:t>25.1.4</w:t>
      </w:r>
      <w:r>
        <w:rPr>
          <w:sz w:val="20"/>
          <w:szCs w:val="20"/>
          <w:color w:val="auto"/>
        </w:rPr>
        <w:tab/>
      </w:r>
      <w:r>
        <w:rPr>
          <w:rFonts w:ascii="Arial" w:cs="Arial" w:eastAsia="Arial" w:hAnsi="Arial"/>
          <w:sz w:val="18"/>
          <w:szCs w:val="18"/>
          <w:color w:val="auto"/>
        </w:rPr>
        <w:t>on request, warrant your compliance with this clause and provide such supporting evidence of compliance as the Company may reasonably require.</w:t>
      </w:r>
    </w:p>
    <w:p>
      <w:pPr>
        <w:spacing w:after="0" w:line="183" w:lineRule="exact"/>
        <w:rPr>
          <w:sz w:val="20"/>
          <w:szCs w:val="20"/>
          <w:color w:val="auto"/>
        </w:rPr>
      </w:pPr>
    </w:p>
    <w:p>
      <w:pPr>
        <w:jc w:val="both"/>
        <w:ind w:left="572" w:hanging="777"/>
        <w:spacing w:after="0" w:line="287" w:lineRule="auto"/>
        <w:tabs>
          <w:tab w:leader="none" w:pos="552" w:val="left"/>
        </w:tabs>
        <w:rPr>
          <w:sz w:val="20"/>
          <w:szCs w:val="20"/>
          <w:color w:val="auto"/>
        </w:rPr>
      </w:pPr>
      <w:r>
        <w:rPr>
          <w:rFonts w:ascii="Arial" w:cs="Arial" w:eastAsia="Arial" w:hAnsi="Arial"/>
          <w:sz w:val="18"/>
          <w:szCs w:val="18"/>
          <w:color w:val="auto"/>
        </w:rPr>
        <w:t>25.2</w:t>
        <w:tab/>
        <w:t>The obligations set out in clause 25.1 shall not be affected by the fact that any document or device may include your personal data. It shall be your responsibility to notify the Company of any personal data which may exist, so that the Company can make proper arrangements for its disposal.</w:t>
      </w:r>
    </w:p>
    <w:p>
      <w:pPr>
        <w:spacing w:after="0" w:line="175" w:lineRule="exact"/>
        <w:rPr>
          <w:sz w:val="20"/>
          <w:szCs w:val="20"/>
          <w:color w:val="auto"/>
        </w:rPr>
      </w:pPr>
    </w:p>
    <w:p>
      <w:pPr>
        <w:jc w:val="both"/>
        <w:ind w:left="672" w:hanging="777"/>
        <w:spacing w:after="0" w:line="283" w:lineRule="auto"/>
        <w:tabs>
          <w:tab w:leader="none" w:pos="652"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You shall, on request, co-operate and provide assistance to the Company or any Group Company in any internal investigation, administrative, regulatory, quasi-judicial proceedings or any threatened or actual litigation concerning it or them where you have in your possession or knowledge any facts or other matters which the Company or any Group Company reasonably considers is relevant to such process or legal proceedings (including, but not limited to, giving statements/affidavits, meeting with their legal and other professional advisers, attending any legal hearing and giving evidence) on the understanding that the Company or relevant Group Company will pay your reasonable expenses incurred in providing such assistance, provided that you notify the Company or any Group Company of the amount of any anticipated loss of income in advance.</w:t>
      </w:r>
    </w:p>
    <w:p>
      <w:pPr>
        <w:spacing w:after="0" w:line="182" w:lineRule="exact"/>
        <w:rPr>
          <w:sz w:val="20"/>
          <w:szCs w:val="20"/>
          <w:color w:val="auto"/>
        </w:rPr>
      </w:pPr>
    </w:p>
    <w:p>
      <w:pPr>
        <w:ind w:left="392" w:hanging="392"/>
        <w:spacing w:after="0"/>
        <w:tabs>
          <w:tab w:leader="none" w:pos="392" w:val="left"/>
        </w:tabs>
        <w:numPr>
          <w:ilvl w:val="0"/>
          <w:numId w:val="79"/>
        </w:numPr>
        <w:rPr>
          <w:rFonts w:ascii="Arial" w:cs="Arial" w:eastAsia="Arial" w:hAnsi="Arial"/>
          <w:sz w:val="18"/>
          <w:szCs w:val="18"/>
          <w:color w:val="auto"/>
        </w:rPr>
      </w:pPr>
      <w:r>
        <w:rPr>
          <w:rFonts w:ascii="Arial" w:cs="Arial" w:eastAsia="Arial" w:hAnsi="Arial"/>
          <w:sz w:val="20"/>
          <w:szCs w:val="20"/>
          <w:b w:val="1"/>
          <w:bCs w:val="1"/>
          <w:color w:val="auto"/>
        </w:rPr>
        <w:t>Restrictions following termination</w:t>
      </w:r>
    </w:p>
    <w:p>
      <w:pPr>
        <w:spacing w:after="0" w:line="256" w:lineRule="exact"/>
        <w:rPr>
          <w:sz w:val="20"/>
          <w:szCs w:val="20"/>
          <w:color w:val="auto"/>
        </w:rPr>
      </w:pPr>
    </w:p>
    <w:p>
      <w:pPr>
        <w:jc w:val="both"/>
        <w:ind w:left="572" w:hanging="777"/>
        <w:spacing w:after="0" w:line="283" w:lineRule="auto"/>
        <w:tabs>
          <w:tab w:leader="none" w:pos="552" w:val="left"/>
        </w:tabs>
        <w:rPr>
          <w:sz w:val="20"/>
          <w:szCs w:val="20"/>
          <w:color w:val="auto"/>
        </w:rPr>
      </w:pPr>
      <w:r>
        <w:rPr>
          <w:rFonts w:ascii="Arial" w:cs="Arial" w:eastAsia="Arial" w:hAnsi="Arial"/>
          <w:sz w:val="18"/>
          <w:szCs w:val="18"/>
          <w:color w:val="auto"/>
        </w:rPr>
        <w:t>26.1</w:t>
        <w:tab/>
        <w:t>You acknowledge that, during the course of your employment, you will be privy to Confidential Information and that at the expense of and/or otherwise on behalf of the Company and its Group Companies you will make, maintain and develop personal knowledge of, influence over and valuable personal contacts with customers, clients, suppliers, staff and third parties. In addition to the implied and express duties and obligations owed by you to the Company, in consideration of the salary and benefits provided pursuant to this agreement, you therefore covenant with the Company for itself and as trustee and agent for each Group Company that you will not during the course of your employment and for the period set out in the following sub-clauses following the Termination Date directly or indirectly on your own behalf or on behalf of any other person, concern, undertaking, firm or body corporate:</w:t>
      </w:r>
    </w:p>
    <w:p>
      <w:pPr>
        <w:spacing w:after="0" w:line="182" w:lineRule="exact"/>
        <w:rPr>
          <w:sz w:val="20"/>
          <w:szCs w:val="20"/>
          <w:color w:val="auto"/>
        </w:rPr>
      </w:pPr>
    </w:p>
    <w:p>
      <w:pPr>
        <w:jc w:val="both"/>
        <w:ind w:left="1572" w:hanging="1036"/>
        <w:spacing w:after="0" w:line="284" w:lineRule="auto"/>
        <w:tabs>
          <w:tab w:leader="none" w:pos="1552"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8"/>
          <w:szCs w:val="18"/>
          <w:color w:val="auto"/>
        </w:rPr>
        <w:t>for twelve (12) calendar months deal with, be employed or engaged by or engage in business with or be in any way interested in or connected with any business which competes or is preparing to compete with any business carried on by the Company or any Group Company in which you were involved on behalf of the Company or any Group Company at any time within the Relevant Period for the purposes of providing services the same as or similar to those you provided to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52"/>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32"/>
          </w:cols>
          <w:pgMar w:left="328" w:top="1440" w:right="339" w:bottom="1440" w:gutter="0" w:footer="0" w:header="0"/>
        </w:sectPr>
      </w:pPr>
    </w:p>
    <w:bookmarkStart w:id="133" w:name="page134"/>
    <w:bookmarkEnd w:id="133"/>
    <w:p>
      <w:pPr>
        <w:spacing w:after="0" w:line="211" w:lineRule="exact"/>
        <w:rPr>
          <w:sz w:val="20"/>
          <w:szCs w:val="20"/>
          <w:color w:val="auto"/>
        </w:rPr>
      </w:pPr>
    </w:p>
    <w:p>
      <w:pPr>
        <w:ind w:left="1480" w:hanging="1036"/>
        <w:spacing w:after="0" w:line="293" w:lineRule="auto"/>
        <w:tabs>
          <w:tab w:leader="none" w:pos="1460" w:val="left"/>
        </w:tabs>
        <w:rPr>
          <w:sz w:val="20"/>
          <w:szCs w:val="20"/>
          <w:color w:val="auto"/>
        </w:rPr>
      </w:pPr>
      <w:r>
        <w:rPr>
          <w:rFonts w:ascii="Arial" w:cs="Arial" w:eastAsia="Arial" w:hAnsi="Arial"/>
          <w:sz w:val="18"/>
          <w:szCs w:val="18"/>
          <w:color w:val="auto"/>
        </w:rPr>
        <w:t>26.1.2</w:t>
        <w:tab/>
        <w:t>for twelve (12) calendar months deal with, be employed or engaged by or engage in business with, or work on any account or business of:</w:t>
      </w:r>
    </w:p>
    <w:p>
      <w:pPr>
        <w:spacing w:after="0" w:line="170" w:lineRule="exact"/>
        <w:rPr>
          <w:sz w:val="20"/>
          <w:szCs w:val="20"/>
          <w:color w:val="auto"/>
        </w:rPr>
      </w:pPr>
    </w:p>
    <w:p>
      <w:pPr>
        <w:jc w:val="both"/>
        <w:ind w:left="2740" w:hanging="1295"/>
        <w:spacing w:after="0" w:line="287" w:lineRule="auto"/>
        <w:tabs>
          <w:tab w:leader="none" w:pos="2720" w:val="left"/>
        </w:tabs>
        <w:rPr>
          <w:sz w:val="20"/>
          <w:szCs w:val="20"/>
          <w:color w:val="auto"/>
        </w:rPr>
      </w:pPr>
      <w:r>
        <w:rPr>
          <w:rFonts w:ascii="Arial" w:cs="Arial" w:eastAsia="Arial" w:hAnsi="Arial"/>
          <w:sz w:val="18"/>
          <w:szCs w:val="18"/>
          <w:color w:val="auto"/>
        </w:rPr>
        <w:t>26.1.2.1</w:t>
        <w:tab/>
        <w:t>any Client for the purpose of providing that Client with services which are the same as or similar to any services which the Company or any Group Company provided to that Client at any time in the Relevant Period; or</w:t>
      </w:r>
    </w:p>
    <w:p>
      <w:pPr>
        <w:spacing w:after="0" w:line="189" w:lineRule="exact"/>
        <w:rPr>
          <w:sz w:val="20"/>
          <w:szCs w:val="20"/>
          <w:color w:val="auto"/>
        </w:rPr>
      </w:pPr>
    </w:p>
    <w:p>
      <w:pPr>
        <w:jc w:val="both"/>
        <w:ind w:left="2780" w:hanging="1295"/>
        <w:spacing w:after="0" w:line="287" w:lineRule="auto"/>
        <w:tabs>
          <w:tab w:leader="none" w:pos="2760" w:val="left"/>
        </w:tabs>
        <w:rPr>
          <w:sz w:val="20"/>
          <w:szCs w:val="20"/>
          <w:color w:val="auto"/>
        </w:rPr>
      </w:pPr>
      <w:r>
        <w:rPr>
          <w:rFonts w:ascii="Arial" w:cs="Arial" w:eastAsia="Arial" w:hAnsi="Arial"/>
          <w:sz w:val="18"/>
          <w:szCs w:val="18"/>
          <w:color w:val="auto"/>
        </w:rPr>
        <w:t>26.1.2.2</w:t>
      </w:r>
      <w:r>
        <w:rPr>
          <w:sz w:val="20"/>
          <w:szCs w:val="20"/>
          <w:color w:val="auto"/>
        </w:rPr>
        <w:tab/>
      </w:r>
      <w:r>
        <w:rPr>
          <w:rFonts w:ascii="Arial" w:cs="Arial" w:eastAsia="Arial" w:hAnsi="Arial"/>
          <w:sz w:val="18"/>
          <w:szCs w:val="18"/>
          <w:color w:val="auto"/>
        </w:rPr>
        <w:t>any Prospective Client for the purpose of providing that Prospective Client with services which are the same as or similar to any services which the Company or any Group Company provided to Clients at any time in the Relevant Period;</w:t>
      </w:r>
    </w:p>
    <w:p>
      <w:pPr>
        <w:spacing w:after="0" w:line="189"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color w:val="auto"/>
        </w:rPr>
        <w:t>26.1.3</w:t>
      </w:r>
      <w:r>
        <w:rPr>
          <w:sz w:val="20"/>
          <w:szCs w:val="20"/>
          <w:color w:val="auto"/>
        </w:rPr>
        <w:tab/>
      </w:r>
      <w:r>
        <w:rPr>
          <w:rFonts w:ascii="Arial" w:cs="Arial" w:eastAsia="Arial" w:hAnsi="Arial"/>
          <w:sz w:val="17"/>
          <w:szCs w:val="17"/>
          <w:color w:val="auto"/>
        </w:rPr>
        <w:t>for twelve (12) calendar months solicit business from:</w:t>
      </w:r>
    </w:p>
    <w:p>
      <w:pPr>
        <w:spacing w:after="0" w:line="225" w:lineRule="exact"/>
        <w:rPr>
          <w:sz w:val="20"/>
          <w:szCs w:val="20"/>
          <w:color w:val="auto"/>
        </w:rPr>
      </w:pPr>
    </w:p>
    <w:p>
      <w:pPr>
        <w:jc w:val="both"/>
        <w:ind w:left="2740" w:hanging="1295"/>
        <w:spacing w:after="0" w:line="303" w:lineRule="auto"/>
        <w:tabs>
          <w:tab w:leader="none" w:pos="2720" w:val="left"/>
        </w:tabs>
        <w:rPr>
          <w:sz w:val="20"/>
          <w:szCs w:val="20"/>
          <w:color w:val="auto"/>
        </w:rPr>
      </w:pPr>
      <w:r>
        <w:rPr>
          <w:rFonts w:ascii="Arial" w:cs="Arial" w:eastAsia="Arial" w:hAnsi="Arial"/>
          <w:sz w:val="18"/>
          <w:szCs w:val="18"/>
          <w:color w:val="auto"/>
        </w:rPr>
        <w:t>26.1.3.1</w:t>
        <w:tab/>
        <w:t>any Client for the purpose of providing to that Client services which are the same as or similar to those which the Company or any Group Company provided to that Client at any time in the Relevant Period; or</w:t>
      </w:r>
    </w:p>
    <w:p>
      <w:pPr>
        <w:spacing w:after="0" w:line="200" w:lineRule="exact"/>
        <w:rPr>
          <w:sz w:val="20"/>
          <w:szCs w:val="20"/>
          <w:color w:val="auto"/>
        </w:rPr>
      </w:pPr>
    </w:p>
    <w:p>
      <w:pPr>
        <w:spacing w:after="0" w:line="209" w:lineRule="exact"/>
        <w:rPr>
          <w:sz w:val="20"/>
          <w:szCs w:val="20"/>
          <w:color w:val="auto"/>
        </w:rPr>
      </w:pPr>
    </w:p>
    <w:p>
      <w:pPr>
        <w:jc w:val="both"/>
        <w:ind w:left="2780" w:hanging="1295"/>
        <w:spacing w:after="0" w:line="287" w:lineRule="auto"/>
        <w:tabs>
          <w:tab w:leader="none" w:pos="2760" w:val="left"/>
        </w:tabs>
        <w:rPr>
          <w:sz w:val="20"/>
          <w:szCs w:val="20"/>
          <w:color w:val="auto"/>
        </w:rPr>
      </w:pPr>
      <w:r>
        <w:rPr>
          <w:rFonts w:ascii="Arial" w:cs="Arial" w:eastAsia="Arial" w:hAnsi="Arial"/>
          <w:sz w:val="18"/>
          <w:szCs w:val="18"/>
          <w:color w:val="auto"/>
        </w:rPr>
        <w:t>26.1.3.2</w:t>
      </w:r>
      <w:r>
        <w:rPr>
          <w:sz w:val="20"/>
          <w:szCs w:val="20"/>
          <w:color w:val="auto"/>
        </w:rPr>
        <w:tab/>
      </w:r>
      <w:r>
        <w:rPr>
          <w:rFonts w:ascii="Arial" w:cs="Arial" w:eastAsia="Arial" w:hAnsi="Arial"/>
          <w:sz w:val="18"/>
          <w:szCs w:val="18"/>
          <w:color w:val="auto"/>
        </w:rPr>
        <w:t>any Prospective Client for the purpose of providing that Prospective Client with services which are the same as or similar to any services which the Company or any Group Company provided to Clients at any time in the Relevant Period;</w:t>
      </w:r>
    </w:p>
    <w:p>
      <w:pPr>
        <w:spacing w:after="0" w:line="189" w:lineRule="exact"/>
        <w:rPr>
          <w:sz w:val="20"/>
          <w:szCs w:val="20"/>
          <w:color w:val="auto"/>
        </w:rPr>
      </w:pPr>
    </w:p>
    <w:p>
      <w:pPr>
        <w:jc w:val="both"/>
        <w:ind w:left="1520" w:hanging="1036"/>
        <w:spacing w:after="0" w:line="287" w:lineRule="auto"/>
        <w:tabs>
          <w:tab w:leader="none" w:pos="1500" w:val="left"/>
        </w:tabs>
        <w:rPr>
          <w:sz w:val="20"/>
          <w:szCs w:val="20"/>
          <w:color w:val="auto"/>
        </w:rPr>
      </w:pPr>
      <w:r>
        <w:rPr>
          <w:rFonts w:ascii="Arial" w:cs="Arial" w:eastAsia="Arial" w:hAnsi="Arial"/>
          <w:sz w:val="18"/>
          <w:szCs w:val="18"/>
          <w:color w:val="auto"/>
        </w:rPr>
        <w:t>26.1.4</w:t>
        <w:tab/>
        <w:t>for twelve (12) calendar months interfere or seek to interfere with, or divert or seek to divert, to the Company’s detriment any contractual or other trade relations between the Company or any Group Company and any of its or their suppliers; and</w:t>
      </w:r>
    </w:p>
    <w:p>
      <w:pPr>
        <w:spacing w:after="0" w:line="175" w:lineRule="exact"/>
        <w:rPr>
          <w:sz w:val="20"/>
          <w:szCs w:val="20"/>
          <w:color w:val="auto"/>
        </w:rPr>
      </w:pPr>
    </w:p>
    <w:p>
      <w:pPr>
        <w:jc w:val="both"/>
        <w:ind w:left="1560" w:hanging="1036"/>
        <w:spacing w:after="0" w:line="287" w:lineRule="auto"/>
        <w:tabs>
          <w:tab w:leader="none" w:pos="1540" w:val="left"/>
        </w:tabs>
        <w:rPr>
          <w:sz w:val="20"/>
          <w:szCs w:val="20"/>
          <w:color w:val="auto"/>
        </w:rPr>
      </w:pPr>
      <w:r>
        <w:rPr>
          <w:rFonts w:ascii="Arial" w:cs="Arial" w:eastAsia="Arial" w:hAnsi="Arial"/>
          <w:sz w:val="18"/>
          <w:szCs w:val="18"/>
          <w:color w:val="auto"/>
        </w:rPr>
        <w:t>26.1.5</w:t>
        <w:tab/>
        <w:t>for twelve (12) calendar months solicit or endeavour to entice away from the Company or any Group Company a Key Employee or knowingly assist in or procure the employment by any other person, concern, undertaking, firm or body corporate of a Key Employee.</w:t>
      </w:r>
    </w:p>
    <w:p>
      <w:pPr>
        <w:spacing w:after="0" w:line="189" w:lineRule="exact"/>
        <w:rPr>
          <w:sz w:val="20"/>
          <w:szCs w:val="20"/>
          <w:color w:val="auto"/>
        </w:rPr>
      </w:pPr>
    </w:p>
    <w:p>
      <w:pPr>
        <w:jc w:val="both"/>
        <w:ind w:left="560" w:hanging="777"/>
        <w:spacing w:after="0" w:line="293" w:lineRule="auto"/>
        <w:tabs>
          <w:tab w:leader="none" w:pos="540" w:val="left"/>
        </w:tabs>
        <w:rPr>
          <w:sz w:val="20"/>
          <w:szCs w:val="20"/>
          <w:color w:val="auto"/>
        </w:rPr>
      </w:pPr>
      <w:r>
        <w:rPr>
          <w:rFonts w:ascii="Arial" w:cs="Arial" w:eastAsia="Arial" w:hAnsi="Arial"/>
          <w:sz w:val="18"/>
          <w:szCs w:val="18"/>
          <w:color w:val="auto"/>
        </w:rPr>
        <w:t>26.2</w:t>
        <w:tab/>
        <w:t>You shall not following the Termination Date communicate to any person, concern, undertaking, firm or body corporate anything which is intended to or which will or may damage the reputation or good standing of the Company or any Group Company.</w:t>
      </w:r>
    </w:p>
    <w:p>
      <w:pPr>
        <w:spacing w:after="0" w:line="1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26.3</w:t>
        <w:tab/>
        <w:t>If the Company requires you not to perform any of your duties and/or excludes you from the Company’s premises as set out in clause</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23.1 above for all or any part of your contractual notice period, the period of the post-termination restrictions set out in this clause</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26 shall be reduced by the length of the garden leave served before the Termination Date.</w:t>
      </w:r>
    </w:p>
    <w:p>
      <w:pPr>
        <w:spacing w:after="0" w:line="225" w:lineRule="exact"/>
        <w:rPr>
          <w:sz w:val="20"/>
          <w:szCs w:val="20"/>
          <w:color w:val="auto"/>
        </w:rPr>
      </w:pPr>
    </w:p>
    <w:p>
      <w:pPr>
        <w:jc w:val="both"/>
        <w:ind w:left="640" w:hanging="777"/>
        <w:spacing w:after="0" w:line="287" w:lineRule="auto"/>
        <w:tabs>
          <w:tab w:leader="none" w:pos="620" w:val="left"/>
        </w:tabs>
        <w:rPr>
          <w:sz w:val="20"/>
          <w:szCs w:val="20"/>
          <w:color w:val="auto"/>
        </w:rPr>
      </w:pPr>
      <w:r>
        <w:rPr>
          <w:rFonts w:ascii="Arial" w:cs="Arial" w:eastAsia="Arial" w:hAnsi="Arial"/>
          <w:sz w:val="18"/>
          <w:szCs w:val="18"/>
          <w:color w:val="auto"/>
        </w:rPr>
        <w:t>26.4</w:t>
        <w:tab/>
        <w:t>You agree that the restrictions contained in clause 26.1 shall apply in relation to all Clients and Prospective Clients and suppliers notwithstanding that such Clients or Prospective Clients and suppliers may have been introduced to the Company or any Group Company by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11" w:lineRule="exact"/>
        <w:rPr>
          <w:sz w:val="20"/>
          <w:szCs w:val="20"/>
          <w:color w:val="auto"/>
        </w:rPr>
      </w:pPr>
    </w:p>
    <w:p>
      <w:pPr>
        <w:jc w:val="both"/>
        <w:ind w:left="600" w:hanging="777"/>
        <w:spacing w:after="0" w:line="287" w:lineRule="auto"/>
        <w:tabs>
          <w:tab w:leader="none" w:pos="580" w:val="left"/>
        </w:tabs>
        <w:rPr>
          <w:sz w:val="20"/>
          <w:szCs w:val="20"/>
          <w:color w:val="auto"/>
        </w:rPr>
      </w:pPr>
      <w:r>
        <w:rPr>
          <w:rFonts w:ascii="Arial" w:cs="Arial" w:eastAsia="Arial" w:hAnsi="Arial"/>
          <w:sz w:val="18"/>
          <w:szCs w:val="18"/>
          <w:color w:val="auto"/>
        </w:rPr>
        <w:t>26.5</w:t>
        <w:tab/>
        <w:t>You further agree that if any of the restrictions in clause 26.1 is held to be void or ineffective for any reason but would be held to be valid and effective if part of its wording were deleted, that restriction shall apply with such deletions as may be necessary to make it valid and effective.</w:t>
      </w:r>
    </w:p>
    <w:p>
      <w:pPr>
        <w:spacing w:after="0" w:line="175" w:lineRule="exact"/>
        <w:rPr>
          <w:sz w:val="20"/>
          <w:szCs w:val="20"/>
          <w:color w:val="auto"/>
        </w:rPr>
      </w:pPr>
    </w:p>
    <w:p>
      <w:pPr>
        <w:jc w:val="both"/>
        <w:ind w:left="580" w:hanging="777"/>
        <w:spacing w:after="0" w:line="293" w:lineRule="auto"/>
        <w:tabs>
          <w:tab w:leader="none" w:pos="560" w:val="left"/>
        </w:tabs>
        <w:rPr>
          <w:sz w:val="20"/>
          <w:szCs w:val="20"/>
          <w:color w:val="auto"/>
        </w:rPr>
      </w:pPr>
      <w:r>
        <w:rPr>
          <w:rFonts w:ascii="Arial" w:cs="Arial" w:eastAsia="Arial" w:hAnsi="Arial"/>
          <w:sz w:val="18"/>
          <w:szCs w:val="18"/>
          <w:color w:val="auto"/>
        </w:rPr>
        <w:t>26.6</w:t>
        <w:tab/>
        <w:t>The restrictions contained in each sub-clause of clause 26.1 shall be construed as separate and individual restrictions and shall each be capable of being severed without prejudice to the other restrictions or to the remaining provisions.</w:t>
      </w:r>
    </w:p>
    <w:p>
      <w:pPr>
        <w:spacing w:after="0" w:line="161" w:lineRule="exact"/>
        <w:rPr>
          <w:sz w:val="20"/>
          <w:szCs w:val="20"/>
          <w:color w:val="auto"/>
        </w:rPr>
      </w:pPr>
    </w:p>
    <w:p>
      <w:pPr>
        <w:jc w:val="both"/>
        <w:ind w:left="560" w:hanging="777"/>
        <w:spacing w:after="0" w:line="294" w:lineRule="auto"/>
        <w:tabs>
          <w:tab w:leader="none" w:pos="540" w:val="left"/>
        </w:tabs>
        <w:rPr>
          <w:sz w:val="20"/>
          <w:szCs w:val="20"/>
          <w:color w:val="auto"/>
        </w:rPr>
      </w:pPr>
      <w:r>
        <w:rPr>
          <w:rFonts w:ascii="Arial" w:cs="Arial" w:eastAsia="Arial" w:hAnsi="Arial"/>
          <w:sz w:val="18"/>
          <w:szCs w:val="18"/>
          <w:color w:val="auto"/>
        </w:rPr>
        <w:t>26.7</w:t>
        <w:tab/>
        <w:t>If the Company transfers all or any part of its business to a third party (the “</w:t>
      </w:r>
      <w:r>
        <w:rPr>
          <w:rFonts w:ascii="Arial" w:cs="Arial" w:eastAsia="Arial" w:hAnsi="Arial"/>
          <w:sz w:val="18"/>
          <w:szCs w:val="18"/>
          <w:b w:val="1"/>
          <w:bCs w:val="1"/>
          <w:color w:val="auto"/>
        </w:rPr>
        <w:t>transferee</w:t>
      </w:r>
      <w:r>
        <w:rPr>
          <w:rFonts w:ascii="Arial" w:cs="Arial" w:eastAsia="Arial" w:hAnsi="Arial"/>
          <w:sz w:val="18"/>
          <w:szCs w:val="18"/>
          <w:color w:val="auto"/>
        </w:rPr>
        <w:t>”), the restrictions contained in this clause shall, with effect from you becoming an employee of the transferee, apply to you as if references to the Company included the transferee and references to any Group Company were construed accordingly and as if references to clients, customers or suppliers were to clients, customers or suppliers of the Company and/or the transferee and their respective Group Companies.</w:t>
      </w:r>
    </w:p>
    <w:p>
      <w:pPr>
        <w:spacing w:after="0" w:line="182" w:lineRule="exact"/>
        <w:rPr>
          <w:sz w:val="20"/>
          <w:szCs w:val="20"/>
          <w:color w:val="auto"/>
        </w:rPr>
      </w:pPr>
    </w:p>
    <w:p>
      <w:pPr>
        <w:jc w:val="both"/>
        <w:ind w:left="560" w:hanging="777"/>
        <w:spacing w:after="0" w:line="287" w:lineRule="auto"/>
        <w:tabs>
          <w:tab w:leader="none" w:pos="540" w:val="left"/>
        </w:tabs>
        <w:rPr>
          <w:sz w:val="20"/>
          <w:szCs w:val="20"/>
          <w:color w:val="auto"/>
        </w:rPr>
      </w:pPr>
      <w:r>
        <w:rPr>
          <w:rFonts w:ascii="Arial" w:cs="Arial" w:eastAsia="Arial" w:hAnsi="Arial"/>
          <w:sz w:val="18"/>
          <w:szCs w:val="18"/>
          <w:color w:val="auto"/>
        </w:rPr>
        <w:t>26.8</w:t>
        <w:tab/>
        <w:t>You will, at the request and expense of the Company, enter into a separate agreement with any Group Company in which you agree to be bound by restrictions corresponding to those restrictions in this clause 26 (or such of those restrictions as the Company deems appropriate) in relation to that Group Company.</w:t>
      </w:r>
    </w:p>
    <w:p>
      <w:pPr>
        <w:spacing w:after="0" w:line="175" w:lineRule="exact"/>
        <w:rPr>
          <w:sz w:val="20"/>
          <w:szCs w:val="20"/>
          <w:color w:val="auto"/>
        </w:rPr>
      </w:pPr>
    </w:p>
    <w:p>
      <w:pPr>
        <w:jc w:val="both"/>
        <w:ind w:left="580" w:hanging="777"/>
        <w:spacing w:after="0" w:line="284" w:lineRule="auto"/>
        <w:tabs>
          <w:tab w:leader="none" w:pos="560" w:val="left"/>
        </w:tabs>
        <w:rPr>
          <w:sz w:val="20"/>
          <w:szCs w:val="20"/>
          <w:color w:val="auto"/>
        </w:rPr>
      </w:pPr>
      <w:r>
        <w:rPr>
          <w:rFonts w:ascii="Arial" w:cs="Arial" w:eastAsia="Arial" w:hAnsi="Arial"/>
          <w:sz w:val="18"/>
          <w:szCs w:val="18"/>
          <w:color w:val="auto"/>
        </w:rPr>
        <w:t>26.9</w:t>
        <w:tab/>
        <w:t>You shall, before accepting any other employment or engagement which might or would cause you to act in breach of any part of this agreement: (a) notify the Company in writing of the identity of your future employer or contractor and any other information the Company reasonably requests in order to determine whether you may accept the employment or engagement without being in breach; (b) You will not accept the offer of employment or engagement until the Company has advised you of its determination which the Company agrees to do within a reasonable time, which will usually be 28 business days; and (c) provide a copy of clauses 18, 20, 23 and 26 of this agreement to your future employer or contractor.</w:t>
      </w:r>
    </w:p>
    <w:p>
      <w:pPr>
        <w:spacing w:after="0" w:line="191" w:lineRule="exact"/>
        <w:rPr>
          <w:sz w:val="20"/>
          <w:szCs w:val="20"/>
          <w:color w:val="auto"/>
        </w:rPr>
      </w:pPr>
    </w:p>
    <w:p>
      <w:pPr>
        <w:jc w:val="both"/>
        <w:ind w:left="680" w:hanging="777"/>
        <w:spacing w:after="0" w:line="287" w:lineRule="auto"/>
        <w:tabs>
          <w:tab w:leader="none" w:pos="660" w:val="left"/>
        </w:tabs>
        <w:rPr>
          <w:sz w:val="20"/>
          <w:szCs w:val="20"/>
          <w:color w:val="auto"/>
        </w:rPr>
      </w:pPr>
      <w:r>
        <w:rPr>
          <w:rFonts w:ascii="Arial" w:cs="Arial" w:eastAsia="Arial" w:hAnsi="Arial"/>
          <w:sz w:val="18"/>
          <w:szCs w:val="18"/>
          <w:color w:val="auto"/>
        </w:rPr>
        <w:t>26.10</w:t>
        <w:tab/>
        <w:t>Nothing in this clause 26 shall prevent you from holding (directly or indirectly) an investment by way of shares or other securities of not more than three percent of the total issued share capital of any company, whether or not it is listed or quoted on any recognised investment exchange.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7"/>
          <w:szCs w:val="17"/>
          <w:color w:val="auto"/>
        </w:rPr>
        <w:t>For the purposes of this clause 26:</w:t>
      </w:r>
    </w:p>
    <w:p>
      <w:pPr>
        <w:spacing w:after="0" w:line="203" w:lineRule="exact"/>
        <w:rPr>
          <w:sz w:val="20"/>
          <w:szCs w:val="20"/>
          <w:color w:val="auto"/>
        </w:rPr>
      </w:pPr>
    </w:p>
    <w:p>
      <w:pPr>
        <w:jc w:val="both"/>
        <w:ind w:left="78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w:t>
      </w:r>
      <w:r>
        <w:rPr>
          <w:rFonts w:ascii="Arial" w:cs="Arial" w:eastAsia="Arial" w:hAnsi="Arial"/>
          <w:sz w:val="18"/>
          <w:szCs w:val="18"/>
          <w:color w:val="auto"/>
        </w:rPr>
        <w:t>” means any client or customer of the Company or any Group Company with whom during the Relevant Period (i) you had material contact on behalf of the Company or any Group Company in the course of your employment; or (ii) any employee reporting directly to you had material contact on behalf of the Company or any Group Company in the course of your employment;</w:t>
      </w:r>
    </w:p>
    <w:p>
      <w:pPr>
        <w:spacing w:after="0" w:line="155" w:lineRule="exact"/>
        <w:rPr>
          <w:sz w:val="20"/>
          <w:szCs w:val="20"/>
          <w:color w:val="auto"/>
        </w:rPr>
      </w:pPr>
    </w:p>
    <w:p>
      <w:pPr>
        <w:jc w:val="both"/>
        <w:ind w:left="82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w:t>
      </w:r>
      <w:r>
        <w:rPr>
          <w:rFonts w:ascii="Arial" w:cs="Arial" w:eastAsia="Arial" w:hAnsi="Arial"/>
          <w:sz w:val="18"/>
          <w:szCs w:val="18"/>
          <w:color w:val="auto"/>
        </w:rPr>
        <w:t>” means any officer or consultant or senior or managerial employee employed or engaged by the Company or any Group Company and who is known personally to you and with whom you had, as part of your employment, significant or regular contact at any point in the Relevant Period;</w:t>
      </w:r>
    </w:p>
    <w:p>
      <w:pPr>
        <w:spacing w:after="0" w:line="155" w:lineRule="exact"/>
        <w:rPr>
          <w:sz w:val="20"/>
          <w:szCs w:val="20"/>
          <w:color w:val="auto"/>
        </w:rPr>
      </w:pPr>
    </w:p>
    <w:p>
      <w:pPr>
        <w:ind w:left="78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Prospective Client</w:t>
      </w:r>
      <w:r>
        <w:rPr>
          <w:rFonts w:ascii="Arial" w:cs="Arial" w:eastAsia="Arial" w:hAnsi="Arial"/>
          <w:sz w:val="18"/>
          <w:szCs w:val="18"/>
          <w:color w:val="auto"/>
        </w:rPr>
        <w:t>” means any individual or entity with whom or which, at any time during the Relevant Period, you, on behalf of the Company or any Group Company,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11" w:lineRule="exact"/>
        <w:rPr>
          <w:sz w:val="20"/>
          <w:szCs w:val="20"/>
          <w:color w:val="auto"/>
        </w:rPr>
      </w:pPr>
    </w:p>
    <w:p>
      <w:pPr>
        <w:jc w:val="both"/>
        <w:ind w:left="780" w:right="20"/>
        <w:spacing w:after="0" w:line="293" w:lineRule="auto"/>
        <w:rPr>
          <w:sz w:val="20"/>
          <w:szCs w:val="20"/>
          <w:color w:val="auto"/>
        </w:rPr>
      </w:pPr>
      <w:r>
        <w:rPr>
          <w:rFonts w:ascii="Arial" w:cs="Arial" w:eastAsia="Arial" w:hAnsi="Arial"/>
          <w:sz w:val="18"/>
          <w:szCs w:val="18"/>
          <w:color w:val="auto"/>
        </w:rPr>
        <w:t>personally involved in negotiation with a view to the provision of the Company or Group Company’s services to such individual or entity; and</w:t>
      </w:r>
    </w:p>
    <w:p>
      <w:pPr>
        <w:spacing w:after="0" w:line="148" w:lineRule="exact"/>
        <w:rPr>
          <w:sz w:val="20"/>
          <w:szCs w:val="20"/>
          <w:color w:val="auto"/>
        </w:rPr>
      </w:pPr>
    </w:p>
    <w:p>
      <w:pPr>
        <w:jc w:val="both"/>
        <w:ind w:left="780"/>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(i) at any point during the course of your employment with the Company, the 12 months immediately preceding that point; or (ii) after the Termination Date, the 12 months immediately preceding the Termination Date or, in the event that you spend time on garden leave, the 12 months immediately preceding the date of commencement of garden leave.</w:t>
      </w:r>
    </w:p>
    <w:p>
      <w:pPr>
        <w:spacing w:after="0" w:line="164"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20"/>
          <w:szCs w:val="20"/>
          <w:b w:val="1"/>
          <w:bCs w:val="1"/>
          <w:color w:val="auto"/>
        </w:rPr>
        <w:t>Data protection</w:t>
      </w:r>
    </w:p>
    <w:p>
      <w:pPr>
        <w:spacing w:after="0" w:line="256" w:lineRule="exact"/>
        <w:rPr>
          <w:sz w:val="20"/>
          <w:szCs w:val="20"/>
          <w:color w:val="auto"/>
        </w:rPr>
      </w:pPr>
    </w:p>
    <w:p>
      <w:pPr>
        <w:jc w:val="both"/>
        <w:ind w:left="680" w:hanging="777"/>
        <w:spacing w:after="0" w:line="284" w:lineRule="auto"/>
        <w:tabs>
          <w:tab w:leader="none" w:pos="66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It is important that all employees take appropriate steps to protect personal data and use it lawfully. You must comply with the Company’s data protection policy and any other policy relating to the security and use of data, and must treat all personal data relating to any person, whether within or outside the Company, which you acquire in the course of your employment as if it were confidential information of the Company. You must not do or omit to do anything that would put the Company in breach of the Data Protection Legislation.</w:t>
      </w:r>
    </w:p>
    <w:p>
      <w:pPr>
        <w:spacing w:after="0" w:line="179" w:lineRule="exact"/>
        <w:rPr>
          <w:sz w:val="20"/>
          <w:szCs w:val="20"/>
          <w:color w:val="auto"/>
        </w:rPr>
      </w:pPr>
    </w:p>
    <w:p>
      <w:pPr>
        <w:jc w:val="both"/>
        <w:ind w:left="600" w:hanging="777"/>
        <w:spacing w:after="0" w:line="285" w:lineRule="auto"/>
        <w:tabs>
          <w:tab w:leader="none" w:pos="580" w:val="left"/>
        </w:tabs>
        <w:rPr>
          <w:sz w:val="20"/>
          <w:szCs w:val="20"/>
          <w:color w:val="auto"/>
        </w:rPr>
      </w:pPr>
      <w:r>
        <w:rPr>
          <w:rFonts w:ascii="Arial" w:cs="Arial" w:eastAsia="Arial" w:hAnsi="Arial"/>
          <w:sz w:val="18"/>
          <w:szCs w:val="18"/>
          <w:color w:val="auto"/>
        </w:rPr>
        <w:t>27.2</w:t>
        <w:tab/>
        <w:t>You understand the Company’s legitimate reasons for processing your personal data (including special categories of personal data), as noted in the data protection policy and the privacy notice. The processing may include disclosure of personal data and special categories of personal data to third parties including benefit providers, prospective purchasers or service providers and governmental authorities.</w:t>
      </w:r>
    </w:p>
    <w:p>
      <w:pPr>
        <w:spacing w:after="0" w:line="19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7"/>
          <w:szCs w:val="17"/>
          <w:color w:val="auto"/>
        </w:rPr>
        <w:t>You agree to keep the Company informed of any changes to your personal data.</w:t>
      </w:r>
    </w:p>
    <w:p>
      <w:pPr>
        <w:spacing w:after="0" w:line="239" w:lineRule="exact"/>
        <w:rPr>
          <w:sz w:val="20"/>
          <w:szCs w:val="20"/>
          <w:color w:val="auto"/>
        </w:rPr>
      </w:pPr>
    </w:p>
    <w:p>
      <w:pPr>
        <w:jc w:val="both"/>
        <w:ind w:left="660" w:hanging="777"/>
        <w:spacing w:after="0" w:line="287" w:lineRule="auto"/>
        <w:tabs>
          <w:tab w:leader="none" w:pos="64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8"/>
          <w:szCs w:val="18"/>
          <w:color w:val="auto"/>
        </w:rPr>
        <w:t>You expressly acknowledge that the Company may transfer such data to countries or organisations outside the United Kingdom and/or European Economic Area and acknowledge that such countries or organisations may not have laws which adequately safeguard such data.</w:t>
      </w:r>
    </w:p>
    <w:p>
      <w:pPr>
        <w:spacing w:after="0" w:line="175" w:lineRule="exact"/>
        <w:rPr>
          <w:sz w:val="20"/>
          <w:szCs w:val="20"/>
          <w:color w:val="auto"/>
        </w:rPr>
      </w:pPr>
    </w:p>
    <w:p>
      <w:pPr>
        <w:jc w:val="both"/>
        <w:ind w:left="600" w:hanging="777"/>
        <w:spacing w:after="0" w:line="284" w:lineRule="auto"/>
        <w:tabs>
          <w:tab w:leader="none" w:pos="580" w:val="left"/>
        </w:tabs>
        <w:rPr>
          <w:sz w:val="20"/>
          <w:szCs w:val="20"/>
          <w:color w:val="auto"/>
        </w:rPr>
      </w:pPr>
      <w:r>
        <w:rPr>
          <w:rFonts w:ascii="Arial" w:cs="Arial" w:eastAsia="Arial" w:hAnsi="Arial"/>
          <w:sz w:val="18"/>
          <w:szCs w:val="18"/>
          <w:color w:val="auto"/>
        </w:rPr>
        <w:t>27.5</w:t>
        <w:tab/>
        <w:t>You acknowledge the Company’s or Group Company’s legitimate interest in monitoring its communication and electronic equipment including, without limitation, telephone, chat and e-mail systems, information stored on the Company’s or Group Company’s computer equipment (including all electronically stored information that is the property of the Company or Group Company) and any other computer equipment or other device used by you in the performance of your duties for the purpose of ensuring compliance with policies and with application laws and regulations.</w:t>
      </w:r>
    </w:p>
    <w:p>
      <w:pPr>
        <w:spacing w:after="0" w:line="180" w:lineRule="exact"/>
        <w:rPr>
          <w:sz w:val="20"/>
          <w:szCs w:val="20"/>
          <w:color w:val="auto"/>
        </w:rPr>
      </w:pPr>
    </w:p>
    <w:p>
      <w:pPr>
        <w:ind w:left="400" w:hanging="392"/>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20"/>
          <w:szCs w:val="20"/>
          <w:b w:val="1"/>
          <w:bCs w:val="1"/>
          <w:color w:val="auto"/>
        </w:rPr>
        <w:t>General</w:t>
      </w:r>
    </w:p>
    <w:p>
      <w:pPr>
        <w:spacing w:after="0" w:line="256" w:lineRule="exact"/>
        <w:rPr>
          <w:sz w:val="20"/>
          <w:szCs w:val="20"/>
          <w:color w:val="auto"/>
        </w:rPr>
      </w:pPr>
    </w:p>
    <w:p>
      <w:pPr>
        <w:jc w:val="both"/>
        <w:ind w:left="600" w:hanging="777"/>
        <w:spacing w:after="0" w:line="285" w:lineRule="auto"/>
        <w:tabs>
          <w:tab w:leader="none" w:pos="580" w:val="left"/>
        </w:tabs>
        <w:rPr>
          <w:sz w:val="20"/>
          <w:szCs w:val="20"/>
          <w:color w:val="auto"/>
        </w:rPr>
      </w:pPr>
      <w:r>
        <w:rPr>
          <w:rFonts w:ascii="Arial" w:cs="Arial" w:eastAsia="Arial" w:hAnsi="Arial"/>
          <w:sz w:val="18"/>
          <w:szCs w:val="18"/>
          <w:color w:val="auto"/>
        </w:rPr>
        <w:t>28.1</w:t>
        <w:tab/>
        <w:t>This agreement and the Participation Agreement contains the entire agreement as to the terms of your employment and replaces all previous contracts of service or other employment arrangements, and supersedes all previous discussions, correspondence, negotiations, understandings and agreements (“</w:t>
      </w:r>
      <w:r>
        <w:rPr>
          <w:rFonts w:ascii="Arial" w:cs="Arial" w:eastAsia="Arial" w:hAnsi="Arial"/>
          <w:sz w:val="18"/>
          <w:szCs w:val="18"/>
          <w:b w:val="1"/>
          <w:bCs w:val="1"/>
          <w:color w:val="auto"/>
        </w:rPr>
        <w:t>Previous Discussions</w:t>
      </w:r>
      <w:r>
        <w:rPr>
          <w:rFonts w:ascii="Arial" w:cs="Arial" w:eastAsia="Arial" w:hAnsi="Arial"/>
          <w:sz w:val="18"/>
          <w:szCs w:val="18"/>
          <w:color w:val="auto"/>
        </w:rPr>
        <w:t>”) between you and the Company or any Group Company (which shall have no further effect as from the Commencement Date).</w:t>
      </w:r>
    </w:p>
    <w:p>
      <w:pPr>
        <w:spacing w:after="0" w:line="178" w:lineRule="exact"/>
        <w:rPr>
          <w:sz w:val="20"/>
          <w:szCs w:val="20"/>
          <w:color w:val="auto"/>
        </w:rPr>
      </w:pPr>
    </w:p>
    <w:p>
      <w:pPr>
        <w:jc w:val="both"/>
        <w:ind w:left="580" w:right="20" w:hanging="777"/>
        <w:spacing w:after="0" w:line="287" w:lineRule="auto"/>
        <w:tabs>
          <w:tab w:leader="none" w:pos="560" w:val="left"/>
        </w:tabs>
        <w:rPr>
          <w:sz w:val="20"/>
          <w:szCs w:val="20"/>
          <w:color w:val="auto"/>
        </w:rPr>
      </w:pPr>
      <w:r>
        <w:rPr>
          <w:rFonts w:ascii="Arial" w:cs="Arial" w:eastAsia="Arial" w:hAnsi="Arial"/>
          <w:sz w:val="18"/>
          <w:szCs w:val="18"/>
          <w:color w:val="auto"/>
        </w:rPr>
        <w:t>28.2</w:t>
        <w:tab/>
        <w:t>In exercising any discretion under this agreement, including in deciding whether or not to give any approval or consent, the Company may adopt such procedures and consider such matters as it, in its absolute discretion, deems appropriate. You expressly agree that you shall have no right to, and you irrevocably waive any claim for, compensation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11" w:lineRule="exact"/>
        <w:rPr>
          <w:sz w:val="20"/>
          <w:szCs w:val="20"/>
          <w:color w:val="auto"/>
        </w:rPr>
      </w:pPr>
    </w:p>
    <w:p>
      <w:pPr>
        <w:jc w:val="both"/>
        <w:ind w:left="780"/>
        <w:spacing w:after="0" w:line="287" w:lineRule="auto"/>
        <w:rPr>
          <w:sz w:val="20"/>
          <w:szCs w:val="20"/>
          <w:color w:val="auto"/>
        </w:rPr>
      </w:pPr>
      <w:r>
        <w:rPr>
          <w:rFonts w:ascii="Arial" w:cs="Arial" w:eastAsia="Arial" w:hAnsi="Arial"/>
          <w:sz w:val="18"/>
          <w:szCs w:val="18"/>
          <w:color w:val="auto"/>
        </w:rPr>
        <w:t>remedy arising from the way in which the Company exercises or does not exercise any discretion or power that it has under any provision of this agreement, even if the exercise or non-exercise of such discretion or power is, or appears to be, irrational or perverse and/or breaches, or is claimed to breach, any implied term of this agreement or your employment.</w:t>
      </w:r>
    </w:p>
    <w:p>
      <w:pPr>
        <w:spacing w:after="0" w:line="17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7"/>
          <w:szCs w:val="17"/>
          <w:color w:val="auto"/>
        </w:rPr>
        <w:t>You acknowledge that:</w:t>
      </w:r>
    </w:p>
    <w:p>
      <w:pPr>
        <w:spacing w:after="0" w:line="239" w:lineRule="exact"/>
        <w:rPr>
          <w:sz w:val="20"/>
          <w:szCs w:val="20"/>
          <w:color w:val="auto"/>
        </w:rPr>
      </w:pPr>
    </w:p>
    <w:p>
      <w:pPr>
        <w:jc w:val="both"/>
        <w:ind w:left="1520" w:hanging="1036"/>
        <w:spacing w:after="0" w:line="293" w:lineRule="auto"/>
        <w:tabs>
          <w:tab w:leader="none" w:pos="1500" w:val="left"/>
        </w:tabs>
        <w:rPr>
          <w:sz w:val="20"/>
          <w:szCs w:val="20"/>
          <w:color w:val="auto"/>
        </w:rPr>
      </w:pPr>
      <w:r>
        <w:rPr>
          <w:rFonts w:ascii="Arial" w:cs="Arial" w:eastAsia="Arial" w:hAnsi="Arial"/>
          <w:sz w:val="18"/>
          <w:szCs w:val="18"/>
          <w:color w:val="auto"/>
        </w:rPr>
        <w:t>28.3.1</w:t>
        <w:tab/>
        <w:t>in entering into this agreement you have not relied on, and shall have no remedy in respect of, any Previous Discussion which is not expressly set out in this agreement; and</w:t>
      </w:r>
    </w:p>
    <w:p>
      <w:pPr>
        <w:spacing w:after="0" w:line="183" w:lineRule="exact"/>
        <w:rPr>
          <w:sz w:val="20"/>
          <w:szCs w:val="20"/>
          <w:color w:val="auto"/>
        </w:rPr>
      </w:pPr>
    </w:p>
    <w:p>
      <w:pPr>
        <w:jc w:val="both"/>
        <w:ind w:left="1500" w:hanging="1036"/>
        <w:spacing w:after="0" w:line="293" w:lineRule="auto"/>
        <w:tabs>
          <w:tab w:leader="none" w:pos="1480" w:val="left"/>
        </w:tabs>
        <w:rPr>
          <w:sz w:val="20"/>
          <w:szCs w:val="20"/>
          <w:color w:val="auto"/>
        </w:rPr>
      </w:pPr>
      <w:r>
        <w:rPr>
          <w:rFonts w:ascii="Arial" w:cs="Arial" w:eastAsia="Arial" w:hAnsi="Arial"/>
          <w:sz w:val="18"/>
          <w:szCs w:val="18"/>
          <w:color w:val="auto"/>
        </w:rPr>
        <w:t>28.3.2</w:t>
        <w:tab/>
        <w:t>the Company’s only liability in respect of those representations and warranties that are set out in this agreement (whether made innocently or negligently) shall be for breach of contract.</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7"/>
          <w:szCs w:val="17"/>
          <w:color w:val="auto"/>
        </w:rPr>
        <w:t>Save as noted in clause 7, no amendment to this agreement shall be effective unless it is in writing and signed by the parties.</w:t>
      </w:r>
    </w:p>
    <w:p>
      <w:pPr>
        <w:spacing w:after="0" w:line="239" w:lineRule="exact"/>
        <w:rPr>
          <w:sz w:val="20"/>
          <w:szCs w:val="20"/>
          <w:color w:val="auto"/>
        </w:rPr>
      </w:pPr>
    </w:p>
    <w:p>
      <w:pPr>
        <w:jc w:val="both"/>
        <w:ind w:left="600" w:hanging="777"/>
        <w:spacing w:after="0" w:line="287" w:lineRule="auto"/>
        <w:tabs>
          <w:tab w:leader="none" w:pos="580" w:val="left"/>
        </w:tabs>
        <w:rPr>
          <w:sz w:val="20"/>
          <w:szCs w:val="20"/>
          <w:color w:val="auto"/>
        </w:rPr>
      </w:pPr>
      <w:r>
        <w:rPr>
          <w:rFonts w:ascii="Arial" w:cs="Arial" w:eastAsia="Arial" w:hAnsi="Arial"/>
          <w:sz w:val="18"/>
          <w:szCs w:val="18"/>
          <w:color w:val="auto"/>
        </w:rPr>
        <w:t>28.5</w:t>
        <w:tab/>
        <w:t>The Employment Rights Act 1996 protects employees from any detriment in relation to certain disclosures. For the purposes of that Act, you are required first to inform the Human Resources department of the nature of such disclosure. Failure to do so may result in disciplinary action being taken.</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7"/>
          <w:szCs w:val="17"/>
          <w:color w:val="auto"/>
        </w:rPr>
        <w:t>There are no collective agreements which affect your terms and conditions of employment.</w:t>
      </w:r>
    </w:p>
    <w:p>
      <w:pPr>
        <w:spacing w:after="0" w:line="225" w:lineRule="exact"/>
        <w:rPr>
          <w:sz w:val="20"/>
          <w:szCs w:val="20"/>
          <w:color w:val="auto"/>
        </w:rPr>
      </w:pPr>
    </w:p>
    <w:p>
      <w:pPr>
        <w:jc w:val="both"/>
        <w:ind w:left="580" w:right="20" w:hanging="777"/>
        <w:spacing w:after="0" w:line="293" w:lineRule="auto"/>
        <w:tabs>
          <w:tab w:leader="none" w:pos="560" w:val="left"/>
        </w:tabs>
        <w:rPr>
          <w:sz w:val="20"/>
          <w:szCs w:val="20"/>
          <w:color w:val="auto"/>
        </w:rPr>
      </w:pPr>
      <w:r>
        <w:rPr>
          <w:rFonts w:ascii="Arial" w:cs="Arial" w:eastAsia="Arial" w:hAnsi="Arial"/>
          <w:sz w:val="18"/>
          <w:szCs w:val="18"/>
          <w:color w:val="auto"/>
        </w:rPr>
        <w:t>28.7</w:t>
        <w:tab/>
        <w:t>Pursuant to the Contracts (Rights of Third Parties) Act 1999 only the parties to this agreement and any Group Company may enforce any of the terms of this agreement.</w:t>
      </w:r>
    </w:p>
    <w:p>
      <w:pPr>
        <w:spacing w:after="0" w:line="183" w:lineRule="exact"/>
        <w:rPr>
          <w:sz w:val="20"/>
          <w:szCs w:val="20"/>
          <w:color w:val="auto"/>
        </w:rPr>
      </w:pPr>
    </w:p>
    <w:p>
      <w:pPr>
        <w:jc w:val="both"/>
        <w:ind w:left="600" w:hanging="777"/>
        <w:spacing w:after="0" w:line="293" w:lineRule="auto"/>
        <w:tabs>
          <w:tab w:leader="none" w:pos="580" w:val="left"/>
        </w:tabs>
        <w:rPr>
          <w:sz w:val="20"/>
          <w:szCs w:val="20"/>
          <w:color w:val="auto"/>
        </w:rPr>
      </w:pPr>
      <w:r>
        <w:rPr>
          <w:rFonts w:ascii="Arial" w:cs="Arial" w:eastAsia="Arial" w:hAnsi="Arial"/>
          <w:sz w:val="18"/>
          <w:szCs w:val="18"/>
          <w:color w:val="auto"/>
        </w:rPr>
        <w:t>28.8</w:t>
        <w:tab/>
        <w:t>This agreement may be executed in any number of counterparts, each of which when executed and delivered, shall be an original, and all the counterparts together shall constitute one and the same instrument.</w:t>
      </w:r>
    </w:p>
    <w:p>
      <w:pPr>
        <w:spacing w:after="0" w:line="170" w:lineRule="exact"/>
        <w:rPr>
          <w:sz w:val="20"/>
          <w:szCs w:val="20"/>
          <w:color w:val="auto"/>
        </w:rPr>
      </w:pPr>
    </w:p>
    <w:p>
      <w:pPr>
        <w:ind w:left="400" w:hanging="392"/>
        <w:spacing w:after="0"/>
        <w:tabs>
          <w:tab w:leader="none" w:pos="400" w:val="left"/>
        </w:tabs>
        <w:numPr>
          <w:ilvl w:val="0"/>
          <w:numId w:val="82"/>
        </w:numPr>
        <w:rPr>
          <w:rFonts w:ascii="Arial" w:cs="Arial" w:eastAsia="Arial" w:hAnsi="Arial"/>
          <w:sz w:val="18"/>
          <w:szCs w:val="18"/>
          <w:color w:val="auto"/>
        </w:rPr>
      </w:pPr>
      <w:r>
        <w:rPr>
          <w:rFonts w:ascii="Arial" w:cs="Arial" w:eastAsia="Arial" w:hAnsi="Arial"/>
          <w:sz w:val="20"/>
          <w:szCs w:val="20"/>
          <w:b w:val="1"/>
          <w:bCs w:val="1"/>
          <w:color w:val="auto"/>
        </w:rPr>
        <w:t>Governing law and jurisdiction</w:t>
      </w:r>
    </w:p>
    <w:p>
      <w:pPr>
        <w:spacing w:after="0" w:line="242" w:lineRule="exact"/>
        <w:rPr>
          <w:sz w:val="20"/>
          <w:szCs w:val="20"/>
          <w:color w:val="auto"/>
        </w:rPr>
      </w:pPr>
    </w:p>
    <w:p>
      <w:pPr>
        <w:jc w:val="center"/>
        <w:spacing w:after="0" w:line="293" w:lineRule="auto"/>
        <w:rPr>
          <w:sz w:val="20"/>
          <w:szCs w:val="20"/>
          <w:color w:val="auto"/>
        </w:rPr>
      </w:pPr>
      <w:r>
        <w:rPr>
          <w:rFonts w:ascii="Arial" w:cs="Arial" w:eastAsia="Arial" w:hAnsi="Arial"/>
          <w:sz w:val="18"/>
          <w:szCs w:val="18"/>
          <w:color w:val="auto"/>
        </w:rPr>
        <w:t>29.1   This agreement shall be governed by and construed in accordance with the laws of England. Non-contractual obligations (if any) arising out of or in connection with this agreement (including its formation) shall also be governed by the laws of England.</w:t>
      </w:r>
    </w:p>
    <w:p>
      <w:pPr>
        <w:spacing w:after="0" w:line="183" w:lineRule="exact"/>
        <w:rPr>
          <w:sz w:val="20"/>
          <w:szCs w:val="20"/>
          <w:color w:val="auto"/>
        </w:rPr>
      </w:pPr>
    </w:p>
    <w:p>
      <w:pPr>
        <w:ind w:left="600" w:hanging="777"/>
        <w:spacing w:after="0" w:line="293" w:lineRule="auto"/>
        <w:tabs>
          <w:tab w:leader="none" w:pos="580" w:val="left"/>
        </w:tabs>
        <w:rPr>
          <w:sz w:val="20"/>
          <w:szCs w:val="20"/>
          <w:color w:val="auto"/>
        </w:rPr>
      </w:pPr>
      <w:r>
        <w:rPr>
          <w:rFonts w:ascii="Arial" w:cs="Arial" w:eastAsia="Arial" w:hAnsi="Arial"/>
          <w:sz w:val="18"/>
          <w:szCs w:val="18"/>
          <w:color w:val="auto"/>
        </w:rPr>
        <w:t>29.2</w:t>
        <w:tab/>
        <w:t>The parties submit to the exclusive jurisdiction of the courts of England and Wales as regards any claim, dispute or matter (whether contractual or non-contractual) arising out of or in connection with this agreement (including its 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executed this agreement as a deed on the date shown at its 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84" w:lineRule="exact"/>
        <w:rPr>
          <w:sz w:val="20"/>
          <w:szCs w:val="20"/>
          <w:color w:val="auto"/>
        </w:rPr>
      </w:pPr>
    </w:p>
    <w:p>
      <w:pPr>
        <w:ind w:left="80"/>
        <w:spacing w:after="0" w:line="318"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r>
        <w:rPr>
          <w:rFonts w:ascii="Arial" w:cs="Arial" w:eastAsia="Arial" w:hAnsi="Arial"/>
          <w:sz w:val="18"/>
          <w:szCs w:val="18"/>
          <w:b w:val="1"/>
          <w:bCs w:val="1"/>
          <w:color w:val="auto"/>
        </w:rPr>
        <w:t xml:space="preserve"> CHRIS TOVEY </w:t>
      </w: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707" w:hanging="707"/>
        <w:spacing w:after="0"/>
        <w:tabs>
          <w:tab w:leader="none" w:pos="7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/s/ Chris Tovey</w:t>
      </w:r>
    </w:p>
    <w:p>
      <w:pPr>
        <w:spacing w:after="0" w:line="36" w:lineRule="exact"/>
        <w:rPr>
          <w:sz w:val="20"/>
          <w:szCs w:val="20"/>
          <w:color w:val="auto"/>
        </w:rPr>
      </w:pPr>
    </w:p>
    <w:p>
      <w:pPr>
        <w:ind w:left="707" w:hanging="707"/>
        <w:spacing w:after="0"/>
        <w:tabs>
          <w:tab w:leader="none" w:pos="7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p>
    <w:p>
      <w:pPr>
        <w:spacing w:after="0" w:line="1" w:lineRule="exact"/>
        <w:rPr>
          <w:sz w:val="20"/>
          <w:szCs w:val="20"/>
          <w:color w:val="auto"/>
        </w:rPr>
      </w:pPr>
    </w:p>
    <w:p>
      <w:pPr>
        <w:sectPr>
          <w:pgSz w:w="11900" w:h="16838" w:orient="portrait"/>
          <w:cols w:equalWidth="0" w:num="2">
            <w:col w:w="3500" w:space="193"/>
            <w:col w:w="6446"/>
          </w:cols>
          <w:pgMar w:left="320" w:top="1440" w:right="1440" w:bottom="1440" w:gutter="0" w:footer="0" w:header="0"/>
        </w:sectPr>
      </w:pPr>
    </w:p>
    <w:p>
      <w:pPr>
        <w:ind w:left="20"/>
        <w:spacing w:after="0"/>
        <w:tabs>
          <w:tab w:leader="none" w:pos="1820" w:val="left"/>
          <w:tab w:leader="none" w:pos="3680" w:val="left"/>
        </w:tabs>
        <w:rPr>
          <w:sz w:val="20"/>
          <w:szCs w:val="20"/>
          <w:color w:val="auto"/>
        </w:rPr>
      </w:pPr>
      <w:r>
        <w:rPr>
          <w:rFonts w:ascii="Arial" w:cs="Arial" w:eastAsia="Arial" w:hAnsi="Arial"/>
          <w:sz w:val="36"/>
          <w:szCs w:val="36"/>
          <w:color w:val="auto"/>
          <w:vertAlign w:val="superscript"/>
        </w:rPr>
        <w:t>Witness:</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7"/>
          <w:szCs w:val="17"/>
          <w:color w:val="auto"/>
        </w:rPr>
        <w:t>/s/ Eric Stern</w:t>
      </w:r>
    </w:p>
    <w:p>
      <w:pPr>
        <w:spacing w:after="0" w:line="81"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w:t>
      </w:r>
    </w:p>
    <w:p>
      <w:pPr>
        <w:spacing w:after="0" w:line="264" w:lineRule="exact"/>
        <w:rPr>
          <w:sz w:val="20"/>
          <w:szCs w:val="20"/>
          <w:color w:val="auto"/>
        </w:rPr>
      </w:pPr>
    </w:p>
    <w:p>
      <w:pPr>
        <w:ind w:left="1840"/>
        <w:spacing w:after="0"/>
        <w:tabs>
          <w:tab w:leader="none" w:pos="3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Eric Stern</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w:t>
      </w:r>
    </w:p>
    <w:p>
      <w:pPr>
        <w:spacing w:after="0" w:line="39" w:lineRule="exact"/>
        <w:rPr>
          <w:sz w:val="20"/>
          <w:szCs w:val="20"/>
          <w:color w:val="auto"/>
        </w:rPr>
      </w:pPr>
    </w:p>
    <w:p>
      <w:pPr>
        <w:ind w:left="1840"/>
        <w:spacing w:after="0"/>
        <w:tabs>
          <w:tab w:leader="none" w:pos="3680" w:val="left"/>
        </w:tabs>
        <w:rPr>
          <w:sz w:val="20"/>
          <w:szCs w:val="20"/>
          <w:color w:val="auto"/>
        </w:rPr>
      </w:pPr>
      <w:r>
        <w:rPr>
          <w:rFonts w:ascii="Arial" w:cs="Arial" w:eastAsia="Arial" w:hAnsi="Arial"/>
          <w:sz w:val="36"/>
          <w:szCs w:val="36"/>
          <w:color w:val="auto"/>
          <w:vertAlign w:val="superscript"/>
        </w:rPr>
        <w:t>Address:</w:t>
      </w:r>
      <w:r>
        <w:rPr>
          <w:sz w:val="20"/>
          <w:szCs w:val="20"/>
          <w:color w:val="auto"/>
        </w:rPr>
        <w:tab/>
      </w:r>
      <w:r>
        <w:rPr>
          <w:rFonts w:ascii="Arial" w:cs="Arial" w:eastAsia="Arial" w:hAnsi="Arial"/>
          <w:sz w:val="18"/>
          <w:szCs w:val="18"/>
          <w:color w:val="auto"/>
        </w:rPr>
        <w:t>[Address]</w:t>
      </w:r>
    </w:p>
    <w:p>
      <w:pPr>
        <w:spacing w:after="0" w:line="80" w:lineRule="exact"/>
        <w:rPr>
          <w:sz w:val="20"/>
          <w:szCs w:val="20"/>
          <w:color w:val="auto"/>
        </w:rPr>
      </w:pPr>
    </w:p>
    <w:p>
      <w:pPr>
        <w:ind w:left="3700"/>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139"/>
          </w:cols>
          <w:pgMar w:left="320" w:top="1440" w:right="1440" w:bottom="1440" w:gutter="0" w:footer="0" w:header="0"/>
          <w:type w:val="continuous"/>
        </w:sectPr>
      </w:pPr>
    </w:p>
    <w:p>
      <w:pPr>
        <w:spacing w:after="0" w:line="2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line="294"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r>
        <w:rPr>
          <w:rFonts w:ascii="Arial" w:cs="Arial" w:eastAsia="Arial" w:hAnsi="Arial"/>
          <w:sz w:val="18"/>
          <w:szCs w:val="18"/>
          <w:b w:val="1"/>
          <w:bCs w:val="1"/>
          <w:color w:val="auto"/>
        </w:rPr>
        <w:t xml:space="preserve"> JAZZ PHARMACEUTICALS UK LIMITED </w:t>
      </w:r>
      <w:r>
        <w:rPr>
          <w:rFonts w:ascii="Arial" w:cs="Arial" w:eastAsia="Arial" w:hAnsi="Arial"/>
          <w:sz w:val="18"/>
          <w:szCs w:val="18"/>
          <w:color w:val="auto"/>
        </w:rPr>
        <w:t>acting</w:t>
      </w:r>
      <w:r>
        <w:rPr>
          <w:rFonts w:ascii="Arial" w:cs="Arial" w:eastAsia="Arial" w:hAnsi="Arial"/>
          <w:sz w:val="18"/>
          <w:szCs w:val="18"/>
          <w:b w:val="1"/>
          <w:bCs w:val="1"/>
          <w:color w:val="auto"/>
        </w:rPr>
        <w:t xml:space="preserve"> </w:t>
      </w:r>
      <w:r>
        <w:rPr>
          <w:rFonts w:ascii="Arial" w:cs="Arial" w:eastAsia="Arial" w:hAnsi="Arial"/>
          <w:sz w:val="18"/>
          <w:szCs w:val="18"/>
          <w:color w:val="auto"/>
        </w:rPr>
        <w:t>by ……………….(director) in the presence of:</w:t>
      </w:r>
    </w:p>
    <w:p>
      <w:pPr>
        <w:spacing w:after="0" w:line="93" w:lineRule="exact"/>
        <w:rPr>
          <w:sz w:val="20"/>
          <w:szCs w:val="20"/>
          <w:color w:val="auto"/>
        </w:rPr>
      </w:pPr>
    </w:p>
    <w:p>
      <w:pPr>
        <w:ind w:left="20"/>
        <w:spacing w:after="0"/>
        <w:tabs>
          <w:tab w:leader="none" w:pos="1820" w:val="left"/>
        </w:tabs>
        <w:rPr>
          <w:sz w:val="20"/>
          <w:szCs w:val="20"/>
          <w:color w:val="auto"/>
        </w:rPr>
      </w:pPr>
      <w:r>
        <w:rPr>
          <w:rFonts w:ascii="Arial" w:cs="Arial" w:eastAsia="Arial" w:hAnsi="Arial"/>
          <w:sz w:val="36"/>
          <w:szCs w:val="36"/>
          <w:color w:val="auto"/>
          <w:vertAlign w:val="superscript"/>
        </w:rPr>
        <w:t>Witness:</w:t>
      </w:r>
      <w:r>
        <w:rPr>
          <w:sz w:val="20"/>
          <w:szCs w:val="20"/>
          <w:color w:val="auto"/>
        </w:rPr>
        <w:tab/>
      </w: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7"/>
        <w:spacing w:after="0"/>
        <w:rPr>
          <w:sz w:val="20"/>
          <w:szCs w:val="20"/>
          <w:color w:val="auto"/>
        </w:rPr>
      </w:pPr>
      <w:r>
        <w:rPr>
          <w:rFonts w:ascii="Arial" w:cs="Arial" w:eastAsia="Arial" w:hAnsi="Arial"/>
          <w:sz w:val="18"/>
          <w:szCs w:val="18"/>
          <w:color w:val="auto"/>
        </w:rPr>
        <w:t>Head of Global Total Rewards</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5"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ind w:left="727" w:hanging="727"/>
        <w:spacing w:after="0" w:line="180" w:lineRule="auto"/>
        <w:tabs>
          <w:tab w:leader="none" w:pos="727" w:val="left"/>
        </w:tabs>
        <w:numPr>
          <w:ilvl w:val="0"/>
          <w:numId w:val="85"/>
        </w:numPr>
        <w:rPr>
          <w:rFonts w:ascii="Arial" w:cs="Arial" w:eastAsia="Arial" w:hAnsi="Arial"/>
          <w:sz w:val="25"/>
          <w:szCs w:val="25"/>
          <w:color w:val="auto"/>
          <w:vertAlign w:val="subscript"/>
        </w:rPr>
      </w:pPr>
      <w:r>
        <w:rPr>
          <w:rFonts w:ascii="Arial" w:cs="Arial" w:eastAsia="Arial" w:hAnsi="Arial"/>
          <w:sz w:val="14"/>
          <w:szCs w:val="14"/>
          <w:color w:val="auto"/>
        </w:rPr>
        <w:t>/s/ Heidi Manna</w:t>
      </w:r>
    </w:p>
    <w:p>
      <w:pPr>
        <w:ind w:left="727"/>
        <w:spacing w:after="0" w:line="199" w:lineRule="auto"/>
        <w:rPr>
          <w:rFonts w:ascii="Arial" w:cs="Arial" w:eastAsia="Arial" w:hAnsi="Arial"/>
          <w:sz w:val="25"/>
          <w:szCs w:val="25"/>
          <w:color w:val="auto"/>
          <w:vertAlign w:val="subscript"/>
        </w:rPr>
      </w:pPr>
      <w:r>
        <w:rPr>
          <w:rFonts w:ascii="Arial" w:cs="Arial" w:eastAsia="Arial" w:hAnsi="Arial"/>
          <w:sz w:val="17"/>
          <w:szCs w:val="17"/>
          <w:color w:val="auto"/>
        </w:rPr>
        <w:t>……………………………………………………….</w:t>
      </w:r>
    </w:p>
    <w:p>
      <w:pPr>
        <w:ind w:left="7"/>
        <w:spacing w:after="0" w:line="183" w:lineRule="auto"/>
        <w:rPr>
          <w:sz w:val="20"/>
          <w:szCs w:val="20"/>
          <w:color w:val="auto"/>
        </w:rPr>
      </w:pPr>
      <w:r>
        <w:rPr>
          <w:rFonts w:ascii="Arial" w:cs="Arial" w:eastAsia="Arial" w:hAnsi="Arial"/>
          <w:sz w:val="17"/>
          <w:szCs w:val="17"/>
          <w:color w:val="auto"/>
        </w:rPr>
        <w:t>)</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8"/>
          <w:szCs w:val="18"/>
          <w:color w:val="auto"/>
        </w:rPr>
        <w:t>/s/ Eric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0350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
        <w:spacing w:after="0"/>
        <w:rPr>
          <w:sz w:val="20"/>
          <w:szCs w:val="20"/>
          <w:color w:val="auto"/>
        </w:rPr>
      </w:pPr>
      <w:r>
        <w:rPr>
          <w:rFonts w:ascii="Arial" w:cs="Arial" w:eastAsia="Arial" w:hAnsi="Arial"/>
          <w:sz w:val="18"/>
          <w:szCs w:val="18"/>
          <w:color w:val="auto"/>
        </w:rPr>
        <w:t>Eric Stern</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Arial" w:cs="Arial" w:eastAsia="Arial" w:hAnsi="Arial"/>
          <w:sz w:val="18"/>
          <w:szCs w:val="18"/>
          <w:color w:val="auto"/>
        </w:rPr>
        <w:t>Head of Global Total Rewards</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500" w:space="193"/>
            <w:col w:w="6446"/>
          </w:cols>
          <w:pgMar w:left="320" w:top="1440" w:right="1440"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1: Participation Agreement for Chris Tovey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39"/>
          </w:cols>
          <w:pgMar w:left="320" w:top="1440" w:right="1440"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18"/>
          <w:szCs w:val="18"/>
          <w:u w:val="single" w:color="auto"/>
          <w:color w:val="auto"/>
        </w:rPr>
        <w:t>STRICTLY CONFIDENTIAL</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UK CHANGE IN CONTROL AND SEVERANCE BENEFIT PLAN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 PHARMA LIMITED / GW RESEARCH LIMITED)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AGREEMENT FOR CHRIS TOVEY</w:t>
      </w:r>
    </w:p>
    <w:p>
      <w:pPr>
        <w:spacing w:after="0" w:line="28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Chris Tovey</w:t>
      </w:r>
    </w:p>
    <w:p>
      <w:pPr>
        <w:spacing w:after="0" w:line="2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WHEREAS, pursuant to the Transaction Agreement dated 3 February 2021 and entered into between GW Pharmaceuticals plc, Jazz Pharmaceuticals Public Limited Company (“</w:t>
      </w:r>
      <w:r>
        <w:rPr>
          <w:rFonts w:ascii="Arial" w:cs="Arial" w:eastAsia="Arial" w:hAnsi="Arial"/>
          <w:sz w:val="18"/>
          <w:szCs w:val="18"/>
          <w:i w:val="1"/>
          <w:iCs w:val="1"/>
          <w:color w:val="auto"/>
        </w:rPr>
        <w:t>Parent</w:t>
      </w:r>
      <w:r>
        <w:rPr>
          <w:rFonts w:ascii="Arial" w:cs="Arial" w:eastAsia="Arial" w:hAnsi="Arial"/>
          <w:sz w:val="18"/>
          <w:szCs w:val="18"/>
          <w:color w:val="auto"/>
        </w:rPr>
        <w:t>”) and Jazz Pharmaceuticals UK Holdings Limited, as it may be amended from time to time (the “</w:t>
      </w:r>
      <w:r>
        <w:rPr>
          <w:rFonts w:ascii="Arial" w:cs="Arial" w:eastAsia="Arial" w:hAnsi="Arial"/>
          <w:sz w:val="18"/>
          <w:szCs w:val="18"/>
          <w:i w:val="1"/>
          <w:iCs w:val="1"/>
          <w:color w:val="auto"/>
        </w:rPr>
        <w:t>Transaction Agreement</w:t>
      </w:r>
      <w:r>
        <w:rPr>
          <w:rFonts w:ascii="Arial" w:cs="Arial" w:eastAsia="Arial" w:hAnsi="Arial"/>
          <w:sz w:val="18"/>
          <w:szCs w:val="18"/>
          <w:color w:val="auto"/>
        </w:rPr>
        <w:t>”), GW Pharma Limited will be acquired by Parent (the “</w:t>
      </w:r>
      <w:r>
        <w:rPr>
          <w:rFonts w:ascii="Arial" w:cs="Arial" w:eastAsia="Arial" w:hAnsi="Arial"/>
          <w:sz w:val="18"/>
          <w:szCs w:val="18"/>
          <w:i w:val="1"/>
          <w:iCs w:val="1"/>
          <w:color w:val="auto"/>
        </w:rPr>
        <w:t>Specified Transaction</w:t>
      </w:r>
      <w:r>
        <w:rPr>
          <w:rFonts w:ascii="Arial" w:cs="Arial" w:eastAsia="Arial" w:hAnsi="Arial"/>
          <w:sz w:val="18"/>
          <w:szCs w:val="18"/>
          <w:color w:val="auto"/>
        </w:rPr>
        <w:t>”) (the completion of such Specified Transaction, the “</w:t>
      </w:r>
      <w:r>
        <w:rPr>
          <w:rFonts w:ascii="Arial" w:cs="Arial" w:eastAsia="Arial" w:hAnsi="Arial"/>
          <w:sz w:val="18"/>
          <w:szCs w:val="18"/>
          <w:i w:val="1"/>
          <w:iCs w:val="1"/>
          <w:color w:val="auto"/>
        </w:rPr>
        <w:t>Closing</w:t>
      </w:r>
      <w:r>
        <w:rPr>
          <w:rFonts w:ascii="Arial" w:cs="Arial" w:eastAsia="Arial" w:hAnsi="Arial"/>
          <w:sz w:val="18"/>
          <w:szCs w:val="18"/>
          <w:color w:val="auto"/>
        </w:rPr>
        <w:t>”).</w:t>
      </w:r>
    </w:p>
    <w:p>
      <w:pPr>
        <w:spacing w:after="0" w:line="20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WHEREAS, Jazz Pharmaceuticals UK Limited, a subsidiary of Parent, or the member of the Company Group that actually employs Executive, (the “Company”) wishes to employ Chris Tovey (“</w:t>
      </w:r>
      <w:r>
        <w:rPr>
          <w:rFonts w:ascii="Arial" w:cs="Arial" w:eastAsia="Arial" w:hAnsi="Arial"/>
          <w:sz w:val="18"/>
          <w:szCs w:val="18"/>
          <w:i w:val="1"/>
          <w:iCs w:val="1"/>
          <w:color w:val="auto"/>
        </w:rPr>
        <w:t>Executive</w:t>
      </w:r>
      <w:r>
        <w:rPr>
          <w:rFonts w:ascii="Arial" w:cs="Arial" w:eastAsia="Arial" w:hAnsi="Arial"/>
          <w:sz w:val="18"/>
          <w:szCs w:val="18"/>
          <w:color w:val="auto"/>
        </w:rPr>
        <w:t>”) on and following the Closing on the terms and conditions, and for the consideration, set forth hereinafter and in the Service Agreement between Executive and the Company (the “</w:t>
      </w:r>
      <w:r>
        <w:rPr>
          <w:rFonts w:ascii="Arial" w:cs="Arial" w:eastAsia="Arial" w:hAnsi="Arial"/>
          <w:sz w:val="18"/>
          <w:szCs w:val="18"/>
          <w:i w:val="1"/>
          <w:iCs w:val="1"/>
          <w:color w:val="auto"/>
        </w:rPr>
        <w:t>Service Agreement</w:t>
      </w:r>
      <w:r>
        <w:rPr>
          <w:rFonts w:ascii="Arial" w:cs="Arial" w:eastAsia="Arial" w:hAnsi="Arial"/>
          <w:sz w:val="18"/>
          <w:szCs w:val="18"/>
          <w:color w:val="auto"/>
        </w:rPr>
        <w:t>”), and Executive desires to be employed by the Company on such terms and conditions and for such consideration. Capitalised terms not explicitly defined in this Participation Agreement but defined in the the GW UK Change in Control and Severance Benefit Plan (the “</w:t>
      </w:r>
      <w:r>
        <w:rPr>
          <w:rFonts w:ascii="Arial" w:cs="Arial" w:eastAsia="Arial" w:hAnsi="Arial"/>
          <w:sz w:val="18"/>
          <w:szCs w:val="18"/>
          <w:i w:val="1"/>
          <w:iCs w:val="1"/>
          <w:color w:val="auto"/>
        </w:rPr>
        <w:t>Plan</w:t>
      </w:r>
      <w:r>
        <w:rPr>
          <w:rFonts w:ascii="Arial" w:cs="Arial" w:eastAsia="Arial" w:hAnsi="Arial"/>
          <w:sz w:val="18"/>
          <w:szCs w:val="18"/>
          <w:color w:val="auto"/>
        </w:rPr>
        <w:t>”) shall have the same definitions as in the Plan.</w:t>
      </w:r>
    </w:p>
    <w:p>
      <w:pPr>
        <w:spacing w:after="0" w:line="20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NOW, THEREFORE, in consideration of the mutual covenants and agreements set forth below and in the Service Agreement, and for other good and valuable consideration, the receipt and sufficiency of which are hereby acknowledged, it is hereby agreed as follows (with Executive referred to as “you” below):</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w:t>
        <w:tab/>
        <w:t>RETENTION BONUS.</w:t>
      </w:r>
    </w:p>
    <w:p>
      <w:pPr>
        <w:spacing w:after="0" w:line="266" w:lineRule="exact"/>
        <w:rPr>
          <w:sz w:val="20"/>
          <w:szCs w:val="20"/>
          <w:color w:val="auto"/>
        </w:rPr>
      </w:pPr>
    </w:p>
    <w:p>
      <w:pPr>
        <w:jc w:val="both"/>
        <w:ind w:left="660"/>
        <w:spacing w:after="0" w:line="301" w:lineRule="auto"/>
        <w:rPr>
          <w:sz w:val="20"/>
          <w:szCs w:val="20"/>
          <w:color w:val="auto"/>
        </w:rPr>
      </w:pPr>
      <w:r>
        <w:rPr>
          <w:rFonts w:ascii="Arial" w:cs="Arial" w:eastAsia="Arial" w:hAnsi="Arial"/>
          <w:sz w:val="18"/>
          <w:szCs w:val="18"/>
          <w:color w:val="auto"/>
        </w:rPr>
        <w:t>Following the Closing, you will be eligible for a retention bonus payment (the “</w:t>
      </w:r>
      <w:r>
        <w:rPr>
          <w:rFonts w:ascii="Arial" w:cs="Arial" w:eastAsia="Arial" w:hAnsi="Arial"/>
          <w:sz w:val="18"/>
          <w:szCs w:val="18"/>
          <w:b w:val="1"/>
          <w:bCs w:val="1"/>
          <w:i w:val="1"/>
          <w:iCs w:val="1"/>
          <w:color w:val="auto"/>
        </w:rPr>
        <w:t>Retention Bonus</w:t>
      </w:r>
      <w:r>
        <w:rPr>
          <w:rFonts w:ascii="Arial" w:cs="Arial" w:eastAsia="Arial" w:hAnsi="Arial"/>
          <w:sz w:val="18"/>
          <w:szCs w:val="18"/>
          <w:color w:val="auto"/>
        </w:rPr>
        <w:t>”), which is in addition to any annual bonus opportunity for which you may be eligible. The Retention Bonus will be a lump sum cash payment equal to £750,000, less applicable withholdings. The Retention Bonus will be earned and paid only if you remain continuously employed with the Company Group from the Closing through January 1, 2023 (the “</w:t>
      </w:r>
      <w:r>
        <w:rPr>
          <w:rFonts w:ascii="Arial" w:cs="Arial" w:eastAsia="Arial" w:hAnsi="Arial"/>
          <w:sz w:val="18"/>
          <w:szCs w:val="18"/>
          <w:b w:val="1"/>
          <w:bCs w:val="1"/>
          <w:i w:val="1"/>
          <w:iCs w:val="1"/>
          <w:color w:val="auto"/>
        </w:rPr>
        <w:t>Retention Period</w:t>
      </w:r>
      <w:r>
        <w:rPr>
          <w:rFonts w:ascii="Arial" w:cs="Arial" w:eastAsia="Arial" w:hAnsi="Arial"/>
          <w:sz w:val="18"/>
          <w:szCs w:val="18"/>
          <w:color w:val="auto"/>
        </w:rPr>
        <w:t>”). The Retention Bonus will be paid in a cash lump sum within 30 days following completion of the Retention Period, subject to your continued employment with the Company Group through the end of the Retention Period and your execution and non-revocation of a Release in respect of claims relating to your employment through the end of the Retention Period. The Retention Bonus payment will be subject to any required national insurance and tax withholdings or deductions, and is not considered compensation for purposes of pension, severance entitlements, or other benefit plans. In the event that your employment terminates for any reason prior to January 1, 2023, regardless of whether such termination is at your request or the Company’s request, you will have no entitlement to any portion of the Retention Bonus or for any indemnity or compensation for loss thereof.</w:t>
      </w:r>
    </w:p>
    <w:p>
      <w:pPr>
        <w:spacing w:after="0" w:line="177" w:lineRule="exact"/>
        <w:rPr>
          <w:sz w:val="20"/>
          <w:szCs w:val="20"/>
          <w:color w:val="auto"/>
        </w:rPr>
      </w:pPr>
    </w:p>
    <w:p>
      <w:pPr>
        <w:ind w:left="660" w:right="80"/>
        <w:spacing w:after="0" w:line="261" w:lineRule="auto"/>
        <w:rPr>
          <w:sz w:val="20"/>
          <w:szCs w:val="20"/>
          <w:color w:val="auto"/>
        </w:rPr>
      </w:pPr>
      <w:r>
        <w:rPr>
          <w:rFonts w:ascii="Arial" w:cs="Arial" w:eastAsia="Arial" w:hAnsi="Arial"/>
          <w:sz w:val="18"/>
          <w:szCs w:val="18"/>
          <w:color w:val="auto"/>
        </w:rPr>
        <w:t>For the avoidance of doubt, your eligibility for the Retention Bonus shall not impact, or be impacted by, your eligibility for a Transition Incentive Bonus (as defined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[[5572447]]</w:t>
      </w:r>
    </w:p>
    <w:p>
      <w:pPr>
        <w:sectPr>
          <w:pgSz w:w="11900" w:h="16838" w:orient="portrait"/>
          <w:cols w:equalWidth="0" w:num="1">
            <w:col w:w="11240"/>
          </w:cols>
          <w:pgMar w:left="320" w:top="140" w:right="339" w:bottom="1440" w:gutter="0" w:footer="0" w:header="0"/>
        </w:sectPr>
      </w:pPr>
    </w:p>
    <w:bookmarkStart w:id="139" w:name="page140"/>
    <w:bookmarkEnd w:id="139"/>
    <w:p>
      <w:pPr>
        <w:ind w:left="660" w:right="80"/>
        <w:spacing w:after="0" w:line="261" w:lineRule="auto"/>
        <w:rPr>
          <w:sz w:val="20"/>
          <w:szCs w:val="20"/>
          <w:color w:val="auto"/>
        </w:rPr>
      </w:pPr>
      <w:r>
        <w:rPr>
          <w:rFonts w:ascii="Arial" w:cs="Arial" w:eastAsia="Arial" w:hAnsi="Arial"/>
          <w:sz w:val="18"/>
          <w:szCs w:val="18"/>
          <w:color w:val="auto"/>
        </w:rPr>
        <w:t>Agreement) equal to six months of your pre-Closing base salary in accordance with the Transaction Agreement, subject to the terms and conditions of the Transition Incentive Bonus agreement and the Transaction Agreement.</w:t>
      </w:r>
    </w:p>
    <w:p>
      <w:pPr>
        <w:spacing w:after="0" w:line="23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2.</w:t>
        <w:tab/>
        <w:t>ELIGIBILITY FOR SEVERANCE BENEFITS.</w:t>
      </w:r>
    </w:p>
    <w:p>
      <w:pPr>
        <w:spacing w:after="0" w:line="288" w:lineRule="exact"/>
        <w:rPr>
          <w:sz w:val="20"/>
          <w:szCs w:val="20"/>
          <w:color w:val="auto"/>
        </w:rPr>
      </w:pPr>
    </w:p>
    <w:p>
      <w:pPr>
        <w:ind w:left="660"/>
        <w:spacing w:after="0" w:line="308" w:lineRule="auto"/>
        <w:rPr>
          <w:sz w:val="20"/>
          <w:szCs w:val="20"/>
          <w:color w:val="auto"/>
        </w:rPr>
      </w:pPr>
      <w:r>
        <w:rPr>
          <w:rFonts w:ascii="Arial" w:cs="Arial" w:eastAsia="Arial" w:hAnsi="Arial"/>
          <w:sz w:val="18"/>
          <w:szCs w:val="18"/>
          <w:color w:val="auto"/>
        </w:rPr>
        <w:t>The Company will consider you designated as a Participant eligible to receive Severance Benefits under the Plan, a copy of which is attached as Exhibit A to this Participation Agreement (the “</w:t>
      </w:r>
      <w:r>
        <w:rPr>
          <w:rFonts w:ascii="Arial" w:cs="Arial" w:eastAsia="Arial" w:hAnsi="Arial"/>
          <w:sz w:val="18"/>
          <w:szCs w:val="18"/>
          <w:b w:val="1"/>
          <w:bCs w:val="1"/>
          <w:i w:val="1"/>
          <w:iCs w:val="1"/>
          <w:color w:val="auto"/>
        </w:rPr>
        <w:t>Participation Agreement</w:t>
      </w:r>
      <w:r>
        <w:rPr>
          <w:rFonts w:ascii="Arial" w:cs="Arial" w:eastAsia="Arial" w:hAnsi="Arial"/>
          <w:sz w:val="18"/>
          <w:szCs w:val="18"/>
          <w:color w:val="auto"/>
        </w:rPr>
        <w:t>”).</w:t>
      </w:r>
    </w:p>
    <w:p>
      <w:pPr>
        <w:spacing w:after="0" w:line="198" w:lineRule="exact"/>
        <w:rPr>
          <w:sz w:val="20"/>
          <w:szCs w:val="20"/>
          <w:color w:val="auto"/>
        </w:rPr>
      </w:pPr>
    </w:p>
    <w:p>
      <w:pPr>
        <w:ind w:left="1300" w:hanging="644"/>
        <w:spacing w:after="0" w:line="299" w:lineRule="auto"/>
        <w:tabs>
          <w:tab w:leader="none" w:pos="1094"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will be eligible to receive the Severance Benefits set forth in Section 4 below if you meet all the eligibility requirements set forth in the Plan and this Participation Agreement, including, without limitation, in respect of a CIC Termination, executing the required Release in the Company’s standard form (which, for the avoidance of doubt shall not require restrictive covenants but shall be without prejudice to the restrictive covenants contained in your Service Agreement continuing in full force and effect) within such reasonable time period as may be required by the Company and take such legal advice in respect of the Release as may be required by law.</w:t>
      </w:r>
    </w:p>
    <w:p>
      <w:pPr>
        <w:spacing w:after="0" w:line="207" w:lineRule="exact"/>
        <w:rPr>
          <w:rFonts w:ascii="Arial" w:cs="Arial" w:eastAsia="Arial" w:hAnsi="Arial"/>
          <w:sz w:val="18"/>
          <w:szCs w:val="18"/>
          <w:color w:val="auto"/>
        </w:rPr>
      </w:pPr>
    </w:p>
    <w:p>
      <w:pPr>
        <w:jc w:val="right"/>
        <w:ind w:left="1300" w:hanging="644"/>
        <w:spacing w:after="0" w:line="297" w:lineRule="auto"/>
        <w:tabs>
          <w:tab w:leader="none" w:pos="11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connection with the Specified Transaction, the Company acknowledges and agrees that on December 31, 2022 you shall have the right to incur a CIC Termination under clause (ii)(1) of the definition of Resignation for Good Reason (as such term</w:t>
      </w:r>
    </w:p>
    <w:p>
      <w:pPr>
        <w:jc w:val="both"/>
        <w:ind w:left="1300"/>
        <w:spacing w:after="0" w:line="298" w:lineRule="auto"/>
        <w:rPr>
          <w:rFonts w:ascii="Arial" w:cs="Arial" w:eastAsia="Arial" w:hAnsi="Arial"/>
          <w:sz w:val="18"/>
          <w:szCs w:val="18"/>
          <w:color w:val="auto"/>
        </w:rPr>
      </w:pPr>
      <w:r>
        <w:rPr>
          <w:rFonts w:ascii="Arial" w:cs="Arial" w:eastAsia="Arial" w:hAnsi="Arial"/>
          <w:sz w:val="18"/>
          <w:szCs w:val="18"/>
          <w:color w:val="auto"/>
        </w:rPr>
        <w:t xml:space="preserve">is defined in the Plan) and that, as a result, if you choose to resign, you shall be eligible for the Severance Benefits set forth in Section 4 below;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(1) your Base Salary and Severance Bonus shall be determined based on your compensation levels as of immediately prior to the Closing, and all such payments shall be subject to your execution and non-revocation of the Release, (2) by executing this Participation Agreement you have (x) waived any and all other rights you may have to provide notice of a Resignation for Good Reason in connection with any changes to the terms of your employment that occurred as a result of the Specified Transaction, and/or as a result of your accepting the terms of employment set forth in your Service Agreement and (y) agreed to provide such co-operation and assistance as the Company may reasonably require in post-Specified Transaction integration activities, and (3) you remain employed by any member of the Company Group, and such resignation does not take effect, until December 31, 2022. For the avoidance of doubt, if you have not provided notice under Section 2(c) below and you remain employed by any member of the Company Group after December 31, 2022, then any rights under this Section 2(b) shall lapse and cease to have any effect as of 11:59 pm London, UK time on December 31, 2022.</w:t>
      </w:r>
    </w:p>
    <w:p>
      <w:pPr>
        <w:spacing w:after="0" w:line="209" w:lineRule="exact"/>
        <w:rPr>
          <w:rFonts w:ascii="Arial" w:cs="Arial" w:eastAsia="Arial" w:hAnsi="Arial"/>
          <w:sz w:val="18"/>
          <w:szCs w:val="18"/>
          <w:color w:val="auto"/>
        </w:rPr>
      </w:pPr>
    </w:p>
    <w:p>
      <w:pPr>
        <w:ind w:left="1300" w:hanging="644"/>
        <w:spacing w:after="0" w:line="303" w:lineRule="auto"/>
        <w:tabs>
          <w:tab w:leader="none" w:pos="1134"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may terminate your employment under Section 2(b) above by giving written notice to the Company of such intention to resign not later than December 1, 2022. The Severance Benefits are in addition to the Change in Control Benefits to which you are also eligible for under the Plan, as described in Section 3(a) of the Plan.</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SIGN-ON LONG TERM EQUITY INCENTIVE AWARD.</w:t>
      </w:r>
    </w:p>
    <w:p>
      <w:pPr>
        <w:spacing w:after="0" w:line="266" w:lineRule="exact"/>
        <w:rPr>
          <w:sz w:val="20"/>
          <w:szCs w:val="20"/>
          <w:color w:val="auto"/>
        </w:rPr>
      </w:pPr>
    </w:p>
    <w:p>
      <w:pPr>
        <w:jc w:val="both"/>
        <w:ind w:left="660"/>
        <w:spacing w:after="0" w:line="315" w:lineRule="auto"/>
        <w:rPr>
          <w:sz w:val="20"/>
          <w:szCs w:val="20"/>
          <w:color w:val="auto"/>
        </w:rPr>
      </w:pPr>
      <w:r>
        <w:rPr>
          <w:rFonts w:ascii="Arial" w:cs="Arial" w:eastAsia="Arial" w:hAnsi="Arial"/>
          <w:sz w:val="18"/>
          <w:szCs w:val="18"/>
          <w:color w:val="auto"/>
        </w:rPr>
        <w:t>Following the Closing, you will be eligible for an initial long-term stock incentive award with a target value of $3,000,000 (the “</w:t>
      </w:r>
      <w:r>
        <w:rPr>
          <w:rFonts w:ascii="Arial" w:cs="Arial" w:eastAsia="Arial" w:hAnsi="Arial"/>
          <w:sz w:val="18"/>
          <w:szCs w:val="18"/>
          <w:b w:val="1"/>
          <w:bCs w:val="1"/>
          <w:i w:val="1"/>
          <w:iCs w:val="1"/>
          <w:color w:val="auto"/>
        </w:rPr>
        <w:t>Sign-On Grant</w:t>
      </w:r>
      <w:r>
        <w:rPr>
          <w:rFonts w:ascii="Arial" w:cs="Arial" w:eastAsia="Arial" w:hAnsi="Arial"/>
          <w:sz w:val="18"/>
          <w:szCs w:val="18"/>
          <w:color w:val="auto"/>
        </w:rPr>
        <w:t>”), 50% of which will be awarded in the form of performance-based restricted stock units that will become eligible to vest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end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[[5572447]]</w:t>
      </w:r>
    </w:p>
    <w:p>
      <w:pPr>
        <w:sectPr>
          <w:pgSz w:w="11900" w:h="16838" w:orient="portrait"/>
          <w:cols w:equalWidth="0" w:num="1">
            <w:col w:w="11240"/>
          </w:cols>
          <w:pgMar w:left="320" w:top="1435" w:right="339" w:bottom="1440" w:gutter="0" w:footer="0" w:header="0"/>
        </w:sectPr>
      </w:pPr>
    </w:p>
    <w:bookmarkStart w:id="140" w:name="page141"/>
    <w:bookmarkEnd w:id="140"/>
    <w:p>
      <w:pPr>
        <w:jc w:val="both"/>
        <w:ind w:left="660"/>
        <w:spacing w:after="0" w:line="315" w:lineRule="auto"/>
        <w:rPr>
          <w:sz w:val="20"/>
          <w:szCs w:val="20"/>
          <w:color w:val="auto"/>
        </w:rPr>
      </w:pPr>
      <w:r>
        <w:rPr>
          <w:rFonts w:ascii="Arial" w:cs="Arial" w:eastAsia="Arial" w:hAnsi="Arial"/>
          <w:sz w:val="18"/>
          <w:szCs w:val="18"/>
          <w:color w:val="auto"/>
        </w:rPr>
        <w:t>three-year performance period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and 50% of which will be awarded in the form of time-based restricted stock units that will vest ratably over four years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subject in each case to the terms and conditions set forth in the Jazz Pharmaceuticals plc 2011 Equity Incentive Plan and the applicable award agreement.</w:t>
      </w:r>
    </w:p>
    <w:p>
      <w:pPr>
        <w:spacing w:after="0" w:line="193" w:lineRule="exact"/>
        <w:rPr>
          <w:sz w:val="20"/>
          <w:szCs w:val="20"/>
          <w:color w:val="auto"/>
        </w:rPr>
      </w:pPr>
    </w:p>
    <w:p>
      <w:pPr>
        <w:jc w:val="both"/>
        <w:ind w:left="660"/>
        <w:spacing w:after="0" w:line="298" w:lineRule="auto"/>
        <w:rPr>
          <w:sz w:val="20"/>
          <w:szCs w:val="20"/>
          <w:color w:val="auto"/>
        </w:rPr>
      </w:pPr>
      <w:r>
        <w:rPr>
          <w:rFonts w:ascii="Arial" w:cs="Arial" w:eastAsia="Arial" w:hAnsi="Arial"/>
          <w:sz w:val="18"/>
          <w:szCs w:val="18"/>
          <w:color w:val="auto"/>
        </w:rPr>
        <w:t>If you incur a Termination without Cause by the Company, you shall be entitled to vesting of a prorated portion of the Sign-On Grant equal to the sum of (1) with respect to the PSUs, the target number of PSUs subject to the Sign-On Grant multiplied by a fraction equal to the number of days during the vesting period that has elapsed from the Closing through the date of your termination of employment, relative to the total number of days of the vesting period and (2) with respect to the RSUs, a percentage of each tranche based on the number of complete months that has elapsed from the grant date of the Sign-On Grant through the date of your termination of employment, relative to the number of months in the applicable vesting period as determined on a tranche by tranche basis. For example, if you experience a Termination without Cause 16 months following the Closing, you will be entitled to a number of RSUs equal to the sum of (1) 100% of the first tranche (which has a 12-month vesting period), (2) 67% of the second tranche (which has a 24-month vesting period), (3) 44% of the third tranche (which has a 36-month vesting period), and (4) 33% of the fourth tranche (which has a 48-month vesting period). Any remaining unvested portion of the Sign-On Grant shall be immediately forfeited upon such termination. You shall not be entitled to compensation for the loss of the Sign-On Grant on termination of your employment. Receipt of the Sign-On Grant or any other long-term incentive award in one year will not entitle you to a long-term incentive award in any other year.</w:t>
      </w:r>
    </w:p>
    <w:p>
      <w:pPr>
        <w:spacing w:after="0" w:line="1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SEVERANCE BENEFITS FOR CIC TERMINATION.</w:t>
      </w:r>
    </w:p>
    <w:p>
      <w:pPr>
        <w:spacing w:after="0" w:line="288" w:lineRule="exact"/>
        <w:rPr>
          <w:sz w:val="20"/>
          <w:szCs w:val="20"/>
          <w:color w:val="auto"/>
        </w:rPr>
      </w:pPr>
    </w:p>
    <w:p>
      <w:pPr>
        <w:jc w:val="both"/>
        <w:ind w:left="640"/>
        <w:spacing w:after="0" w:line="308" w:lineRule="auto"/>
        <w:rPr>
          <w:sz w:val="20"/>
          <w:szCs w:val="20"/>
          <w:color w:val="auto"/>
        </w:rPr>
      </w:pPr>
      <w:r>
        <w:rPr>
          <w:rFonts w:ascii="Arial" w:cs="Arial" w:eastAsia="Arial" w:hAnsi="Arial"/>
          <w:sz w:val="18"/>
          <w:szCs w:val="18"/>
          <w:color w:val="auto"/>
        </w:rPr>
        <w:t>Subject to the limitations set forth in Section 2 above, if you incur a CIC Termination during the Change in Control Period, you shall receive the Severance Benefits set forth in this Section 4.</w:t>
      </w:r>
    </w:p>
    <w:p>
      <w:pPr>
        <w:spacing w:after="0" w:line="198" w:lineRule="exact"/>
        <w:rPr>
          <w:sz w:val="20"/>
          <w:szCs w:val="20"/>
          <w:color w:val="auto"/>
        </w:rPr>
      </w:pPr>
    </w:p>
    <w:p>
      <w:pPr>
        <w:ind w:left="1200" w:hanging="544"/>
        <w:spacing w:after="0"/>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 Salary. You shall receive payment of an amount equivalent to the aggregate of your Base Salary determined as of</w:t>
      </w:r>
    </w:p>
    <w:p>
      <w:pPr>
        <w:spacing w:after="0" w:line="49" w:lineRule="exact"/>
        <w:rPr>
          <w:rFonts w:ascii="Arial" w:cs="Arial" w:eastAsia="Arial" w:hAnsi="Arial"/>
          <w:sz w:val="18"/>
          <w:szCs w:val="18"/>
          <w:color w:val="auto"/>
        </w:rPr>
      </w:pPr>
    </w:p>
    <w:p>
      <w:pPr>
        <w:jc w:val="both"/>
        <w:ind w:left="1300"/>
        <w:spacing w:after="0" w:line="297" w:lineRule="auto"/>
        <w:rPr>
          <w:rFonts w:ascii="Arial" w:cs="Arial" w:eastAsia="Arial" w:hAnsi="Arial"/>
          <w:sz w:val="18"/>
          <w:szCs w:val="18"/>
          <w:color w:val="auto"/>
        </w:rPr>
      </w:pPr>
      <w:r>
        <w:rPr>
          <w:rFonts w:ascii="Arial" w:cs="Arial" w:eastAsia="Arial" w:hAnsi="Arial"/>
          <w:sz w:val="18"/>
          <w:szCs w:val="18"/>
          <w:color w:val="auto"/>
        </w:rPr>
        <w:t>immediately prior to the Closing for 18 months following the date on which your employment terminates (such period of time, the “</w:t>
      </w:r>
      <w:r>
        <w:rPr>
          <w:rFonts w:ascii="Arial" w:cs="Arial" w:eastAsia="Arial" w:hAnsi="Arial"/>
          <w:sz w:val="18"/>
          <w:szCs w:val="18"/>
          <w:b w:val="1"/>
          <w:bCs w:val="1"/>
          <w:i w:val="1"/>
          <w:iCs w:val="1"/>
          <w:color w:val="auto"/>
        </w:rPr>
        <w:t>CIC Severance Period</w:t>
      </w:r>
      <w:r>
        <w:rPr>
          <w:rFonts w:ascii="Arial" w:cs="Arial" w:eastAsia="Arial" w:hAnsi="Arial"/>
          <w:sz w:val="18"/>
          <w:szCs w:val="18"/>
          <w:color w:val="auto"/>
        </w:rPr>
        <w:t>”, and such aggregate Base Salary amount payable, the “</w:t>
      </w:r>
      <w:r>
        <w:rPr>
          <w:rFonts w:ascii="Arial" w:cs="Arial" w:eastAsia="Arial" w:hAnsi="Arial"/>
          <w:sz w:val="18"/>
          <w:szCs w:val="18"/>
          <w:b w:val="1"/>
          <w:bCs w:val="1"/>
          <w:i w:val="1"/>
          <w:iCs w:val="1"/>
          <w:color w:val="auto"/>
        </w:rPr>
        <w:t>CIC Severance</w:t>
      </w:r>
      <w:r>
        <w:rPr>
          <w:rFonts w:ascii="Arial" w:cs="Arial" w:eastAsia="Arial" w:hAnsi="Arial"/>
          <w:sz w:val="18"/>
          <w:szCs w:val="18"/>
          <w:color w:val="auto"/>
        </w:rPr>
        <w:t>”). The CIC Severance will be paid in one lump sum cash payment within 30 days following the Release Date (as defined below), subject to all standard deductions and withholdings, shall be reduced by any payments that you receive from the Company in respect of any period of notice during which you are not required to work or any PILON under your Service Agreement; provided,</w:t>
      </w:r>
    </w:p>
    <w:p>
      <w:pPr>
        <w:spacing w:after="0" w:line="1" w:lineRule="exact"/>
        <w:rPr>
          <w:rFonts w:ascii="Arial" w:cs="Arial" w:eastAsia="Arial" w:hAnsi="Arial"/>
          <w:sz w:val="18"/>
          <w:szCs w:val="18"/>
          <w:color w:val="auto"/>
        </w:rPr>
      </w:pPr>
    </w:p>
    <w:p>
      <w:pPr>
        <w:ind w:left="1300" w:right="20"/>
        <w:spacing w:after="0" w:line="308" w:lineRule="auto"/>
        <w:rPr>
          <w:rFonts w:ascii="Arial" w:cs="Arial" w:eastAsia="Arial" w:hAnsi="Arial"/>
          <w:sz w:val="18"/>
          <w:szCs w:val="18"/>
          <w:color w:val="auto"/>
        </w:rPr>
      </w:pPr>
      <w:r>
        <w:rPr>
          <w:rFonts w:ascii="Arial" w:cs="Arial" w:eastAsia="Arial" w:hAnsi="Arial"/>
          <w:sz w:val="18"/>
          <w:szCs w:val="18"/>
          <w:color w:val="auto"/>
        </w:rPr>
        <w:t>however that no portion of the CIC Severance (except for any notice payment or PILON instalment which is due) will be paid prior to the date that the general release of claims in the Release becomes fully effective (the “</w:t>
      </w:r>
      <w:r>
        <w:rPr>
          <w:rFonts w:ascii="Arial" w:cs="Arial" w:eastAsia="Arial" w:hAnsi="Arial"/>
          <w:sz w:val="18"/>
          <w:szCs w:val="18"/>
          <w:b w:val="1"/>
          <w:bCs w:val="1"/>
          <w:i w:val="1"/>
          <w:iCs w:val="1"/>
          <w:color w:val="auto"/>
        </w:rPr>
        <w:t>Release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hanging="644"/>
        <w:spacing w:after="0" w:line="301" w:lineRule="auto"/>
        <w:tabs>
          <w:tab w:leader="none" w:pos="1112"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Health Insurance. The Company will pay to you in monthly instalments a fully taxable cash payment equal to the premium for your (and your covered dependents, as applicable) health insurance coverage in effect on the termination date until the earliest of: (1) the close of the CIC Severance Period; or (2) the date when you become eligible for substantially equivalent health insurance coverage in connection with any new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[[5572447]]</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2" w:lineRule="exact"/>
        <w:rPr>
          <w:sz w:val="20"/>
          <w:szCs w:val="20"/>
          <w:color w:val="auto"/>
        </w:rPr>
      </w:pPr>
    </w:p>
    <w:p>
      <w:pPr>
        <w:jc w:val="right"/>
        <w:ind w:left="1300" w:hanging="644"/>
        <w:spacing w:after="0" w:line="297" w:lineRule="auto"/>
        <w:tabs>
          <w:tab w:leader="none" w:pos="1102" w:val="left"/>
        </w:tabs>
        <w:numPr>
          <w:ilvl w:val="0"/>
          <w:numId w:val="88"/>
        </w:numPr>
        <w:rPr>
          <w:rFonts w:ascii="Arial" w:cs="Arial" w:eastAsia="Arial" w:hAnsi="Arial"/>
          <w:sz w:val="18"/>
          <w:szCs w:val="18"/>
          <w:color w:val="auto"/>
        </w:rPr>
      </w:pPr>
      <w:r>
        <w:rPr>
          <w:rFonts w:ascii="Arial" w:cs="Arial" w:eastAsia="Arial" w:hAnsi="Arial"/>
          <w:sz w:val="18"/>
          <w:szCs w:val="18"/>
          <w:color w:val="auto"/>
        </w:rPr>
        <w:t>Bonus. The Company will make a lump sum cash payment to you in an amount equal to the greater of (1) your annual target bonus determined as of immediately prior to the Closing, and (2) the average of the actual annualized bonus payment</w:t>
      </w:r>
    </w:p>
    <w:p>
      <w:pPr>
        <w:jc w:val="both"/>
        <w:ind w:left="1300"/>
        <w:spacing w:after="0" w:line="300" w:lineRule="auto"/>
        <w:rPr>
          <w:rFonts w:ascii="Arial" w:cs="Arial" w:eastAsia="Arial" w:hAnsi="Arial"/>
          <w:sz w:val="18"/>
          <w:szCs w:val="18"/>
          <w:color w:val="auto"/>
        </w:rPr>
      </w:pPr>
      <w:r>
        <w:rPr>
          <w:rFonts w:ascii="Arial" w:cs="Arial" w:eastAsia="Arial" w:hAnsi="Arial"/>
          <w:sz w:val="18"/>
          <w:szCs w:val="18"/>
          <w:color w:val="auto"/>
        </w:rPr>
        <w:t>percentages (as described below) for the three years prior to the year in which the Closing occurs (the greater of such amounts (1) and (2), as applicable, the “</w:t>
      </w:r>
      <w:r>
        <w:rPr>
          <w:rFonts w:ascii="Arial" w:cs="Arial" w:eastAsia="Arial" w:hAnsi="Arial"/>
          <w:sz w:val="18"/>
          <w:szCs w:val="18"/>
          <w:b w:val="1"/>
          <w:bCs w:val="1"/>
          <w:i w:val="1"/>
          <w:iCs w:val="1"/>
          <w:color w:val="auto"/>
        </w:rPr>
        <w:t>Severance Bonus</w:t>
      </w:r>
      <w:r>
        <w:rPr>
          <w:rFonts w:ascii="Arial" w:cs="Arial" w:eastAsia="Arial" w:hAnsi="Arial"/>
          <w:sz w:val="18"/>
          <w:szCs w:val="18"/>
          <w:color w:val="auto"/>
        </w:rPr>
        <w:t xml:space="preserve">”), multiplied by </w:t>
      </w:r>
      <w:r>
        <w:rPr>
          <w:rFonts w:ascii="Arial" w:cs="Arial" w:eastAsia="Arial" w:hAnsi="Arial"/>
          <w:sz w:val="18"/>
          <w:szCs w:val="18"/>
          <w:b w:val="1"/>
          <w:bCs w:val="1"/>
          <w:color w:val="auto"/>
        </w:rPr>
        <w:t>one and a half (1.5).</w:t>
      </w:r>
      <w:r>
        <w:rPr>
          <w:rFonts w:ascii="Arial" w:cs="Arial" w:eastAsia="Arial" w:hAnsi="Arial"/>
          <w:sz w:val="18"/>
          <w:szCs w:val="18"/>
          <w:color w:val="auto"/>
        </w:rPr>
        <w:t xml:space="preserve"> Your “bonus payment percentage” for purposes of calculation of your Severance Bonus is the actual annual bonus earned by you with respect to a particular year, expressed as a percentage of your annual base salary for such year. The Severance Bonus shall be payable to you in a lump sum payment within 30 days following the Release Date.</w:t>
      </w:r>
    </w:p>
    <w:p>
      <w:pPr>
        <w:spacing w:after="0" w:line="204" w:lineRule="exact"/>
        <w:rPr>
          <w:rFonts w:ascii="Arial" w:cs="Arial" w:eastAsia="Arial" w:hAnsi="Arial"/>
          <w:sz w:val="18"/>
          <w:szCs w:val="18"/>
          <w:color w:val="auto"/>
        </w:rPr>
      </w:pPr>
    </w:p>
    <w:p>
      <w:pPr>
        <w:ind w:left="1300" w:hanging="644"/>
        <w:spacing w:after="0" w:line="298" w:lineRule="auto"/>
        <w:tabs>
          <w:tab w:leader="none" w:pos="10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Equity Acceleration. For clarity, upon a Change in Control: (i) each Equity Award (other than any Equity Award granted in 2021 or thereafter) that you hold at such time will receive Full Acceleration in connection with such Change in Control as provided under Section 3(a) of the Plan (which is irrespective of your CIC Termination); and (ii) any Equity Award granted in 2021 that is outstanding as of the Change in Control shall be treated in accordance with the applicable provisions of the definitive agreement pursuant to which the Specified Transaction is contemplated, with any replacement award issued pursuant to such agreement continuing to vest in accordance with the terms of such definitive agreement, such that you will only receive Full Acceleration with respect to such award if a CIC Termination occurs under circumstances that give rise to the right to receive the Severance Benefits as set forth in this Section 4 . For the avoidance of doubt, any Equity Award granted following the Closing shall be treated in accordance with the terms of the applicable Equity Award agreement (and, with respect to the Sign-On Grant provided in Section 3 above, as otherwise provided in Section 3) and shall not be subject to this Section 4(d).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NO DUPLICATION OF BENEFITS.</w:t>
      </w:r>
    </w:p>
    <w:p>
      <w:pPr>
        <w:spacing w:after="0" w:line="288" w:lineRule="exact"/>
        <w:rPr>
          <w:sz w:val="20"/>
          <w:szCs w:val="20"/>
          <w:color w:val="auto"/>
        </w:rPr>
      </w:pPr>
    </w:p>
    <w:p>
      <w:pPr>
        <w:jc w:val="both"/>
        <w:ind w:left="660"/>
        <w:spacing w:after="0" w:line="299" w:lineRule="auto"/>
        <w:rPr>
          <w:sz w:val="20"/>
          <w:szCs w:val="20"/>
          <w:color w:val="auto"/>
        </w:rPr>
      </w:pPr>
      <w:r>
        <w:rPr>
          <w:rFonts w:ascii="Arial" w:cs="Arial" w:eastAsia="Arial" w:hAnsi="Arial"/>
          <w:sz w:val="18"/>
          <w:szCs w:val="18"/>
          <w:color w:val="auto"/>
        </w:rPr>
        <w:t>For the avoidance of doubt, upon any Involuntary Termination, if you are eligible for payments and/or benefits under more than one provision, agreement, plan or arrangement, you shall receive the payments and benefits under the provision, agreement, plan or arrangement providing the greatest level of payments and benefits to you, without duplication, and such payments and benefits shall be reduced by any payments and benefits previously provided to you in respect of such Involuntary Termination (including, but not limited to, payments and benefits under your Service Agreement, which may reduce the payments and benefits provided to you under Section 4 of this Participation Agreement).</w:t>
      </w:r>
    </w:p>
    <w:p>
      <w:pPr>
        <w:spacing w:after="0" w:line="18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6.</w:t>
        <w:tab/>
        <w:t>ACKNOWLEDGEMENTS.</w:t>
      </w:r>
    </w:p>
    <w:p>
      <w:pPr>
        <w:spacing w:after="0" w:line="288" w:lineRule="exact"/>
        <w:rPr>
          <w:sz w:val="20"/>
          <w:szCs w:val="20"/>
          <w:color w:val="auto"/>
        </w:rPr>
      </w:pPr>
    </w:p>
    <w:p>
      <w:pPr>
        <w:jc w:val="both"/>
        <w:ind w:left="660"/>
        <w:spacing w:after="0" w:line="299" w:lineRule="auto"/>
        <w:rPr>
          <w:sz w:val="20"/>
          <w:szCs w:val="20"/>
          <w:color w:val="auto"/>
        </w:rPr>
      </w:pPr>
      <w:r>
        <w:rPr>
          <w:rFonts w:ascii="Arial" w:cs="Arial" w:eastAsia="Arial" w:hAnsi="Arial"/>
          <w:sz w:val="18"/>
          <w:szCs w:val="18"/>
          <w:color w:val="auto"/>
        </w:rPr>
        <w:t>This Participation Agreement shall become effective on the Closing, subject to (i) your continued employment with GW Pharma Limited or its affiliate through the date of the Closing and (ii) your entry into the Service Agreement with Jazz Pharmaceuticals UK Limited on or prior to such date. If your employment with GW Pharma Limited or its affiliates terminates for any reason before the Closing, or the Transaction Agreement is terminated before the Closing, this Participation Agreement shall terminate automatically and be of no further force or effect, and neither of the parties shall have any obligations hereunder. Effective on the Closing, this Agreement and the Service Agreement shall constitute the entire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[[5572447]]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2" w:lineRule="exact"/>
        <w:rPr>
          <w:sz w:val="20"/>
          <w:szCs w:val="20"/>
          <w:color w:val="auto"/>
        </w:rPr>
      </w:pPr>
    </w:p>
    <w:p>
      <w:pPr>
        <w:ind w:left="660" w:right="20"/>
        <w:spacing w:after="0" w:line="308" w:lineRule="auto"/>
        <w:rPr>
          <w:sz w:val="20"/>
          <w:szCs w:val="20"/>
          <w:color w:val="auto"/>
        </w:rPr>
      </w:pPr>
      <w:r>
        <w:rPr>
          <w:rFonts w:ascii="Arial" w:cs="Arial" w:eastAsia="Arial" w:hAnsi="Arial"/>
          <w:sz w:val="18"/>
          <w:szCs w:val="18"/>
          <w:color w:val="auto"/>
        </w:rPr>
        <w:t>between the parties and, as of the Closing, terminates and supersedes any and all prior agreements and understandings (whether written or oral) between the parties with respect to the subject matter of this Participation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condition to participation in the Plan and this Participation Agreement, you hereby acknowledge each of the following:</w:t>
      </w:r>
    </w:p>
    <w:p>
      <w:pPr>
        <w:spacing w:after="0" w:line="266" w:lineRule="exact"/>
        <w:rPr>
          <w:sz w:val="20"/>
          <w:szCs w:val="20"/>
          <w:color w:val="auto"/>
        </w:rPr>
      </w:pPr>
    </w:p>
    <w:p>
      <w:pPr>
        <w:ind w:left="1300" w:hanging="644"/>
        <w:spacing w:after="0" w:line="308" w:lineRule="auto"/>
        <w:tabs>
          <w:tab w:leader="none" w:pos="11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benefits that may be provided to you under this Participation Agreement are subject to certain reductions and termination under the Plan.</w:t>
      </w:r>
    </w:p>
    <w:p>
      <w:pPr>
        <w:spacing w:after="0" w:line="197" w:lineRule="exact"/>
        <w:rPr>
          <w:rFonts w:ascii="Arial" w:cs="Arial" w:eastAsia="Arial" w:hAnsi="Arial"/>
          <w:sz w:val="18"/>
          <w:szCs w:val="18"/>
          <w:color w:val="auto"/>
        </w:rPr>
      </w:pPr>
    </w:p>
    <w:p>
      <w:pPr>
        <w:ind w:left="1300" w:hanging="644"/>
        <w:spacing w:after="0" w:line="300" w:lineRule="auto"/>
        <w:tabs>
          <w:tab w:leader="none" w:pos="11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further provided in Section 2(b) of the Plan, during the Change in Control Period, the Plan and the benefits provided hereunder shall supersede any change in control or severance benefits in any individually negotiated Service Agreement, offer letter or other written or oral agreement between the Company and you (save for the termination notice provisions within the Service Agreement to the extent applicable, except to the extent varied by this Participation Agreement) in connection with the Specified Transaction.</w:t>
      </w:r>
    </w:p>
    <w:p>
      <w:pPr>
        <w:spacing w:after="0" w:line="204" w:lineRule="exact"/>
        <w:rPr>
          <w:rFonts w:ascii="Arial" w:cs="Arial" w:eastAsia="Arial" w:hAnsi="Arial"/>
          <w:sz w:val="18"/>
          <w:szCs w:val="18"/>
          <w:color w:val="auto"/>
        </w:rPr>
      </w:pPr>
    </w:p>
    <w:p>
      <w:pPr>
        <w:ind w:left="1300" w:hanging="644"/>
        <w:spacing w:after="0" w:line="300" w:lineRule="auto"/>
        <w:tabs>
          <w:tab w:leader="none" w:pos="10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Your eligibility for and receipt of any Severance Benefits to which you may become entitled under this Participation Agreement is expressly contingent upon your compliance with the provisions of the Service Agreement (as amended from time to time) and, in the event of a CIC Termination, the terms and conditions of the Release. Severance benefits under this Participation Agreement shall immediately cease in the event of your violation of the provisions of the Service Agreement or, in the event of a CIC Termination, the Release.</w:t>
      </w:r>
    </w:p>
    <w:p>
      <w:pPr>
        <w:spacing w:after="0" w:line="205"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 xml:space="preserve">To accept the terms of this Agreement and participate in the Plan, please sign and date this Agreement in the space provided below and return it to </w:t>
      </w:r>
      <w:r>
        <w:rPr>
          <w:rFonts w:ascii="Arial" w:cs="Arial" w:eastAsia="Arial" w:hAnsi="Arial"/>
          <w:sz w:val="18"/>
          <w:szCs w:val="18"/>
          <w:b w:val="1"/>
          <w:bCs w:val="1"/>
          <w:color w:val="auto"/>
        </w:rPr>
        <w:t>Heidi Manna, SVP &amp; Chief Human Resources Officer, no later than within 5 business days.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JAZZ PHARMACEUTICALS UK LIMITED</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By: /s/ Heidi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39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139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Title: Chief Human Resources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Chris Tovey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9632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Chris Tovey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05-May-2021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-22860</wp:posOffset>
            </wp:positionV>
            <wp:extent cx="9144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[[5572447]]</w:t>
      </w:r>
    </w:p>
    <w:p>
      <w:pPr>
        <w:sectPr>
          <w:pgSz w:w="11900" w:h="16838" w:orient="portrait"/>
          <w:cols w:equalWidth="0" w:num="1">
            <w:col w:w="11240"/>
          </w:cols>
          <w:pgMar w:left="320" w:top="1440" w:right="339" w:bottom="1440" w:gutter="0" w:footer="0" w:header="0"/>
        </w:sectPr>
      </w:pPr>
    </w:p>
    <w:bookmarkStart w:id="143" w:name="page144"/>
    <w:bookmarkEnd w:id="143"/>
    <w:p>
      <w:pPr>
        <w:jc w:val="center"/>
        <w:ind w:right="-1100"/>
        <w:spacing w:after="0"/>
        <w:rPr>
          <w:sz w:val="20"/>
          <w:szCs w:val="20"/>
          <w:color w:val="auto"/>
        </w:rPr>
      </w:pPr>
      <w:r>
        <w:rPr>
          <w:rFonts w:ascii="Arial" w:cs="Arial" w:eastAsia="Arial" w:hAnsi="Arial"/>
          <w:sz w:val="18"/>
          <w:szCs w:val="18"/>
          <w:b w:val="1"/>
          <w:bCs w:val="1"/>
          <w:color w:val="auto"/>
        </w:rPr>
        <w:t>EXHIBIT A</w:t>
      </w:r>
    </w:p>
    <w:p>
      <w:pPr>
        <w:spacing w:after="0" w:line="266" w:lineRule="exact"/>
        <w:rPr>
          <w:sz w:val="20"/>
          <w:szCs w:val="20"/>
          <w:color w:val="auto"/>
        </w:rPr>
      </w:pPr>
    </w:p>
    <w:p>
      <w:pPr>
        <w:jc w:val="right"/>
        <w:ind w:right="2379"/>
        <w:spacing w:after="0"/>
        <w:rPr>
          <w:sz w:val="20"/>
          <w:szCs w:val="20"/>
          <w:color w:val="auto"/>
        </w:rPr>
      </w:pPr>
      <w:r>
        <w:rPr>
          <w:rFonts w:ascii="Arial" w:cs="Arial" w:eastAsia="Arial" w:hAnsi="Arial"/>
          <w:sz w:val="18"/>
          <w:szCs w:val="18"/>
          <w:b w:val="1"/>
          <w:bCs w:val="1"/>
          <w:color w:val="auto"/>
        </w:rPr>
        <w:t>UK Change in Control and Severance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[[5572447]]</w:t>
      </w:r>
    </w:p>
    <w:p>
      <w:pPr>
        <w:sectPr>
          <w:pgSz w:w="11900" w:h="16838" w:orient="portrait"/>
          <w:cols w:equalWidth="0" w:num="1">
            <w:col w:w="10139"/>
          </w:cols>
          <w:pgMar w:left="320" w:top="1440"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2011 Equity Incentive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Performance Restricted Stock Unit Award Grant Notice</w:t>
      </w:r>
    </w:p>
    <w:p>
      <w:pPr>
        <w:spacing w:after="0" w:line="200" w:lineRule="exact"/>
        <w:rPr>
          <w:sz w:val="20"/>
          <w:szCs w:val="20"/>
          <w:color w:val="auto"/>
        </w:rPr>
      </w:pPr>
    </w:p>
    <w:p>
      <w:pPr>
        <w:spacing w:after="0" w:line="28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Jazz Pharmaceuticals plc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pursuant to its 2011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hereby awards to Participant the number of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specified and on the terms set forth below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of the terms and conditions as set forth in this U.S. Performance Restricted Stock Unit Award Grant Notice (the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and in the U.S. Performance Restricted Stock Unit Award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Plan, both of which are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attached hereto and incorporated herein in their entirety. For purposes of the Award, the Agreement will be deemed to include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Agreement.</w:t>
      </w:r>
    </w:p>
    <w:p>
      <w:pPr>
        <w:sectPr>
          <w:pgSz w:w="11900" w:h="16838" w:orient="portrait"/>
          <w:cols w:equalWidth="0" w:num="1">
            <w:col w:w="11240"/>
          </w:cols>
          <w:pgMar w:left="320" w:top="121" w:right="339" w:bottom="1440" w:gutter="0" w:footer="0" w:header="0"/>
        </w:sect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w:t>
      </w:r>
    </w:p>
    <w:p>
      <w:pPr>
        <w:spacing w:after="0" w:line="92" w:lineRule="exact"/>
        <w:rPr>
          <w:sz w:val="20"/>
          <w:szCs w:val="20"/>
          <w:color w:val="auto"/>
        </w:rPr>
      </w:pPr>
    </w:p>
    <w:p>
      <w:pPr>
        <w:sectPr>
          <w:pgSz w:w="11900" w:h="16838" w:orient="portrait"/>
          <w:cols w:equalWidth="0" w:num="2">
            <w:col w:w="3140" w:space="720"/>
            <w:col w:w="7380"/>
          </w:cols>
          <w:pgMar w:left="320" w:top="12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RSU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_______________________________________________</w:t>
      </w:r>
    </w:p>
    <w:p>
      <w:pPr>
        <w:spacing w:after="0" w:line="92" w:lineRule="exact"/>
        <w:rPr>
          <w:sz w:val="20"/>
          <w:szCs w:val="20"/>
          <w:color w:val="auto"/>
        </w:rPr>
      </w:pPr>
    </w:p>
    <w:p>
      <w:pPr>
        <w:sectPr>
          <w:pgSz w:w="11900" w:h="16838" w:orient="portrait"/>
          <w:cols w:equalWidth="0" w:num="2">
            <w:col w:w="3140" w:space="720"/>
            <w:col w:w="7380"/>
          </w:cols>
          <w:pgMar w:left="320" w:top="12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_______________________________________________</w:t>
      </w:r>
    </w:p>
    <w:p>
      <w:pPr>
        <w:spacing w:after="0" w:line="92" w:lineRule="exact"/>
        <w:rPr>
          <w:sz w:val="20"/>
          <w:szCs w:val="20"/>
          <w:color w:val="auto"/>
        </w:rPr>
      </w:pPr>
    </w:p>
    <w:p>
      <w:pPr>
        <w:sectPr>
          <w:pgSz w:w="11900" w:h="16838" w:orient="portrait"/>
          <w:cols w:equalWidth="0" w:num="2">
            <w:col w:w="3140" w:space="720"/>
            <w:col w:w="7380"/>
          </w:cols>
          <w:pgMar w:left="320" w:top="121" w:right="339" w:bottom="1440" w:gutter="0" w:footer="0" w:header="0"/>
          <w:type w:val="continuous"/>
        </w:sectPr>
      </w:pPr>
    </w:p>
    <w:p>
      <w:pPr>
        <w:ind w:left="80"/>
        <w:spacing w:after="0" w:line="263" w:lineRule="auto"/>
        <w:rPr>
          <w:sz w:val="20"/>
          <w:szCs w:val="20"/>
          <w:color w:val="auto"/>
        </w:rPr>
      </w:pPr>
      <w:r>
        <w:rPr>
          <w:rFonts w:ascii="Arial" w:cs="Arial" w:eastAsia="Arial" w:hAnsi="Arial"/>
          <w:sz w:val="22"/>
          <w:szCs w:val="22"/>
          <w:color w:val="auto"/>
        </w:rPr>
        <w:t>Target Number of RSUs Subject to Award (“</w:t>
      </w:r>
      <w:r>
        <w:rPr>
          <w:rFonts w:ascii="Arial" w:cs="Arial" w:eastAsia="Arial" w:hAnsi="Arial"/>
          <w:sz w:val="22"/>
          <w:szCs w:val="22"/>
          <w:b w:val="1"/>
          <w:bCs w:val="1"/>
          <w:i w:val="1"/>
          <w:iCs w:val="1"/>
          <w:color w:val="auto"/>
        </w:rPr>
        <w:t>Target RSUs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_______________________________________________</w:t>
      </w:r>
    </w:p>
    <w:p>
      <w:pPr>
        <w:spacing w:after="0" w:line="348" w:lineRule="exact"/>
        <w:rPr>
          <w:sz w:val="20"/>
          <w:szCs w:val="20"/>
          <w:color w:val="auto"/>
        </w:rPr>
      </w:pPr>
    </w:p>
    <w:p>
      <w:pPr>
        <w:sectPr>
          <w:pgSz w:w="11900" w:h="16838" w:orient="portrait"/>
          <w:cols w:equalWidth="0" w:num="2">
            <w:col w:w="3720" w:space="140"/>
            <w:col w:w="7380"/>
          </w:cols>
          <w:pgMar w:left="320" w:top="121" w:right="339" w:bottom="1440" w:gutter="0" w:footer="0" w:header="0"/>
          <w:type w:val="continuous"/>
        </w:sectPr>
      </w:pPr>
    </w:p>
    <w:p>
      <w:pPr>
        <w:ind w:left="80"/>
        <w:spacing w:after="0"/>
        <w:rPr>
          <w:sz w:val="20"/>
          <w:szCs w:val="20"/>
          <w:color w:val="auto"/>
        </w:rPr>
      </w:pPr>
      <w:r>
        <w:rPr>
          <w:rFonts w:ascii="Arial" w:cs="Arial" w:eastAsia="Arial" w:hAnsi="Arial"/>
          <w:sz w:val="19"/>
          <w:szCs w:val="19"/>
          <w:color w:val="auto"/>
        </w:rPr>
        <w:t>Maximum Number of RSUs Subject to</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Award (“</w:t>
      </w:r>
      <w:r>
        <w:rPr>
          <w:rFonts w:ascii="Arial" w:cs="Arial" w:eastAsia="Arial" w:hAnsi="Arial"/>
          <w:sz w:val="22"/>
          <w:szCs w:val="22"/>
          <w:b w:val="1"/>
          <w:bCs w:val="1"/>
          <w:i w:val="1"/>
          <w:iCs w:val="1"/>
          <w:color w:val="auto"/>
        </w:rPr>
        <w:t>Maximum RSUs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_______________________________________________</w:t>
      </w:r>
    </w:p>
    <w:p>
      <w:pPr>
        <w:spacing w:after="0" w:line="508" w:lineRule="exact"/>
        <w:rPr>
          <w:sz w:val="20"/>
          <w:szCs w:val="20"/>
          <w:color w:val="auto"/>
        </w:rPr>
      </w:pPr>
    </w:p>
    <w:p>
      <w:pPr>
        <w:sectPr>
          <w:pgSz w:w="11900" w:h="16838" w:orient="portrait"/>
          <w:cols w:equalWidth="0" w:num="2">
            <w:col w:w="3460" w:space="400"/>
            <w:col w:w="7380"/>
          </w:cols>
          <w:pgMar w:left="320" w:top="121" w:right="339" w:bottom="1440" w:gutter="0" w:footer="0" w:header="0"/>
          <w:type w:val="continuous"/>
        </w:sectPr>
      </w:pPr>
    </w:p>
    <w:p>
      <w:pPr>
        <w:spacing w:after="0" w:line="83" w:lineRule="exact"/>
        <w:rPr>
          <w:sz w:val="20"/>
          <w:szCs w:val="20"/>
          <w:color w:val="auto"/>
        </w:rPr>
      </w:pPr>
    </w:p>
    <w:p>
      <w:pPr>
        <w:ind w:left="80"/>
        <w:spacing w:after="0"/>
        <w:rPr>
          <w:sz w:val="20"/>
          <w:szCs w:val="20"/>
          <w:color w:val="auto"/>
        </w:rPr>
      </w:pPr>
      <w:r>
        <w:rPr>
          <w:rFonts w:ascii="Arial" w:cs="Arial" w:eastAsia="Arial" w:hAnsi="Arial"/>
          <w:sz w:val="19"/>
          <w:szCs w:val="19"/>
          <w:color w:val="auto"/>
        </w:rPr>
        <w:t>Consideration:</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Participant Services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(Payment of par value of newly issued shares)</w:t>
      </w:r>
    </w:p>
    <w:p>
      <w:pPr>
        <w:spacing w:after="0" w:line="200" w:lineRule="exact"/>
        <w:rPr>
          <w:sz w:val="20"/>
          <w:szCs w:val="20"/>
          <w:color w:val="auto"/>
        </w:rPr>
      </w:pPr>
    </w:p>
    <w:p>
      <w:pPr>
        <w:sectPr>
          <w:pgSz w:w="11900" w:h="16838" w:orient="portrait"/>
          <w:cols w:equalWidth="0" w:num="2">
            <w:col w:w="3180" w:space="720"/>
            <w:col w:w="7340"/>
          </w:cols>
          <w:pgMar w:left="320" w:top="121" w:right="339" w:bottom="1440" w:gutter="0" w:footer="0" w:header="0"/>
          <w:type w:val="continuous"/>
        </w:sectPr>
      </w:pPr>
    </w:p>
    <w:p>
      <w:pPr>
        <w:spacing w:after="0" w:line="273" w:lineRule="exact"/>
        <w:rPr>
          <w:sz w:val="20"/>
          <w:szCs w:val="20"/>
          <w:color w:val="auto"/>
        </w:rPr>
      </w:pPr>
    </w:p>
    <w:p>
      <w:pPr>
        <w:jc w:val="both"/>
        <w:ind w:left="1920" w:right="20" w:hanging="2105"/>
        <w:spacing w:after="0" w:line="263" w:lineRule="auto"/>
        <w:tabs>
          <w:tab w:leader="none" w:pos="190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22"/>
          <w:szCs w:val="22"/>
          <w:color w:val="auto"/>
        </w:rPr>
        <w:t xml:space="preserve">Subject to Sections 2 and 11 of the Agreement, the RSUs subject to this Award will vest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Agreement.</w:t>
      </w:r>
    </w:p>
    <w:p>
      <w:pPr>
        <w:spacing w:after="0" w:line="202" w:lineRule="exact"/>
        <w:rPr>
          <w:sz w:val="20"/>
          <w:szCs w:val="20"/>
          <w:color w:val="auto"/>
        </w:rPr>
      </w:pPr>
    </w:p>
    <w:p>
      <w:pPr>
        <w:jc w:val="both"/>
        <w:ind w:left="2060" w:hanging="2105"/>
        <w:spacing w:after="0" w:line="263" w:lineRule="auto"/>
        <w:tabs>
          <w:tab w:leader="none" w:pos="2040" w:val="left"/>
        </w:tabs>
        <w:rPr>
          <w:sz w:val="20"/>
          <w:szCs w:val="20"/>
          <w:color w:val="auto"/>
        </w:rPr>
      </w:pPr>
      <w:r>
        <w:rPr>
          <w:rFonts w:ascii="Arial" w:cs="Arial" w:eastAsia="Arial" w:hAnsi="Arial"/>
          <w:sz w:val="22"/>
          <w:szCs w:val="22"/>
          <w:b w:val="1"/>
          <w:bCs w:val="1"/>
          <w:color w:val="auto"/>
        </w:rPr>
        <w:t>Issuance Schedule:</w:t>
      </w:r>
      <w:r>
        <w:rPr>
          <w:sz w:val="20"/>
          <w:szCs w:val="20"/>
          <w:color w:val="auto"/>
        </w:rPr>
        <w:tab/>
      </w:r>
      <w:r>
        <w:rPr>
          <w:rFonts w:ascii="Arial" w:cs="Arial" w:eastAsia="Arial" w:hAnsi="Arial"/>
          <w:sz w:val="22"/>
          <w:szCs w:val="22"/>
          <w:color w:val="auto"/>
        </w:rPr>
        <w:t>One Ordinary Share will be issuable for each RSU which vests at the time set forth in Section 6 of the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Tax</w:t>
      </w:r>
    </w:p>
    <w:p>
      <w:pPr>
        <w:spacing w:after="0" w:line="27" w:lineRule="exact"/>
        <w:rPr>
          <w:sz w:val="20"/>
          <w:szCs w:val="20"/>
          <w:color w:val="auto"/>
        </w:rPr>
      </w:pPr>
    </w:p>
    <w:p>
      <w:pPr>
        <w:jc w:val="both"/>
        <w:ind w:left="2060" w:hanging="2105"/>
        <w:spacing w:after="0" w:line="244" w:lineRule="auto"/>
        <w:tabs>
          <w:tab w:leader="none" w:pos="2040" w:val="left"/>
        </w:tabs>
        <w:rPr>
          <w:sz w:val="20"/>
          <w:szCs w:val="20"/>
          <w:color w:val="auto"/>
        </w:rPr>
      </w:pPr>
      <w:r>
        <w:rPr>
          <w:rFonts w:ascii="Arial" w:cs="Arial" w:eastAsia="Arial" w:hAnsi="Arial"/>
          <w:sz w:val="22"/>
          <w:szCs w:val="22"/>
          <w:b w:val="1"/>
          <w:bCs w:val="1"/>
          <w:color w:val="auto"/>
        </w:rPr>
        <w:t>Withholding Right:</w:t>
      </w:r>
      <w:r>
        <w:rPr>
          <w:sz w:val="20"/>
          <w:szCs w:val="20"/>
          <w:color w:val="auto"/>
        </w:rPr>
        <w:tab/>
      </w:r>
      <w:r>
        <w:rPr>
          <w:rFonts w:ascii="Arial" w:cs="Arial" w:eastAsia="Arial" w:hAnsi="Arial"/>
          <w:sz w:val="22"/>
          <w:szCs w:val="22"/>
          <w:color w:val="auto"/>
        </w:rPr>
        <w:t>[ ] You may direct the Company (i) to withhold, from Ordinary Shares otherwise issuable in respect of the Award, a portion of those Ordinary Shares with an aggregate fair market value (measured as of the delivery date) equal to the amount of the applicable withholding taxes, and (ii) to make a cash payment equal to such fair market value directly to the appropriate taxing authorities, as provided in Section 10 of the Agreement.</w:t>
      </w:r>
    </w:p>
    <w:p>
      <w:pPr>
        <w:sectPr>
          <w:pgSz w:w="11900" w:h="16838" w:orient="portrait"/>
          <w:cols w:equalWidth="0" w:num="1">
            <w:col w:w="11240"/>
          </w:cols>
          <w:pgMar w:left="320" w:top="121"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0" w:hanging="516"/>
        <w:spacing w:after="0"/>
        <w:tabs>
          <w:tab w:leader="none" w:pos="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None</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The undersigned Participant acknowledges receipt of, and understands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Notice, the Agreement and the Plan. Participant further acknowledges that as of the Date of Grant, this Grant Notice, the Agreement and the Plan set forth the entire understanding between Participant and the Company regarding the Award and supersede all prior oral and written agreements on that subject, with the exception of: (i) any employment or severance arrangement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280" w:type="dxa"/>
            <w:vAlign w:val="bottom"/>
            <w:gridSpan w:val="2"/>
          </w:tcPr>
          <w:p>
            <w:pPr>
              <w:ind w:left="20"/>
              <w:spacing w:after="0"/>
              <w:rPr>
                <w:sz w:val="20"/>
                <w:szCs w:val="20"/>
                <w:color w:val="auto"/>
              </w:rPr>
            </w:pPr>
            <w:r>
              <w:rPr>
                <w:rFonts w:ascii="Arial" w:cs="Arial" w:eastAsia="Arial" w:hAnsi="Arial"/>
                <w:sz w:val="22"/>
                <w:szCs w:val="22"/>
                <w:b w:val="1"/>
                <w:bCs w:val="1"/>
                <w:color w:val="auto"/>
              </w:rPr>
              <w:t>Jazz Pharmaceuticals plc</w:t>
            </w:r>
          </w:p>
        </w:tc>
        <w:tc>
          <w:tcPr>
            <w:tcW w:w="4960" w:type="dxa"/>
            <w:vAlign w:val="bottom"/>
            <w:gridSpan w:val="2"/>
          </w:tcPr>
          <w:p>
            <w:pPr>
              <w:ind w:left="20"/>
              <w:spacing w:after="0"/>
              <w:rPr>
                <w:sz w:val="20"/>
                <w:szCs w:val="20"/>
                <w:color w:val="auto"/>
              </w:rPr>
            </w:pPr>
            <w:r>
              <w:rPr>
                <w:rFonts w:ascii="Arial" w:cs="Arial" w:eastAsia="Arial" w:hAnsi="Arial"/>
                <w:sz w:val="22"/>
                <w:szCs w:val="22"/>
                <w:b w:val="1"/>
                <w:bCs w:val="1"/>
                <w:color w:val="auto"/>
              </w:rPr>
              <w:t>Participant</w:t>
            </w:r>
          </w:p>
        </w:tc>
      </w:tr>
      <w:tr>
        <w:trPr>
          <w:trHeight w:val="321"/>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By:</w:t>
            </w:r>
          </w:p>
        </w:tc>
        <w:tc>
          <w:tcPr>
            <w:tcW w:w="86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93"/>
        </w:trPr>
        <w:tc>
          <w:tcPr>
            <w:tcW w:w="6280" w:type="dxa"/>
            <w:vAlign w:val="bottom"/>
            <w:gridSpan w:val="2"/>
          </w:tcPr>
          <w:p>
            <w:pPr>
              <w:ind w:left="2300"/>
              <w:spacing w:after="0"/>
              <w:rPr>
                <w:sz w:val="20"/>
                <w:szCs w:val="20"/>
                <w:color w:val="auto"/>
              </w:rPr>
            </w:pPr>
            <w:r>
              <w:rPr>
                <w:rFonts w:ascii="Arial" w:cs="Arial" w:eastAsia="Arial" w:hAnsi="Arial"/>
                <w:sz w:val="22"/>
                <w:szCs w:val="22"/>
                <w:color w:val="auto"/>
              </w:rPr>
              <w:t>Signature</w:t>
            </w:r>
          </w:p>
        </w:tc>
        <w:tc>
          <w:tcPr>
            <w:tcW w:w="4960" w:type="dxa"/>
            <w:vAlign w:val="bottom"/>
            <w:gridSpan w:val="2"/>
          </w:tcPr>
          <w:p>
            <w:pPr>
              <w:ind w:left="1940"/>
              <w:spacing w:after="0"/>
              <w:rPr>
                <w:sz w:val="20"/>
                <w:szCs w:val="20"/>
                <w:color w:val="auto"/>
              </w:rPr>
            </w:pPr>
            <w:r>
              <w:rPr>
                <w:rFonts w:ascii="Arial" w:cs="Arial" w:eastAsia="Arial" w:hAnsi="Arial"/>
                <w:sz w:val="22"/>
                <w:szCs w:val="22"/>
                <w:color w:val="auto"/>
              </w:rPr>
              <w:t>Signature</w:t>
            </w:r>
          </w:p>
        </w:tc>
      </w:tr>
      <w:tr>
        <w:trPr>
          <w:trHeight w:val="321"/>
        </w:trPr>
        <w:tc>
          <w:tcPr>
            <w:tcW w:w="628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49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Date:</w:t>
            </w:r>
          </w:p>
        </w:tc>
      </w:tr>
      <w:tr>
        <w:trPr>
          <w:trHeight w:val="247"/>
        </w:trPr>
        <w:tc>
          <w:tcPr>
            <w:tcW w:w="6280" w:type="dxa"/>
            <w:vAlign w:val="bottom"/>
            <w:gridSpan w:val="2"/>
          </w:tcPr>
          <w:p>
            <w:pPr>
              <w:ind w:left="80"/>
              <w:spacing w:after="0"/>
              <w:rPr>
                <w:sz w:val="20"/>
                <w:szCs w:val="20"/>
                <w:color w:val="auto"/>
              </w:rPr>
            </w:pPr>
            <w:r>
              <w:rPr>
                <w:rFonts w:ascii="Arial" w:cs="Arial" w:eastAsia="Arial" w:hAnsi="Arial"/>
                <w:sz w:val="20"/>
                <w:szCs w:val="20"/>
                <w:color w:val="auto"/>
              </w:rPr>
              <w:t>Date:</w:t>
            </w:r>
          </w:p>
        </w:tc>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Attachments: </w:t>
      </w:r>
      <w:r>
        <w:rPr>
          <w:rFonts w:ascii="Arial" w:cs="Arial" w:eastAsia="Arial" w:hAnsi="Arial"/>
          <w:sz w:val="22"/>
          <w:szCs w:val="22"/>
          <w:color w:val="auto"/>
        </w:rPr>
        <w:t>U.S. Performance Restricted Stock Unit Award Agreement, 2011 Equity Incentive Plan</w:t>
      </w:r>
    </w:p>
    <w:p>
      <w:pPr>
        <w:spacing w:after="0" w:line="199"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240"/>
          </w:cols>
          <w:pgMar w:left="320" w:top="121"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auto"/>
        </w:rPr>
        <w:t>Attachment 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Performance Restricted Stock Unit Award Agreement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2011 Equity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Performance Restricted Stock Unit Award Agreement</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Pursuant to your U.S. Performance Restricted Stock Unit Award Grant Notice (the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and this U.S. Performance Restricted Stock Unit Award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 in consideration of your services, Jazz Pharmaceuticals plc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awarded you a Restricted Stock Unit Award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under its 2011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for the number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indicated in your Grant Notice. The Award is granted to you effective as of the date of grant set forth in the Grant Notice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 xml:space="preserve">”). Except as otherwise explicitly provided in the Grant Notice or this Agreement, in the event of any conflict between the terms in the Grant Notice or this Agreement and the Plan, the terms of the Plan shall control. Capitalized terms not explicitly defined in the Grant Notice or this Agreement but defined in the Plan shall have the same definitions as in the Plan. For purposes of the Award, the Agreement will be deemed to include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Award, in addition to those set forth in the Grant Notice and the Plan, are as follows.</w:t>
      </w:r>
    </w:p>
    <w:p>
      <w:pPr>
        <w:spacing w:after="0" w:line="214" w:lineRule="exact"/>
        <w:rPr>
          <w:sz w:val="20"/>
          <w:szCs w:val="20"/>
          <w:color w:val="auto"/>
        </w:rPr>
      </w:pPr>
    </w:p>
    <w:p>
      <w:pPr>
        <w:jc w:val="both"/>
        <w:ind w:firstLine="656"/>
        <w:spacing w:after="0" w:line="259" w:lineRule="auto"/>
        <w:tabs>
          <w:tab w:leader="none" w:pos="1296"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the Award. </w:t>
      </w:r>
      <w:r>
        <w:rPr>
          <w:rFonts w:ascii="Arial" w:cs="Arial" w:eastAsia="Arial" w:hAnsi="Arial"/>
          <w:sz w:val="21"/>
          <w:szCs w:val="21"/>
          <w:color w:val="auto"/>
        </w:rPr>
        <w:t>This Award represents your right to be issued on a future date the number of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that is equal to the number of RSUs indicated in the Grant Notice.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xml:space="preserve">”) the number of Maximum RSUs subject to the Award. This Award was granted in consideration of your services to the Company or one of its Affiliates. Except as otherwise provided herein, you will not be required to make any payment to the Company (other than past and future services to the Company or its Affiliates) with respect to your receipt of the Award, the vesting of the RSUs or the delivery of the Ordinary Shares to be issued in respect of the Award; </w:t>
      </w:r>
      <w:r>
        <w:rPr>
          <w:rFonts w:ascii="Arial" w:cs="Arial" w:eastAsia="Arial" w:hAnsi="Arial"/>
          <w:sz w:val="21"/>
          <w:szCs w:val="21"/>
          <w:i w:val="1"/>
          <w:iCs w:val="1"/>
          <w:color w:val="auto"/>
        </w:rPr>
        <w:t>provided, however</w:t>
      </w:r>
      <w:r>
        <w:rPr>
          <w:rFonts w:ascii="Arial" w:cs="Arial" w:eastAsia="Arial" w:hAnsi="Arial"/>
          <w:sz w:val="21"/>
          <w:szCs w:val="21"/>
          <w:color w:val="auto"/>
        </w:rPr>
        <w:t>, that to the extent that any Ordinary Shares issued upon settlement of your Award are newly issued Ordinary Shares, a payment must be received by the Company of an amount equal to the par value of such number of newly issued Ordinary Shares (rounded up to the nearest whole cent) in cash, by check, bank draft or money order payable to the Company.</w:t>
      </w:r>
    </w:p>
    <w:p>
      <w:pPr>
        <w:spacing w:after="0" w:line="175" w:lineRule="exact"/>
        <w:rPr>
          <w:rFonts w:ascii="Arial" w:cs="Arial" w:eastAsia="Arial" w:hAnsi="Arial"/>
          <w:sz w:val="21"/>
          <w:szCs w:val="21"/>
          <w:b w:val="1"/>
          <w:bCs w:val="1"/>
          <w:color w:val="auto"/>
        </w:rPr>
      </w:pPr>
    </w:p>
    <w:p>
      <w:pPr>
        <w:jc w:val="both"/>
        <w:ind w:firstLine="656"/>
        <w:spacing w:after="0" w:line="267" w:lineRule="auto"/>
        <w:tabs>
          <w:tab w:leader="none" w:pos="1296"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Subject to Section 11 of this Agreement and the limitations contained herein, your Award will vest, if at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all,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Agreement, provided that your Continuous Service has not terminated prior to the last day of the Performance Period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Agreement), except as otherwise set forth below in this Section 2. Upon any termination of your Continuous Service, the RSUs credited to the Account that were</w:t>
      </w:r>
    </w:p>
    <w:p>
      <w:pPr>
        <w:sectPr>
          <w:pgSz w:w="11900" w:h="16838" w:orient="portrait"/>
          <w:cols w:equalWidth="0" w:num="1">
            <w:col w:w="11240"/>
          </w:cols>
          <w:pgMar w:left="320" w:top="1394" w:right="339" w:bottom="1440" w:gutter="0" w:footer="0" w:header="0"/>
        </w:sectPr>
      </w:pPr>
    </w:p>
    <w:bookmarkStart w:id="147" w:name="page148"/>
    <w:bookmarkEnd w:id="147"/>
    <w:p>
      <w:pPr>
        <w:jc w:val="both"/>
        <w:spacing w:after="0" w:line="250" w:lineRule="auto"/>
        <w:rPr>
          <w:sz w:val="20"/>
          <w:szCs w:val="20"/>
          <w:color w:val="auto"/>
        </w:rPr>
      </w:pPr>
      <w:r>
        <w:rPr>
          <w:rFonts w:ascii="Arial" w:cs="Arial" w:eastAsia="Arial" w:hAnsi="Arial"/>
          <w:sz w:val="22"/>
          <w:szCs w:val="22"/>
          <w:color w:val="auto"/>
        </w:rPr>
        <w:t>not vested on the date of such termination will be forfeited at no cost to the Company and you will have no further right, title or interest in such RSUs or the Ordinary Shares to be issued in respect of such portion of the Award, except as otherwise directed by the Compensation &amp; Management Development Committee of the Board (or its successor following a Change in Control) (the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w:t>
      </w:r>
    </w:p>
    <w:p>
      <w:pPr>
        <w:spacing w:after="0" w:line="188" w:lineRule="exact"/>
        <w:rPr>
          <w:sz w:val="20"/>
          <w:szCs w:val="20"/>
          <w:color w:val="auto"/>
        </w:rPr>
      </w:pPr>
    </w:p>
    <w:p>
      <w:pPr>
        <w:jc w:val="both"/>
        <w:ind w:firstLine="1304"/>
        <w:spacing w:after="0" w:line="294" w:lineRule="auto"/>
        <w:tabs>
          <w:tab w:leader="none" w:pos="1939" w:val="left"/>
        </w:tabs>
        <w:numPr>
          <w:ilvl w:val="1"/>
          <w:numId w:val="92"/>
        </w:numPr>
        <w:rPr>
          <w:rFonts w:ascii="Arial" w:cs="Arial" w:eastAsia="Arial" w:hAnsi="Arial"/>
          <w:sz w:val="19"/>
          <w:szCs w:val="19"/>
          <w:b w:val="1"/>
          <w:bCs w:val="1"/>
          <w:color w:val="auto"/>
        </w:rPr>
      </w:pPr>
      <w:r>
        <w:rPr>
          <w:rFonts w:ascii="Arial" w:cs="Arial" w:eastAsia="Arial" w:hAnsi="Arial"/>
          <w:sz w:val="19"/>
          <w:szCs w:val="19"/>
          <w:u w:val="single" w:color="auto"/>
          <w:color w:val="auto"/>
        </w:rPr>
        <w:t>Termination of Continuous Service due to Death</w:t>
      </w:r>
      <w:r>
        <w:rPr>
          <w:rFonts w:ascii="Arial" w:cs="Arial" w:eastAsia="Arial" w:hAnsi="Arial"/>
          <w:sz w:val="19"/>
          <w:szCs w:val="19"/>
          <w:color w:val="auto"/>
        </w:rPr>
        <w:t>. If your Continuous Service terminates prior to the last day of the Performance Period due to your death, then a number of RSUs subject to this Award shall become vested in an amount equal to (i) the number of Target RSUs, multiplied by (ii) a ratio, the numerator of which is the number of calendar days during the Performance Period that you were in Continuous Service and the denominator of which is the total number of calendar days in the Performance Period, with the resulting number rounded up to the nearest whole RSU, effective as of the date of such termination (or as soon as administratively practicable thereafter, but no later than 60 days following such termination).</w:t>
      </w:r>
    </w:p>
    <w:p>
      <w:pPr>
        <w:spacing w:after="0" w:line="149" w:lineRule="exact"/>
        <w:rPr>
          <w:rFonts w:ascii="Arial" w:cs="Arial" w:eastAsia="Arial" w:hAnsi="Arial"/>
          <w:sz w:val="19"/>
          <w:szCs w:val="19"/>
          <w:b w:val="1"/>
          <w:bCs w:val="1"/>
          <w:color w:val="auto"/>
        </w:rPr>
      </w:pPr>
    </w:p>
    <w:p>
      <w:pPr>
        <w:jc w:val="both"/>
        <w:ind w:firstLine="1304"/>
        <w:spacing w:after="0" w:line="294" w:lineRule="auto"/>
        <w:tabs>
          <w:tab w:leader="none" w:pos="1938" w:val="left"/>
        </w:tabs>
        <w:numPr>
          <w:ilvl w:val="1"/>
          <w:numId w:val="92"/>
        </w:numPr>
        <w:rPr>
          <w:rFonts w:ascii="Arial" w:cs="Arial" w:eastAsia="Arial" w:hAnsi="Arial"/>
          <w:sz w:val="19"/>
          <w:szCs w:val="19"/>
          <w:b w:val="1"/>
          <w:bCs w:val="1"/>
          <w:color w:val="auto"/>
        </w:rPr>
      </w:pPr>
      <w:r>
        <w:rPr>
          <w:rFonts w:ascii="Arial" w:cs="Arial" w:eastAsia="Arial" w:hAnsi="Arial"/>
          <w:sz w:val="19"/>
          <w:szCs w:val="19"/>
          <w:u w:val="single" w:color="auto"/>
          <w:color w:val="auto"/>
        </w:rPr>
        <w:t>Termination of Continuous Service due to Disability or Retirement</w:t>
      </w:r>
      <w:r>
        <w:rPr>
          <w:rFonts w:ascii="Arial" w:cs="Arial" w:eastAsia="Arial" w:hAnsi="Arial"/>
          <w:sz w:val="19"/>
          <w:szCs w:val="19"/>
          <w:color w:val="auto"/>
        </w:rPr>
        <w:t xml:space="preserve">. If your Continuous Service terminates prior to the last day of the Performance Period due to your Disability or Retirement, then effective as of the Vesting Date, a number of RSUs subject to this Award shall become vested in an amount equal to (i) the number of Certified RSUs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 multiplied by (ii) a ratio, the numerator of which is the number of calendar days during the Performance Period that you were in Continuous Service and the denominator of which is the total number of calendar days in the Performance Period, with the resulting number rounded up to the nearest whole RSU.</w:t>
      </w:r>
    </w:p>
    <w:p>
      <w:pPr>
        <w:spacing w:after="0" w:line="149" w:lineRule="exact"/>
        <w:rPr>
          <w:rFonts w:ascii="Arial" w:cs="Arial" w:eastAsia="Arial" w:hAnsi="Arial"/>
          <w:sz w:val="19"/>
          <w:szCs w:val="19"/>
          <w:b w:val="1"/>
          <w:bCs w:val="1"/>
          <w:color w:val="auto"/>
        </w:rPr>
      </w:pPr>
    </w:p>
    <w:p>
      <w:pPr>
        <w:jc w:val="both"/>
        <w:ind w:firstLine="1304"/>
        <w:spacing w:after="0" w:line="289" w:lineRule="auto"/>
        <w:tabs>
          <w:tab w:leader="none" w:pos="1941" w:val="left"/>
        </w:tabs>
        <w:numPr>
          <w:ilvl w:val="1"/>
          <w:numId w:val="92"/>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Retirement</w:t>
      </w:r>
      <w:r>
        <w:rPr>
          <w:rFonts w:ascii="Arial" w:cs="Arial" w:eastAsia="Arial" w:hAnsi="Arial"/>
          <w:sz w:val="19"/>
          <w:szCs w:val="19"/>
          <w:color w:val="auto"/>
        </w:rPr>
        <w:t xml:space="preserve">” means your voluntary termination of Continuous Service, unless circumstances exist at the time of such termination that would constitute Cause, following (i) your completion of five years of Continuous Service and (ii) your attainment of age 55;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order to receive any vesting benefit under Section 2(b) of the Agreement due to your Retirement, you must (x) have given the Company at least four months advance written notice of your intention to terminate your Continuous Service and (y) execute and deliver a non-solicitation agreement satisfactory to the Company that will apply for a period of 12 months after your termination date (the “</w:t>
      </w:r>
      <w:r>
        <w:rPr>
          <w:rFonts w:ascii="Arial" w:cs="Arial" w:eastAsia="Arial" w:hAnsi="Arial"/>
          <w:sz w:val="19"/>
          <w:szCs w:val="19"/>
          <w:b w:val="1"/>
          <w:bCs w:val="1"/>
          <w:i w:val="1"/>
          <w:iCs w:val="1"/>
          <w:color w:val="auto"/>
        </w:rPr>
        <w:t>Non-Solicitation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For avoidance of doubt, in the event of your Retirement prior to the last day of the Performance Period, if you fail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comply with the conditions in this Section 2(c), including compliance with the Non-Solicitation Agreement for a period of 12 months after your termination date, you will forfeit all of the RSUs subject to this Award.</w:t>
      </w:r>
    </w:p>
    <w:p>
      <w:pPr>
        <w:spacing w:after="0" w:line="150" w:lineRule="exact"/>
        <w:rPr>
          <w:rFonts w:ascii="Arial" w:cs="Arial" w:eastAsia="Arial" w:hAnsi="Arial"/>
          <w:sz w:val="19"/>
          <w:szCs w:val="19"/>
          <w:b w:val="1"/>
          <w:bCs w:val="1"/>
          <w:color w:val="auto"/>
        </w:rPr>
      </w:pPr>
    </w:p>
    <w:p>
      <w:pPr>
        <w:ind w:left="1300" w:hanging="644"/>
        <w:spacing w:after="0"/>
        <w:tabs>
          <w:tab w:leader="none" w:pos="130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RSUs and Ordinary Shares.</w:t>
      </w:r>
    </w:p>
    <w:p>
      <w:pPr>
        <w:spacing w:after="0" w:line="225" w:lineRule="exact"/>
        <w:rPr>
          <w:rFonts w:ascii="Arial" w:cs="Arial" w:eastAsia="Arial" w:hAnsi="Arial"/>
          <w:sz w:val="22"/>
          <w:szCs w:val="22"/>
          <w:b w:val="1"/>
          <w:bCs w:val="1"/>
          <w:color w:val="auto"/>
        </w:rPr>
      </w:pPr>
    </w:p>
    <w:p>
      <w:pPr>
        <w:ind w:right="20" w:firstLine="1304"/>
        <w:spacing w:after="0" w:line="263" w:lineRule="auto"/>
        <w:tabs>
          <w:tab w:leader="none" w:pos="2042" w:val="left"/>
        </w:tabs>
        <w:numPr>
          <w:ilvl w:val="1"/>
          <w:numId w:val="93"/>
        </w:numPr>
        <w:rPr>
          <w:rFonts w:ascii="Arial" w:cs="Arial" w:eastAsia="Arial" w:hAnsi="Arial"/>
          <w:sz w:val="22"/>
          <w:szCs w:val="22"/>
          <w:b w:val="1"/>
          <w:bCs w:val="1"/>
          <w:color w:val="auto"/>
        </w:rPr>
      </w:pPr>
      <w:r>
        <w:rPr>
          <w:rFonts w:ascii="Arial" w:cs="Arial" w:eastAsia="Arial" w:hAnsi="Arial"/>
          <w:sz w:val="22"/>
          <w:szCs w:val="22"/>
          <w:color w:val="auto"/>
        </w:rPr>
        <w:t>The number of RSUs subject to your Award may be adjusted from time to time for Capitalization Adjustments, as provided in the Plan.</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38" w:val="left"/>
        </w:tabs>
        <w:numPr>
          <w:ilvl w:val="1"/>
          <w:numId w:val="93"/>
        </w:numPr>
        <w:rPr>
          <w:rFonts w:ascii="Arial" w:cs="Arial" w:eastAsia="Arial" w:hAnsi="Arial"/>
          <w:sz w:val="22"/>
          <w:szCs w:val="22"/>
          <w:b w:val="1"/>
          <w:bCs w:val="1"/>
          <w:color w:val="auto"/>
        </w:rPr>
      </w:pPr>
      <w:r>
        <w:rPr>
          <w:rFonts w:ascii="Arial" w:cs="Arial" w:eastAsia="Arial" w:hAnsi="Arial"/>
          <w:sz w:val="22"/>
          <w:szCs w:val="22"/>
          <w:color w:val="auto"/>
        </w:rPr>
        <w:t>Any additional RSUs that become subject to the Award pursuant to this Section 3 shall be subject, in a manner determined by the Board, to the same forfeiture restrictions, restrictions on transferability, and time and manner of delivery as applicable to the other RSUs covered by your Award.</w:t>
      </w:r>
    </w:p>
    <w:p>
      <w:pPr>
        <w:sectPr>
          <w:pgSz w:w="11900" w:h="16838" w:orient="portrait"/>
          <w:cols w:equalWidth="0" w:num="1">
            <w:col w:w="11240"/>
          </w:cols>
          <w:pgMar w:left="320" w:top="1427" w:right="339" w:bottom="1440" w:gutter="0" w:footer="0" w:header="0"/>
        </w:sectPr>
      </w:pPr>
    </w:p>
    <w:bookmarkStart w:id="148" w:name="page149"/>
    <w:bookmarkEnd w:id="148"/>
    <w:p>
      <w:pPr>
        <w:jc w:val="both"/>
        <w:ind w:left="-8" w:firstLine="1304"/>
        <w:spacing w:after="0" w:line="250" w:lineRule="auto"/>
        <w:tabs>
          <w:tab w:leader="none" w:pos="1933" w:val="left"/>
        </w:tabs>
        <w:numPr>
          <w:ilvl w:val="2"/>
          <w:numId w:val="94"/>
        </w:numPr>
        <w:rPr>
          <w:rFonts w:ascii="Arial" w:cs="Arial" w:eastAsia="Arial" w:hAnsi="Arial"/>
          <w:sz w:val="22"/>
          <w:szCs w:val="22"/>
          <w:b w:val="1"/>
          <w:bCs w:val="1"/>
          <w:color w:val="auto"/>
        </w:rPr>
      </w:pPr>
      <w:r>
        <w:rPr>
          <w:rFonts w:ascii="Arial" w:cs="Arial" w:eastAsia="Arial" w:hAnsi="Arial"/>
          <w:sz w:val="22"/>
          <w:szCs w:val="22"/>
          <w:color w:val="auto"/>
        </w:rPr>
        <w:t>Notwithstanding the provisions of this Section 3, no fractional Ordinary Shares or rights for fractional Ordinary Shares shall be created pursuant to this Section 3. The Board shall, in its discretion, determine an equivalent benefit for any fractional Ordinary Shares or fractional Ordinary Shares that might be created by the adjustments referred to in this Section 3.</w:t>
      </w:r>
    </w:p>
    <w:p>
      <w:pPr>
        <w:spacing w:after="0" w:line="181" w:lineRule="exact"/>
        <w:rPr>
          <w:rFonts w:ascii="Arial" w:cs="Arial" w:eastAsia="Arial" w:hAnsi="Arial"/>
          <w:sz w:val="22"/>
          <w:szCs w:val="22"/>
          <w:b w:val="1"/>
          <w:bCs w:val="1"/>
          <w:color w:val="auto"/>
        </w:rPr>
      </w:pPr>
    </w:p>
    <w:p>
      <w:pPr>
        <w:ind w:left="1292" w:hanging="644"/>
        <w:spacing w:after="0"/>
        <w:tabs>
          <w:tab w:leader="none" w:pos="1292" w:val="left"/>
        </w:tabs>
        <w:numPr>
          <w:ilvl w:val="1"/>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You may not be issued any Ordinary Shares in respect of your Award unless either</w:t>
      </w:r>
    </w:p>
    <w:p>
      <w:pPr>
        <w:spacing w:after="0" w:line="61" w:lineRule="exact"/>
        <w:rPr>
          <w:rFonts w:ascii="Arial" w:cs="Arial" w:eastAsia="Arial" w:hAnsi="Arial"/>
          <w:sz w:val="19"/>
          <w:szCs w:val="19"/>
          <w:b w:val="1"/>
          <w:bCs w:val="1"/>
          <w:color w:val="auto"/>
        </w:rPr>
      </w:pPr>
    </w:p>
    <w:p>
      <w:pPr>
        <w:jc w:val="both"/>
        <w:ind w:left="-8" w:firstLine="8"/>
        <w:spacing w:after="0" w:line="257" w:lineRule="auto"/>
        <w:tabs>
          <w:tab w:leader="none" w:pos="296"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Ordinary Shares are registered under the Securities Act; or (b)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 The Company shall not be liable if Ordinary Shares cannot be issued to you as a consequence of the Company’s determination that the issuance of Ordinary Shares does not comply with applicable laws and regulations governing the Award.</w:t>
      </w:r>
    </w:p>
    <w:p>
      <w:pPr>
        <w:spacing w:after="0" w:line="179" w:lineRule="exact"/>
        <w:rPr>
          <w:rFonts w:ascii="Arial" w:cs="Arial" w:eastAsia="Arial" w:hAnsi="Arial"/>
          <w:sz w:val="21"/>
          <w:szCs w:val="21"/>
          <w:color w:val="auto"/>
        </w:rPr>
      </w:pPr>
    </w:p>
    <w:p>
      <w:pPr>
        <w:jc w:val="both"/>
        <w:ind w:left="-8" w:firstLine="656"/>
        <w:spacing w:after="0" w:line="259" w:lineRule="auto"/>
        <w:tabs>
          <w:tab w:leader="none" w:pos="1288" w:val="left"/>
        </w:tabs>
        <w:numPr>
          <w:ilvl w:val="1"/>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Transfer Restrictions. </w:t>
      </w:r>
      <w:r>
        <w:rPr>
          <w:rFonts w:ascii="Arial" w:cs="Arial" w:eastAsia="Arial" w:hAnsi="Arial"/>
          <w:sz w:val="21"/>
          <w:szCs w:val="21"/>
          <w:color w:val="auto"/>
        </w:rPr>
        <w:t>Your Award is not transferable, except by will or by the laws of descent and distribution.</w:t>
      </w:r>
      <w:r>
        <w:rPr>
          <w:rFonts w:ascii="Arial" w:cs="Arial" w:eastAsia="Arial" w:hAnsi="Arial"/>
          <w:sz w:val="21"/>
          <w:szCs w:val="21"/>
          <w:b w:val="1"/>
          <w:bCs w:val="1"/>
          <w:color w:val="auto"/>
        </w:rPr>
        <w:t xml:space="preserve"> </w:t>
      </w:r>
      <w:r>
        <w:rPr>
          <w:rFonts w:ascii="Arial" w:cs="Arial" w:eastAsia="Arial" w:hAnsi="Arial"/>
          <w:sz w:val="21"/>
          <w:szCs w:val="21"/>
          <w:color w:val="auto"/>
        </w:rPr>
        <w:t>In 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6 of this Agreement. After the Ordinary Shares have been issued to you, you are free to assign, hypothecate, donate, encumber or otherwise dispose of any interest in such Ordinary Shares provided that any such actions are in compliance with the provisions herein and applicable securities laws. Notwithstanding the foregoing, by delivering written notice to the Company, in a form satisfactory to the Company, you may designate a third party who, in the event of your death, shall thereafter be entitled to receive any distribution of Ordinary Shares to which you were entitled at the time of your death pursuant to this Agreement.</w:t>
      </w:r>
    </w:p>
    <w:p>
      <w:pPr>
        <w:spacing w:after="0" w:line="179" w:lineRule="exact"/>
        <w:rPr>
          <w:rFonts w:ascii="Arial" w:cs="Arial" w:eastAsia="Arial" w:hAnsi="Arial"/>
          <w:sz w:val="21"/>
          <w:szCs w:val="21"/>
          <w:b w:val="1"/>
          <w:bCs w:val="1"/>
          <w:color w:val="auto"/>
        </w:rPr>
      </w:pPr>
    </w:p>
    <w:p>
      <w:pPr>
        <w:ind w:left="1292" w:hanging="644"/>
        <w:spacing w:after="0"/>
        <w:tabs>
          <w:tab w:leader="none" w:pos="1292" w:val="left"/>
        </w:tabs>
        <w:numPr>
          <w:ilvl w:val="1"/>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25" w:lineRule="exact"/>
        <w:rPr>
          <w:rFonts w:ascii="Arial" w:cs="Arial" w:eastAsia="Arial" w:hAnsi="Arial"/>
          <w:sz w:val="22"/>
          <w:szCs w:val="22"/>
          <w:b w:val="1"/>
          <w:bCs w:val="1"/>
          <w:color w:val="auto"/>
        </w:rPr>
      </w:pPr>
    </w:p>
    <w:p>
      <w:pPr>
        <w:jc w:val="both"/>
        <w:ind w:left="-8" w:firstLine="1304"/>
        <w:spacing w:after="0" w:line="287" w:lineRule="auto"/>
        <w:tabs>
          <w:tab w:leader="none" w:pos="1931" w:val="left"/>
        </w:tabs>
        <w:numPr>
          <w:ilvl w:val="2"/>
          <w:numId w:val="96"/>
        </w:numPr>
        <w:rPr>
          <w:rFonts w:ascii="Arial" w:cs="Arial" w:eastAsia="Arial" w:hAnsi="Arial"/>
          <w:sz w:val="19"/>
          <w:szCs w:val="19"/>
          <w:b w:val="1"/>
          <w:bCs w:val="1"/>
          <w:color w:val="auto"/>
        </w:rPr>
      </w:pPr>
      <w:r>
        <w:rPr>
          <w:rFonts w:ascii="Arial" w:cs="Arial" w:eastAsia="Arial" w:hAnsi="Arial"/>
          <w:sz w:val="19"/>
          <w:szCs w:val="19"/>
          <w:color w:val="auto"/>
        </w:rPr>
        <w:t>To the extent your Award is exempt from application of Section 409A of the Code and any state or foreign law of similar effect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the Company will deliver to you a number of Ordinary Shares equal to the number of vested RSUs subject to your Award, including any additional RSUs received pursuant to Section 3 of this Agreement that relate to those vested RSUs, on the applicable vesting date(s). However, if a scheduled delivery date falls on a date that is not a business day, such delivery date shall instead fall on the next following business day. Notwithstanding the foregoing, in the event that (i) you are subject to the Company’s Policy Regarding Stock Trading by Executive Officers, Directors and Other Designated Employees (or any successor policy) (the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Company’s Policy Against Trading on the Basis of Inside Information, or you are otherwise prohibited from selling Ordinary Shares in the open market and any Ordinary Shares covered by your Award are scheduled to be delivered on a day (the “</w:t>
      </w:r>
      <w:r>
        <w:rPr>
          <w:rFonts w:ascii="Arial" w:cs="Arial" w:eastAsia="Arial" w:hAnsi="Arial"/>
          <w:sz w:val="19"/>
          <w:szCs w:val="19"/>
          <w:b w:val="1"/>
          <w:bCs w:val="1"/>
          <w:i w:val="1"/>
          <w:iCs w:val="1"/>
          <w:color w:val="auto"/>
        </w:rPr>
        <w:t>Original Distribution Date</w:t>
      </w:r>
      <w:r>
        <w:rPr>
          <w:rFonts w:ascii="Arial" w:cs="Arial" w:eastAsia="Arial" w:hAnsi="Arial"/>
          <w:sz w:val="19"/>
          <w:szCs w:val="19"/>
          <w:color w:val="auto"/>
        </w:rPr>
        <w:t>”) that does not occur during an open “window period” applicable to you or a day on which you are permitted to sell Ordinary Shares pursuant to a written plan that meets the requirements of Rule 10b5-1 under the Exchange</w:t>
      </w:r>
    </w:p>
    <w:p>
      <w:pPr>
        <w:sectPr>
          <w:pgSz w:w="11900" w:h="16838" w:orient="portrait"/>
          <w:cols w:equalWidth="0" w:num="1">
            <w:col w:w="11232"/>
          </w:cols>
          <w:pgMar w:left="328" w:top="1427" w:right="339" w:bottom="1440" w:gutter="0" w:footer="0" w:header="0"/>
        </w:sectPr>
      </w:pPr>
    </w:p>
    <w:bookmarkStart w:id="149" w:name="page150"/>
    <w:bookmarkEnd w:id="149"/>
    <w:p>
      <w:pPr>
        <w:jc w:val="both"/>
        <w:spacing w:after="0" w:line="287" w:lineRule="auto"/>
        <w:rPr>
          <w:sz w:val="20"/>
          <w:szCs w:val="20"/>
          <w:color w:val="auto"/>
        </w:rPr>
      </w:pPr>
      <w:r>
        <w:rPr>
          <w:rFonts w:ascii="Arial" w:cs="Arial" w:eastAsia="Arial" w:hAnsi="Arial"/>
          <w:sz w:val="19"/>
          <w:szCs w:val="19"/>
          <w:color w:val="auto"/>
        </w:rPr>
        <w:t>Act, as determined by the Company in accordance with the Policy, or does not occur on a date when you are otherwise permitted to sell Ordinary Shares in the open market, and (ii) the Company elects not to satisfy its tax withholding obligations by withholding Ordinary Shares from your distribution, then such Ordinary Shares shall not be delivered on such Original Distribution Date and shall instead be delivered on the first business day of the next occurring open “window period” applicable to you pursuant to the Policy (regardless of whether you are still providing Continuous Service at such time) or the next business day when you are not prohibited from selling Ordinary Shares in the open market, but in no event later than the fifteenth (15th) day of the third calendar month of the calendar year following the calendar year in which the Ordinary Shares covered by the Award are no longer subject to a “substantial risk of forfeiture” within the meaning of Treasury Regulations Section 1.409A-1(d). Delivery of the Ordinary Shares pursuant to the provisions of this Section 6(a) is intended to comply with the requirements for the short-term deferral exemption available under Treasury Regulations Section 1.409A-1(b)(4) and shall be construed and administered in such manner. The form of such delivery of the Ordinary Shares (</w:t>
      </w:r>
      <w:r>
        <w:rPr>
          <w:rFonts w:ascii="Arial" w:cs="Arial" w:eastAsia="Arial" w:hAnsi="Arial"/>
          <w:sz w:val="19"/>
          <w:szCs w:val="19"/>
          <w:i w:val="1"/>
          <w:iCs w:val="1"/>
          <w:color w:val="auto"/>
        </w:rPr>
        <w:t>e.g.</w:t>
      </w:r>
      <w:r>
        <w:rPr>
          <w:rFonts w:ascii="Arial" w:cs="Arial" w:eastAsia="Arial" w:hAnsi="Arial"/>
          <w:sz w:val="19"/>
          <w:szCs w:val="19"/>
          <w:color w:val="auto"/>
        </w:rPr>
        <w:t>, a share certificate or electronic entry evidencing such Ordinary Shares) shall be determined by the Company.</w:t>
      </w:r>
    </w:p>
    <w:p>
      <w:pPr>
        <w:spacing w:after="0" w:line="159" w:lineRule="exact"/>
        <w:rPr>
          <w:sz w:val="20"/>
          <w:szCs w:val="20"/>
          <w:color w:val="auto"/>
        </w:rPr>
      </w:pPr>
    </w:p>
    <w:p>
      <w:pPr>
        <w:jc w:val="both"/>
        <w:ind w:firstLine="1304"/>
        <w:spacing w:after="0" w:line="289" w:lineRule="auto"/>
        <w:tabs>
          <w:tab w:leader="none" w:pos="1938" w:val="left"/>
        </w:tabs>
        <w:numPr>
          <w:ilvl w:val="0"/>
          <w:numId w:val="97"/>
        </w:numPr>
        <w:rPr>
          <w:rFonts w:ascii="Arial" w:cs="Arial" w:eastAsia="Arial" w:hAnsi="Arial"/>
          <w:sz w:val="19"/>
          <w:szCs w:val="19"/>
          <w:b w:val="1"/>
          <w:bCs w:val="1"/>
          <w:color w:val="auto"/>
        </w:rPr>
      </w:pPr>
      <w:r>
        <w:rPr>
          <w:rFonts w:ascii="Arial" w:cs="Arial" w:eastAsia="Arial" w:hAnsi="Arial"/>
          <w:sz w:val="19"/>
          <w:szCs w:val="19"/>
          <w:color w:val="auto"/>
        </w:rPr>
        <w:t>The provisions of this Section 6(b) are intended to apply to the extent your Award is subject to Section 409A (including, but not limited to, because you are party to a severance arrangement or other agreement between you and the Company (or are eligible for benefits under a severance arrangement, plan or policy maintained by the Company), if any, that provides for acceleration of vesting of your Award upon your termination of employment or separation from service (as such term is defined in Section 409A(a)(2)(A)(i) of the Code (and without regard to any alternative definition thereunder))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severance benefit does not satisfy the requirements for an exemption from application of Section 409A provided under Treasury Regulations Section 1.409A-1(b)(4) or 1.409A-1(b)(9) (“</w:t>
      </w:r>
      <w:r>
        <w:rPr>
          <w:rFonts w:ascii="Arial" w:cs="Arial" w:eastAsia="Arial" w:hAnsi="Arial"/>
          <w:sz w:val="19"/>
          <w:szCs w:val="19"/>
          <w:b w:val="1"/>
          <w:bCs w:val="1"/>
          <w:i w:val="1"/>
          <w:iCs w:val="1"/>
          <w:color w:val="auto"/>
        </w:rPr>
        <w:t>Non-Exempt 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Arrangement</w:t>
      </w:r>
      <w:r>
        <w:rPr>
          <w:rFonts w:ascii="Arial" w:cs="Arial" w:eastAsia="Arial" w:hAnsi="Arial"/>
          <w:sz w:val="19"/>
          <w:szCs w:val="19"/>
          <w:color w:val="auto"/>
        </w:rPr>
        <w:t>”)). To the extent your Award is subject to and not exempt from application of Section 409A, the following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provisions in this Section 6(b) shall supersede anything to the contrary in Section 6(a) of this Agreement.</w:t>
      </w:r>
    </w:p>
    <w:p>
      <w:pPr>
        <w:spacing w:after="0" w:line="156" w:lineRule="exact"/>
        <w:rPr>
          <w:rFonts w:ascii="Arial" w:cs="Arial" w:eastAsia="Arial" w:hAnsi="Arial"/>
          <w:sz w:val="19"/>
          <w:szCs w:val="19"/>
          <w:b w:val="1"/>
          <w:bCs w:val="1"/>
          <w:color w:val="auto"/>
        </w:rPr>
      </w:pPr>
    </w:p>
    <w:p>
      <w:pPr>
        <w:jc w:val="both"/>
        <w:ind w:firstLine="1952"/>
        <w:spacing w:after="0" w:line="242" w:lineRule="auto"/>
        <w:tabs>
          <w:tab w:leader="none" w:pos="2580" w:val="left"/>
        </w:tabs>
        <w:numPr>
          <w:ilvl w:val="1"/>
          <w:numId w:val="97"/>
        </w:numPr>
        <w:rPr>
          <w:rFonts w:ascii="Arial" w:cs="Arial" w:eastAsia="Arial" w:hAnsi="Arial"/>
          <w:sz w:val="21"/>
          <w:szCs w:val="21"/>
          <w:b w:val="1"/>
          <w:bCs w:val="1"/>
          <w:color w:val="auto"/>
        </w:rPr>
      </w:pPr>
      <w:r>
        <w:rPr>
          <w:rFonts w:ascii="Arial" w:cs="Arial" w:eastAsia="Arial" w:hAnsi="Arial"/>
          <w:sz w:val="21"/>
          <w:szCs w:val="21"/>
          <w:color w:val="auto"/>
        </w:rPr>
        <w:t xml:space="preserve">If your Award vests in the ordinary course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Agreement, without vesting under the terms of a Non-Exempt Severance Arrangement or pursuant to Section 2(a), 2(b), 11(a), 11(b) or 11(d) of the Agreement, then the Ordinary Shares will be issued in respect of the vested portion of your Award no later than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calendar month following the last day of the Performance Period.</w:t>
      </w:r>
    </w:p>
    <w:p>
      <w:pPr>
        <w:spacing w:after="0" w:line="198" w:lineRule="exact"/>
        <w:rPr>
          <w:rFonts w:ascii="Arial" w:cs="Arial" w:eastAsia="Arial" w:hAnsi="Arial"/>
          <w:sz w:val="21"/>
          <w:szCs w:val="21"/>
          <w:b w:val="1"/>
          <w:bCs w:val="1"/>
          <w:color w:val="auto"/>
        </w:rPr>
      </w:pPr>
    </w:p>
    <w:p>
      <w:pPr>
        <w:jc w:val="both"/>
        <w:ind w:firstLine="1952"/>
        <w:spacing w:after="0" w:line="262" w:lineRule="auto"/>
        <w:tabs>
          <w:tab w:leader="none" w:pos="2586" w:val="left"/>
        </w:tabs>
        <w:numPr>
          <w:ilvl w:val="1"/>
          <w:numId w:val="97"/>
        </w:numPr>
        <w:rPr>
          <w:rFonts w:ascii="Arial" w:cs="Arial" w:eastAsia="Arial" w:hAnsi="Arial"/>
          <w:sz w:val="20"/>
          <w:szCs w:val="20"/>
          <w:b w:val="1"/>
          <w:bCs w:val="1"/>
          <w:color w:val="auto"/>
        </w:rPr>
      </w:pPr>
      <w:r>
        <w:rPr>
          <w:rFonts w:ascii="Arial" w:cs="Arial" w:eastAsia="Arial" w:hAnsi="Arial"/>
          <w:sz w:val="20"/>
          <w:szCs w:val="20"/>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issued in respect of the vested portion of your Award upon your Separation from Service in accordance with the terms of the Non-Exempt Severance Arrangement, but in no event later than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date of your Separation from Service. For clarity, if such Non-Exempt Severance Arrangement is the Jazz Pharmaceuticals plc Amended and Restated Executive Change in Control and Severance Benefit Plan (the “</w:t>
      </w:r>
      <w:r>
        <w:rPr>
          <w:rFonts w:ascii="Arial" w:cs="Arial" w:eastAsia="Arial" w:hAnsi="Arial"/>
          <w:sz w:val="20"/>
          <w:szCs w:val="20"/>
          <w:b w:val="1"/>
          <w:bCs w:val="1"/>
          <w:i w:val="1"/>
          <w:iCs w:val="1"/>
          <w:color w:val="auto"/>
        </w:rPr>
        <w:t>CIC Plan</w:t>
      </w:r>
      <w:r>
        <w:rPr>
          <w:rFonts w:ascii="Arial" w:cs="Arial" w:eastAsia="Arial" w:hAnsi="Arial"/>
          <w:sz w:val="20"/>
          <w:szCs w:val="20"/>
          <w:color w:val="auto"/>
        </w:rPr>
        <w:t>”), such Ordinary</w:t>
      </w:r>
    </w:p>
    <w:p>
      <w:pPr>
        <w:sectPr>
          <w:pgSz w:w="11900" w:h="16838" w:orient="portrait"/>
          <w:cols w:equalWidth="0" w:num="1">
            <w:col w:w="11240"/>
          </w:cols>
          <w:pgMar w:left="320" w:top="1427" w:right="339" w:bottom="1440" w:gutter="0" w:footer="0" w:header="0"/>
        </w:sectPr>
      </w:pPr>
    </w:p>
    <w:bookmarkStart w:id="150" w:name="page151"/>
    <w:bookmarkEnd w:id="150"/>
    <w:p>
      <w:pPr>
        <w:jc w:val="both"/>
        <w:spacing w:after="0" w:line="261" w:lineRule="auto"/>
        <w:rPr>
          <w:sz w:val="20"/>
          <w:szCs w:val="20"/>
          <w:color w:val="auto"/>
        </w:rPr>
      </w:pPr>
      <w:r>
        <w:rPr>
          <w:rFonts w:ascii="Arial" w:cs="Arial" w:eastAsia="Arial" w:hAnsi="Arial"/>
          <w:sz w:val="20"/>
          <w:szCs w:val="20"/>
          <w:color w:val="auto"/>
        </w:rPr>
        <w:t>Shares will be issued on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your Covered Termination (as defined in the CIC Plan) (which, for clarity, must be a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81" w:lineRule="exact"/>
        <w:rPr>
          <w:sz w:val="20"/>
          <w:szCs w:val="20"/>
          <w:color w:val="auto"/>
        </w:rPr>
      </w:pPr>
    </w:p>
    <w:p>
      <w:pPr>
        <w:jc w:val="both"/>
        <w:ind w:firstLine="1952"/>
        <w:spacing w:after="0" w:line="231" w:lineRule="auto"/>
        <w:tabs>
          <w:tab w:leader="none" w:pos="2592"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If vesting of your Award accelerates upon your termination of Continuous Service due to your death under Section 2(a) of this Agreement, then the Ordinary Shares will be issued in respect of the vested portion of your Award to your beneficiary (if any) or to the personal representative of your estate by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that follows the date of your death.</w:t>
      </w:r>
    </w:p>
    <w:p>
      <w:pPr>
        <w:spacing w:after="0" w:line="201" w:lineRule="exact"/>
        <w:rPr>
          <w:rFonts w:ascii="Arial" w:cs="Arial" w:eastAsia="Arial" w:hAnsi="Arial"/>
          <w:sz w:val="22"/>
          <w:szCs w:val="22"/>
          <w:b w:val="1"/>
          <w:bCs w:val="1"/>
          <w:color w:val="auto"/>
        </w:rPr>
      </w:pPr>
    </w:p>
    <w:p>
      <w:pPr>
        <w:jc w:val="both"/>
        <w:ind w:firstLine="1952"/>
        <w:spacing w:after="0" w:line="271" w:lineRule="auto"/>
        <w:tabs>
          <w:tab w:leader="none" w:pos="2580" w:val="left"/>
        </w:tabs>
        <w:numPr>
          <w:ilvl w:val="0"/>
          <w:numId w:val="98"/>
        </w:numPr>
        <w:rPr>
          <w:rFonts w:ascii="Arial" w:cs="Arial" w:eastAsia="Arial" w:hAnsi="Arial"/>
          <w:sz w:val="21"/>
          <w:szCs w:val="21"/>
          <w:b w:val="1"/>
          <w:bCs w:val="1"/>
          <w:color w:val="auto"/>
        </w:rPr>
      </w:pPr>
      <w:r>
        <w:rPr>
          <w:rFonts w:ascii="Arial" w:cs="Arial" w:eastAsia="Arial" w:hAnsi="Arial"/>
          <w:sz w:val="21"/>
          <w:szCs w:val="21"/>
          <w:color w:val="auto"/>
        </w:rPr>
        <w:t>If your Award vests upon your termination of Continuous Service due to your Disability or Retirement under Section 2(b) of this Agreement, then the Ordinary Shares will be issued in respect of the vested portion of your Award in the calendar year following the last day of the Performance Period, but not prior to the Vesting Date.</w:t>
      </w:r>
    </w:p>
    <w:p>
      <w:pPr>
        <w:spacing w:after="0" w:line="167" w:lineRule="exact"/>
        <w:rPr>
          <w:rFonts w:ascii="Arial" w:cs="Arial" w:eastAsia="Arial" w:hAnsi="Arial"/>
          <w:sz w:val="21"/>
          <w:szCs w:val="21"/>
          <w:b w:val="1"/>
          <w:bCs w:val="1"/>
          <w:color w:val="auto"/>
        </w:rPr>
      </w:pPr>
    </w:p>
    <w:p>
      <w:pPr>
        <w:jc w:val="both"/>
        <w:ind w:firstLine="1952"/>
        <w:spacing w:after="0" w:line="228" w:lineRule="auto"/>
        <w:tabs>
          <w:tab w:leader="none" w:pos="2587" w:val="left"/>
        </w:tabs>
        <w:numPr>
          <w:ilvl w:val="0"/>
          <w:numId w:val="98"/>
        </w:numPr>
        <w:rPr>
          <w:rFonts w:ascii="Arial" w:cs="Arial" w:eastAsia="Arial" w:hAnsi="Arial"/>
          <w:sz w:val="22"/>
          <w:szCs w:val="22"/>
          <w:b w:val="1"/>
          <w:bCs w:val="1"/>
          <w:color w:val="auto"/>
        </w:rPr>
      </w:pPr>
      <w:r>
        <w:rPr>
          <w:rFonts w:ascii="Arial" w:cs="Arial" w:eastAsia="Arial" w:hAnsi="Arial"/>
          <w:sz w:val="22"/>
          <w:szCs w:val="22"/>
          <w:color w:val="auto"/>
        </w:rPr>
        <w:t>If your Award vests under Section 11(a) of this Agreement, then the Ordinary Shares will be issued in respect of the vested portion of your Award no later than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calendar month following the last day of the Performance Period.</w:t>
      </w:r>
    </w:p>
    <w:p>
      <w:pPr>
        <w:spacing w:after="0" w:line="198" w:lineRule="exact"/>
        <w:rPr>
          <w:rFonts w:ascii="Arial" w:cs="Arial" w:eastAsia="Arial" w:hAnsi="Arial"/>
          <w:sz w:val="22"/>
          <w:szCs w:val="22"/>
          <w:b w:val="1"/>
          <w:bCs w:val="1"/>
          <w:color w:val="auto"/>
        </w:rPr>
      </w:pPr>
    </w:p>
    <w:p>
      <w:pPr>
        <w:jc w:val="both"/>
        <w:ind w:firstLine="1952"/>
        <w:spacing w:after="0" w:line="262" w:lineRule="auto"/>
        <w:tabs>
          <w:tab w:leader="none" w:pos="2580" w:val="left"/>
        </w:tabs>
        <w:numPr>
          <w:ilvl w:val="0"/>
          <w:numId w:val="98"/>
        </w:numPr>
        <w:rPr>
          <w:rFonts w:ascii="Arial" w:cs="Arial" w:eastAsia="Arial" w:hAnsi="Arial"/>
          <w:sz w:val="20"/>
          <w:szCs w:val="20"/>
          <w:b w:val="1"/>
          <w:bCs w:val="1"/>
          <w:color w:val="auto"/>
        </w:rPr>
      </w:pPr>
      <w:r>
        <w:rPr>
          <w:rFonts w:ascii="Arial" w:cs="Arial" w:eastAsia="Arial" w:hAnsi="Arial"/>
          <w:sz w:val="20"/>
          <w:szCs w:val="20"/>
          <w:color w:val="auto"/>
        </w:rPr>
        <w:t>If vesting of your Award accelerates upon your Involuntary Termination Without Cause under Section 11(b) of this Agreement, then the Ordinary Shares will be issued in respect of the vested portion of your Award on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date of your Involuntary Termination Without Cause (which, for clarity, must be a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78" w:lineRule="exact"/>
        <w:rPr>
          <w:rFonts w:ascii="Arial" w:cs="Arial" w:eastAsia="Arial" w:hAnsi="Arial"/>
          <w:sz w:val="20"/>
          <w:szCs w:val="20"/>
          <w:b w:val="1"/>
          <w:bCs w:val="1"/>
          <w:color w:val="auto"/>
        </w:rPr>
      </w:pPr>
    </w:p>
    <w:p>
      <w:pPr>
        <w:jc w:val="both"/>
        <w:ind w:firstLine="1952"/>
        <w:spacing w:after="0" w:line="289" w:lineRule="auto"/>
        <w:tabs>
          <w:tab w:leader="none" w:pos="2586"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 xml:space="preserve">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in respect of the vested portion of your Award, but such Ordinary Shares shall instead be issued on the same schedule as set forth in Section 6(b)(i) of this Agreement as if they had vested in the ordinary course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 (without vesting under the terms of a Non-Exempt Severance Arrangement or pursuant to Section 2(a), 2(b), 11(a), 11(b) or 11(d) of the Agreement), notwithstanding the vesting acceleration of the Award. Such issuance schedule is intended to satisfy the requirements of payment on a specified date or pursuant to a fixed schedule, as provided under Treasury Regulations Section 1.409A-3(a)(4).</w:t>
      </w:r>
    </w:p>
    <w:p>
      <w:pPr>
        <w:sectPr>
          <w:pgSz w:w="11900" w:h="16838" w:orient="portrait"/>
          <w:cols w:equalWidth="0" w:num="1">
            <w:col w:w="11240"/>
          </w:cols>
          <w:pgMar w:left="320" w:top="1420" w:right="339" w:bottom="1440" w:gutter="0" w:footer="0" w:header="0"/>
        </w:sectPr>
      </w:pPr>
    </w:p>
    <w:bookmarkStart w:id="151" w:name="page152"/>
    <w:bookmarkEnd w:id="151"/>
    <w:p>
      <w:pPr>
        <w:jc w:val="both"/>
        <w:ind w:left="-656" w:firstLine="1304"/>
        <w:spacing w:after="0" w:line="312" w:lineRule="auto"/>
        <w:tabs>
          <w:tab w:leader="none" w:pos="1285" w:val="left"/>
        </w:tabs>
        <w:numPr>
          <w:ilvl w:val="1"/>
          <w:numId w:val="99"/>
        </w:numPr>
        <w:rPr>
          <w:rFonts w:ascii="Arial" w:cs="Arial" w:eastAsia="Arial" w:hAnsi="Arial"/>
          <w:sz w:val="19"/>
          <w:szCs w:val="19"/>
          <w:b w:val="1"/>
          <w:bCs w:val="1"/>
          <w:color w:val="auto"/>
        </w:rPr>
      </w:pPr>
      <w:r>
        <w:rPr>
          <w:rFonts w:ascii="Arial" w:cs="Arial" w:eastAsia="Arial" w:hAnsi="Arial"/>
          <w:sz w:val="19"/>
          <w:szCs w:val="19"/>
          <w:color w:val="auto"/>
        </w:rPr>
        <w:t>If your Award is subject to and not exempt from Section 409A (a “</w:t>
      </w:r>
      <w:r>
        <w:rPr>
          <w:rFonts w:ascii="Arial" w:cs="Arial" w:eastAsia="Arial" w:hAnsi="Arial"/>
          <w:sz w:val="19"/>
          <w:szCs w:val="19"/>
          <w:b w:val="1"/>
          <w:bCs w:val="1"/>
          <w:i w:val="1"/>
          <w:iCs w:val="1"/>
          <w:color w:val="auto"/>
        </w:rPr>
        <w:t>Non-Exempt Award</w:t>
      </w:r>
      <w:r>
        <w:rPr>
          <w:rFonts w:ascii="Arial" w:cs="Arial" w:eastAsia="Arial" w:hAnsi="Arial"/>
          <w:sz w:val="19"/>
          <w:szCs w:val="19"/>
          <w:color w:val="auto"/>
        </w:rPr>
        <w:t>”), then the provisions in this Section 6(c) shall apply and supersede anything to the contrary that may be set forth in the Plan, the Grant Notice or in any other section of this Agreement with respect to the permitted treatment of your Non-Exempt Award:</w:t>
      </w:r>
    </w:p>
    <w:p>
      <w:pPr>
        <w:spacing w:after="0" w:line="133" w:lineRule="exact"/>
        <w:rPr>
          <w:rFonts w:ascii="Arial" w:cs="Arial" w:eastAsia="Arial" w:hAnsi="Arial"/>
          <w:sz w:val="19"/>
          <w:szCs w:val="19"/>
          <w:b w:val="1"/>
          <w:bCs w:val="1"/>
          <w:color w:val="auto"/>
        </w:rPr>
      </w:pPr>
    </w:p>
    <w:p>
      <w:pPr>
        <w:jc w:val="both"/>
        <w:ind w:left="-656" w:firstLine="1952"/>
        <w:spacing w:after="0" w:line="250" w:lineRule="auto"/>
        <w:tabs>
          <w:tab w:leader="none" w:pos="1924" w:val="left"/>
        </w:tabs>
        <w:numPr>
          <w:ilvl w:val="2"/>
          <w:numId w:val="99"/>
        </w:numPr>
        <w:rPr>
          <w:rFonts w:ascii="Arial" w:cs="Arial" w:eastAsia="Arial" w:hAnsi="Arial"/>
          <w:sz w:val="22"/>
          <w:szCs w:val="22"/>
          <w:b w:val="1"/>
          <w:bCs w:val="1"/>
          <w:color w:val="auto"/>
        </w:rPr>
      </w:pPr>
      <w:r>
        <w:rPr>
          <w:rFonts w:ascii="Arial" w:cs="Arial" w:eastAsia="Arial" w:hAnsi="Arial"/>
          <w:sz w:val="22"/>
          <w:szCs w:val="22"/>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 Shares upon the applicable vesting dates would be in compliance with the requirements of Section 409A.</w:t>
      </w:r>
    </w:p>
    <w:p>
      <w:pPr>
        <w:spacing w:after="0" w:line="187" w:lineRule="exact"/>
        <w:rPr>
          <w:rFonts w:ascii="Arial" w:cs="Arial" w:eastAsia="Arial" w:hAnsi="Arial"/>
          <w:sz w:val="22"/>
          <w:szCs w:val="22"/>
          <w:b w:val="1"/>
          <w:bCs w:val="1"/>
          <w:color w:val="auto"/>
        </w:rPr>
      </w:pPr>
    </w:p>
    <w:p>
      <w:pPr>
        <w:jc w:val="both"/>
        <w:ind w:left="-656" w:firstLine="1952"/>
        <w:spacing w:after="0" w:line="248" w:lineRule="auto"/>
        <w:tabs>
          <w:tab w:leader="none" w:pos="1930" w:val="left"/>
        </w:tabs>
        <w:numPr>
          <w:ilvl w:val="2"/>
          <w:numId w:val="99"/>
        </w:numPr>
        <w:rPr>
          <w:rFonts w:ascii="Arial" w:cs="Arial" w:eastAsia="Arial" w:hAnsi="Arial"/>
          <w:sz w:val="22"/>
          <w:szCs w:val="22"/>
          <w:b w:val="1"/>
          <w:bCs w:val="1"/>
          <w:color w:val="auto"/>
        </w:rPr>
      </w:pPr>
      <w:r>
        <w:rPr>
          <w:rFonts w:ascii="Arial" w:cs="Arial" w:eastAsia="Arial" w:hAnsi="Arial"/>
          <w:sz w:val="22"/>
          <w:szCs w:val="22"/>
          <w:color w:val="auto"/>
        </w:rPr>
        <w:t>The Company explicitly reserves the right to (A) earlier settle your Non-Exempt Award to the extent permitted and in compliance with the requirements of Section 409A, including pursuant to any of the exemptions available in Treasury Regulations Section 1.409A-3(j)(4)(i), and (B) provide that you will receive a cash settlement equal to the Fair Market Value of the Ordinary Shares that would otherwise be issued to you, if applicable and in compliance with the requirements of Section 409A.</w:t>
      </w:r>
    </w:p>
    <w:p>
      <w:pPr>
        <w:spacing w:after="0" w:line="191" w:lineRule="exact"/>
        <w:rPr>
          <w:rFonts w:ascii="Arial" w:cs="Arial" w:eastAsia="Arial" w:hAnsi="Arial"/>
          <w:sz w:val="22"/>
          <w:szCs w:val="22"/>
          <w:b w:val="1"/>
          <w:bCs w:val="1"/>
          <w:color w:val="auto"/>
        </w:rPr>
      </w:pPr>
    </w:p>
    <w:p>
      <w:pPr>
        <w:jc w:val="both"/>
        <w:ind w:left="-656" w:firstLine="1952"/>
        <w:spacing w:after="0" w:line="287" w:lineRule="auto"/>
        <w:tabs>
          <w:tab w:leader="none" w:pos="1936" w:val="left"/>
        </w:tabs>
        <w:numPr>
          <w:ilvl w:val="2"/>
          <w:numId w:val="99"/>
        </w:numPr>
        <w:rPr>
          <w:rFonts w:ascii="Arial" w:cs="Arial" w:eastAsia="Arial" w:hAnsi="Arial"/>
          <w:sz w:val="19"/>
          <w:szCs w:val="19"/>
          <w:b w:val="1"/>
          <w:bCs w:val="1"/>
          <w:color w:val="auto"/>
        </w:rPr>
      </w:pPr>
      <w:r>
        <w:rPr>
          <w:rFonts w:ascii="Arial" w:cs="Arial" w:eastAsia="Arial" w:hAnsi="Arial"/>
          <w:sz w:val="19"/>
          <w:szCs w:val="19"/>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each as determined under Section 409A(a)(2)(A)(v) of the Code and Treasury Regulations Section 1.409A-3(i)(5) (a “</w:t>
      </w:r>
      <w:r>
        <w:rPr>
          <w:rFonts w:ascii="Arial" w:cs="Arial" w:eastAsia="Arial" w:hAnsi="Arial"/>
          <w:sz w:val="19"/>
          <w:szCs w:val="19"/>
          <w:b w:val="1"/>
          <w:bCs w:val="1"/>
          <w:i w:val="1"/>
          <w:iCs w:val="1"/>
          <w:color w:val="auto"/>
        </w:rPr>
        <w:t>409A Change of Control</w:t>
      </w:r>
      <w:r>
        <w:rPr>
          <w:rFonts w:ascii="Arial" w:cs="Arial" w:eastAsia="Arial" w:hAnsi="Arial"/>
          <w:sz w:val="19"/>
          <w:szCs w:val="19"/>
          <w:color w:val="auto"/>
        </w:rPr>
        <w:t>”). To the extent the terms of your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left="-656" w:firstLine="1952"/>
        <w:spacing w:after="0" w:line="250" w:lineRule="auto"/>
        <w:tabs>
          <w:tab w:leader="none" w:pos="1924" w:val="left"/>
        </w:tabs>
        <w:numPr>
          <w:ilvl w:val="2"/>
          <w:numId w:val="99"/>
        </w:numPr>
        <w:rPr>
          <w:rFonts w:ascii="Arial" w:cs="Arial" w:eastAsia="Arial" w:hAnsi="Arial"/>
          <w:sz w:val="22"/>
          <w:szCs w:val="22"/>
          <w:b w:val="1"/>
          <w:bCs w:val="1"/>
          <w:color w:val="auto"/>
        </w:rPr>
      </w:pPr>
      <w:r>
        <w:rPr>
          <w:rFonts w:ascii="Arial" w:cs="Arial" w:eastAsia="Arial" w:hAnsi="Arial"/>
          <w:sz w:val="22"/>
          <w:szCs w:val="22"/>
          <w:color w:val="auto"/>
        </w:rPr>
        <w:t>The provisions in this Agreement for delivery of the Ordinary Shares in respect of the Non-Exempt Award are intended to comply with the requirements of Section 409A so that the delivery of the Ordinary Shares to you in respect of your Non-Exempt Award will not trigger the additional tax imposed under Section 409A, and any ambiguities herein will be so interpreted.</w:t>
      </w:r>
    </w:p>
    <w:p>
      <w:pPr>
        <w:spacing w:after="0" w:line="181" w:lineRule="exact"/>
        <w:rPr>
          <w:rFonts w:ascii="Arial" w:cs="Arial" w:eastAsia="Arial" w:hAnsi="Arial"/>
          <w:sz w:val="22"/>
          <w:szCs w:val="22"/>
          <w:b w:val="1"/>
          <w:bCs w:val="1"/>
          <w:color w:val="auto"/>
        </w:rPr>
      </w:pPr>
    </w:p>
    <w:p>
      <w:pPr>
        <w:jc w:val="both"/>
        <w:ind w:left="-656" w:firstLine="656"/>
        <w:spacing w:after="0" w:line="252" w:lineRule="auto"/>
        <w:tabs>
          <w:tab w:leader="none" w:pos="64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Award with respect to any cash dividend, share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or other distribution that does not result from a Capitalization Adjustment as provided in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sentence shall not apply with respect to any Ordinary Shares that are delivered to you in connection with your Award after such Ordinary Shares have been delivered to you.</w:t>
      </w:r>
    </w:p>
    <w:p>
      <w:pPr>
        <w:sectPr>
          <w:pgSz w:w="11900" w:h="16838" w:orient="portrait"/>
          <w:cols w:equalWidth="0" w:num="1">
            <w:col w:w="10584"/>
          </w:cols>
          <w:pgMar w:left="976" w:top="1427" w:right="339" w:bottom="1440" w:gutter="0" w:footer="0" w:header="0"/>
        </w:sectPr>
      </w:pPr>
    </w:p>
    <w:bookmarkStart w:id="152" w:name="page153"/>
    <w:bookmarkEnd w:id="152"/>
    <w:p>
      <w:pPr>
        <w:ind w:left="-656" w:firstLine="656"/>
        <w:spacing w:after="0" w:line="269" w:lineRule="auto"/>
        <w:tabs>
          <w:tab w:leader="none" w:pos="64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Legends. </w:t>
      </w:r>
      <w:r>
        <w:rPr>
          <w:rFonts w:ascii="Arial" w:cs="Arial" w:eastAsia="Arial" w:hAnsi="Arial"/>
          <w:sz w:val="22"/>
          <w:szCs w:val="22"/>
          <w:color w:val="auto"/>
        </w:rPr>
        <w:t>The Ordinary Shares issued in respect of your Award shall be endorsed with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legends determined by the Company.</w:t>
      </w:r>
    </w:p>
    <w:p>
      <w:pPr>
        <w:spacing w:after="0" w:line="161" w:lineRule="exact"/>
        <w:rPr>
          <w:rFonts w:ascii="Arial" w:cs="Arial" w:eastAsia="Arial" w:hAnsi="Arial"/>
          <w:sz w:val="22"/>
          <w:szCs w:val="22"/>
          <w:b w:val="1"/>
          <w:bCs w:val="1"/>
          <w:color w:val="auto"/>
        </w:rPr>
      </w:pPr>
    </w:p>
    <w:p>
      <w:pPr>
        <w:ind w:left="644" w:hanging="644"/>
        <w:spacing w:after="0"/>
        <w:tabs>
          <w:tab w:leader="none" w:pos="644"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p>
    <w:p>
      <w:pPr>
        <w:spacing w:after="0" w:line="225" w:lineRule="exact"/>
        <w:rPr>
          <w:rFonts w:ascii="Arial" w:cs="Arial" w:eastAsia="Arial" w:hAnsi="Arial"/>
          <w:sz w:val="22"/>
          <w:szCs w:val="22"/>
          <w:b w:val="1"/>
          <w:bCs w:val="1"/>
          <w:color w:val="auto"/>
        </w:rPr>
      </w:pPr>
    </w:p>
    <w:p>
      <w:pPr>
        <w:jc w:val="both"/>
        <w:ind w:left="-656" w:firstLine="1304"/>
        <w:spacing w:after="0" w:line="288" w:lineRule="auto"/>
        <w:tabs>
          <w:tab w:leader="none" w:pos="1283"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 xml:space="preserve">Your Continuous Service with the Company or an Affiliate is not for any specified term and may be terminated by you or by the Company or an Affiliate at any time, for any reason, with or without cause and with or without notice. Nothing in this Agreement (including, but not limited to, the vesting of your Award pursuant to this Agreement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 or the issuance of the Ordinary Shares in respect of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its Affiliates, as applicable, of the right to terminate you at will and without regard to any future vesting opportunity that you may have.</w:t>
      </w:r>
    </w:p>
    <w:p>
      <w:pPr>
        <w:spacing w:after="0" w:line="159" w:lineRule="exact"/>
        <w:rPr>
          <w:rFonts w:ascii="Arial" w:cs="Arial" w:eastAsia="Arial" w:hAnsi="Arial"/>
          <w:sz w:val="19"/>
          <w:szCs w:val="19"/>
          <w:b w:val="1"/>
          <w:bCs w:val="1"/>
          <w:color w:val="auto"/>
        </w:rPr>
      </w:pPr>
    </w:p>
    <w:p>
      <w:pPr>
        <w:jc w:val="both"/>
        <w:ind w:left="-656" w:firstLine="1304"/>
        <w:spacing w:after="0" w:line="287" w:lineRule="auto"/>
        <w:tabs>
          <w:tab w:leader="none" w:pos="1282" w:val="left"/>
        </w:tabs>
        <w:numPr>
          <w:ilvl w:val="1"/>
          <w:numId w:val="101"/>
        </w:numPr>
        <w:rPr>
          <w:rFonts w:ascii="Arial" w:cs="Arial" w:eastAsia="Arial" w:hAnsi="Arial"/>
          <w:sz w:val="19"/>
          <w:szCs w:val="19"/>
          <w:b w:val="1"/>
          <w:bCs w:val="1"/>
          <w:color w:val="auto"/>
        </w:rPr>
      </w:pPr>
      <w:r>
        <w:rPr>
          <w:rFonts w:ascii="Arial" w:cs="Arial" w:eastAsia="Arial" w:hAnsi="Arial"/>
          <w:sz w:val="19"/>
          <w:szCs w:val="19"/>
          <w:color w:val="auto"/>
        </w:rPr>
        <w:t xml:space="preserve">By accepting this Award, you acknowledge and agree that the right to vest in the Award pursuant to this Agreement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is earned according to the terms of this Agreement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vest in the Award. You further acknowledge and agree that this Agreement, the Plan, the transactions contemplated hereunder and the vesting terms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right of the Company or its Affiliate, as applicable, to terminate your Continuous Service at any time, with or without cause and with or without notice.</w:t>
      </w:r>
    </w:p>
    <w:p>
      <w:pPr>
        <w:spacing w:after="0" w:line="152" w:lineRule="exact"/>
        <w:rPr>
          <w:rFonts w:ascii="Arial" w:cs="Arial" w:eastAsia="Arial" w:hAnsi="Arial"/>
          <w:sz w:val="19"/>
          <w:szCs w:val="19"/>
          <w:b w:val="1"/>
          <w:bCs w:val="1"/>
          <w:color w:val="auto"/>
        </w:rPr>
      </w:pPr>
    </w:p>
    <w:p>
      <w:pPr>
        <w:ind w:left="644" w:hanging="644"/>
        <w:spacing w:after="0"/>
        <w:tabs>
          <w:tab w:leader="none" w:pos="644"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25" w:lineRule="exact"/>
        <w:rPr>
          <w:rFonts w:ascii="Arial" w:cs="Arial" w:eastAsia="Arial" w:hAnsi="Arial"/>
          <w:sz w:val="22"/>
          <w:szCs w:val="22"/>
          <w:b w:val="1"/>
          <w:bCs w:val="1"/>
          <w:color w:val="auto"/>
        </w:rPr>
      </w:pPr>
    </w:p>
    <w:p>
      <w:pPr>
        <w:jc w:val="both"/>
        <w:ind w:left="-656" w:firstLine="1304"/>
        <w:spacing w:after="0" w:line="247" w:lineRule="auto"/>
        <w:tabs>
          <w:tab w:leader="none" w:pos="1283" w:val="left"/>
        </w:tabs>
        <w:numPr>
          <w:ilvl w:val="1"/>
          <w:numId w:val="101"/>
        </w:numPr>
        <w:rPr>
          <w:rFonts w:ascii="Arial" w:cs="Arial" w:eastAsia="Arial" w:hAnsi="Arial"/>
          <w:sz w:val="22"/>
          <w:szCs w:val="22"/>
          <w:b w:val="1"/>
          <w:bCs w:val="1"/>
          <w:color w:val="auto"/>
        </w:rPr>
      </w:pPr>
      <w:r>
        <w:rPr>
          <w:rFonts w:ascii="Arial" w:cs="Arial" w:eastAsia="Arial" w:hAnsi="Arial"/>
          <w:sz w:val="22"/>
          <w:szCs w:val="22"/>
          <w:color w:val="auto"/>
        </w:rPr>
        <w:t>On or before the time you receive a distribution of the Ordinary Shares subject to your Award, or at any time thereafter as requested by the Company, you hereby authorize any required withholding from the Ordinary Shares issuable to you and/or otherwise agree to make adequate provision in cash for any sums required to satisfy the federal, state, local and foreign tax withholding obligations of the Company or any Affiliate which arise in connection with your Award (the “</w:t>
      </w:r>
      <w:r>
        <w:rPr>
          <w:rFonts w:ascii="Arial" w:cs="Arial" w:eastAsia="Arial" w:hAnsi="Arial"/>
          <w:sz w:val="22"/>
          <w:szCs w:val="22"/>
          <w:b w:val="1"/>
          <w:bCs w:val="1"/>
          <w:i w:val="1"/>
          <w:iCs w:val="1"/>
          <w:color w:val="auto"/>
        </w:rPr>
        <w:t>Withholding Taxes</w:t>
      </w:r>
      <w:r>
        <w:rPr>
          <w:rFonts w:ascii="Arial" w:cs="Arial" w:eastAsia="Arial" w:hAnsi="Arial"/>
          <w:sz w:val="22"/>
          <w:szCs w:val="22"/>
          <w:color w:val="auto"/>
        </w:rPr>
        <w:t>”). Further, to the extent that any obligation to withhold Withholding Taxes arises prior to distribution of the Ordinary Shares, the</w:t>
      </w:r>
    </w:p>
    <w:p>
      <w:pPr>
        <w:sectPr>
          <w:pgSz w:w="11900" w:h="16838" w:orient="portrait"/>
          <w:cols w:equalWidth="0" w:num="1">
            <w:col w:w="10584"/>
          </w:cols>
          <w:pgMar w:left="976" w:top="1422" w:right="339" w:bottom="1440" w:gutter="0" w:footer="0" w:header="0"/>
        </w:sectPr>
      </w:pPr>
    </w:p>
    <w:bookmarkStart w:id="153" w:name="page154"/>
    <w:bookmarkEnd w:id="153"/>
    <w:p>
      <w:pPr>
        <w:jc w:val="both"/>
        <w:spacing w:after="0" w:line="260" w:lineRule="auto"/>
        <w:rPr>
          <w:sz w:val="20"/>
          <w:szCs w:val="20"/>
          <w:color w:val="auto"/>
        </w:rPr>
      </w:pPr>
      <w:r>
        <w:rPr>
          <w:rFonts w:ascii="Arial" w:cs="Arial" w:eastAsia="Arial" w:hAnsi="Arial"/>
          <w:sz w:val="21"/>
          <w:szCs w:val="21"/>
          <w:color w:val="auto"/>
        </w:rPr>
        <w:t>Company may cause the RSUs to vest and be deemed payable for the purpose of satisfying such obligation by withholding of Ordinary Shares as provided for above, where the Fair Market Value of the Ordinary Shares is measured as of such deemed RSU payment date, provided that (i) to avoid a prohibited acceleration under Section 409A, the number of RSUs so vested and deemed payable will not exceed the number necessary to satisfy the liability for the Withholding Taxes; and (ii) if you are subject to Section 16 of the Exchange Act, withholding in Ordinary Shares pursuant to the foregoing will either be approved in advance by the Committee or solely at your election, provided that, for clarity, you will not have any discretion with respect to whether any RSUs will vest pursuant to this Section 10(a).</w:t>
      </w:r>
    </w:p>
    <w:p>
      <w:pPr>
        <w:spacing w:after="0" w:line="180" w:lineRule="exact"/>
        <w:rPr>
          <w:sz w:val="20"/>
          <w:szCs w:val="20"/>
          <w:color w:val="auto"/>
        </w:rPr>
      </w:pPr>
    </w:p>
    <w:p>
      <w:pPr>
        <w:jc w:val="both"/>
        <w:ind w:firstLine="1304"/>
        <w:spacing w:after="0" w:line="286" w:lineRule="auto"/>
        <w:tabs>
          <w:tab w:leader="none" w:pos="1938"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Additionally, the Company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xml:space="preserve">”) whereby you irrevocably elect to sell a portion of the Ordinary Shares to be delivered in connection with your RSUs to satisfy the Withholding Taxes and whereby the FINRA Dealer irrevocably commits to forward the proceeds necessary to satisfy the Withholding Taxes directly to the Company and/or its Affiliates; or (iv) withholding Ordinary Shares from the Ordinary Shares issued or otherwise issuable to you in connection with the Award with a Fair Market Value (measured as of the date Ordinary Shares are issued to pursuant to Section 6 of this Agreement) equal to the amount of such Withholding Taxes;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number of such Ordinary Shares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Notwithstanding the foregoing, if you are subject to Section 16 of the Exchange Act, the alternative withholding methods set forth in this Section 10(b) shall not apply to you other than with respect to any withholding obligation for Withholding Taxes that arises prior to the distribution of the Ordinary Shares.</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ind w:firstLine="1304"/>
        <w:spacing w:after="0" w:line="263" w:lineRule="auto"/>
        <w:tabs>
          <w:tab w:leader="none" w:pos="1941"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any Affiliate are satisfied, the Company shall have no obligation to deliver to you any Ordinary Shares.</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38" w:val="left"/>
        </w:tabs>
        <w:numPr>
          <w:ilvl w:val="0"/>
          <w:numId w:val="102"/>
        </w:numPr>
        <w:rPr>
          <w:rFonts w:ascii="Arial" w:cs="Arial" w:eastAsia="Arial" w:hAnsi="Arial"/>
          <w:sz w:val="22"/>
          <w:szCs w:val="22"/>
          <w:b w:val="1"/>
          <w:bCs w:val="1"/>
          <w:color w:val="auto"/>
        </w:rPr>
      </w:pPr>
      <w:r>
        <w:rPr>
          <w:rFonts w:ascii="Arial" w:cs="Arial" w:eastAsia="Arial" w:hAnsi="Arial"/>
          <w:sz w:val="22"/>
          <w:szCs w:val="22"/>
          <w:color w:val="auto"/>
        </w:rPr>
        <w:t>In the event that the amount of the Company’s withholding obligation was greater than the amount withheld by the Company, you agree to indemnify and hold the Company harmless from any failure by the Company to withhold the proper amount.</w:t>
      </w:r>
    </w:p>
    <w:p>
      <w:pPr>
        <w:spacing w:after="0" w:line="185" w:lineRule="exact"/>
        <w:rPr>
          <w:rFonts w:ascii="Arial" w:cs="Arial" w:eastAsia="Arial" w:hAnsi="Arial"/>
          <w:sz w:val="22"/>
          <w:szCs w:val="22"/>
          <w:b w:val="1"/>
          <w:bCs w:val="1"/>
          <w:color w:val="auto"/>
        </w:rPr>
      </w:pPr>
    </w:p>
    <w:p>
      <w:pPr>
        <w:jc w:val="both"/>
        <w:ind w:firstLine="1304"/>
        <w:spacing w:after="0" w:line="265" w:lineRule="auto"/>
        <w:tabs>
          <w:tab w:leader="none" w:pos="1941" w:val="left"/>
        </w:tabs>
        <w:numPr>
          <w:ilvl w:val="0"/>
          <w:numId w:val="102"/>
        </w:numPr>
        <w:rPr>
          <w:rFonts w:ascii="Arial" w:cs="Arial" w:eastAsia="Arial" w:hAnsi="Arial"/>
          <w:sz w:val="21"/>
          <w:szCs w:val="21"/>
          <w:b w:val="1"/>
          <w:bCs w:val="1"/>
          <w:color w:val="auto"/>
        </w:rPr>
      </w:pPr>
      <w:r>
        <w:rPr>
          <w:rFonts w:ascii="Arial" w:cs="Arial" w:eastAsia="Arial" w:hAnsi="Arial"/>
          <w:sz w:val="21"/>
          <w:szCs w:val="21"/>
          <w:color w:val="auto"/>
        </w:rPr>
        <w:t xml:space="preserve">If specified in your Grant Notice, you may direct the Company to withhold Ordinary Shares with a Fair Market Value (measured as of the date Ordinary Shares are issued pursuant to Section 6 of this Agreement) equal to the amount of such Withholding Taxes;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number of such Ordinary Shares so withheld shall not exceed the amount necessary to satisfy the Company’s required tax withholding obligations using the</w:t>
      </w:r>
    </w:p>
    <w:p>
      <w:pPr>
        <w:sectPr>
          <w:pgSz w:w="11900" w:h="16838" w:orient="portrait"/>
          <w:cols w:equalWidth="0" w:num="1">
            <w:col w:w="11240"/>
          </w:cols>
          <w:pgMar w:left="320" w:top="1428" w:right="339" w:bottom="1440" w:gutter="0" w:footer="0" w:header="0"/>
        </w:sectPr>
      </w:pPr>
    </w:p>
    <w:bookmarkStart w:id="154" w:name="page155"/>
    <w:bookmarkEnd w:id="154"/>
    <w:p>
      <w:pPr>
        <w:spacing w:after="0" w:line="263" w:lineRule="auto"/>
        <w:rPr>
          <w:sz w:val="20"/>
          <w:szCs w:val="20"/>
          <w:color w:val="auto"/>
        </w:rPr>
      </w:pPr>
      <w:r>
        <w:rPr>
          <w:rFonts w:ascii="Arial" w:cs="Arial" w:eastAsia="Arial" w:hAnsi="Arial"/>
          <w:sz w:val="22"/>
          <w:szCs w:val="22"/>
          <w:color w:val="auto"/>
        </w:rPr>
        <w:t>minimum statutory withholding rates for federal, state, local and foreign tax purposes, including payroll taxes, that are applicable to supplemental taxable income.</w:t>
      </w:r>
    </w:p>
    <w:p>
      <w:pPr>
        <w:spacing w:after="0" w:line="169"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25" w:lineRule="exact"/>
        <w:rPr>
          <w:rFonts w:ascii="Arial" w:cs="Arial" w:eastAsia="Arial" w:hAnsi="Arial"/>
          <w:sz w:val="22"/>
          <w:szCs w:val="22"/>
          <w:b w:val="1"/>
          <w:bCs w:val="1"/>
          <w:color w:val="auto"/>
        </w:rPr>
      </w:pPr>
    </w:p>
    <w:p>
      <w:pPr>
        <w:jc w:val="both"/>
        <w:ind w:firstLine="1304"/>
        <w:spacing w:after="0" w:line="289" w:lineRule="auto"/>
        <w:tabs>
          <w:tab w:leader="none" w:pos="1939" w:val="left"/>
        </w:tabs>
        <w:numPr>
          <w:ilvl w:val="1"/>
          <w:numId w:val="103"/>
        </w:numPr>
        <w:rPr>
          <w:rFonts w:ascii="Arial" w:cs="Arial" w:eastAsia="Arial" w:hAnsi="Arial"/>
          <w:sz w:val="19"/>
          <w:szCs w:val="19"/>
          <w:b w:val="1"/>
          <w:bCs w:val="1"/>
          <w:color w:val="auto"/>
        </w:rPr>
      </w:pPr>
      <w:r>
        <w:rPr>
          <w:rFonts w:ascii="Arial" w:cs="Arial" w:eastAsia="Arial" w:hAnsi="Arial"/>
          <w:sz w:val="19"/>
          <w:szCs w:val="19"/>
          <w:color w:val="auto"/>
        </w:rPr>
        <w:t>Notwithstanding anything to the contrary in the Grant Notice, this Agreement or the Plan (but subject to Sections 11(b) and 11(d) of this Agreement), in the event of a Change in Control prior to the last day of the Performance Period, if the Award is assumed or continued or substituted with a similar stock award (including, but not limited to, an award to acquire the same consideration paid to the shareholders of the Company pursuant to such Change in Control) by the surviving or acquiring corporation (or its parent company) in connection with such Change in Control, then to the extent the Award is outstanding on the effective date of such Change in Control, the vesting schedule of the Award will be revised in a manner as though the greater of (i) the number of Target RSUs and (ii) the number of Certified RSUs (such greater number, the “</w:t>
      </w:r>
      <w:r>
        <w:rPr>
          <w:rFonts w:ascii="Arial" w:cs="Arial" w:eastAsia="Arial" w:hAnsi="Arial"/>
          <w:sz w:val="19"/>
          <w:szCs w:val="19"/>
          <w:b w:val="1"/>
          <w:bCs w:val="1"/>
          <w:i w:val="1"/>
          <w:iCs w:val="1"/>
          <w:color w:val="auto"/>
        </w:rPr>
        <w:t>CIC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had been subject solely to a vesting schedule pursuant to which the CIC RSUs would have vested on the last day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Period, subject to your Continuous Service through such date.</w:t>
      </w:r>
    </w:p>
    <w:p>
      <w:pPr>
        <w:spacing w:after="0" w:line="156" w:lineRule="exact"/>
        <w:rPr>
          <w:rFonts w:ascii="Arial" w:cs="Arial" w:eastAsia="Arial" w:hAnsi="Arial"/>
          <w:sz w:val="19"/>
          <w:szCs w:val="19"/>
          <w:b w:val="1"/>
          <w:bCs w:val="1"/>
          <w:color w:val="auto"/>
        </w:rPr>
      </w:pPr>
    </w:p>
    <w:p>
      <w:pPr>
        <w:jc w:val="both"/>
        <w:ind w:firstLine="1304"/>
        <w:spacing w:after="0" w:line="292" w:lineRule="auto"/>
        <w:tabs>
          <w:tab w:leader="none" w:pos="1938" w:val="left"/>
        </w:tabs>
        <w:numPr>
          <w:ilvl w:val="1"/>
          <w:numId w:val="103"/>
        </w:numPr>
        <w:rPr>
          <w:rFonts w:ascii="Arial" w:cs="Arial" w:eastAsia="Arial" w:hAnsi="Arial"/>
          <w:sz w:val="19"/>
          <w:szCs w:val="19"/>
          <w:b w:val="1"/>
          <w:bCs w:val="1"/>
          <w:color w:val="auto"/>
        </w:rPr>
      </w:pPr>
      <w:r>
        <w:rPr>
          <w:rFonts w:ascii="Arial" w:cs="Arial" w:eastAsia="Arial" w:hAnsi="Arial"/>
          <w:sz w:val="19"/>
          <w:szCs w:val="19"/>
          <w:color w:val="auto"/>
        </w:rPr>
        <w:t>If your Continuous Service terminates either within twelve (12) months following or one (1) month prior to the effective date of a Change in Control due to an Involuntary Termination Without Cause, and in each case prior to the last day of the Performance Period, then effective as of the date of such Involuntary Termination Without Cause (or as soon as administratively practicable thereafter, but no later than 60 days following such Involuntary Termination Without Cause), the number of CIC RSUs shall become vested. In order to give effect to the intent of this provision, in the event of your Involuntary Termination Without Cause, notwithstanding anything to the contrary set forth in the Plan or Section 2 of this Agreement, in no event will any portion of this Award be forfeited or terminate any earlier than 60 days following such termination date.</w:t>
      </w:r>
    </w:p>
    <w:p>
      <w:pPr>
        <w:spacing w:after="0" w:line="150" w:lineRule="exact"/>
        <w:rPr>
          <w:rFonts w:ascii="Arial" w:cs="Arial" w:eastAsia="Arial" w:hAnsi="Arial"/>
          <w:sz w:val="19"/>
          <w:szCs w:val="19"/>
          <w:b w:val="1"/>
          <w:bCs w:val="1"/>
          <w:color w:val="auto"/>
        </w:rPr>
      </w:pPr>
    </w:p>
    <w:p>
      <w:pPr>
        <w:jc w:val="both"/>
        <w:ind w:firstLine="1304"/>
        <w:spacing w:after="0" w:line="248" w:lineRule="auto"/>
        <w:tabs>
          <w:tab w:leader="none" w:pos="1941" w:val="left"/>
        </w:tabs>
        <w:numPr>
          <w:ilvl w:val="1"/>
          <w:numId w:val="103"/>
        </w:numPr>
        <w:rPr>
          <w:rFonts w:ascii="Arial" w:cs="Arial" w:eastAsia="Arial" w:hAnsi="Arial"/>
          <w:sz w:val="22"/>
          <w:szCs w:val="22"/>
          <w:b w:val="1"/>
          <w:bCs w:val="1"/>
          <w:color w:val="auto"/>
        </w:rPr>
      </w:pPr>
      <w:r>
        <w:rPr>
          <w:rFonts w:ascii="Arial" w:cs="Arial" w:eastAsia="Arial" w:hAnsi="Arial"/>
          <w:sz w:val="22"/>
          <w:szCs w:val="22"/>
          <w:color w:val="auto"/>
        </w:rPr>
        <w:t>For purposes of Section 11(b) of this Agreement, “</w:t>
      </w:r>
      <w:r>
        <w:rPr>
          <w:rFonts w:ascii="Arial" w:cs="Arial" w:eastAsia="Arial" w:hAnsi="Arial"/>
          <w:sz w:val="22"/>
          <w:szCs w:val="22"/>
          <w:b w:val="1"/>
          <w:bCs w:val="1"/>
          <w:i w:val="1"/>
          <w:iCs w:val="1"/>
          <w:color w:val="auto"/>
        </w:rPr>
        <w:t>Involuntary Termination Without Cause</w:t>
      </w:r>
      <w:r>
        <w:rPr>
          <w:rFonts w:ascii="Arial" w:cs="Arial" w:eastAsia="Arial" w:hAnsi="Arial"/>
          <w:sz w:val="22"/>
          <w:szCs w:val="22"/>
          <w:color w:val="auto"/>
        </w:rPr>
        <w:t>” means the involuntary termination of your Continuous Service for reasons other than death, Disability, or Cause. Any determination by the Company (or an Affiliate, if applicable) that your Continuous Service was terminated with or without Cause for the purposes of this Agreement shall have no effect upon any determination of the rights or obligations of the Company or an Affiliate or you for any other purpose.</w:t>
      </w:r>
    </w:p>
    <w:p>
      <w:pPr>
        <w:spacing w:after="0" w:line="191" w:lineRule="exact"/>
        <w:rPr>
          <w:rFonts w:ascii="Arial" w:cs="Arial" w:eastAsia="Arial" w:hAnsi="Arial"/>
          <w:sz w:val="22"/>
          <w:szCs w:val="22"/>
          <w:b w:val="1"/>
          <w:bCs w:val="1"/>
          <w:color w:val="auto"/>
        </w:rPr>
      </w:pPr>
    </w:p>
    <w:p>
      <w:pPr>
        <w:jc w:val="both"/>
        <w:ind w:firstLine="1304"/>
        <w:spacing w:after="0" w:line="245" w:lineRule="auto"/>
        <w:tabs>
          <w:tab w:leader="none" w:pos="1938" w:val="left"/>
        </w:tabs>
        <w:numPr>
          <w:ilvl w:val="1"/>
          <w:numId w:val="103"/>
        </w:numPr>
        <w:rPr>
          <w:rFonts w:ascii="Arial" w:cs="Arial" w:eastAsia="Arial" w:hAnsi="Arial"/>
          <w:sz w:val="21"/>
          <w:szCs w:val="21"/>
          <w:b w:val="1"/>
          <w:bCs w:val="1"/>
          <w:color w:val="auto"/>
        </w:rPr>
      </w:pPr>
      <w:r>
        <w:rPr>
          <w:rFonts w:ascii="Arial" w:cs="Arial" w:eastAsia="Arial" w:hAnsi="Arial"/>
          <w:sz w:val="21"/>
          <w:szCs w:val="21"/>
          <w:color w:val="auto"/>
        </w:rPr>
        <w:t>If you incur a Covered Termination (as defined in the CIC Plan) prior to the last day of the Performance Period and become entitled to vesting of this Award under Section 4(c) of the CIC Plan, then notwithstanding anything in the CIC Plan to the contrary, for purposes of such Section, the phrase “shall be accelerated in full” shall mean that the number of CIC RSUs shall become vested. Such vesting will be effective as of the date set forth in the CIC Plan (which, for clarity, is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date of such Covered Termination).</w:t>
      </w:r>
    </w:p>
    <w:p>
      <w:pPr>
        <w:spacing w:after="0" w:line="195" w:lineRule="exact"/>
        <w:rPr>
          <w:rFonts w:ascii="Arial" w:cs="Arial" w:eastAsia="Arial" w:hAnsi="Arial"/>
          <w:sz w:val="21"/>
          <w:szCs w:val="21"/>
          <w:b w:val="1"/>
          <w:bCs w:val="1"/>
          <w:color w:val="auto"/>
        </w:rPr>
      </w:pPr>
    </w:p>
    <w:p>
      <w:pPr>
        <w:jc w:val="both"/>
        <w:ind w:firstLine="1304"/>
        <w:spacing w:after="0" w:line="253" w:lineRule="auto"/>
        <w:tabs>
          <w:tab w:leader="none" w:pos="1941" w:val="left"/>
        </w:tabs>
        <w:numPr>
          <w:ilvl w:val="1"/>
          <w:numId w:val="103"/>
        </w:numPr>
        <w:rPr>
          <w:rFonts w:ascii="Arial" w:cs="Arial" w:eastAsia="Arial" w:hAnsi="Arial"/>
          <w:sz w:val="22"/>
          <w:szCs w:val="22"/>
          <w:b w:val="1"/>
          <w:bCs w:val="1"/>
          <w:color w:val="auto"/>
        </w:rPr>
      </w:pPr>
      <w:r>
        <w:rPr>
          <w:rFonts w:ascii="Arial" w:cs="Arial" w:eastAsia="Arial" w:hAnsi="Arial"/>
          <w:sz w:val="22"/>
          <w:szCs w:val="22"/>
          <w:color w:val="auto"/>
        </w:rPr>
        <w:t>Notwithstanding anything in the Agreement or the CIC Plan to the contrary, if you otherwise become entitled to vesting of this Award under more than one of the Special Vesting Provisions, only the Special Vesting Provision that would provide you with the</w:t>
      </w:r>
    </w:p>
    <w:p>
      <w:pPr>
        <w:sectPr>
          <w:pgSz w:w="11900" w:h="16838" w:orient="portrait"/>
          <w:cols w:equalWidth="0" w:num="1">
            <w:col w:w="11240"/>
          </w:cols>
          <w:pgMar w:left="320" w:top="1428" w:right="339" w:bottom="1440" w:gutter="0" w:footer="0" w:header="0"/>
        </w:sectPr>
      </w:pPr>
    </w:p>
    <w:bookmarkStart w:id="155" w:name="page156"/>
    <w:bookmarkEnd w:id="155"/>
    <w:p>
      <w:pPr>
        <w:jc w:val="both"/>
        <w:spacing w:after="0" w:line="312" w:lineRule="auto"/>
        <w:rPr>
          <w:sz w:val="20"/>
          <w:szCs w:val="20"/>
          <w:color w:val="auto"/>
        </w:rPr>
      </w:pPr>
      <w:r>
        <w:rPr>
          <w:rFonts w:ascii="Arial" w:cs="Arial" w:eastAsia="Arial" w:hAnsi="Arial"/>
          <w:sz w:val="19"/>
          <w:szCs w:val="19"/>
          <w:color w:val="auto"/>
        </w:rPr>
        <w:t>most favorable vesting benefit will be deemed to be applicable to this Award and any other Special Vesting Provision will be deemed to be inapplicable to this Award. For purposes of the Agreement, “</w:t>
      </w:r>
      <w:r>
        <w:rPr>
          <w:rFonts w:ascii="Arial" w:cs="Arial" w:eastAsia="Arial" w:hAnsi="Arial"/>
          <w:sz w:val="19"/>
          <w:szCs w:val="19"/>
          <w:b w:val="1"/>
          <w:bCs w:val="1"/>
          <w:i w:val="1"/>
          <w:iCs w:val="1"/>
          <w:color w:val="auto"/>
        </w:rPr>
        <w:t>Special Vesting Provisions</w:t>
      </w:r>
      <w:r>
        <w:rPr>
          <w:rFonts w:ascii="Arial" w:cs="Arial" w:eastAsia="Arial" w:hAnsi="Arial"/>
          <w:sz w:val="19"/>
          <w:szCs w:val="19"/>
          <w:color w:val="auto"/>
        </w:rPr>
        <w:t>” means Sections 2(a), 2(b), 11(a) and 11(b) of the Agreement, and Section 4(c) of the CIC Plan, as clarified and set forth in Section 11(d) of the Agreement.</w:t>
      </w:r>
    </w:p>
    <w:p>
      <w:pPr>
        <w:spacing w:after="0" w:line="127"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25" w:lineRule="exact"/>
        <w:rPr>
          <w:rFonts w:ascii="Arial" w:cs="Arial" w:eastAsia="Arial" w:hAnsi="Arial"/>
          <w:sz w:val="22"/>
          <w:szCs w:val="22"/>
          <w:b w:val="1"/>
          <w:bCs w:val="1"/>
          <w:color w:val="auto"/>
        </w:rPr>
      </w:pPr>
    </w:p>
    <w:p>
      <w:pPr>
        <w:jc w:val="both"/>
        <w:ind w:firstLine="1304"/>
        <w:spacing w:after="0" w:line="258" w:lineRule="auto"/>
        <w:tabs>
          <w:tab w:leader="none" w:pos="1939" w:val="left"/>
        </w:tabs>
        <w:numPr>
          <w:ilvl w:val="1"/>
          <w:numId w:val="104"/>
        </w:numPr>
        <w:rPr>
          <w:rFonts w:ascii="Arial" w:cs="Arial" w:eastAsia="Arial" w:hAnsi="Arial"/>
          <w:sz w:val="21"/>
          <w:szCs w:val="21"/>
          <w:b w:val="1"/>
          <w:bCs w:val="1"/>
          <w:color w:val="auto"/>
        </w:rPr>
      </w:pPr>
      <w:r>
        <w:rPr>
          <w:rFonts w:ascii="Arial" w:cs="Arial" w:eastAsia="Arial" w:hAnsi="Arial"/>
          <w:sz w:val="21"/>
          <w:szCs w:val="21"/>
          <w:color w:val="auto"/>
        </w:rPr>
        <w:t>If any payment or benefit you would receive from the Company or otherwise in connection with a Change in Control or other similar transaction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1"/>
          <w:szCs w:val="21"/>
          <w:b w:val="1"/>
          <w:bCs w:val="1"/>
          <w:i w:val="1"/>
          <w:iCs w:val="1"/>
          <w:color w:val="auto"/>
        </w:rPr>
        <w:t>Excise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Tax</w:t>
      </w:r>
      <w:r>
        <w:rPr>
          <w:rFonts w:ascii="Arial" w:cs="Arial" w:eastAsia="Arial" w:hAnsi="Arial"/>
          <w:sz w:val="21"/>
          <w:szCs w:val="21"/>
          <w:color w:val="auto"/>
        </w:rPr>
        <w:t>”), then such Payment shall be equal to the Reduced Amount. The “Reduced Amount” shall be either (x) the largest portion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Payment that would result in no portion of the Payment being subject to the Excise Tax, or (y) the largest portion, up to and including the total, of the Payment, whichever amount ((x) or (y)), after taking into account all applicable federal, state, foreign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81" w:lineRule="exact"/>
        <w:rPr>
          <w:rFonts w:ascii="Arial" w:cs="Arial" w:eastAsia="Arial" w:hAnsi="Arial"/>
          <w:sz w:val="21"/>
          <w:szCs w:val="21"/>
          <w:b w:val="1"/>
          <w:bCs w:val="1"/>
          <w:color w:val="auto"/>
        </w:rPr>
      </w:pPr>
    </w:p>
    <w:p>
      <w:pPr>
        <w:jc w:val="both"/>
        <w:ind w:firstLine="1304"/>
        <w:spacing w:after="0" w:line="246" w:lineRule="auto"/>
        <w:tabs>
          <w:tab w:leader="none" w:pos="1938" w:val="left"/>
        </w:tabs>
        <w:numPr>
          <w:ilvl w:val="1"/>
          <w:numId w:val="104"/>
        </w:numPr>
        <w:rPr>
          <w:rFonts w:ascii="Arial" w:cs="Arial" w:eastAsia="Arial" w:hAnsi="Arial"/>
          <w:sz w:val="22"/>
          <w:szCs w:val="22"/>
          <w:b w:val="1"/>
          <w:bCs w:val="1"/>
          <w:color w:val="auto"/>
        </w:rPr>
      </w:pPr>
      <w:r>
        <w:rPr>
          <w:rFonts w:ascii="Arial" w:cs="Arial" w:eastAsia="Arial" w:hAnsi="Arial"/>
          <w:sz w:val="22"/>
          <w:szCs w:val="22"/>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96" w:lineRule="exact"/>
        <w:rPr>
          <w:rFonts w:ascii="Arial" w:cs="Arial" w:eastAsia="Arial" w:hAnsi="Arial"/>
          <w:sz w:val="22"/>
          <w:szCs w:val="22"/>
          <w:b w:val="1"/>
          <w:bCs w:val="1"/>
          <w:color w:val="auto"/>
        </w:rPr>
      </w:pPr>
    </w:p>
    <w:p>
      <w:pPr>
        <w:jc w:val="both"/>
        <w:ind w:firstLine="1304"/>
        <w:spacing w:after="0" w:line="297" w:lineRule="auto"/>
        <w:tabs>
          <w:tab w:leader="none" w:pos="1941" w:val="left"/>
        </w:tabs>
        <w:numPr>
          <w:ilvl w:val="1"/>
          <w:numId w:val="104"/>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140" w:lineRule="exact"/>
        <w:rPr>
          <w:rFonts w:ascii="Arial" w:cs="Arial" w:eastAsia="Arial" w:hAnsi="Arial"/>
          <w:sz w:val="19"/>
          <w:szCs w:val="19"/>
          <w:b w:val="1"/>
          <w:bCs w:val="1"/>
          <w:color w:val="auto"/>
        </w:rPr>
      </w:pPr>
    </w:p>
    <w:p>
      <w:pPr>
        <w:jc w:val="both"/>
        <w:ind w:firstLine="656"/>
        <w:spacing w:after="0" w:line="267" w:lineRule="auto"/>
        <w:tabs>
          <w:tab w:leader="none" w:pos="1296"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Unsecured Obligation. </w:t>
      </w:r>
      <w:r>
        <w:rPr>
          <w:rFonts w:ascii="Arial" w:cs="Arial" w:eastAsia="Arial" w:hAnsi="Arial"/>
          <w:sz w:val="21"/>
          <w:szCs w:val="21"/>
          <w:color w:val="auto"/>
        </w:rPr>
        <w:t>Your Award is unfunded, and as a holder of a vested Award, you shall be considered an</w:t>
      </w:r>
      <w:r>
        <w:rPr>
          <w:rFonts w:ascii="Arial" w:cs="Arial" w:eastAsia="Arial" w:hAnsi="Arial"/>
          <w:sz w:val="21"/>
          <w:szCs w:val="21"/>
          <w:b w:val="1"/>
          <w:bCs w:val="1"/>
          <w:color w:val="auto"/>
        </w:rPr>
        <w:t xml:space="preserve"> </w:t>
      </w:r>
      <w:r>
        <w:rPr>
          <w:rFonts w:ascii="Arial" w:cs="Arial" w:eastAsia="Arial" w:hAnsi="Arial"/>
          <w:sz w:val="21"/>
          <w:szCs w:val="21"/>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w:t>
      </w:r>
    </w:p>
    <w:p>
      <w:pPr>
        <w:sectPr>
          <w:pgSz w:w="11900" w:h="16838" w:orient="portrait"/>
          <w:cols w:equalWidth="0" w:num="1">
            <w:col w:w="11240"/>
          </w:cols>
          <w:pgMar w:left="320" w:top="1428" w:right="339" w:bottom="1440" w:gutter="0" w:footer="0" w:header="0"/>
        </w:sectPr>
      </w:pPr>
    </w:p>
    <w:bookmarkStart w:id="156" w:name="page157"/>
    <w:bookmarkEnd w:id="156"/>
    <w:p>
      <w:pPr>
        <w:jc w:val="both"/>
        <w:spacing w:after="0" w:line="271" w:lineRule="auto"/>
        <w:rPr>
          <w:sz w:val="20"/>
          <w:szCs w:val="20"/>
          <w:color w:val="auto"/>
        </w:rPr>
      </w:pPr>
      <w:r>
        <w:rPr>
          <w:rFonts w:ascii="Arial" w:cs="Arial" w:eastAsia="Arial" w:hAnsi="Arial"/>
          <w:sz w:val="21"/>
          <w:szCs w:val="21"/>
          <w:color w:val="auto"/>
        </w:rPr>
        <w:t>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61" w:lineRule="exact"/>
        <w:rPr>
          <w:sz w:val="20"/>
          <w:szCs w:val="20"/>
          <w:color w:val="auto"/>
        </w:rPr>
      </w:pPr>
    </w:p>
    <w:p>
      <w:pPr>
        <w:jc w:val="both"/>
        <w:ind w:firstLine="656"/>
        <w:spacing w:after="0" w:line="252" w:lineRule="auto"/>
        <w:tabs>
          <w:tab w:leader="none" w:pos="1296"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or the right to receive a document providing the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Rule 428(b)(1) promulgated under the Securities Act, which includes the Plan prospectus. In addition, you acknowledge receipt of the Company’s policy permitting officers and directors to sell Ordinary Shares only during certain “window” periods and the Company’s insider trading policy, in effect from time to time.</w:t>
      </w:r>
    </w:p>
    <w:p>
      <w:pPr>
        <w:spacing w:after="0" w:line="179"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Advice Regarding Grant. </w:t>
      </w:r>
      <w:r>
        <w:rPr>
          <w:rFonts w:ascii="Arial" w:cs="Arial" w:eastAsia="Arial" w:hAnsi="Arial"/>
          <w:sz w:val="22"/>
          <w:szCs w:val="22"/>
          <w:color w:val="auto"/>
        </w:rPr>
        <w:t>The Company is not providing any tax, legal or financial advice, nor is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making any recommendations regarding your participation in the Plan, or your acquisition or sale of the underlying Ordinary Shares. You are hereby advised to consult with your own personal tax, legal and financial advisors regarding your participation in the Plan before taking any action related to the Plan.</w:t>
      </w:r>
    </w:p>
    <w:p>
      <w:pPr>
        <w:spacing w:after="0" w:line="179" w:lineRule="exact"/>
        <w:rPr>
          <w:rFonts w:ascii="Arial" w:cs="Arial" w:eastAsia="Arial" w:hAnsi="Arial"/>
          <w:sz w:val="22"/>
          <w:szCs w:val="22"/>
          <w:b w:val="1"/>
          <w:bCs w:val="1"/>
          <w:color w:val="auto"/>
        </w:rPr>
      </w:pPr>
    </w:p>
    <w:p>
      <w:pPr>
        <w:ind w:right="20" w:firstLine="656"/>
        <w:spacing w:after="0" w:line="269" w:lineRule="auto"/>
        <w:tabs>
          <w:tab w:leader="none" w:pos="1296"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The Award and the provisions of this Agreement are governed by,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without regard to the conflict of law provisions.</w:t>
      </w:r>
    </w:p>
    <w:p>
      <w:pPr>
        <w:spacing w:after="0" w:line="16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82" w:lineRule="exact"/>
        <w:rPr>
          <w:sz w:val="20"/>
          <w:szCs w:val="20"/>
          <w:color w:val="auto"/>
        </w:rPr>
      </w:pPr>
    </w:p>
    <w:p>
      <w:pPr>
        <w:jc w:val="both"/>
        <w:ind w:firstLine="656"/>
        <w:spacing w:after="0" w:line="260" w:lineRule="auto"/>
        <w:tabs>
          <w:tab w:leader="none" w:pos="1296"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Notices; Electronic Delivery. </w:t>
      </w:r>
      <w:r>
        <w:rPr>
          <w:rFonts w:ascii="Arial" w:cs="Arial" w:eastAsia="Arial" w:hAnsi="Arial"/>
          <w:sz w:val="21"/>
          <w:szCs w:val="21"/>
          <w:color w:val="auto"/>
        </w:rPr>
        <w:t>Any notices provided for in your Award or the Plan shall be given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electronically) and shall be deemed effectively given upon receipt or, in the case of notices delivered by the Company to you, five (5)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5" w:lineRule="exact"/>
        <w:rPr>
          <w:rFonts w:ascii="Arial" w:cs="Arial" w:eastAsia="Arial" w:hAnsi="Arial"/>
          <w:sz w:val="21"/>
          <w:szCs w:val="21"/>
          <w:b w:val="1"/>
          <w:bCs w:val="1"/>
          <w:color w:val="auto"/>
        </w:rPr>
      </w:pPr>
    </w:p>
    <w:p>
      <w:pPr>
        <w:ind w:left="1300" w:hanging="644"/>
        <w:spacing w:after="0"/>
        <w:tabs>
          <w:tab w:leader="none" w:pos="130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jc w:val="both"/>
        <w:ind w:firstLine="1304"/>
        <w:spacing w:after="0" w:line="250" w:lineRule="auto"/>
        <w:tabs>
          <w:tab w:leader="none" w:pos="1939" w:val="left"/>
        </w:tabs>
        <w:numPr>
          <w:ilvl w:val="1"/>
          <w:numId w:val="106"/>
        </w:numPr>
        <w:rPr>
          <w:rFonts w:ascii="Arial" w:cs="Arial" w:eastAsia="Arial" w:hAnsi="Arial"/>
          <w:sz w:val="22"/>
          <w:szCs w:val="22"/>
          <w:b w:val="1"/>
          <w:bCs w:val="1"/>
          <w:color w:val="auto"/>
        </w:rPr>
      </w:pPr>
      <w:r>
        <w:rPr>
          <w:rFonts w:ascii="Arial" w:cs="Arial" w:eastAsia="Arial" w:hAnsi="Arial"/>
          <w:sz w:val="22"/>
          <w:szCs w:val="22"/>
          <w:color w:val="auto"/>
        </w:rPr>
        <w:t>The rights and obligations of the Company under your Award shall be transferable to any one or more persons or entities, and all covenants and agreements hereunder shall inure to the benefit of, and be enforceable by the Company’s successors and assigns, if any. Your rights and obligations under your Award may only be assigned with the prior written consent of the Company.</w:t>
      </w:r>
    </w:p>
    <w:p>
      <w:pPr>
        <w:sectPr>
          <w:pgSz w:w="11900" w:h="16838" w:orient="portrait"/>
          <w:cols w:equalWidth="0" w:num="1">
            <w:col w:w="11240"/>
          </w:cols>
          <w:pgMar w:left="320" w:top="1428" w:right="339" w:bottom="1440" w:gutter="0" w:footer="0" w:header="0"/>
        </w:sectPr>
      </w:pPr>
    </w:p>
    <w:bookmarkStart w:id="157" w:name="page158"/>
    <w:bookmarkEnd w:id="157"/>
    <w:p>
      <w:pPr>
        <w:ind w:left="-656" w:firstLine="1304"/>
        <w:spacing w:after="0" w:line="263" w:lineRule="auto"/>
        <w:tabs>
          <w:tab w:leader="none" w:pos="1282"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174" w:lineRule="exact"/>
        <w:rPr>
          <w:rFonts w:ascii="Arial" w:cs="Arial" w:eastAsia="Arial" w:hAnsi="Arial"/>
          <w:sz w:val="22"/>
          <w:szCs w:val="22"/>
          <w:b w:val="1"/>
          <w:bCs w:val="1"/>
          <w:color w:val="auto"/>
        </w:rPr>
      </w:pPr>
    </w:p>
    <w:p>
      <w:pPr>
        <w:ind w:left="-656" w:firstLine="1304"/>
        <w:spacing w:after="0" w:line="343" w:lineRule="auto"/>
        <w:tabs>
          <w:tab w:leader="none" w:pos="1285" w:val="left"/>
        </w:tabs>
        <w:numPr>
          <w:ilvl w:val="1"/>
          <w:numId w:val="107"/>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04" w:lineRule="exact"/>
        <w:rPr>
          <w:rFonts w:ascii="Arial" w:cs="Arial" w:eastAsia="Arial" w:hAnsi="Arial"/>
          <w:sz w:val="19"/>
          <w:szCs w:val="19"/>
          <w:b w:val="1"/>
          <w:bCs w:val="1"/>
          <w:color w:val="auto"/>
        </w:rPr>
      </w:pPr>
    </w:p>
    <w:p>
      <w:pPr>
        <w:ind w:left="-656" w:firstLine="1304"/>
        <w:spacing w:after="0" w:line="263" w:lineRule="auto"/>
        <w:tabs>
          <w:tab w:leader="none" w:pos="1282"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pacing w:after="0" w:line="174" w:lineRule="exact"/>
        <w:rPr>
          <w:rFonts w:ascii="Arial" w:cs="Arial" w:eastAsia="Arial" w:hAnsi="Arial"/>
          <w:sz w:val="22"/>
          <w:szCs w:val="22"/>
          <w:b w:val="1"/>
          <w:bCs w:val="1"/>
          <w:color w:val="auto"/>
        </w:rPr>
      </w:pPr>
    </w:p>
    <w:p>
      <w:pPr>
        <w:jc w:val="both"/>
        <w:ind w:left="-656" w:firstLine="1304"/>
        <w:spacing w:after="0" w:line="253" w:lineRule="auto"/>
        <w:tabs>
          <w:tab w:leader="none" w:pos="1285"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5" w:lineRule="exact"/>
        <w:rPr>
          <w:rFonts w:ascii="Arial" w:cs="Arial" w:eastAsia="Arial" w:hAnsi="Arial"/>
          <w:sz w:val="22"/>
          <w:szCs w:val="22"/>
          <w:b w:val="1"/>
          <w:bCs w:val="1"/>
          <w:color w:val="auto"/>
        </w:rPr>
      </w:pPr>
    </w:p>
    <w:p>
      <w:pPr>
        <w:jc w:val="both"/>
        <w:ind w:left="-656" w:firstLine="1304"/>
        <w:spacing w:after="0" w:line="253" w:lineRule="auto"/>
        <w:tabs>
          <w:tab w:leader="none" w:pos="1288" w:val="left"/>
        </w:tabs>
        <w:numPr>
          <w:ilvl w:val="1"/>
          <w:numId w:val="107"/>
        </w:numPr>
        <w:rPr>
          <w:rFonts w:ascii="Arial" w:cs="Arial" w:eastAsia="Arial" w:hAnsi="Arial"/>
          <w:sz w:val="22"/>
          <w:szCs w:val="22"/>
          <w:b w:val="1"/>
          <w:bCs w:val="1"/>
          <w:color w:val="auto"/>
        </w:rPr>
      </w:pPr>
      <w:r>
        <w:rPr>
          <w:rFonts w:ascii="Arial" w:cs="Arial" w:eastAsia="Arial" w:hAnsi="Arial"/>
          <w:sz w:val="22"/>
          <w:szCs w:val="22"/>
          <w:color w:val="auto"/>
        </w:rPr>
        <w:t>The Committee shall have complete and absolute discretion to make the determinations called for under this Agreement, and all such determinations shall be binding on you and on any person who claims all or any part of your Award on your behalf as well as on the Company.</w:t>
      </w:r>
    </w:p>
    <w:p>
      <w:pPr>
        <w:spacing w:after="0" w:line="179" w:lineRule="exact"/>
        <w:rPr>
          <w:rFonts w:ascii="Arial" w:cs="Arial" w:eastAsia="Arial" w:hAnsi="Arial"/>
          <w:sz w:val="22"/>
          <w:szCs w:val="22"/>
          <w:b w:val="1"/>
          <w:bCs w:val="1"/>
          <w:color w:val="auto"/>
        </w:rPr>
      </w:pPr>
    </w:p>
    <w:p>
      <w:pPr>
        <w:jc w:val="both"/>
        <w:ind w:left="-656" w:firstLine="656"/>
        <w:spacing w:after="0" w:line="293" w:lineRule="auto"/>
        <w:tabs>
          <w:tab w:leader="none" w:pos="640"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Your Award is subject to all the provisions of the Plan, the provisions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44" w:lineRule="exact"/>
        <w:rPr>
          <w:rFonts w:ascii="Arial" w:cs="Arial" w:eastAsia="Arial" w:hAnsi="Arial"/>
          <w:sz w:val="19"/>
          <w:szCs w:val="19"/>
          <w:b w:val="1"/>
          <w:bCs w:val="1"/>
          <w:color w:val="auto"/>
        </w:rPr>
      </w:pPr>
    </w:p>
    <w:p>
      <w:pPr>
        <w:jc w:val="both"/>
        <w:ind w:left="-656" w:firstLine="656"/>
        <w:spacing w:after="0" w:line="249" w:lineRule="auto"/>
        <w:tabs>
          <w:tab w:leader="none" w:pos="64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Agreement or the Plan is declared by any court or governmental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6" w:lineRule="exact"/>
        <w:rPr>
          <w:rFonts w:ascii="Arial" w:cs="Arial" w:eastAsia="Arial" w:hAnsi="Arial"/>
          <w:sz w:val="22"/>
          <w:szCs w:val="22"/>
          <w:b w:val="1"/>
          <w:bCs w:val="1"/>
          <w:color w:val="auto"/>
        </w:rPr>
      </w:pPr>
    </w:p>
    <w:p>
      <w:pPr>
        <w:jc w:val="both"/>
        <w:ind w:left="-656" w:firstLine="656"/>
        <w:spacing w:after="0" w:line="304" w:lineRule="auto"/>
        <w:tabs>
          <w:tab w:leader="none" w:pos="640"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on Other Employee Benefit Plans. </w:t>
      </w:r>
      <w:r>
        <w:rPr>
          <w:rFonts w:ascii="Arial" w:cs="Arial" w:eastAsia="Arial" w:hAnsi="Arial"/>
          <w:sz w:val="19"/>
          <w:szCs w:val="19"/>
          <w:color w:val="auto"/>
        </w:rPr>
        <w:t>The value of the Award subject to this Agreement shall not be included</w:t>
      </w:r>
      <w:r>
        <w:rPr>
          <w:rFonts w:ascii="Arial" w:cs="Arial" w:eastAsia="Arial" w:hAnsi="Arial"/>
          <w:sz w:val="19"/>
          <w:szCs w:val="19"/>
          <w:b w:val="1"/>
          <w:bCs w:val="1"/>
          <w:color w:val="auto"/>
        </w:rPr>
        <w:t xml:space="preserve"> </w:t>
      </w:r>
      <w:r>
        <w:rPr>
          <w:rFonts w:ascii="Arial" w:cs="Arial" w:eastAsia="Arial" w:hAnsi="Arial"/>
          <w:sz w:val="19"/>
          <w:szCs w:val="19"/>
          <w:color w:val="auto"/>
        </w:rPr>
        <w:t>as compensation, earnings, salaries, or other similar terms used when calculating the Employee’s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ectPr>
          <w:pgSz w:w="11900" w:h="16838" w:orient="portrait"/>
          <w:cols w:equalWidth="0" w:num="1">
            <w:col w:w="10584"/>
          </w:cols>
          <w:pgMar w:left="976" w:top="1428" w:right="339" w:bottom="1440" w:gutter="0" w:footer="0" w:header="0"/>
        </w:sectPr>
      </w:pPr>
    </w:p>
    <w:bookmarkStart w:id="158" w:name="page159"/>
    <w:bookmarkEnd w:id="158"/>
    <w:p>
      <w:pPr>
        <w:jc w:val="both"/>
        <w:ind w:firstLine="656"/>
        <w:spacing w:after="0" w:line="315" w:lineRule="auto"/>
        <w:tabs>
          <w:tab w:leader="none" w:pos="1296"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you, the provisions of this Agreement in any way it may deem necessary or advisable for legal or administrative reasons, and to require you to sign any additional agreements or undertakings that may be necessary to accomplish the foregoing.</w:t>
      </w:r>
    </w:p>
    <w:p>
      <w:pPr>
        <w:spacing w:after="0" w:line="125" w:lineRule="exact"/>
        <w:rPr>
          <w:rFonts w:ascii="Arial" w:cs="Arial" w:eastAsia="Arial" w:hAnsi="Arial"/>
          <w:sz w:val="19"/>
          <w:szCs w:val="19"/>
          <w:b w:val="1"/>
          <w:bCs w:val="1"/>
          <w:color w:val="auto"/>
        </w:rPr>
      </w:pPr>
    </w:p>
    <w:p>
      <w:pPr>
        <w:ind w:firstLine="656"/>
        <w:spacing w:after="0" w:line="269" w:lineRule="auto"/>
        <w:tabs>
          <w:tab w:leader="none" w:pos="1296"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Sections in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a part of this Agreement or to affect the meaning of this Agreement.</w:t>
      </w:r>
    </w:p>
    <w:p>
      <w:pPr>
        <w:spacing w:after="0" w:line="161" w:lineRule="exact"/>
        <w:rPr>
          <w:rFonts w:ascii="Arial" w:cs="Arial" w:eastAsia="Arial" w:hAnsi="Arial"/>
          <w:sz w:val="22"/>
          <w:szCs w:val="22"/>
          <w:b w:val="1"/>
          <w:bCs w:val="1"/>
          <w:color w:val="auto"/>
        </w:rPr>
      </w:pPr>
    </w:p>
    <w:p>
      <w:pPr>
        <w:jc w:val="both"/>
        <w:ind w:firstLine="656"/>
        <w:spacing w:after="0" w:line="249" w:lineRule="auto"/>
        <w:tabs>
          <w:tab w:leader="none" w:pos="1296"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Obligation to Minimize Taxes. </w:t>
      </w:r>
      <w:r>
        <w:rPr>
          <w:rFonts w:ascii="Arial" w:cs="Arial" w:eastAsia="Arial" w:hAnsi="Arial"/>
          <w:sz w:val="22"/>
          <w:szCs w:val="22"/>
          <w:color w:val="auto"/>
        </w:rPr>
        <w:t>The Company has no duty or obligation to minimize the tax consequences to</w:t>
      </w:r>
      <w:r>
        <w:rPr>
          <w:rFonts w:ascii="Arial" w:cs="Arial" w:eastAsia="Arial" w:hAnsi="Arial"/>
          <w:sz w:val="22"/>
          <w:szCs w:val="22"/>
          <w:b w:val="1"/>
          <w:bCs w:val="1"/>
          <w:color w:val="auto"/>
        </w:rPr>
        <w:t xml:space="preserve"> </w:t>
      </w:r>
      <w:r>
        <w:rPr>
          <w:rFonts w:ascii="Arial" w:cs="Arial" w:eastAsia="Arial" w:hAnsi="Arial"/>
          <w:sz w:val="22"/>
          <w:szCs w:val="22"/>
          <w:color w:val="auto"/>
        </w:rPr>
        <w:t>you of this Award 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w:t>
      </w:r>
    </w:p>
    <w:p>
      <w:pPr>
        <w:spacing w:after="0" w:line="186"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any other provision of this Agreement, or of any subsequent breach by you or any other Participant.</w:t>
      </w:r>
    </w:p>
    <w:p>
      <w:pPr>
        <w:spacing w:after="0" w:line="176" w:lineRule="exact"/>
        <w:rPr>
          <w:rFonts w:ascii="Arial" w:cs="Arial" w:eastAsia="Arial" w:hAnsi="Arial"/>
          <w:sz w:val="22"/>
          <w:szCs w:val="22"/>
          <w:b w:val="1"/>
          <w:bCs w:val="1"/>
          <w:color w:val="auto"/>
        </w:rPr>
      </w:pPr>
    </w:p>
    <w:p>
      <w:pPr>
        <w:jc w:val="both"/>
        <w:ind w:firstLine="656"/>
        <w:spacing w:after="0" w:line="295" w:lineRule="auto"/>
        <w:tabs>
          <w:tab w:leader="none" w:pos="1296"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Insider Trading / Market Abuse Laws. </w:t>
      </w:r>
      <w:r>
        <w:rPr>
          <w:rFonts w:ascii="Arial" w:cs="Arial" w:eastAsia="Arial" w:hAnsi="Arial"/>
          <w:sz w:val="19"/>
          <w:szCs w:val="19"/>
          <w:color w:val="auto"/>
        </w:rPr>
        <w:t>You may be subject to insider trading restrictions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which may affect your ability to acquire or sell Ordinary Shares or rights to Ordinary Shares (</w:t>
      </w:r>
      <w:r>
        <w:rPr>
          <w:rFonts w:ascii="Arial" w:cs="Arial" w:eastAsia="Arial" w:hAnsi="Arial"/>
          <w:sz w:val="19"/>
          <w:szCs w:val="19"/>
          <w:i w:val="1"/>
          <w:iCs w:val="1"/>
          <w:color w:val="auto"/>
        </w:rPr>
        <w:t>e.g.,</w:t>
      </w:r>
      <w:r>
        <w:rPr>
          <w:rFonts w:ascii="Arial" w:cs="Arial" w:eastAsia="Arial" w:hAnsi="Arial"/>
          <w:sz w:val="19"/>
          <w:szCs w:val="19"/>
          <w:color w:val="auto"/>
        </w:rPr>
        <w:t xml:space="preserve"> RSUs) under the Plan during such times as you are considered to have “inside information” regarding the Company (as defined by applicable laws).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149" w:lineRule="exact"/>
        <w:rPr>
          <w:rFonts w:ascii="Arial" w:cs="Arial" w:eastAsia="Arial" w:hAnsi="Arial"/>
          <w:sz w:val="19"/>
          <w:szCs w:val="19"/>
          <w:b w:val="1"/>
          <w:bCs w:val="1"/>
          <w:color w:val="auto"/>
        </w:rPr>
      </w:pPr>
    </w:p>
    <w:p>
      <w:pPr>
        <w:ind w:left="5240"/>
        <w:spacing w:after="0"/>
        <w:rPr>
          <w:rFonts w:ascii="Arial" w:cs="Arial" w:eastAsia="Arial" w:hAnsi="Arial"/>
          <w:sz w:val="19"/>
          <w:szCs w:val="19"/>
          <w:b w:val="1"/>
          <w:bCs w:val="1"/>
          <w:color w:val="auto"/>
        </w:rPr>
      </w:pPr>
      <w:r>
        <w:rPr>
          <w:rFonts w:ascii="Arial" w:cs="Arial" w:eastAsia="Arial" w:hAnsi="Arial"/>
          <w:sz w:val="22"/>
          <w:szCs w:val="22"/>
          <w:color w:val="auto"/>
        </w:rPr>
        <w:t>* * * *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By signing the U.S. Performance Restricted Stock Unit Award Grant Notice to which this U.S. Performance Restricted Stock Unit Award Agreement is attached, you shall be deemed to have signed and agreed to the terms and conditions of this U.S. Performance Restricted Stock Unit Award Agreement.</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240"/>
          </w:cols>
          <w:pgMar w:left="320" w:top="1422" w:right="3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23"/>
          <w:szCs w:val="23"/>
          <w:b w:val="1"/>
          <w:bCs w:val="1"/>
          <w:u w:val="single" w:color="auto"/>
          <w:color w:val="auto"/>
        </w:rPr>
        <w:t>Exhibit A</w:t>
      </w:r>
    </w:p>
    <w:p>
      <w:pPr>
        <w:sectPr>
          <w:pgSz w:w="11900" w:h="16838" w:orient="portrait"/>
          <w:cols w:equalWidth="0" w:num="1">
            <w:col w:w="9019"/>
          </w:cols>
          <w:pgMar w:left="1440" w:top="1413"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22"/>
          <w:szCs w:val="22"/>
          <w:b w:val="1"/>
          <w:bCs w:val="1"/>
          <w:color w:val="auto"/>
        </w:rPr>
        <w:t>Attachment II</w:t>
      </w:r>
    </w:p>
    <w:p>
      <w:pPr>
        <w:spacing w:after="0" w:line="136" w:lineRule="exact"/>
        <w:rPr>
          <w:sz w:val="20"/>
          <w:szCs w:val="20"/>
          <w:color w:val="auto"/>
        </w:rPr>
      </w:pPr>
    </w:p>
    <w:p>
      <w:pPr>
        <w:ind w:left="3120"/>
        <w:spacing w:after="0"/>
        <w:rPr>
          <w:sz w:val="20"/>
          <w:szCs w:val="20"/>
          <w:color w:val="auto"/>
        </w:rPr>
      </w:pPr>
      <w:r>
        <w:rPr>
          <w:rFonts w:ascii="Arial" w:cs="Arial" w:eastAsia="Arial" w:hAnsi="Arial"/>
          <w:sz w:val="23"/>
          <w:szCs w:val="23"/>
          <w:b w:val="1"/>
          <w:bCs w:val="1"/>
          <w:color w:val="auto"/>
        </w:rPr>
        <w:t>Jazz Pharmaceuticals plc</w:t>
      </w:r>
    </w:p>
    <w:p>
      <w:pPr>
        <w:ind w:left="3060"/>
        <w:spacing w:after="0"/>
        <w:rPr>
          <w:sz w:val="20"/>
          <w:szCs w:val="20"/>
          <w:color w:val="auto"/>
        </w:rPr>
      </w:pPr>
      <w:r>
        <w:rPr>
          <w:rFonts w:ascii="Arial" w:cs="Arial" w:eastAsia="Arial" w:hAnsi="Arial"/>
          <w:sz w:val="22"/>
          <w:szCs w:val="22"/>
          <w:b w:val="1"/>
          <w:bCs w:val="1"/>
          <w:color w:val="auto"/>
        </w:rPr>
        <w:t>2011 Equity Incentive Plan</w:t>
      </w:r>
    </w:p>
    <w:p>
      <w:pPr>
        <w:sectPr>
          <w:pgSz w:w="11900" w:h="16838" w:orient="portrait"/>
          <w:cols w:equalWidth="0" w:num="1">
            <w:col w:w="9019"/>
          </w:cols>
          <w:pgMar w:left="1440" w:top="1395" w:right="1440" w:bottom="1440" w:gutter="0" w:footer="0" w:header="0"/>
        </w:sectPr>
      </w:pPr>
    </w:p>
    <w:bookmarkStart w:id="161" w:name="page162"/>
    <w:bookmarkEnd w:id="161"/>
    <w:p>
      <w:pPr>
        <w:ind w:left="9860"/>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2011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Performance Restricted Stock Unit Award Grant Notice</w:t>
      </w:r>
    </w:p>
    <w:p>
      <w:pPr>
        <w:spacing w:after="0" w:line="200" w:lineRule="exact"/>
        <w:rPr>
          <w:sz w:val="20"/>
          <w:szCs w:val="20"/>
          <w:color w:val="auto"/>
        </w:rPr>
      </w:pPr>
    </w:p>
    <w:p>
      <w:pPr>
        <w:spacing w:after="0" w:line="29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Jazz Pharmaceuticals plc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pursuant to its 2011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hereby awards to Participant the number of restricted stock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specified and on the terms set forth below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The Award is subject to all of the terms and conditions as set forth in this Non-U.S. Performance Restricted Stock Unit Award Grant Notice (the “</w:t>
      </w:r>
      <w:r>
        <w:rPr>
          <w:rFonts w:ascii="Arial" w:cs="Arial" w:eastAsia="Arial" w:hAnsi="Arial"/>
          <w:sz w:val="21"/>
          <w:szCs w:val="21"/>
          <w:b w:val="1"/>
          <w:bCs w:val="1"/>
          <w:i w:val="1"/>
          <w:iCs w:val="1"/>
          <w:color w:val="auto"/>
        </w:rPr>
        <w:t>Grant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and in the Non-U.S. Performance Restricted Stock Unit Award Agreement, including any country-specific Appendix</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xml:space="preserve">”) and the Plan, both of which are attached hereto and incorporated herein in their entirety. For purposes of the Award, the Agreement will be deemed to include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Agreement.</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3700" w:type="dxa"/>
            <w:vAlign w:val="bottom"/>
          </w:tcPr>
          <w:p>
            <w:pPr>
              <w:spacing w:after="0"/>
              <w:rPr>
                <w:sz w:val="20"/>
                <w:szCs w:val="20"/>
                <w:color w:val="auto"/>
              </w:rPr>
            </w:pPr>
            <w:r>
              <w:rPr>
                <w:rFonts w:ascii="Arial" w:cs="Arial" w:eastAsia="Arial" w:hAnsi="Arial"/>
                <w:sz w:val="22"/>
                <w:szCs w:val="22"/>
                <w:color w:val="auto"/>
              </w:rPr>
              <w:t>Participant:</w:t>
            </w:r>
          </w:p>
        </w:tc>
        <w:tc>
          <w:tcPr>
            <w:tcW w:w="4940" w:type="dxa"/>
            <w:vAlign w:val="bottom"/>
          </w:tcPr>
          <w:p>
            <w:pPr>
              <w:jc w:val="right"/>
              <w:spacing w:after="0"/>
              <w:rPr>
                <w:sz w:val="20"/>
                <w:szCs w:val="20"/>
                <w:color w:val="auto"/>
              </w:rPr>
            </w:pPr>
            <w:r>
              <w:rPr>
                <w:rFonts w:ascii="Arial" w:cs="Arial" w:eastAsia="Arial" w:hAnsi="Arial"/>
                <w:sz w:val="22"/>
                <w:szCs w:val="22"/>
                <w:color w:val="auto"/>
                <w:w w:val="89"/>
              </w:rPr>
              <w:t>_____________________________________________</w:t>
            </w:r>
          </w:p>
        </w:tc>
      </w:tr>
      <w:tr>
        <w:trPr>
          <w:trHeight w:val="310"/>
        </w:trPr>
        <w:tc>
          <w:tcPr>
            <w:tcW w:w="3700" w:type="dxa"/>
            <w:vAlign w:val="bottom"/>
          </w:tcPr>
          <w:p>
            <w:pPr>
              <w:spacing w:after="0"/>
              <w:rPr>
                <w:sz w:val="20"/>
                <w:szCs w:val="20"/>
                <w:color w:val="auto"/>
              </w:rPr>
            </w:pPr>
            <w:r>
              <w:rPr>
                <w:rFonts w:ascii="Arial" w:cs="Arial" w:eastAsia="Arial" w:hAnsi="Arial"/>
                <w:sz w:val="22"/>
                <w:szCs w:val="22"/>
                <w:color w:val="auto"/>
              </w:rPr>
              <w:t>RSU #:</w:t>
            </w:r>
          </w:p>
        </w:tc>
        <w:tc>
          <w:tcPr>
            <w:tcW w:w="4940" w:type="dxa"/>
            <w:vAlign w:val="bottom"/>
          </w:tcPr>
          <w:p>
            <w:pPr>
              <w:jc w:val="right"/>
              <w:spacing w:after="0"/>
              <w:rPr>
                <w:sz w:val="20"/>
                <w:szCs w:val="20"/>
                <w:color w:val="auto"/>
              </w:rPr>
            </w:pPr>
            <w:r>
              <w:rPr>
                <w:rFonts w:ascii="Arial" w:cs="Arial" w:eastAsia="Arial" w:hAnsi="Arial"/>
                <w:sz w:val="22"/>
                <w:szCs w:val="22"/>
                <w:color w:val="auto"/>
                <w:w w:val="89"/>
              </w:rPr>
              <w:t>_____________________________________________</w:t>
            </w:r>
          </w:p>
        </w:tc>
      </w:tr>
      <w:tr>
        <w:trPr>
          <w:trHeight w:val="311"/>
        </w:trPr>
        <w:tc>
          <w:tcPr>
            <w:tcW w:w="3700" w:type="dxa"/>
            <w:vAlign w:val="bottom"/>
          </w:tcPr>
          <w:p>
            <w:pPr>
              <w:spacing w:after="0"/>
              <w:rPr>
                <w:sz w:val="20"/>
                <w:szCs w:val="20"/>
                <w:color w:val="auto"/>
              </w:rPr>
            </w:pPr>
            <w:r>
              <w:rPr>
                <w:rFonts w:ascii="Arial" w:cs="Arial" w:eastAsia="Arial" w:hAnsi="Arial"/>
                <w:sz w:val="22"/>
                <w:szCs w:val="22"/>
                <w:color w:val="auto"/>
              </w:rPr>
              <w:t>Date of Grant:</w:t>
            </w:r>
          </w:p>
        </w:tc>
        <w:tc>
          <w:tcPr>
            <w:tcW w:w="4940" w:type="dxa"/>
            <w:vAlign w:val="bottom"/>
          </w:tcPr>
          <w:p>
            <w:pPr>
              <w:jc w:val="right"/>
              <w:spacing w:after="0"/>
              <w:rPr>
                <w:sz w:val="20"/>
                <w:szCs w:val="20"/>
                <w:color w:val="auto"/>
              </w:rPr>
            </w:pPr>
            <w:r>
              <w:rPr>
                <w:rFonts w:ascii="Arial" w:cs="Arial" w:eastAsia="Arial" w:hAnsi="Arial"/>
                <w:sz w:val="22"/>
                <w:szCs w:val="22"/>
                <w:color w:val="auto"/>
                <w:w w:val="89"/>
              </w:rPr>
              <w:t>_____________________________________________</w:t>
            </w:r>
          </w:p>
        </w:tc>
      </w:tr>
      <w:tr>
        <w:trPr>
          <w:trHeight w:val="378"/>
        </w:trPr>
        <w:tc>
          <w:tcPr>
            <w:tcW w:w="3700" w:type="dxa"/>
            <w:vAlign w:val="bottom"/>
          </w:tcPr>
          <w:p>
            <w:pPr>
              <w:spacing w:after="0"/>
              <w:rPr>
                <w:sz w:val="20"/>
                <w:szCs w:val="20"/>
                <w:color w:val="auto"/>
              </w:rPr>
            </w:pPr>
            <w:r>
              <w:rPr>
                <w:rFonts w:ascii="Arial" w:cs="Arial" w:eastAsia="Arial" w:hAnsi="Arial"/>
                <w:sz w:val="22"/>
                <w:szCs w:val="22"/>
                <w:color w:val="auto"/>
                <w:w w:val="90"/>
              </w:rPr>
              <w:t>Target Number of RSUs Subject to Award</w:t>
            </w:r>
          </w:p>
        </w:tc>
        <w:tc>
          <w:tcPr>
            <w:tcW w:w="4940" w:type="dxa"/>
            <w:vAlign w:val="bottom"/>
          </w:tcPr>
          <w:p>
            <w:pPr>
              <w:jc w:val="right"/>
              <w:spacing w:after="0"/>
              <w:rPr>
                <w:sz w:val="20"/>
                <w:szCs w:val="20"/>
                <w:color w:val="auto"/>
              </w:rPr>
            </w:pPr>
            <w:r>
              <w:rPr>
                <w:rFonts w:ascii="Arial" w:cs="Arial" w:eastAsia="Arial" w:hAnsi="Arial"/>
                <w:sz w:val="22"/>
                <w:szCs w:val="22"/>
                <w:color w:val="auto"/>
                <w:w w:val="89"/>
              </w:rPr>
              <w:t>_____________________________________________</w:t>
            </w:r>
          </w:p>
        </w:tc>
      </w:tr>
      <w:tr>
        <w:trPr>
          <w:trHeight w:val="297"/>
        </w:trPr>
        <w:tc>
          <w:tcPr>
            <w:tcW w:w="370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RSUs</w:t>
            </w:r>
            <w:r>
              <w:rPr>
                <w:rFonts w:ascii="Arial" w:cs="Arial" w:eastAsia="Arial" w:hAnsi="Arial"/>
                <w:sz w:val="22"/>
                <w:szCs w:val="22"/>
                <w:color w:val="auto"/>
              </w:rPr>
              <w:t>”):</w:t>
            </w:r>
          </w:p>
        </w:tc>
        <w:tc>
          <w:tcPr>
            <w:tcW w:w="4940" w:type="dxa"/>
            <w:vAlign w:val="bottom"/>
          </w:tcPr>
          <w:p>
            <w:pPr>
              <w:spacing w:after="0"/>
              <w:rPr>
                <w:sz w:val="24"/>
                <w:szCs w:val="24"/>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22"/>
                <w:szCs w:val="22"/>
                <w:color w:val="auto"/>
                <w:w w:val="99"/>
              </w:rPr>
              <w:t>Maximum Number of RSUs Subject to</w:t>
            </w:r>
          </w:p>
        </w:tc>
        <w:tc>
          <w:tcPr>
            <w:tcW w:w="4940" w:type="dxa"/>
            <w:vAlign w:val="bottom"/>
          </w:tcPr>
          <w:p>
            <w:pPr>
              <w:jc w:val="right"/>
              <w:spacing w:after="0"/>
              <w:rPr>
                <w:sz w:val="20"/>
                <w:szCs w:val="20"/>
                <w:color w:val="auto"/>
              </w:rPr>
            </w:pPr>
            <w:r>
              <w:rPr>
                <w:rFonts w:ascii="Arial" w:cs="Arial" w:eastAsia="Arial" w:hAnsi="Arial"/>
                <w:sz w:val="22"/>
                <w:szCs w:val="22"/>
                <w:color w:val="auto"/>
                <w:w w:val="89"/>
              </w:rPr>
              <w:t>_____________________________________________</w:t>
            </w:r>
          </w:p>
        </w:tc>
      </w:tr>
      <w:tr>
        <w:trPr>
          <w:trHeight w:val="297"/>
        </w:trPr>
        <w:tc>
          <w:tcPr>
            <w:tcW w:w="3700" w:type="dxa"/>
            <w:vAlign w:val="bottom"/>
          </w:tcPr>
          <w:p>
            <w:pPr>
              <w:spacing w:after="0"/>
              <w:rPr>
                <w:sz w:val="20"/>
                <w:szCs w:val="20"/>
                <w:color w:val="auto"/>
              </w:rPr>
            </w:pPr>
            <w:r>
              <w:rPr>
                <w:rFonts w:ascii="Arial" w:cs="Arial" w:eastAsia="Arial" w:hAnsi="Arial"/>
                <w:sz w:val="22"/>
                <w:szCs w:val="22"/>
                <w:color w:val="auto"/>
              </w:rPr>
              <w:t>Award (“</w:t>
            </w:r>
            <w:r>
              <w:rPr>
                <w:rFonts w:ascii="Arial" w:cs="Arial" w:eastAsia="Arial" w:hAnsi="Arial"/>
                <w:sz w:val="22"/>
                <w:szCs w:val="22"/>
                <w:b w:val="1"/>
                <w:bCs w:val="1"/>
                <w:i w:val="1"/>
                <w:iCs w:val="1"/>
                <w:color w:val="auto"/>
              </w:rPr>
              <w:t>Maximum RSUs</w:t>
            </w:r>
            <w:r>
              <w:rPr>
                <w:rFonts w:ascii="Arial" w:cs="Arial" w:eastAsia="Arial" w:hAnsi="Arial"/>
                <w:sz w:val="22"/>
                <w:szCs w:val="22"/>
                <w:color w:val="auto"/>
              </w:rPr>
              <w:t>”):</w:t>
            </w:r>
          </w:p>
        </w:tc>
        <w:tc>
          <w:tcPr>
            <w:tcW w:w="4940" w:type="dxa"/>
            <w:vAlign w:val="bottom"/>
          </w:tcPr>
          <w:p>
            <w:pPr>
              <w:spacing w:after="0"/>
              <w:rPr>
                <w:sz w:val="24"/>
                <w:szCs w:val="24"/>
                <w:color w:val="auto"/>
              </w:rPr>
            </w:pPr>
          </w:p>
        </w:tc>
      </w:tr>
      <w:tr>
        <w:trPr>
          <w:trHeight w:val="675"/>
        </w:trPr>
        <w:tc>
          <w:tcPr>
            <w:tcW w:w="3700" w:type="dxa"/>
            <w:vAlign w:val="bottom"/>
          </w:tcPr>
          <w:p>
            <w:pPr>
              <w:spacing w:after="0"/>
              <w:rPr>
                <w:sz w:val="20"/>
                <w:szCs w:val="20"/>
                <w:color w:val="auto"/>
              </w:rPr>
            </w:pPr>
            <w:r>
              <w:rPr>
                <w:rFonts w:ascii="Arial" w:cs="Arial" w:eastAsia="Arial" w:hAnsi="Arial"/>
                <w:sz w:val="22"/>
                <w:szCs w:val="22"/>
                <w:color w:val="auto"/>
              </w:rPr>
              <w:t>Consideration:</w:t>
            </w:r>
          </w:p>
        </w:tc>
        <w:tc>
          <w:tcPr>
            <w:tcW w:w="4940" w:type="dxa"/>
            <w:vAlign w:val="bottom"/>
          </w:tcPr>
          <w:p>
            <w:pPr>
              <w:ind w:left="120"/>
              <w:spacing w:after="0"/>
              <w:rPr>
                <w:sz w:val="20"/>
                <w:szCs w:val="20"/>
                <w:color w:val="auto"/>
              </w:rPr>
            </w:pPr>
            <w:r>
              <w:rPr>
                <w:rFonts w:ascii="Arial" w:cs="Arial" w:eastAsia="Arial" w:hAnsi="Arial"/>
                <w:sz w:val="22"/>
                <w:szCs w:val="22"/>
                <w:color w:val="auto"/>
              </w:rPr>
              <w:t>Participant Services</w:t>
            </w:r>
          </w:p>
        </w:tc>
      </w:tr>
      <w:tr>
        <w:trPr>
          <w:trHeight w:val="297"/>
        </w:trPr>
        <w:tc>
          <w:tcPr>
            <w:tcW w:w="3700" w:type="dxa"/>
            <w:vAlign w:val="bottom"/>
          </w:tcPr>
          <w:p>
            <w:pPr>
              <w:spacing w:after="0"/>
              <w:rPr>
                <w:sz w:val="24"/>
                <w:szCs w:val="24"/>
                <w:color w:val="auto"/>
              </w:rPr>
            </w:pPr>
          </w:p>
        </w:tc>
        <w:tc>
          <w:tcPr>
            <w:tcW w:w="4940" w:type="dxa"/>
            <w:vAlign w:val="bottom"/>
          </w:tcPr>
          <w:p>
            <w:pPr>
              <w:ind w:left="120"/>
              <w:spacing w:after="0"/>
              <w:rPr>
                <w:sz w:val="20"/>
                <w:szCs w:val="20"/>
                <w:color w:val="auto"/>
              </w:rPr>
            </w:pPr>
            <w:r>
              <w:rPr>
                <w:rFonts w:ascii="Arial" w:cs="Arial" w:eastAsia="Arial" w:hAnsi="Arial"/>
                <w:sz w:val="22"/>
                <w:szCs w:val="22"/>
                <w:color w:val="auto"/>
              </w:rPr>
              <w:t>(Payment of par value of newly issued shares)</w:t>
            </w:r>
          </w:p>
        </w:tc>
      </w:tr>
    </w:tbl>
    <w:p>
      <w:pPr>
        <w:spacing w:after="0" w:line="200" w:lineRule="exact"/>
        <w:rPr>
          <w:sz w:val="20"/>
          <w:szCs w:val="20"/>
          <w:color w:val="auto"/>
        </w:rPr>
      </w:pPr>
    </w:p>
    <w:p>
      <w:pPr>
        <w:spacing w:after="0" w:line="316" w:lineRule="exact"/>
        <w:rPr>
          <w:sz w:val="20"/>
          <w:szCs w:val="20"/>
          <w:color w:val="auto"/>
        </w:rPr>
      </w:pPr>
    </w:p>
    <w:p>
      <w:pPr>
        <w:jc w:val="both"/>
        <w:ind w:left="1920" w:right="20" w:hanging="2105"/>
        <w:spacing w:after="0" w:line="302" w:lineRule="auto"/>
        <w:tabs>
          <w:tab w:leader="none" w:pos="190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22"/>
          <w:szCs w:val="22"/>
          <w:color w:val="auto"/>
        </w:rPr>
        <w:t xml:space="preserve">Subject to Sections 2 and 11 of the Agreement, the RSUs subject to this Award will vest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Agreement.</w:t>
      </w:r>
    </w:p>
    <w:p>
      <w:pPr>
        <w:spacing w:after="0" w:line="200" w:lineRule="exact"/>
        <w:rPr>
          <w:sz w:val="20"/>
          <w:szCs w:val="20"/>
          <w:color w:val="auto"/>
        </w:rPr>
      </w:pPr>
    </w:p>
    <w:p>
      <w:pPr>
        <w:jc w:val="both"/>
        <w:ind w:left="2060" w:hanging="2105"/>
        <w:spacing w:after="0" w:line="302" w:lineRule="auto"/>
        <w:tabs>
          <w:tab w:leader="none" w:pos="2040" w:val="left"/>
        </w:tabs>
        <w:rPr>
          <w:sz w:val="20"/>
          <w:szCs w:val="20"/>
          <w:color w:val="auto"/>
        </w:rPr>
      </w:pPr>
      <w:r>
        <w:rPr>
          <w:rFonts w:ascii="Arial" w:cs="Arial" w:eastAsia="Arial" w:hAnsi="Arial"/>
          <w:sz w:val="22"/>
          <w:szCs w:val="22"/>
          <w:b w:val="1"/>
          <w:bCs w:val="1"/>
          <w:color w:val="auto"/>
        </w:rPr>
        <w:t>Issuance Schedule:</w:t>
      </w:r>
      <w:r>
        <w:rPr>
          <w:sz w:val="20"/>
          <w:szCs w:val="20"/>
          <w:color w:val="auto"/>
        </w:rPr>
        <w:tab/>
      </w:r>
      <w:r>
        <w:rPr>
          <w:rFonts w:ascii="Arial" w:cs="Arial" w:eastAsia="Arial" w:hAnsi="Arial"/>
          <w:sz w:val="22"/>
          <w:szCs w:val="22"/>
          <w:color w:val="auto"/>
        </w:rPr>
        <w:t>One Ordinary Share will be issuable for each RSU which vests at the time set forth in Section 6 of the Agreement.</w:t>
      </w:r>
    </w:p>
    <w:p>
      <w:pPr>
        <w:spacing w:after="0" w:line="200" w:lineRule="exact"/>
        <w:rPr>
          <w:sz w:val="20"/>
          <w:szCs w:val="20"/>
          <w:color w:val="auto"/>
        </w:rPr>
      </w:pPr>
    </w:p>
    <w:p>
      <w:pPr>
        <w:jc w:val="both"/>
        <w:spacing w:after="0" w:line="360"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The undersigned Participant acknowledges receipt of, and understands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Notice, the Agreement and the Plan. Participant further acknowledges that as of the Date of Grant, this Grant Notice, the Agreement and the Plan set forth the entire understanding between Participant and the Company regarding the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161" w:right="339" w:bottom="1440" w:gutter="0" w:footer="0" w:header="0"/>
        </w:sectPr>
      </w:pPr>
    </w:p>
    <w:bookmarkStart w:id="162" w:name="page163"/>
    <w:bookmarkEnd w:id="162"/>
    <w:p>
      <w:pPr>
        <w:jc w:val="both"/>
        <w:spacing w:after="0" w:line="341" w:lineRule="auto"/>
        <w:rPr>
          <w:sz w:val="20"/>
          <w:szCs w:val="20"/>
          <w:color w:val="auto"/>
        </w:rPr>
      </w:pPr>
      <w:r>
        <w:rPr>
          <w:rFonts w:ascii="Arial" w:cs="Arial" w:eastAsia="Arial" w:hAnsi="Arial"/>
          <w:sz w:val="19"/>
          <w:szCs w:val="19"/>
          <w:color w:val="auto"/>
        </w:rPr>
        <w:t>supersede all prior oral and written agreements on that subject, with the exception of: (i) any employment or severance arrangement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560" w:type="dxa"/>
            <w:vAlign w:val="bottom"/>
            <w:gridSpan w:val="2"/>
          </w:tcPr>
          <w:p>
            <w:pPr>
              <w:ind w:left="20"/>
              <w:spacing w:after="0"/>
              <w:rPr>
                <w:sz w:val="20"/>
                <w:szCs w:val="20"/>
                <w:color w:val="auto"/>
              </w:rPr>
            </w:pPr>
            <w:r>
              <w:rPr>
                <w:rFonts w:ascii="Arial" w:cs="Arial" w:eastAsia="Arial" w:hAnsi="Arial"/>
                <w:sz w:val="22"/>
                <w:szCs w:val="22"/>
                <w:b w:val="1"/>
                <w:bCs w:val="1"/>
                <w:color w:val="auto"/>
              </w:rPr>
              <w:t>JAZZ PHARMACEUTICALS PLC</w:t>
            </w:r>
          </w:p>
        </w:tc>
        <w:tc>
          <w:tcPr>
            <w:tcW w:w="4680" w:type="dxa"/>
            <w:vAlign w:val="bottom"/>
            <w:gridSpan w:val="2"/>
          </w:tcPr>
          <w:p>
            <w:pPr>
              <w:ind w:left="20"/>
              <w:spacing w:after="0"/>
              <w:rPr>
                <w:sz w:val="20"/>
                <w:szCs w:val="20"/>
                <w:color w:val="auto"/>
              </w:rPr>
            </w:pPr>
            <w:r>
              <w:rPr>
                <w:rFonts w:ascii="Arial" w:cs="Arial" w:eastAsia="Arial" w:hAnsi="Arial"/>
                <w:sz w:val="22"/>
                <w:szCs w:val="22"/>
                <w:b w:val="1"/>
                <w:bCs w:val="1"/>
                <w:color w:val="auto"/>
              </w:rPr>
              <w:t>PARTICIPANT</w:t>
            </w:r>
          </w:p>
        </w:tc>
      </w:tr>
      <w:tr>
        <w:trPr>
          <w:trHeight w:val="321"/>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By:</w:t>
            </w:r>
          </w:p>
        </w:tc>
        <w:tc>
          <w:tcPr>
            <w:tcW w:w="86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93"/>
        </w:trPr>
        <w:tc>
          <w:tcPr>
            <w:tcW w:w="6560" w:type="dxa"/>
            <w:vAlign w:val="bottom"/>
            <w:gridSpan w:val="2"/>
          </w:tcPr>
          <w:p>
            <w:pPr>
              <w:ind w:left="2440"/>
              <w:spacing w:after="0"/>
              <w:rPr>
                <w:sz w:val="20"/>
                <w:szCs w:val="20"/>
                <w:color w:val="auto"/>
              </w:rPr>
            </w:pPr>
            <w:r>
              <w:rPr>
                <w:rFonts w:ascii="Arial" w:cs="Arial" w:eastAsia="Arial" w:hAnsi="Arial"/>
                <w:sz w:val="22"/>
                <w:szCs w:val="22"/>
                <w:color w:val="auto"/>
              </w:rPr>
              <w:t>Signature</w:t>
            </w:r>
          </w:p>
        </w:tc>
        <w:tc>
          <w:tcPr>
            <w:tcW w:w="4680" w:type="dxa"/>
            <w:vAlign w:val="bottom"/>
            <w:gridSpan w:val="2"/>
          </w:tcPr>
          <w:p>
            <w:pPr>
              <w:ind w:left="1800"/>
              <w:spacing w:after="0"/>
              <w:rPr>
                <w:sz w:val="20"/>
                <w:szCs w:val="20"/>
                <w:color w:val="auto"/>
              </w:rPr>
            </w:pPr>
            <w:r>
              <w:rPr>
                <w:rFonts w:ascii="Arial" w:cs="Arial" w:eastAsia="Arial" w:hAnsi="Arial"/>
                <w:sz w:val="22"/>
                <w:szCs w:val="22"/>
                <w:color w:val="auto"/>
              </w:rPr>
              <w:t>Signature</w:t>
            </w:r>
          </w:p>
        </w:tc>
      </w:tr>
      <w:tr>
        <w:trPr>
          <w:trHeight w:val="321"/>
        </w:trPr>
        <w:tc>
          <w:tcPr>
            <w:tcW w:w="6560" w:type="dxa"/>
            <w:vAlign w:val="bottom"/>
            <w:gridSpan w:val="2"/>
          </w:tcPr>
          <w:p>
            <w:pPr>
              <w:ind w:left="20"/>
              <w:spacing w:after="0"/>
              <w:rPr>
                <w:sz w:val="20"/>
                <w:szCs w:val="20"/>
                <w:color w:val="auto"/>
              </w:rPr>
            </w:pPr>
            <w:r>
              <w:rPr>
                <w:rFonts w:ascii="Arial" w:cs="Arial" w:eastAsia="Arial" w:hAnsi="Arial"/>
                <w:sz w:val="22"/>
                <w:szCs w:val="22"/>
                <w:color w:val="auto"/>
              </w:rPr>
              <w:t>Title: _______________________________</w:t>
            </w:r>
          </w:p>
        </w:tc>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Date:</w:t>
            </w:r>
          </w:p>
        </w:tc>
      </w:tr>
      <w:tr>
        <w:trPr>
          <w:trHeight w:val="247"/>
        </w:trPr>
        <w:tc>
          <w:tcPr>
            <w:tcW w:w="6560" w:type="dxa"/>
            <w:vAlign w:val="bottom"/>
            <w:gridSpan w:val="2"/>
          </w:tcPr>
          <w:p>
            <w:pPr>
              <w:ind w:left="80"/>
              <w:spacing w:after="0"/>
              <w:rPr>
                <w:sz w:val="20"/>
                <w:szCs w:val="20"/>
                <w:color w:val="auto"/>
              </w:rPr>
            </w:pPr>
            <w:r>
              <w:rPr>
                <w:rFonts w:ascii="Arial" w:cs="Arial" w:eastAsia="Arial" w:hAnsi="Arial"/>
                <w:sz w:val="20"/>
                <w:szCs w:val="20"/>
                <w:color w:val="auto"/>
              </w:rPr>
              <w:t>Date: __________________________________</w:t>
            </w:r>
          </w:p>
        </w:tc>
        <w:tc>
          <w:tcPr>
            <w:tcW w:w="442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Attachments: </w:t>
      </w:r>
      <w:r>
        <w:rPr>
          <w:rFonts w:ascii="Arial" w:cs="Arial" w:eastAsia="Arial" w:hAnsi="Arial"/>
          <w:sz w:val="22"/>
          <w:szCs w:val="22"/>
          <w:color w:val="auto"/>
        </w:rPr>
        <w:t>Non-U.S. Performance Restricted Stock Unit Award Agreement, 2011 Equity Incentive Plan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144"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22"/>
          <w:szCs w:val="22"/>
          <w:b w:val="1"/>
          <w:bCs w:val="1"/>
          <w:color w:val="auto"/>
        </w:rPr>
        <w:t>Attachment I</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Non-U.S. Performance Restricted Stock Unit Award Agreement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Jazz Pharmaceuticals plc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2011 Equity Incentive Plan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Non-U.S. Performance Restricted Stock Unit Award Agreement</w:t>
      </w: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9"/>
          <w:szCs w:val="19"/>
          <w:color w:val="auto"/>
        </w:rPr>
        <w:t>Pursuant to your Non-U.S. Performance Restricted Stock Unit Award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Non-U.S. Performance Restricted Stock Unit Award Agreement, including any country-specific appendix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in consideration of your services,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a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under its 2011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indicated in your Grant Notice. The Award is granted to you effective as of the date of grant set forth in the Grant Notice (the “</w:t>
      </w:r>
      <w:r>
        <w:rPr>
          <w:rFonts w:ascii="Arial" w:cs="Arial" w:eastAsia="Arial" w:hAnsi="Arial"/>
          <w:sz w:val="19"/>
          <w:szCs w:val="19"/>
          <w:b w:val="1"/>
          <w:bCs w:val="1"/>
          <w:i w:val="1"/>
          <w:iCs w:val="1"/>
          <w:color w:val="auto"/>
        </w:rPr>
        <w:t>Date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Grant</w:t>
      </w:r>
      <w:r>
        <w:rPr>
          <w:rFonts w:ascii="Arial" w:cs="Arial" w:eastAsia="Arial" w:hAnsi="Arial"/>
          <w:sz w:val="19"/>
          <w:szCs w:val="19"/>
          <w:color w:val="auto"/>
        </w:rPr>
        <w:t>”). Except as otherwise explicitly provided in the Grant Notice or this Agreement, in the event of any conflict between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terms in the Grant Notice or this Agreement and the Plan, the terms of the Plan shall control. Capitalized terms not explicitly defined in the Grant Notice or this Agreement but defined in the Plan shall have the same definitions as in the Plan. For purposes of the Award, the Agreement will be deemed to include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Award, in addition to those set forth in the Grant Notice and the Plan, are as follows.</w:t>
      </w:r>
    </w:p>
    <w:p>
      <w:pPr>
        <w:spacing w:after="0" w:line="254" w:lineRule="exact"/>
        <w:rPr>
          <w:sz w:val="20"/>
          <w:szCs w:val="20"/>
          <w:color w:val="auto"/>
        </w:rPr>
      </w:pPr>
    </w:p>
    <w:p>
      <w:pPr>
        <w:jc w:val="both"/>
        <w:ind w:firstLine="656"/>
        <w:spacing w:after="0" w:line="299" w:lineRule="auto"/>
        <w:tabs>
          <w:tab w:leader="none" w:pos="1296"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the Award. </w:t>
      </w:r>
      <w:r>
        <w:rPr>
          <w:rFonts w:ascii="Arial" w:cs="Arial" w:eastAsia="Arial" w:hAnsi="Arial"/>
          <w:sz w:val="21"/>
          <w:szCs w:val="21"/>
          <w:color w:val="auto"/>
        </w:rPr>
        <w:t>This Award represents your right to be issued on a future date the number of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that is equal to the number of RSUs indicated in the Grant Notice.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xml:space="preserve">”) the number of Maximum RSUs subject to the Award. This Award was granted in consideration of your services to the Company or one of its Affiliates. Except as otherwise provided herein, you will not be required to make any payment to the Company (other than services to the Company or its Affiliates) with respect to your receipt of the Award, the vesting of the RSUs or the delivery of the Ordinary Shares to be issued in respect of the Award; </w:t>
      </w:r>
      <w:r>
        <w:rPr>
          <w:rFonts w:ascii="Arial" w:cs="Arial" w:eastAsia="Arial" w:hAnsi="Arial"/>
          <w:sz w:val="21"/>
          <w:szCs w:val="21"/>
          <w:i w:val="1"/>
          <w:iCs w:val="1"/>
          <w:color w:val="auto"/>
        </w:rPr>
        <w:t>provided, however</w:t>
      </w:r>
      <w:r>
        <w:rPr>
          <w:rFonts w:ascii="Arial" w:cs="Arial" w:eastAsia="Arial" w:hAnsi="Arial"/>
          <w:sz w:val="21"/>
          <w:szCs w:val="21"/>
          <w:color w:val="auto"/>
        </w:rPr>
        <w:t>, that to the extent that any Ordinary Shares issued upon settlement of your Award are newly issued Ordinary Shares, a payment must be received by the Company of an amount equal to the par value of such number of newly issued Ordinary Shares (rounded up to the nearest whole cent) in cash, by check, bank draft or money order payable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22" w:right="339" w:bottom="1440" w:gutter="0" w:footer="0" w:header="0"/>
        </w:sectPr>
      </w:pPr>
    </w:p>
    <w:bookmarkStart w:id="164" w:name="page165"/>
    <w:bookmarkEnd w:id="164"/>
    <w:p>
      <w:pPr>
        <w:jc w:val="both"/>
        <w:ind w:firstLine="656"/>
        <w:spacing w:after="0" w:line="285" w:lineRule="auto"/>
        <w:tabs>
          <w:tab w:leader="none" w:pos="1296"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Section 11 of this Agreement and the limitations contained herein, your Award will vest, if 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all,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Agreement, provided that your Continuous Service has not terminated prior to the last day of the Performance Period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Agreement), except as otherwise set forth below in this Section 2. Upon any termination of your Continuous Service, the RSUs credited to the Account that were not vested on the date of such termination will be forfeited at no cost to the Company and you will have no further right, title or interest in such RSUs or the Ordinary Shares to be issued in respect of such portion of the Award, except as otherwise directed by the Compensation &amp; Management Development Committee of the Board (or its successor following a Change in Control) (the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w:t>
      </w:r>
    </w:p>
    <w:p>
      <w:pPr>
        <w:spacing w:after="0" w:line="194" w:lineRule="exact"/>
        <w:rPr>
          <w:rFonts w:ascii="Arial" w:cs="Arial" w:eastAsia="Arial" w:hAnsi="Arial"/>
          <w:sz w:val="22"/>
          <w:szCs w:val="22"/>
          <w:b w:val="1"/>
          <w:bCs w:val="1"/>
          <w:color w:val="auto"/>
        </w:rPr>
      </w:pPr>
    </w:p>
    <w:p>
      <w:pPr>
        <w:jc w:val="both"/>
        <w:ind w:firstLine="1304"/>
        <w:spacing w:after="0" w:line="338" w:lineRule="auto"/>
        <w:tabs>
          <w:tab w:leader="none" w:pos="1939" w:val="left"/>
        </w:tabs>
        <w:numPr>
          <w:ilvl w:val="1"/>
          <w:numId w:val="111"/>
        </w:numPr>
        <w:rPr>
          <w:rFonts w:ascii="Arial" w:cs="Arial" w:eastAsia="Arial" w:hAnsi="Arial"/>
          <w:sz w:val="19"/>
          <w:szCs w:val="19"/>
          <w:b w:val="1"/>
          <w:bCs w:val="1"/>
          <w:color w:val="auto"/>
        </w:rPr>
      </w:pPr>
      <w:r>
        <w:rPr>
          <w:rFonts w:ascii="Arial" w:cs="Arial" w:eastAsia="Arial" w:hAnsi="Arial"/>
          <w:sz w:val="19"/>
          <w:szCs w:val="19"/>
          <w:u w:val="single" w:color="auto"/>
          <w:color w:val="auto"/>
        </w:rPr>
        <w:t>Termination of Continuous Service due to Death</w:t>
      </w:r>
      <w:r>
        <w:rPr>
          <w:rFonts w:ascii="Arial" w:cs="Arial" w:eastAsia="Arial" w:hAnsi="Arial"/>
          <w:sz w:val="19"/>
          <w:szCs w:val="19"/>
          <w:color w:val="auto"/>
        </w:rPr>
        <w:t>. If your Continuous Service terminates prior to the last day of the Performance Period due to your death, then a number of RSUs subject to this Award shall become vested in an amount equal to (i) the number of Target RSUs, multiplied by (ii) a ratio, the numerator of which is the number of calendar days during the Performance Period that you were in Continuous Service and the denominator of which is the total number of calendar days in the Performance Period, with the resulting number rounded up to the nearest whole RSU, effective as of the date of such termination (or as soon as administratively practicable thereafter, but no later than 60 days following such termination).</w:t>
      </w:r>
    </w:p>
    <w:p>
      <w:pPr>
        <w:spacing w:after="0" w:line="151" w:lineRule="exact"/>
        <w:rPr>
          <w:rFonts w:ascii="Arial" w:cs="Arial" w:eastAsia="Arial" w:hAnsi="Arial"/>
          <w:sz w:val="19"/>
          <w:szCs w:val="19"/>
          <w:b w:val="1"/>
          <w:bCs w:val="1"/>
          <w:color w:val="auto"/>
        </w:rPr>
      </w:pPr>
    </w:p>
    <w:p>
      <w:pPr>
        <w:jc w:val="both"/>
        <w:ind w:firstLine="1304"/>
        <w:spacing w:after="0" w:line="338" w:lineRule="auto"/>
        <w:tabs>
          <w:tab w:leader="none" w:pos="1938" w:val="left"/>
        </w:tabs>
        <w:numPr>
          <w:ilvl w:val="1"/>
          <w:numId w:val="111"/>
        </w:numPr>
        <w:rPr>
          <w:rFonts w:ascii="Arial" w:cs="Arial" w:eastAsia="Arial" w:hAnsi="Arial"/>
          <w:sz w:val="19"/>
          <w:szCs w:val="19"/>
          <w:b w:val="1"/>
          <w:bCs w:val="1"/>
          <w:color w:val="auto"/>
        </w:rPr>
      </w:pPr>
      <w:r>
        <w:rPr>
          <w:rFonts w:ascii="Arial" w:cs="Arial" w:eastAsia="Arial" w:hAnsi="Arial"/>
          <w:sz w:val="19"/>
          <w:szCs w:val="19"/>
          <w:u w:val="single" w:color="auto"/>
          <w:color w:val="auto"/>
        </w:rPr>
        <w:t>Termination of Continuous Service due to Disability or Retirement</w:t>
      </w:r>
      <w:r>
        <w:rPr>
          <w:rFonts w:ascii="Arial" w:cs="Arial" w:eastAsia="Arial" w:hAnsi="Arial"/>
          <w:sz w:val="19"/>
          <w:szCs w:val="19"/>
          <w:color w:val="auto"/>
        </w:rPr>
        <w:t xml:space="preserve">. If your Continuous Service terminates prior to the last day of the Performance Period due to your Disability or Retirement, then effective as of the Vesting Date, a number of RSUs subject to this Award shall become vested in an amount equal to (i) the number of Certified RSUs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 multiplied by (ii) a ratio, the numerator of which is the number of calendar days during the Performance Period that you were in Continuous Service and the denominator of which is the total number of calendar days in the Performance Period, with the resulting number rounded up to the nearest whole RSU.</w:t>
      </w:r>
    </w:p>
    <w:p>
      <w:pPr>
        <w:spacing w:after="0" w:line="151" w:lineRule="exact"/>
        <w:rPr>
          <w:rFonts w:ascii="Arial" w:cs="Arial" w:eastAsia="Arial" w:hAnsi="Arial"/>
          <w:sz w:val="19"/>
          <w:szCs w:val="19"/>
          <w:b w:val="1"/>
          <w:bCs w:val="1"/>
          <w:color w:val="auto"/>
        </w:rPr>
      </w:pPr>
    </w:p>
    <w:p>
      <w:pPr>
        <w:jc w:val="both"/>
        <w:ind w:firstLine="1304"/>
        <w:spacing w:after="0" w:line="299" w:lineRule="auto"/>
        <w:tabs>
          <w:tab w:leader="none" w:pos="1941" w:val="left"/>
        </w:tabs>
        <w:numPr>
          <w:ilvl w:val="1"/>
          <w:numId w:val="111"/>
        </w:numPr>
        <w:rPr>
          <w:rFonts w:ascii="Arial" w:cs="Arial" w:eastAsia="Arial" w:hAnsi="Arial"/>
          <w:sz w:val="21"/>
          <w:szCs w:val="21"/>
          <w:b w:val="1"/>
          <w:bCs w:val="1"/>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i w:val="1"/>
          <w:iCs w:val="1"/>
          <w:color w:val="auto"/>
        </w:rPr>
        <w:t>Retirement</w:t>
      </w:r>
      <w:r>
        <w:rPr>
          <w:rFonts w:ascii="Arial" w:cs="Arial" w:eastAsia="Arial" w:hAnsi="Arial"/>
          <w:sz w:val="21"/>
          <w:szCs w:val="21"/>
          <w:color w:val="auto"/>
        </w:rPr>
        <w:t xml:space="preserve">” means your voluntary termination of Continuous Service, unless circumstances exist at the time of such termination that would constitute Cause, following (i) your completion of five years of Continuous Service and (ii) your attainment of age 55;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order to receive any vesting benefit under Section 2(b) of the Agreement due to your Retirement, you must (x) have given the Company at least four months advance written notice of your intention to terminate your Continuous Service and (y) execute and deliver a non-solicitation agreement satisfactory to the Company that will apply for a period of 12 months after your termination date (the “</w:t>
      </w:r>
      <w:r>
        <w:rPr>
          <w:rFonts w:ascii="Arial" w:cs="Arial" w:eastAsia="Arial" w:hAnsi="Arial"/>
          <w:sz w:val="21"/>
          <w:szCs w:val="21"/>
          <w:b w:val="1"/>
          <w:bCs w:val="1"/>
          <w:i w:val="1"/>
          <w:iCs w:val="1"/>
          <w:color w:val="auto"/>
        </w:rPr>
        <w:t>Non-Solicitation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For avoidance of doubt, in the event of your Retirement prior to the last day of the Performance Period, if you fail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comply with the conditions in this Section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65" w:name="page166"/>
    <w:bookmarkEnd w:id="165"/>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including compliance with the Non-Solicitation Agreement for a period of 12 months after your termination date, you will forfeit all of the RSUs subject to this Award.</w:t>
      </w:r>
    </w:p>
    <w:p>
      <w:pPr>
        <w:spacing w:after="0" w:line="167" w:lineRule="exact"/>
        <w:rPr>
          <w:sz w:val="20"/>
          <w:szCs w:val="20"/>
          <w:color w:val="auto"/>
        </w:rPr>
      </w:pPr>
    </w:p>
    <w:p>
      <w:pPr>
        <w:ind w:left="1300" w:hanging="644"/>
        <w:spacing w:after="0"/>
        <w:tabs>
          <w:tab w:leader="none" w:pos="1300" w:val="left"/>
        </w:tabs>
        <w:numPr>
          <w:ilvl w:val="1"/>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RSUs and Ordinary Shares.</w:t>
      </w:r>
    </w:p>
    <w:p>
      <w:pPr>
        <w:spacing w:after="0" w:line="266" w:lineRule="exact"/>
        <w:rPr>
          <w:rFonts w:ascii="Arial" w:cs="Arial" w:eastAsia="Arial" w:hAnsi="Arial"/>
          <w:sz w:val="22"/>
          <w:szCs w:val="22"/>
          <w:b w:val="1"/>
          <w:bCs w:val="1"/>
          <w:color w:val="auto"/>
        </w:rPr>
      </w:pPr>
    </w:p>
    <w:p>
      <w:pPr>
        <w:ind w:right="20" w:firstLine="1304"/>
        <w:spacing w:after="0" w:line="302" w:lineRule="auto"/>
        <w:tabs>
          <w:tab w:leader="none" w:pos="2042" w:val="left"/>
        </w:tabs>
        <w:numPr>
          <w:ilvl w:val="2"/>
          <w:numId w:val="112"/>
        </w:numPr>
        <w:rPr>
          <w:rFonts w:ascii="Arial" w:cs="Arial" w:eastAsia="Arial" w:hAnsi="Arial"/>
          <w:sz w:val="22"/>
          <w:szCs w:val="22"/>
          <w:b w:val="1"/>
          <w:bCs w:val="1"/>
          <w:color w:val="auto"/>
        </w:rPr>
      </w:pPr>
      <w:r>
        <w:rPr>
          <w:rFonts w:ascii="Arial" w:cs="Arial" w:eastAsia="Arial" w:hAnsi="Arial"/>
          <w:sz w:val="22"/>
          <w:szCs w:val="22"/>
          <w:color w:val="auto"/>
        </w:rPr>
        <w:t>The number of RSUs subject to your Award may be adjusted from time to time for Capitalization Adjustments, as provided in the Plan.</w:t>
      </w:r>
    </w:p>
    <w:p>
      <w:pPr>
        <w:spacing w:after="0" w:line="173" w:lineRule="exact"/>
        <w:rPr>
          <w:rFonts w:ascii="Arial" w:cs="Arial" w:eastAsia="Arial" w:hAnsi="Arial"/>
          <w:sz w:val="22"/>
          <w:szCs w:val="22"/>
          <w:b w:val="1"/>
          <w:bCs w:val="1"/>
          <w:color w:val="auto"/>
        </w:rPr>
      </w:pPr>
    </w:p>
    <w:p>
      <w:pPr>
        <w:jc w:val="both"/>
        <w:ind w:firstLine="1304"/>
        <w:spacing w:after="0" w:line="291" w:lineRule="auto"/>
        <w:tabs>
          <w:tab w:leader="none" w:pos="1938" w:val="left"/>
        </w:tabs>
        <w:numPr>
          <w:ilvl w:val="2"/>
          <w:numId w:val="112"/>
        </w:numPr>
        <w:rPr>
          <w:rFonts w:ascii="Arial" w:cs="Arial" w:eastAsia="Arial" w:hAnsi="Arial"/>
          <w:sz w:val="22"/>
          <w:szCs w:val="22"/>
          <w:b w:val="1"/>
          <w:bCs w:val="1"/>
          <w:color w:val="auto"/>
        </w:rPr>
      </w:pPr>
      <w:r>
        <w:rPr>
          <w:rFonts w:ascii="Arial" w:cs="Arial" w:eastAsia="Arial" w:hAnsi="Arial"/>
          <w:sz w:val="22"/>
          <w:szCs w:val="22"/>
          <w:color w:val="auto"/>
        </w:rPr>
        <w:t>Any additional RSUs that become subject to the Award pursuant to this Section 3 shall be subject, in a manner determined by the Board, to the same forfeiture restrictions, restrictions on transferability, and time and manner of delivery as applicable to the other RSUs covered by your Award.</w:t>
      </w:r>
    </w:p>
    <w:p>
      <w:pPr>
        <w:spacing w:after="0" w:line="186" w:lineRule="exact"/>
        <w:rPr>
          <w:rFonts w:ascii="Arial" w:cs="Arial" w:eastAsia="Arial" w:hAnsi="Arial"/>
          <w:sz w:val="22"/>
          <w:szCs w:val="22"/>
          <w:b w:val="1"/>
          <w:bCs w:val="1"/>
          <w:color w:val="auto"/>
        </w:rPr>
      </w:pPr>
    </w:p>
    <w:p>
      <w:pPr>
        <w:jc w:val="both"/>
        <w:ind w:firstLine="1304"/>
        <w:spacing w:after="0" w:line="288" w:lineRule="auto"/>
        <w:tabs>
          <w:tab w:leader="none" w:pos="1941" w:val="left"/>
        </w:tabs>
        <w:numPr>
          <w:ilvl w:val="2"/>
          <w:numId w:val="112"/>
        </w:numPr>
        <w:rPr>
          <w:rFonts w:ascii="Arial" w:cs="Arial" w:eastAsia="Arial" w:hAnsi="Arial"/>
          <w:sz w:val="22"/>
          <w:szCs w:val="22"/>
          <w:b w:val="1"/>
          <w:bCs w:val="1"/>
          <w:color w:val="auto"/>
        </w:rPr>
      </w:pPr>
      <w:r>
        <w:rPr>
          <w:rFonts w:ascii="Arial" w:cs="Arial" w:eastAsia="Arial" w:hAnsi="Arial"/>
          <w:sz w:val="22"/>
          <w:szCs w:val="22"/>
          <w:color w:val="auto"/>
        </w:rPr>
        <w:t>Notwithstanding the provisions of this Section 3, no fractional Ordinary Shares or rights for fractional Ordinary Shares shall be created pursuant to this Section 3. The Board shall, in its discretion, determine an equivalent benefit for any fractional Ordinary Shares or fractional Ordinary Shares that might be created by the adjustments referred to in this Section 3.</w:t>
      </w:r>
    </w:p>
    <w:p>
      <w:pPr>
        <w:spacing w:after="0" w:line="183" w:lineRule="exact"/>
        <w:rPr>
          <w:rFonts w:ascii="Arial" w:cs="Arial" w:eastAsia="Arial" w:hAnsi="Arial"/>
          <w:sz w:val="22"/>
          <w:szCs w:val="22"/>
          <w:b w:val="1"/>
          <w:bCs w:val="1"/>
          <w:color w:val="auto"/>
        </w:rPr>
      </w:pPr>
    </w:p>
    <w:p>
      <w:pPr>
        <w:ind w:left="1300" w:hanging="644"/>
        <w:spacing w:after="0"/>
        <w:tabs>
          <w:tab w:leader="none" w:pos="1300" w:val="left"/>
        </w:tabs>
        <w:numPr>
          <w:ilvl w:val="1"/>
          <w:numId w:val="1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You may not be issued any Ordinary Shares in respect of your Award unless either</w:t>
      </w:r>
    </w:p>
    <w:p>
      <w:pPr>
        <w:spacing w:after="0" w:line="84" w:lineRule="exact"/>
        <w:rPr>
          <w:rFonts w:ascii="Arial" w:cs="Arial" w:eastAsia="Arial" w:hAnsi="Arial"/>
          <w:sz w:val="19"/>
          <w:szCs w:val="19"/>
          <w:b w:val="1"/>
          <w:bCs w:val="1"/>
          <w:color w:val="auto"/>
        </w:rPr>
      </w:pPr>
    </w:p>
    <w:p>
      <w:pPr>
        <w:jc w:val="both"/>
        <w:ind w:firstLine="8"/>
        <w:spacing w:after="0" w:line="301" w:lineRule="auto"/>
        <w:tabs>
          <w:tab w:leader="none" w:pos="30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the Ordinary Shares are registered under the Securities Act; or (b)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 The Company shall not be liable if Ordinary Shares cannot be issued to you as a consequence of the Company’s determination that the issuance of Ordinary Shares does not comply with applicable laws and regulations governing the Award.</w:t>
      </w:r>
    </w:p>
    <w:p>
      <w:pPr>
        <w:spacing w:after="0" w:line="174" w:lineRule="exact"/>
        <w:rPr>
          <w:rFonts w:ascii="Arial" w:cs="Arial" w:eastAsia="Arial" w:hAnsi="Arial"/>
          <w:sz w:val="21"/>
          <w:szCs w:val="21"/>
          <w:color w:val="auto"/>
        </w:rPr>
      </w:pPr>
    </w:p>
    <w:p>
      <w:pPr>
        <w:jc w:val="both"/>
        <w:ind w:firstLine="656"/>
        <w:spacing w:after="0" w:line="286" w:lineRule="auto"/>
        <w:tabs>
          <w:tab w:leader="none" w:pos="1296" w:val="left"/>
        </w:tabs>
        <w:numPr>
          <w:ilvl w:val="1"/>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Restrictions. </w:t>
      </w:r>
      <w:r>
        <w:rPr>
          <w:rFonts w:ascii="Arial" w:cs="Arial" w:eastAsia="Arial" w:hAnsi="Arial"/>
          <w:sz w:val="22"/>
          <w:szCs w:val="22"/>
          <w:color w:val="auto"/>
        </w:rPr>
        <w:t>Your Award is not transferable, except by will or by the laws of descent and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6 of this Agreement. After the Ordinary Shares have been issued to you, you are free to assign, hypothecate, donate, encumber or otherwise dispose of any interest in such Ordinary Shares provided that any such actions are in compliance with the provisions herein (including the country-specific Appendix hereto) and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66" w:name="page167"/>
    <w:bookmarkEnd w:id="166"/>
    <w:p>
      <w:pPr>
        <w:ind w:left="1300" w:hanging="644"/>
        <w:spacing w:after="0"/>
        <w:tabs>
          <w:tab w:leader="none" w:pos="130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66" w:lineRule="exact"/>
        <w:rPr>
          <w:rFonts w:ascii="Arial" w:cs="Arial" w:eastAsia="Arial" w:hAnsi="Arial"/>
          <w:sz w:val="22"/>
          <w:szCs w:val="22"/>
          <w:b w:val="1"/>
          <w:bCs w:val="1"/>
          <w:color w:val="auto"/>
        </w:rPr>
      </w:pPr>
    </w:p>
    <w:p>
      <w:pPr>
        <w:jc w:val="both"/>
        <w:ind w:firstLine="1304"/>
        <w:spacing w:after="0" w:line="329" w:lineRule="auto"/>
        <w:tabs>
          <w:tab w:leader="none" w:pos="1939" w:val="left"/>
        </w:tabs>
        <w:numPr>
          <w:ilvl w:val="1"/>
          <w:numId w:val="114"/>
        </w:numPr>
        <w:rPr>
          <w:rFonts w:ascii="Arial" w:cs="Arial" w:eastAsia="Arial" w:hAnsi="Arial"/>
          <w:sz w:val="19"/>
          <w:szCs w:val="19"/>
          <w:b w:val="1"/>
          <w:bCs w:val="1"/>
          <w:color w:val="auto"/>
        </w:rPr>
      </w:pPr>
      <w:r>
        <w:rPr>
          <w:rFonts w:ascii="Arial" w:cs="Arial" w:eastAsia="Arial" w:hAnsi="Arial"/>
          <w:sz w:val="19"/>
          <w:szCs w:val="19"/>
          <w:color w:val="auto"/>
        </w:rPr>
        <w:t>To the extent your Award is exempt from application of Section 409A of the Code and any state or foreign law of similar effect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the Company will deliver to you a number of Ordinary Shares equal to the number of vested RSUs subject to your Award, including any additional RSUs received pursuant to Section 3 of this Agreement that relate to those vested RSUs, on the applicable vesting date(s). However, if a scheduled delivery date falls on a date that is not a U.S. business day, such delivery date shall instead fall on the next following U.S. business day. Notwithstanding the foregoing, in the event that (i) you are subject to the Company’s Policy Regarding Stock Trading by Executive Officers, Directors and Other Designated Employees (or any successor policy) (the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Company’s Policy Against Trading on the Basis of Inside Information, or you are otherwise prohibited from selling Ordinary Shares in the open market and any Ordinary Shares covered by your Award are scheduled to be delivered on a day (the “</w:t>
      </w:r>
      <w:r>
        <w:rPr>
          <w:rFonts w:ascii="Arial" w:cs="Arial" w:eastAsia="Arial" w:hAnsi="Arial"/>
          <w:sz w:val="19"/>
          <w:szCs w:val="19"/>
          <w:b w:val="1"/>
          <w:bCs w:val="1"/>
          <w:i w:val="1"/>
          <w:iCs w:val="1"/>
          <w:color w:val="auto"/>
        </w:rPr>
        <w:t>Original Distribution Date</w:t>
      </w:r>
      <w:r>
        <w:rPr>
          <w:rFonts w:ascii="Arial" w:cs="Arial" w:eastAsia="Arial" w:hAnsi="Arial"/>
          <w:sz w:val="19"/>
          <w:szCs w:val="19"/>
          <w:color w:val="auto"/>
        </w:rPr>
        <w:t>”) that does not occur during an open “window period” applicable to you or a day on which you are permitted to sell Ordinary 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any Tax Related Items (as defined below) by withholding Ordinary Shares from your distribution, then such Ordinary Shares shall not be delivered on such Original Distribution Date and shall instead be delivered on the first U.S. business day of the next occurring open “window period” applicable to you pursuant to the Policy (regardless of whether you are still providing Continuous Service at such time) or the next U.S. business day when you are not prohibited from selling Ordinary Shares in the open market, but in no event later than the fifteenth (15th) day of the third calendar month of the calendar year following the calendar year in which the Ordinary Shares covered by the Award are no longer subject to a “substantial risk of forfeiture” within the meaning of Treasury Regulations Section 1.409A-1(d). Delivery of the Ordinary Shares pursuant to the provisions of this Section 6(a) is intended to comply with the requirements for the short-term deferral exemption available under Treasury Regulations Section 1.409A-1(b)(4) and shall be construed and administered in such manner. The form of such delivery of the Ordinary Shares (</w:t>
      </w:r>
      <w:r>
        <w:rPr>
          <w:rFonts w:ascii="Arial" w:cs="Arial" w:eastAsia="Arial" w:hAnsi="Arial"/>
          <w:sz w:val="19"/>
          <w:szCs w:val="19"/>
          <w:i w:val="1"/>
          <w:iCs w:val="1"/>
          <w:color w:val="auto"/>
        </w:rPr>
        <w:t>e.g.</w:t>
      </w:r>
      <w:r>
        <w:rPr>
          <w:rFonts w:ascii="Arial" w:cs="Arial" w:eastAsia="Arial" w:hAnsi="Arial"/>
          <w:sz w:val="19"/>
          <w:szCs w:val="19"/>
          <w:color w:val="auto"/>
        </w:rPr>
        <w:t>, a share certificate or electronic entry evidencing such Ordinary Shares) shall be determined by the Company.</w:t>
      </w:r>
    </w:p>
    <w:p>
      <w:pPr>
        <w:spacing w:after="0" w:line="200" w:lineRule="exact"/>
        <w:rPr>
          <w:rFonts w:ascii="Arial" w:cs="Arial" w:eastAsia="Arial" w:hAnsi="Arial"/>
          <w:sz w:val="19"/>
          <w:szCs w:val="19"/>
          <w:b w:val="1"/>
          <w:bCs w:val="1"/>
          <w:color w:val="auto"/>
        </w:rPr>
      </w:pPr>
    </w:p>
    <w:p>
      <w:pPr>
        <w:spacing w:after="0" w:line="257" w:lineRule="exact"/>
        <w:rPr>
          <w:rFonts w:ascii="Arial" w:cs="Arial" w:eastAsia="Arial" w:hAnsi="Arial"/>
          <w:sz w:val="19"/>
          <w:szCs w:val="19"/>
          <w:b w:val="1"/>
          <w:bCs w:val="1"/>
          <w:color w:val="auto"/>
        </w:rPr>
      </w:pPr>
    </w:p>
    <w:p>
      <w:pPr>
        <w:jc w:val="both"/>
        <w:ind w:firstLine="1304"/>
        <w:spacing w:after="0" w:line="286" w:lineRule="auto"/>
        <w:tabs>
          <w:tab w:leader="none" w:pos="1938" w:val="left"/>
        </w:tabs>
        <w:numPr>
          <w:ilvl w:val="1"/>
          <w:numId w:val="114"/>
        </w:numPr>
        <w:rPr>
          <w:rFonts w:ascii="Arial" w:cs="Arial" w:eastAsia="Arial" w:hAnsi="Arial"/>
          <w:sz w:val="22"/>
          <w:szCs w:val="22"/>
          <w:b w:val="1"/>
          <w:bCs w:val="1"/>
          <w:color w:val="auto"/>
        </w:rPr>
      </w:pPr>
      <w:r>
        <w:rPr>
          <w:rFonts w:ascii="Arial" w:cs="Arial" w:eastAsia="Arial" w:hAnsi="Arial"/>
          <w:sz w:val="22"/>
          <w:szCs w:val="22"/>
          <w:color w:val="auto"/>
        </w:rPr>
        <w:t>The provisions of this Section 6(b) are intended to apply to the extent you are a U.S. taxpayer and your Award is subject to Section 409A (including, but not limited to, because you are party to a severance arrangement or other agreement between you and the Company (or are eligible for benefits under a severance arrangement, plan or policy maintained by the Company), if any, that provides for acceleration of vesting of your Award upon your termination of employment or separation from service (as such term is defined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67" w:name="page168"/>
    <w:bookmarkEnd w:id="167"/>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409A(a)(2)(A)(i) of the Code (and without regard to any alternative definition thereunder)) (“</w:t>
      </w:r>
      <w:r>
        <w:rPr>
          <w:rFonts w:ascii="Arial" w:cs="Arial" w:eastAsia="Arial" w:hAnsi="Arial"/>
          <w:sz w:val="22"/>
          <w:szCs w:val="22"/>
          <w:b w:val="1"/>
          <w:bCs w:val="1"/>
          <w:i w:val="1"/>
          <w:iCs w:val="1"/>
          <w:color w:val="auto"/>
        </w:rPr>
        <w:t>Separation from Service</w:t>
      </w:r>
      <w:r>
        <w:rPr>
          <w:rFonts w:ascii="Arial" w:cs="Arial" w:eastAsia="Arial" w:hAnsi="Arial"/>
          <w:sz w:val="22"/>
          <w:szCs w:val="22"/>
          <w:color w:val="auto"/>
        </w:rPr>
        <w:t>”) and such severance benefit does not satisfy the requirements for an exemption from application of Section 409A provided under Treasury Regulations Section 1.409A-1(b)(4) or 1.409A-1(b)(9) (“</w:t>
      </w:r>
      <w:r>
        <w:rPr>
          <w:rFonts w:ascii="Arial" w:cs="Arial" w:eastAsia="Arial" w:hAnsi="Arial"/>
          <w:sz w:val="22"/>
          <w:szCs w:val="22"/>
          <w:b w:val="1"/>
          <w:bCs w:val="1"/>
          <w:i w:val="1"/>
          <w:iCs w:val="1"/>
          <w:color w:val="auto"/>
        </w:rPr>
        <w:t>Non-Exempt Severance Arrangement</w:t>
      </w:r>
      <w:r>
        <w:rPr>
          <w:rFonts w:ascii="Arial" w:cs="Arial" w:eastAsia="Arial" w:hAnsi="Arial"/>
          <w:sz w:val="22"/>
          <w:szCs w:val="22"/>
          <w:color w:val="auto"/>
        </w:rPr>
        <w:t>”)). If you are not a U.S. taxpayer, this Section 6(b) shall not apply to you. To the extent your Award is subject to and not exempt from application of Section 409A, the following provisions in this Section 6(b) shall supersede anything to the contrary in Section 6(a) of this Agreement.</w:t>
      </w:r>
    </w:p>
    <w:p>
      <w:pPr>
        <w:spacing w:after="0" w:line="196" w:lineRule="exact"/>
        <w:rPr>
          <w:sz w:val="20"/>
          <w:szCs w:val="20"/>
          <w:color w:val="auto"/>
        </w:rPr>
      </w:pPr>
    </w:p>
    <w:p>
      <w:pPr>
        <w:ind w:left="2580" w:hanging="628"/>
        <w:spacing w:after="0"/>
        <w:tabs>
          <w:tab w:leader="none" w:pos="2580" w:val="left"/>
        </w:tabs>
        <w:numPr>
          <w:ilvl w:val="0"/>
          <w:numId w:val="115"/>
        </w:numPr>
        <w:rPr>
          <w:rFonts w:ascii="Arial" w:cs="Arial" w:eastAsia="Arial" w:hAnsi="Arial"/>
          <w:sz w:val="19"/>
          <w:szCs w:val="19"/>
          <w:b w:val="1"/>
          <w:bCs w:val="1"/>
          <w:color w:val="auto"/>
        </w:rPr>
      </w:pPr>
      <w:r>
        <w:rPr>
          <w:rFonts w:ascii="Arial" w:cs="Arial" w:eastAsia="Arial" w:hAnsi="Arial"/>
          <w:sz w:val="19"/>
          <w:szCs w:val="19"/>
          <w:color w:val="auto"/>
        </w:rPr>
        <w:t xml:space="preserve">If your Award vests in the ordinary course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 without</w:t>
      </w:r>
    </w:p>
    <w:p>
      <w:pPr>
        <w:spacing w:after="0" w:line="78" w:lineRule="exact"/>
        <w:rPr>
          <w:rFonts w:ascii="Arial" w:cs="Arial" w:eastAsia="Arial" w:hAnsi="Arial"/>
          <w:sz w:val="19"/>
          <w:szCs w:val="19"/>
          <w:b w:val="1"/>
          <w:bCs w:val="1"/>
          <w:color w:val="auto"/>
        </w:rPr>
      </w:pPr>
    </w:p>
    <w:p>
      <w:pPr>
        <w:jc w:val="both"/>
        <w:spacing w:after="0" w:line="256" w:lineRule="auto"/>
        <w:rPr>
          <w:rFonts w:ascii="Arial" w:cs="Arial" w:eastAsia="Arial" w:hAnsi="Arial"/>
          <w:sz w:val="19"/>
          <w:szCs w:val="19"/>
          <w:b w:val="1"/>
          <w:bCs w:val="1"/>
          <w:color w:val="auto"/>
        </w:rPr>
      </w:pPr>
      <w:r>
        <w:rPr>
          <w:rFonts w:ascii="Arial" w:cs="Arial" w:eastAsia="Arial" w:hAnsi="Arial"/>
          <w:sz w:val="22"/>
          <w:szCs w:val="22"/>
          <w:color w:val="auto"/>
        </w:rPr>
        <w:t>vesting under the terms of a Non-Exempt Severance Arrangement or pursuant to Section 2(a), 2(b), 11(a), 11(b) or 11(d) of the Agreement, then the Ordinary Shares will be issued in respect of the vested portion of your Award no later than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calendar month following the last day of the Performance Period.</w:t>
      </w:r>
    </w:p>
    <w:p>
      <w:pPr>
        <w:spacing w:after="0" w:line="223" w:lineRule="exact"/>
        <w:rPr>
          <w:rFonts w:ascii="Arial" w:cs="Arial" w:eastAsia="Arial" w:hAnsi="Arial"/>
          <w:sz w:val="19"/>
          <w:szCs w:val="19"/>
          <w:b w:val="1"/>
          <w:bCs w:val="1"/>
          <w:color w:val="auto"/>
        </w:rPr>
      </w:pPr>
    </w:p>
    <w:p>
      <w:pPr>
        <w:jc w:val="both"/>
        <w:ind w:firstLine="1952"/>
        <w:spacing w:after="0" w:line="326" w:lineRule="auto"/>
        <w:tabs>
          <w:tab w:leader="none" w:pos="2586" w:val="left"/>
        </w:tabs>
        <w:numPr>
          <w:ilvl w:val="0"/>
          <w:numId w:val="115"/>
        </w:numPr>
        <w:rPr>
          <w:rFonts w:ascii="Arial" w:cs="Arial" w:eastAsia="Arial" w:hAnsi="Arial"/>
          <w:sz w:val="19"/>
          <w:szCs w:val="19"/>
          <w:b w:val="1"/>
          <w:bCs w:val="1"/>
          <w:color w:val="auto"/>
        </w:rPr>
      </w:pPr>
      <w:r>
        <w:rPr>
          <w:rFonts w:ascii="Arial" w:cs="Arial" w:eastAsia="Arial" w:hAnsi="Arial"/>
          <w:sz w:val="19"/>
          <w:szCs w:val="19"/>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issued in</w:t>
      </w:r>
    </w:p>
    <w:p>
      <w:pPr>
        <w:jc w:val="both"/>
        <w:spacing w:after="0" w:line="293" w:lineRule="auto"/>
        <w:rPr>
          <w:rFonts w:ascii="Arial" w:cs="Arial" w:eastAsia="Arial" w:hAnsi="Arial"/>
          <w:sz w:val="19"/>
          <w:szCs w:val="19"/>
          <w:b w:val="1"/>
          <w:bCs w:val="1"/>
          <w:color w:val="auto"/>
        </w:rPr>
      </w:pPr>
      <w:r>
        <w:rPr>
          <w:rFonts w:ascii="Arial" w:cs="Arial" w:eastAsia="Arial" w:hAnsi="Arial"/>
          <w:sz w:val="20"/>
          <w:szCs w:val="20"/>
          <w:color w:val="auto"/>
        </w:rPr>
        <w:t>respect of the vested portion of your Award upon your Separation from Service in accordance with the terms of the Non-Exempt Severance Arrangement, but in no event later than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date of your Separation from Service. For clarity, if such Non-Exempt Severance Arrangement is the Jazz Pharmaceuticals plc Amended and Restated Executive Change in Control and Severance Benefit Plan (the “</w:t>
      </w:r>
      <w:r>
        <w:rPr>
          <w:rFonts w:ascii="Arial" w:cs="Arial" w:eastAsia="Arial" w:hAnsi="Arial"/>
          <w:sz w:val="20"/>
          <w:szCs w:val="20"/>
          <w:b w:val="1"/>
          <w:bCs w:val="1"/>
          <w:i w:val="1"/>
          <w:iCs w:val="1"/>
          <w:color w:val="auto"/>
        </w:rPr>
        <w:t>CIC Plan</w:t>
      </w:r>
      <w:r>
        <w:rPr>
          <w:rFonts w:ascii="Arial" w:cs="Arial" w:eastAsia="Arial" w:hAnsi="Arial"/>
          <w:sz w:val="20"/>
          <w:szCs w:val="20"/>
          <w:color w:val="auto"/>
        </w:rPr>
        <w:t>”), such Ordinary Shares will be issued on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your Covered Termination (as defined in the CIC Plan) (which, for clarity, must be a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93" w:lineRule="exact"/>
        <w:rPr>
          <w:rFonts w:ascii="Arial" w:cs="Arial" w:eastAsia="Arial" w:hAnsi="Arial"/>
          <w:sz w:val="19"/>
          <w:szCs w:val="19"/>
          <w:b w:val="1"/>
          <w:bCs w:val="1"/>
          <w:color w:val="auto"/>
        </w:rPr>
      </w:pPr>
    </w:p>
    <w:p>
      <w:pPr>
        <w:ind w:left="2600" w:hanging="648"/>
        <w:spacing w:after="0"/>
        <w:tabs>
          <w:tab w:leader="none" w:pos="2600" w:val="left"/>
        </w:tabs>
        <w:numPr>
          <w:ilvl w:val="0"/>
          <w:numId w:val="115"/>
        </w:numPr>
        <w:rPr>
          <w:rFonts w:ascii="Arial" w:cs="Arial" w:eastAsia="Arial" w:hAnsi="Arial"/>
          <w:sz w:val="21"/>
          <w:szCs w:val="21"/>
          <w:b w:val="1"/>
          <w:bCs w:val="1"/>
          <w:color w:val="auto"/>
        </w:rPr>
      </w:pPr>
      <w:r>
        <w:rPr>
          <w:rFonts w:ascii="Arial" w:cs="Arial" w:eastAsia="Arial" w:hAnsi="Arial"/>
          <w:sz w:val="21"/>
          <w:szCs w:val="21"/>
          <w:color w:val="auto"/>
        </w:rPr>
        <w:t>If vesting of your Award accelerates upon your termination of Continuous Service due to your</w:t>
      </w:r>
    </w:p>
    <w:p>
      <w:pPr>
        <w:spacing w:after="0" w:line="55" w:lineRule="exact"/>
        <w:rPr>
          <w:rFonts w:ascii="Arial" w:cs="Arial" w:eastAsia="Arial" w:hAnsi="Arial"/>
          <w:sz w:val="21"/>
          <w:szCs w:val="21"/>
          <w:b w:val="1"/>
          <w:bCs w:val="1"/>
          <w:color w:val="auto"/>
        </w:rPr>
      </w:pPr>
    </w:p>
    <w:p>
      <w:pPr>
        <w:jc w:val="both"/>
        <w:ind w:right="20"/>
        <w:spacing w:after="0" w:line="259" w:lineRule="auto"/>
        <w:rPr>
          <w:rFonts w:ascii="Arial" w:cs="Arial" w:eastAsia="Arial" w:hAnsi="Arial"/>
          <w:sz w:val="21"/>
          <w:szCs w:val="21"/>
          <w:b w:val="1"/>
          <w:bCs w:val="1"/>
          <w:color w:val="auto"/>
        </w:rPr>
      </w:pPr>
      <w:r>
        <w:rPr>
          <w:rFonts w:ascii="Arial" w:cs="Arial" w:eastAsia="Arial" w:hAnsi="Arial"/>
          <w:sz w:val="22"/>
          <w:szCs w:val="22"/>
          <w:color w:val="auto"/>
        </w:rPr>
        <w:t>death under Section 2(a) of this Agreement, then the Ordinary Shares will be issued in respect of the vested portion of your Award to your beneficiary (if any) or to the personal representative of your estate by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that follows the date of your death.</w:t>
      </w:r>
    </w:p>
    <w:p>
      <w:pPr>
        <w:spacing w:after="0" w:line="213" w:lineRule="exact"/>
        <w:rPr>
          <w:rFonts w:ascii="Arial" w:cs="Arial" w:eastAsia="Arial" w:hAnsi="Arial"/>
          <w:sz w:val="21"/>
          <w:szCs w:val="21"/>
          <w:b w:val="1"/>
          <w:bCs w:val="1"/>
          <w:color w:val="auto"/>
        </w:rPr>
      </w:pPr>
    </w:p>
    <w:p>
      <w:pPr>
        <w:jc w:val="both"/>
        <w:ind w:firstLine="1952"/>
        <w:spacing w:after="0" w:line="311" w:lineRule="auto"/>
        <w:tabs>
          <w:tab w:leader="none" w:pos="2580" w:val="left"/>
        </w:tabs>
        <w:numPr>
          <w:ilvl w:val="0"/>
          <w:numId w:val="115"/>
        </w:numPr>
        <w:rPr>
          <w:rFonts w:ascii="Arial" w:cs="Arial" w:eastAsia="Arial" w:hAnsi="Arial"/>
          <w:sz w:val="21"/>
          <w:szCs w:val="21"/>
          <w:b w:val="1"/>
          <w:bCs w:val="1"/>
          <w:color w:val="auto"/>
        </w:rPr>
      </w:pPr>
      <w:r>
        <w:rPr>
          <w:rFonts w:ascii="Arial" w:cs="Arial" w:eastAsia="Arial" w:hAnsi="Arial"/>
          <w:sz w:val="21"/>
          <w:szCs w:val="21"/>
          <w:color w:val="auto"/>
        </w:rPr>
        <w:t>If your Award vests upon your termination of Continuous Service due to your Disability or Retirement under Section 2(b) of this Agreement, then the Ordinary Shares will be issued in respect of the vested portion of your Award in the calendar year following the last day of the Performance Period, but not prior to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 w:lineRule="exact"/>
        <w:rPr>
          <w:sz w:val="20"/>
          <w:szCs w:val="20"/>
          <w:color w:val="auto"/>
        </w:rPr>
      </w:pPr>
    </w:p>
    <w:p>
      <w:pPr>
        <w:jc w:val="both"/>
        <w:ind w:firstLine="1952"/>
        <w:spacing w:after="0" w:line="259" w:lineRule="auto"/>
        <w:tabs>
          <w:tab w:leader="none" w:pos="2587" w:val="left"/>
        </w:tabs>
        <w:numPr>
          <w:ilvl w:val="1"/>
          <w:numId w:val="116"/>
        </w:numPr>
        <w:rPr>
          <w:rFonts w:ascii="Arial" w:cs="Arial" w:eastAsia="Arial" w:hAnsi="Arial"/>
          <w:sz w:val="22"/>
          <w:szCs w:val="22"/>
          <w:b w:val="1"/>
          <w:bCs w:val="1"/>
          <w:color w:val="auto"/>
        </w:rPr>
      </w:pPr>
      <w:r>
        <w:rPr>
          <w:rFonts w:ascii="Arial" w:cs="Arial" w:eastAsia="Arial" w:hAnsi="Arial"/>
          <w:sz w:val="22"/>
          <w:szCs w:val="22"/>
          <w:color w:val="auto"/>
        </w:rPr>
        <w:t>If your Award vests under Section 11(a) of this Agreement, then the Ordinary Shares will be issued in respect of the vested portion of your Award no later than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calendar month following the last day of the Performance Period.</w:t>
      </w:r>
    </w:p>
    <w:p>
      <w:pPr>
        <w:spacing w:after="0" w:line="213" w:lineRule="exact"/>
        <w:rPr>
          <w:rFonts w:ascii="Arial" w:cs="Arial" w:eastAsia="Arial" w:hAnsi="Arial"/>
          <w:sz w:val="22"/>
          <w:szCs w:val="22"/>
          <w:b w:val="1"/>
          <w:bCs w:val="1"/>
          <w:color w:val="auto"/>
        </w:rPr>
      </w:pPr>
    </w:p>
    <w:p>
      <w:pPr>
        <w:ind w:left="2580" w:hanging="628"/>
        <w:spacing w:after="0"/>
        <w:tabs>
          <w:tab w:leader="none" w:pos="2580" w:val="left"/>
        </w:tabs>
        <w:numPr>
          <w:ilvl w:val="1"/>
          <w:numId w:val="116"/>
        </w:numPr>
        <w:rPr>
          <w:rFonts w:ascii="Arial" w:cs="Arial" w:eastAsia="Arial" w:hAnsi="Arial"/>
          <w:sz w:val="21"/>
          <w:szCs w:val="21"/>
          <w:b w:val="1"/>
          <w:bCs w:val="1"/>
          <w:color w:val="auto"/>
        </w:rPr>
      </w:pPr>
      <w:r>
        <w:rPr>
          <w:rFonts w:ascii="Arial" w:cs="Arial" w:eastAsia="Arial" w:hAnsi="Arial"/>
          <w:sz w:val="21"/>
          <w:szCs w:val="21"/>
          <w:color w:val="auto"/>
        </w:rPr>
        <w:t>If vesting of your Award accelerates upon your Involuntary Termination Without Cause under</w:t>
      </w:r>
    </w:p>
    <w:p>
      <w:pPr>
        <w:spacing w:after="0" w:line="55" w:lineRule="exact"/>
        <w:rPr>
          <w:rFonts w:ascii="Arial" w:cs="Arial" w:eastAsia="Arial" w:hAnsi="Arial"/>
          <w:sz w:val="21"/>
          <w:szCs w:val="21"/>
          <w:b w:val="1"/>
          <w:bCs w:val="1"/>
          <w:color w:val="auto"/>
        </w:rPr>
      </w:pPr>
    </w:p>
    <w:p>
      <w:pPr>
        <w:jc w:val="both"/>
        <w:spacing w:after="0" w:line="301" w:lineRule="auto"/>
        <w:rPr>
          <w:rFonts w:ascii="Arial" w:cs="Arial" w:eastAsia="Arial" w:hAnsi="Arial"/>
          <w:sz w:val="21"/>
          <w:szCs w:val="21"/>
          <w:b w:val="1"/>
          <w:bCs w:val="1"/>
          <w:color w:val="auto"/>
        </w:rPr>
      </w:pPr>
      <w:r>
        <w:rPr>
          <w:rFonts w:ascii="Arial" w:cs="Arial" w:eastAsia="Arial" w:hAnsi="Arial"/>
          <w:sz w:val="20"/>
          <w:szCs w:val="20"/>
          <w:color w:val="auto"/>
        </w:rPr>
        <w:t>Section 11(b) of this Agreement, then the Ordinary Shares will be issued in respect of the vested portion of your Award on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date of your Involuntary Termination Without Cause (which, for clarity, must be a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80" w:lineRule="exact"/>
        <w:rPr>
          <w:rFonts w:ascii="Arial" w:cs="Arial" w:eastAsia="Arial" w:hAnsi="Arial"/>
          <w:sz w:val="21"/>
          <w:szCs w:val="21"/>
          <w:b w:val="1"/>
          <w:bCs w:val="1"/>
          <w:color w:val="auto"/>
        </w:rPr>
      </w:pPr>
    </w:p>
    <w:p>
      <w:pPr>
        <w:jc w:val="both"/>
        <w:ind w:firstLine="1952"/>
        <w:spacing w:after="0" w:line="333" w:lineRule="auto"/>
        <w:tabs>
          <w:tab w:leader="none" w:pos="2586" w:val="left"/>
        </w:tabs>
        <w:numPr>
          <w:ilvl w:val="1"/>
          <w:numId w:val="116"/>
        </w:numPr>
        <w:rPr>
          <w:rFonts w:ascii="Arial" w:cs="Arial" w:eastAsia="Arial" w:hAnsi="Arial"/>
          <w:sz w:val="19"/>
          <w:szCs w:val="19"/>
          <w:b w:val="1"/>
          <w:bCs w:val="1"/>
          <w:color w:val="auto"/>
        </w:rPr>
      </w:pPr>
      <w:r>
        <w:rPr>
          <w:rFonts w:ascii="Arial" w:cs="Arial" w:eastAsia="Arial" w:hAnsi="Arial"/>
          <w:sz w:val="19"/>
          <w:szCs w:val="19"/>
          <w:color w:val="auto"/>
        </w:rPr>
        <w:t xml:space="preserve">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in respect of the vested portion of your Award, but such Ordinary Shares shall instead be issued on the same schedule as set forth in Section 6(b)(i) of this Agreement as if they had vested in the ordinary course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 (without vesting under the terms of a Non-Exempt Severance Arrangement or pursuant to Section 2(a), 2(b), 11(a), 11(b) or 11(d) of the Agreement), notwithstanding the vesting acceleration of the Award. Such issuance schedule is intended to satisfy the requirements of payment on a specified date or pursuant to a fixed schedule, as provided under Treasury Regulations Section 1.409A-3(a)(4).</w:t>
      </w:r>
    </w:p>
    <w:p>
      <w:pPr>
        <w:spacing w:after="0" w:line="160" w:lineRule="exact"/>
        <w:rPr>
          <w:rFonts w:ascii="Arial" w:cs="Arial" w:eastAsia="Arial" w:hAnsi="Arial"/>
          <w:sz w:val="19"/>
          <w:szCs w:val="19"/>
          <w:b w:val="1"/>
          <w:bCs w:val="1"/>
          <w:color w:val="auto"/>
        </w:rPr>
      </w:pPr>
    </w:p>
    <w:p>
      <w:pPr>
        <w:jc w:val="both"/>
        <w:ind w:firstLine="1304"/>
        <w:spacing w:after="0" w:line="288" w:lineRule="auto"/>
        <w:tabs>
          <w:tab w:leader="none" w:pos="1941"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If you are a U.S. taxpayer and your Award is subject to and not exempt from Section 409A (a “</w:t>
      </w:r>
      <w:r>
        <w:rPr>
          <w:rFonts w:ascii="Arial" w:cs="Arial" w:eastAsia="Arial" w:hAnsi="Arial"/>
          <w:sz w:val="22"/>
          <w:szCs w:val="22"/>
          <w:b w:val="1"/>
          <w:bCs w:val="1"/>
          <w:i w:val="1"/>
          <w:iCs w:val="1"/>
          <w:color w:val="auto"/>
        </w:rPr>
        <w:t>Non-Exempt Award</w:t>
      </w:r>
      <w:r>
        <w:rPr>
          <w:rFonts w:ascii="Arial" w:cs="Arial" w:eastAsia="Arial" w:hAnsi="Arial"/>
          <w:sz w:val="22"/>
          <w:szCs w:val="22"/>
          <w:color w:val="auto"/>
        </w:rPr>
        <w:t>”), then the provisions in this Section 6(c) shall apply and supersede anything to the contrary that may be set forth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the Plan, the Grant Notice or in any other section of this Agreement with respect to the permitted treatment of your Non-Exempt Award:</w:t>
      </w:r>
    </w:p>
    <w:p>
      <w:pPr>
        <w:spacing w:after="0" w:line="189" w:lineRule="exact"/>
        <w:rPr>
          <w:rFonts w:ascii="Arial" w:cs="Arial" w:eastAsia="Arial" w:hAnsi="Arial"/>
          <w:sz w:val="22"/>
          <w:szCs w:val="22"/>
          <w:b w:val="1"/>
          <w:bCs w:val="1"/>
          <w:color w:val="auto"/>
        </w:rPr>
      </w:pPr>
    </w:p>
    <w:p>
      <w:pPr>
        <w:jc w:val="both"/>
        <w:ind w:firstLine="1952"/>
        <w:spacing w:after="0" w:line="288" w:lineRule="auto"/>
        <w:tabs>
          <w:tab w:leader="none" w:pos="2580" w:val="left"/>
        </w:tabs>
        <w:numPr>
          <w:ilvl w:val="1"/>
          <w:numId w:val="117"/>
        </w:numPr>
        <w:rPr>
          <w:rFonts w:ascii="Arial" w:cs="Arial" w:eastAsia="Arial" w:hAnsi="Arial"/>
          <w:sz w:val="22"/>
          <w:szCs w:val="22"/>
          <w:b w:val="1"/>
          <w:bCs w:val="1"/>
          <w:color w:val="auto"/>
        </w:rPr>
      </w:pPr>
      <w:r>
        <w:rPr>
          <w:rFonts w:ascii="Arial" w:cs="Arial" w:eastAsia="Arial" w:hAnsi="Arial"/>
          <w:sz w:val="22"/>
          <w:szCs w:val="22"/>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 Shares upon the applicable vesting dates would be in compliance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 w:lineRule="exact"/>
        <w:rPr>
          <w:sz w:val="20"/>
          <w:szCs w:val="20"/>
          <w:color w:val="auto"/>
        </w:rPr>
      </w:pPr>
    </w:p>
    <w:p>
      <w:pPr>
        <w:jc w:val="both"/>
        <w:ind w:firstLine="1952"/>
        <w:spacing w:after="0" w:line="286" w:lineRule="auto"/>
        <w:tabs>
          <w:tab w:leader="none" w:pos="2586" w:val="left"/>
        </w:tabs>
        <w:numPr>
          <w:ilvl w:val="1"/>
          <w:numId w:val="118"/>
        </w:numPr>
        <w:rPr>
          <w:rFonts w:ascii="Arial" w:cs="Arial" w:eastAsia="Arial" w:hAnsi="Arial"/>
          <w:sz w:val="22"/>
          <w:szCs w:val="22"/>
          <w:b w:val="1"/>
          <w:bCs w:val="1"/>
          <w:color w:val="auto"/>
        </w:rPr>
      </w:pPr>
      <w:r>
        <w:rPr>
          <w:rFonts w:ascii="Arial" w:cs="Arial" w:eastAsia="Arial" w:hAnsi="Arial"/>
          <w:sz w:val="22"/>
          <w:szCs w:val="22"/>
          <w:color w:val="auto"/>
        </w:rPr>
        <w:t>The Company explicitly reserves the right to (A) earlier settle your Non-Exempt Award to the extent permitted and in compliance with the requirements of Section 409A, including pursuant to any of the exemptions available in Treasury Regulations Section 1.409A-3(j)(4)(i), and (B) provide that you will receive a cash settlement equal to the Fair Market Value of the Ordinary Shares that would otherwise be issued to you, if applicable and in compliance with the requirements of Section 409A.</w:t>
      </w:r>
    </w:p>
    <w:p>
      <w:pPr>
        <w:spacing w:after="0" w:line="193" w:lineRule="exact"/>
        <w:rPr>
          <w:rFonts w:ascii="Arial" w:cs="Arial" w:eastAsia="Arial" w:hAnsi="Arial"/>
          <w:sz w:val="22"/>
          <w:szCs w:val="22"/>
          <w:b w:val="1"/>
          <w:bCs w:val="1"/>
          <w:color w:val="auto"/>
        </w:rPr>
      </w:pPr>
    </w:p>
    <w:p>
      <w:pPr>
        <w:jc w:val="both"/>
        <w:ind w:firstLine="1952"/>
        <w:spacing w:after="0" w:line="332" w:lineRule="auto"/>
        <w:tabs>
          <w:tab w:leader="none" w:pos="2592" w:val="left"/>
        </w:tabs>
        <w:numPr>
          <w:ilvl w:val="1"/>
          <w:numId w:val="118"/>
        </w:numPr>
        <w:rPr>
          <w:rFonts w:ascii="Arial" w:cs="Arial" w:eastAsia="Arial" w:hAnsi="Arial"/>
          <w:sz w:val="19"/>
          <w:szCs w:val="19"/>
          <w:b w:val="1"/>
          <w:bCs w:val="1"/>
          <w:color w:val="auto"/>
        </w:rPr>
      </w:pPr>
      <w:r>
        <w:rPr>
          <w:rFonts w:ascii="Arial" w:cs="Arial" w:eastAsia="Arial" w:hAnsi="Arial"/>
          <w:sz w:val="19"/>
          <w:szCs w:val="19"/>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each as determined under Section 409A(a)(2)(A)(v) of the Code and Treasury Regulations Section 1.409A-3(i)(5) (a “</w:t>
      </w:r>
      <w:r>
        <w:rPr>
          <w:rFonts w:ascii="Arial" w:cs="Arial" w:eastAsia="Arial" w:hAnsi="Arial"/>
          <w:sz w:val="19"/>
          <w:szCs w:val="19"/>
          <w:b w:val="1"/>
          <w:bCs w:val="1"/>
          <w:i w:val="1"/>
          <w:iCs w:val="1"/>
          <w:color w:val="auto"/>
        </w:rPr>
        <w:t>409A Change of Control</w:t>
      </w:r>
      <w:r>
        <w:rPr>
          <w:rFonts w:ascii="Arial" w:cs="Arial" w:eastAsia="Arial" w:hAnsi="Arial"/>
          <w:sz w:val="19"/>
          <w:szCs w:val="19"/>
          <w:color w:val="auto"/>
        </w:rPr>
        <w:t>”). To the extent the terms of your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200" w:lineRule="exact"/>
        <w:rPr>
          <w:rFonts w:ascii="Arial" w:cs="Arial" w:eastAsia="Arial" w:hAnsi="Arial"/>
          <w:sz w:val="19"/>
          <w:szCs w:val="19"/>
          <w:b w:val="1"/>
          <w:bCs w:val="1"/>
          <w:color w:val="auto"/>
        </w:rPr>
      </w:pPr>
    </w:p>
    <w:p>
      <w:pPr>
        <w:spacing w:after="0" w:line="255" w:lineRule="exact"/>
        <w:rPr>
          <w:rFonts w:ascii="Arial" w:cs="Arial" w:eastAsia="Arial" w:hAnsi="Arial"/>
          <w:sz w:val="19"/>
          <w:szCs w:val="19"/>
          <w:b w:val="1"/>
          <w:bCs w:val="1"/>
          <w:color w:val="auto"/>
        </w:rPr>
      </w:pPr>
    </w:p>
    <w:p>
      <w:pPr>
        <w:jc w:val="both"/>
        <w:ind w:firstLine="1952"/>
        <w:spacing w:after="0" w:line="288" w:lineRule="auto"/>
        <w:tabs>
          <w:tab w:leader="none" w:pos="2580" w:val="left"/>
        </w:tabs>
        <w:numPr>
          <w:ilvl w:val="1"/>
          <w:numId w:val="118"/>
        </w:numPr>
        <w:rPr>
          <w:rFonts w:ascii="Arial" w:cs="Arial" w:eastAsia="Arial" w:hAnsi="Arial"/>
          <w:sz w:val="22"/>
          <w:szCs w:val="22"/>
          <w:b w:val="1"/>
          <w:bCs w:val="1"/>
          <w:color w:val="auto"/>
        </w:rPr>
      </w:pPr>
      <w:r>
        <w:rPr>
          <w:rFonts w:ascii="Arial" w:cs="Arial" w:eastAsia="Arial" w:hAnsi="Arial"/>
          <w:sz w:val="22"/>
          <w:szCs w:val="22"/>
          <w:color w:val="auto"/>
        </w:rPr>
        <w:t>The provisions in this Agreement for delivery of the Ordinary Shares in respect of the Non-Exempt Award are intended to comply with the requirements of Section 409A so that the delivery of the Ordinary Shares to you in respect of your Non-Exempt Award will not trigger the additional tax imposed under Section 409A, and any ambiguities herein will be so interpreted.</w:t>
      </w:r>
    </w:p>
    <w:p>
      <w:pPr>
        <w:spacing w:after="0" w:line="183" w:lineRule="exact"/>
        <w:rPr>
          <w:rFonts w:ascii="Arial" w:cs="Arial" w:eastAsia="Arial" w:hAnsi="Arial"/>
          <w:sz w:val="22"/>
          <w:szCs w:val="22"/>
          <w:b w:val="1"/>
          <w:bCs w:val="1"/>
          <w:color w:val="auto"/>
        </w:rPr>
      </w:pPr>
    </w:p>
    <w:p>
      <w:pPr>
        <w:jc w:val="both"/>
        <w:ind w:firstLine="656"/>
        <w:spacing w:after="0" w:line="290" w:lineRule="auto"/>
        <w:tabs>
          <w:tab w:leader="none" w:pos="1296"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Award with respect to any cash dividend, share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or other distribution that does not result from a Capitalization Adjustment as provided in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sentence shall not apply with respect to any Ordinary Shares that are delivered to you in connection with your Award after such Ordinary Shares have been delivered to you.</w:t>
      </w:r>
    </w:p>
    <w:p>
      <w:pPr>
        <w:spacing w:after="0" w:line="181" w:lineRule="exact"/>
        <w:rPr>
          <w:rFonts w:ascii="Arial" w:cs="Arial" w:eastAsia="Arial" w:hAnsi="Arial"/>
          <w:sz w:val="22"/>
          <w:szCs w:val="22"/>
          <w:b w:val="1"/>
          <w:bCs w:val="1"/>
          <w:color w:val="auto"/>
        </w:rPr>
      </w:pPr>
    </w:p>
    <w:p>
      <w:pPr>
        <w:ind w:firstLine="656"/>
        <w:spacing w:after="0" w:line="307" w:lineRule="auto"/>
        <w:tabs>
          <w:tab w:leader="none" w:pos="1296"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Legends. </w:t>
      </w:r>
      <w:r>
        <w:rPr>
          <w:rFonts w:ascii="Arial" w:cs="Arial" w:eastAsia="Arial" w:hAnsi="Arial"/>
          <w:sz w:val="22"/>
          <w:szCs w:val="22"/>
          <w:color w:val="auto"/>
        </w:rPr>
        <w:t>The Ordinary Shares issued in respect of your Award shall be endorsed with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legends determined by the Company.</w:t>
      </w:r>
    </w:p>
    <w:p>
      <w:pPr>
        <w:spacing w:after="0" w:line="16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 w:lineRule="exact"/>
        <w:rPr>
          <w:sz w:val="20"/>
          <w:szCs w:val="20"/>
          <w:color w:val="auto"/>
        </w:rPr>
      </w:pPr>
    </w:p>
    <w:p>
      <w:pPr>
        <w:jc w:val="both"/>
        <w:ind w:firstLine="1304"/>
        <w:spacing w:after="0" w:line="335" w:lineRule="auto"/>
        <w:tabs>
          <w:tab w:leader="none" w:pos="1939" w:val="left"/>
        </w:tabs>
        <w:numPr>
          <w:ilvl w:val="1"/>
          <w:numId w:val="120"/>
        </w:numPr>
        <w:rPr>
          <w:rFonts w:ascii="Arial" w:cs="Arial" w:eastAsia="Arial" w:hAnsi="Arial"/>
          <w:sz w:val="19"/>
          <w:szCs w:val="19"/>
          <w:b w:val="1"/>
          <w:bCs w:val="1"/>
          <w:color w:val="auto"/>
        </w:rPr>
      </w:pPr>
      <w:r>
        <w:rPr>
          <w:rFonts w:ascii="Arial" w:cs="Arial" w:eastAsia="Arial" w:hAnsi="Arial"/>
          <w:sz w:val="19"/>
          <w:szCs w:val="19"/>
          <w:color w:val="auto"/>
        </w:rPr>
        <w:t xml:space="preserve">Nothing in this Agreement (including, but not limited to, the vesting of your Award pursuant to this Agreement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 or the issuance of the Ordinary Shares in respect of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its Affiliates, as applicable, of the right to terminate you without regard to any future vesting opportunity that you may have.</w:t>
      </w:r>
    </w:p>
    <w:p>
      <w:pPr>
        <w:spacing w:after="0" w:line="152" w:lineRule="exact"/>
        <w:rPr>
          <w:rFonts w:ascii="Arial" w:cs="Arial" w:eastAsia="Arial" w:hAnsi="Arial"/>
          <w:sz w:val="19"/>
          <w:szCs w:val="19"/>
          <w:b w:val="1"/>
          <w:bCs w:val="1"/>
          <w:color w:val="auto"/>
        </w:rPr>
      </w:pPr>
    </w:p>
    <w:p>
      <w:pPr>
        <w:jc w:val="both"/>
        <w:ind w:firstLine="1304"/>
        <w:spacing w:after="0" w:line="332" w:lineRule="auto"/>
        <w:tabs>
          <w:tab w:leader="none" w:pos="1938" w:val="left"/>
        </w:tabs>
        <w:numPr>
          <w:ilvl w:val="1"/>
          <w:numId w:val="120"/>
        </w:numPr>
        <w:rPr>
          <w:rFonts w:ascii="Arial" w:cs="Arial" w:eastAsia="Arial" w:hAnsi="Arial"/>
          <w:sz w:val="19"/>
          <w:szCs w:val="19"/>
          <w:b w:val="1"/>
          <w:bCs w:val="1"/>
          <w:color w:val="auto"/>
        </w:rPr>
      </w:pPr>
      <w:r>
        <w:rPr>
          <w:rFonts w:ascii="Arial" w:cs="Arial" w:eastAsia="Arial" w:hAnsi="Arial"/>
          <w:sz w:val="19"/>
          <w:szCs w:val="19"/>
          <w:color w:val="auto"/>
        </w:rPr>
        <w:t xml:space="preserve">By accepting this Award, you acknowledge and agree that the right to vest in the Award pursuant to this Agreement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is earned according to the terms of this Agreement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vest in the Award. You further acknowledge and agree that this Agreement, the Plan, the transactions contemplated hereunder and the vesting terms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right of the Company or its Affiliate, as applicable, to terminate your Continuous Service at any time.</w:t>
      </w:r>
    </w:p>
    <w:p>
      <w:pPr>
        <w:spacing w:after="0" w:line="152" w:lineRule="exact"/>
        <w:rPr>
          <w:rFonts w:ascii="Arial" w:cs="Arial" w:eastAsia="Arial" w:hAnsi="Arial"/>
          <w:sz w:val="19"/>
          <w:szCs w:val="19"/>
          <w:b w:val="1"/>
          <w:bCs w:val="1"/>
          <w:color w:val="auto"/>
        </w:rPr>
      </w:pPr>
    </w:p>
    <w:p>
      <w:pPr>
        <w:ind w:left="1300" w:hanging="644"/>
        <w:spacing w:after="0"/>
        <w:tabs>
          <w:tab w:leader="none" w:pos="130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66" w:lineRule="exact"/>
        <w:rPr>
          <w:rFonts w:ascii="Arial" w:cs="Arial" w:eastAsia="Arial" w:hAnsi="Arial"/>
          <w:sz w:val="22"/>
          <w:szCs w:val="22"/>
          <w:b w:val="1"/>
          <w:bCs w:val="1"/>
          <w:color w:val="auto"/>
        </w:rPr>
      </w:pPr>
    </w:p>
    <w:p>
      <w:pPr>
        <w:jc w:val="both"/>
        <w:ind w:firstLine="1304"/>
        <w:spacing w:after="0" w:line="299" w:lineRule="auto"/>
        <w:tabs>
          <w:tab w:leader="none" w:pos="1939" w:val="left"/>
        </w:tabs>
        <w:numPr>
          <w:ilvl w:val="1"/>
          <w:numId w:val="121"/>
        </w:numPr>
        <w:rPr>
          <w:rFonts w:ascii="Arial" w:cs="Arial" w:eastAsia="Arial" w:hAnsi="Arial"/>
          <w:sz w:val="21"/>
          <w:szCs w:val="21"/>
          <w:b w:val="1"/>
          <w:bCs w:val="1"/>
          <w:color w:val="auto"/>
        </w:rPr>
      </w:pPr>
      <w:r>
        <w:rPr>
          <w:rFonts w:ascii="Arial" w:cs="Arial" w:eastAsia="Arial" w:hAnsi="Arial"/>
          <w:sz w:val="21"/>
          <w:szCs w:val="21"/>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to withhold from the Ordinary Shares issuable to you an amount sufficient to satisfy any income tax, social insurance, payroll tax, fringe benefits tax, payment on account or other tax-related items and foreign tax withholding obligations of the Company or any Affiliate which arise in connection with your Award (the “</w:t>
      </w:r>
      <w:r>
        <w:rPr>
          <w:rFonts w:ascii="Arial" w:cs="Arial" w:eastAsia="Arial" w:hAnsi="Arial"/>
          <w:sz w:val="21"/>
          <w:szCs w:val="21"/>
          <w:b w:val="1"/>
          <w:bCs w:val="1"/>
          <w:i w:val="1"/>
          <w:iCs w:val="1"/>
          <w:color w:val="auto"/>
        </w:rPr>
        <w:t>Tax-Related Items</w:t>
      </w:r>
      <w:r>
        <w:rPr>
          <w:rFonts w:ascii="Arial" w:cs="Arial" w:eastAsia="Arial" w:hAnsi="Arial"/>
          <w:sz w:val="21"/>
          <w:szCs w:val="21"/>
          <w:color w:val="auto"/>
        </w:rPr>
        <w:t>”), where the Fair Market Value of the Ordinary Shares is measured as of the date the Ordinary Shares are issued pursuant to Section 6. Further, to the extent that any obligation to withhold Tax-Related Items arises prior to distribution of the Ordinary Shares, the Company may cause the RSUs to vest and be deemed payable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purpose of satisfying such obligation by withholding of Ordinary Shares as provided for above, where the Fair Market Value of the Ordinary Shares is measured as of such deemed RSU payment date, provided that (i) to avoid a prohibited acceleration under Section 409A, the number of RSUs so vested and deemed payable will not exceed the number necessary to satisfy the liability for the Withholding Taxes; and (ii) if you are subject to Section 16 of the Exchange Act, withholding in Ordinary Shares pursuant to the foregoing will either be approved in advance by the Committee or solely at your election, provided that, for clarity, you will not have any discretion with respect to whether any RSUs will vest pursuant to this Section 10(a).</w:t>
      </w:r>
    </w:p>
    <w:p>
      <w:pPr>
        <w:spacing w:after="0" w:line="152" w:lineRule="exact"/>
        <w:rPr>
          <w:sz w:val="20"/>
          <w:szCs w:val="20"/>
          <w:color w:val="auto"/>
        </w:rPr>
      </w:pPr>
    </w:p>
    <w:p>
      <w:pPr>
        <w:jc w:val="both"/>
        <w:ind w:firstLine="1304"/>
        <w:spacing w:after="0" w:line="298" w:lineRule="auto"/>
        <w:tabs>
          <w:tab w:leader="none" w:pos="1938" w:val="left"/>
        </w:tabs>
        <w:numPr>
          <w:ilvl w:val="0"/>
          <w:numId w:val="122"/>
        </w:numPr>
        <w:rPr>
          <w:rFonts w:ascii="Arial" w:cs="Arial" w:eastAsia="Arial" w:hAnsi="Arial"/>
          <w:sz w:val="21"/>
          <w:szCs w:val="21"/>
          <w:b w:val="1"/>
          <w:bCs w:val="1"/>
          <w:color w:val="auto"/>
        </w:rPr>
      </w:pPr>
      <w:r>
        <w:rPr>
          <w:rFonts w:ascii="Arial" w:cs="Arial" w:eastAsia="Arial" w:hAnsi="Arial"/>
          <w:sz w:val="21"/>
          <w:szCs w:val="21"/>
          <w:color w:val="auto"/>
        </w:rPr>
        <w:t>Additionally, the Company or the Employer may, in its sole discretion, satisfy all or any portion of the Tax-Related 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21"/>
          <w:szCs w:val="21"/>
          <w:b w:val="1"/>
          <w:bCs w:val="1"/>
          <w:i w:val="1"/>
          <w:iCs w:val="1"/>
          <w:color w:val="auto"/>
        </w:rPr>
        <w:t>FINRA Dealer</w:t>
      </w:r>
      <w:r>
        <w:rPr>
          <w:rFonts w:ascii="Arial" w:cs="Arial" w:eastAsia="Arial" w:hAnsi="Arial"/>
          <w:sz w:val="21"/>
          <w:szCs w:val="21"/>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Notwithstanding the foregoing, if you are subject to Section 16 of the Exchange Act, the alternative withholding methods set forth in this Section 10(b) shall not apply to you other than with respect to any withholding obligation for Withholding Taxes that arises prior to the distribution of the Ordinary Shares.</w:t>
      </w:r>
    </w:p>
    <w:p>
      <w:pPr>
        <w:spacing w:after="0" w:line="187" w:lineRule="exact"/>
        <w:rPr>
          <w:rFonts w:ascii="Arial" w:cs="Arial" w:eastAsia="Arial" w:hAnsi="Arial"/>
          <w:sz w:val="21"/>
          <w:szCs w:val="21"/>
          <w:b w:val="1"/>
          <w:bCs w:val="1"/>
          <w:color w:val="auto"/>
        </w:rPr>
      </w:pPr>
    </w:p>
    <w:p>
      <w:pPr>
        <w:jc w:val="both"/>
        <w:ind w:firstLine="1304"/>
        <w:spacing w:after="0" w:line="331" w:lineRule="auto"/>
        <w:tabs>
          <w:tab w:leader="none" w:pos="1941" w:val="left"/>
        </w:tabs>
        <w:numPr>
          <w:ilvl w:val="0"/>
          <w:numId w:val="122"/>
        </w:numPr>
        <w:rPr>
          <w:rFonts w:ascii="Arial" w:cs="Arial" w:eastAsia="Arial" w:hAnsi="Arial"/>
          <w:sz w:val="19"/>
          <w:szCs w:val="19"/>
          <w:b w:val="1"/>
          <w:bCs w:val="1"/>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 issued the full number of Ordinary Shares subject to the vested RSUs, notwithstanding that a number of the Ordinary Shares is held back solely for the purpose of paying the Tax-Related Items. Furthermore, you acknowledge that the Company and/or your Employer make no representations or undertakings regarding the treatment of any Tax-Related Items in connection with any aspect of the Award grant, including, but not limited to, the grant or vesting of the Award,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the Company and/or your Employer (or former employer, as applicable) may be required to withhold or account for Tax-Related Items in more than one jurisdiction.</w:t>
      </w:r>
    </w:p>
    <w:p>
      <w:pPr>
        <w:spacing w:after="0" w:line="173" w:lineRule="exact"/>
        <w:rPr>
          <w:sz w:val="20"/>
          <w:szCs w:val="20"/>
          <w:color w:val="auto"/>
        </w:rPr>
      </w:pPr>
    </w:p>
    <w:p>
      <w:pPr>
        <w:ind w:right="20" w:firstLine="1304"/>
        <w:spacing w:after="0" w:line="302" w:lineRule="auto"/>
        <w:tabs>
          <w:tab w:leader="none" w:pos="1938" w:val="left"/>
        </w:tabs>
        <w:numPr>
          <w:ilvl w:val="1"/>
          <w:numId w:val="123"/>
        </w:numPr>
        <w:rPr>
          <w:rFonts w:ascii="Arial" w:cs="Arial" w:eastAsia="Arial" w:hAnsi="Arial"/>
          <w:sz w:val="22"/>
          <w:szCs w:val="22"/>
          <w:b w:val="1"/>
          <w:bCs w:val="1"/>
          <w:color w:val="auto"/>
        </w:rPr>
      </w:pPr>
      <w:r>
        <w:rPr>
          <w:rFonts w:ascii="Arial" w:cs="Arial" w:eastAsia="Arial" w:hAnsi="Arial"/>
          <w:sz w:val="22"/>
          <w:szCs w:val="22"/>
          <w:color w:val="auto"/>
        </w:rPr>
        <w:t>Unless the Tax-Related Items withholding obligations of the Company and/or the Employer are satisfied, the Company and/or the Employer shall have no obligation to deliver to you any Ordinary Shares.</w:t>
      </w:r>
    </w:p>
    <w:p>
      <w:pPr>
        <w:spacing w:after="0" w:line="173" w:lineRule="exact"/>
        <w:rPr>
          <w:rFonts w:ascii="Arial" w:cs="Arial" w:eastAsia="Arial" w:hAnsi="Arial"/>
          <w:sz w:val="22"/>
          <w:szCs w:val="22"/>
          <w:b w:val="1"/>
          <w:bCs w:val="1"/>
          <w:color w:val="auto"/>
        </w:rPr>
      </w:pPr>
    </w:p>
    <w:p>
      <w:pPr>
        <w:jc w:val="both"/>
        <w:ind w:firstLine="1304"/>
        <w:spacing w:after="0" w:line="291" w:lineRule="auto"/>
        <w:tabs>
          <w:tab w:leader="none" w:pos="1941" w:val="left"/>
        </w:tabs>
        <w:numPr>
          <w:ilvl w:val="1"/>
          <w:numId w:val="123"/>
        </w:numPr>
        <w:rPr>
          <w:rFonts w:ascii="Arial" w:cs="Arial" w:eastAsia="Arial" w:hAnsi="Arial"/>
          <w:sz w:val="22"/>
          <w:szCs w:val="22"/>
          <w:b w:val="1"/>
          <w:bCs w:val="1"/>
          <w:color w:val="auto"/>
        </w:rPr>
      </w:pPr>
      <w:r>
        <w:rPr>
          <w:rFonts w:ascii="Arial" w:cs="Arial" w:eastAsia="Arial" w:hAnsi="Arial"/>
          <w:sz w:val="22"/>
          <w:szCs w:val="22"/>
          <w:color w:val="auto"/>
        </w:rPr>
        <w:t>In the event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180"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66" w:lineRule="exact"/>
        <w:rPr>
          <w:rFonts w:ascii="Arial" w:cs="Arial" w:eastAsia="Arial" w:hAnsi="Arial"/>
          <w:sz w:val="22"/>
          <w:szCs w:val="22"/>
          <w:b w:val="1"/>
          <w:bCs w:val="1"/>
          <w:color w:val="auto"/>
        </w:rPr>
      </w:pPr>
    </w:p>
    <w:p>
      <w:pPr>
        <w:jc w:val="both"/>
        <w:ind w:firstLine="1304"/>
        <w:spacing w:after="0" w:line="333" w:lineRule="auto"/>
        <w:tabs>
          <w:tab w:leader="none" w:pos="1939" w:val="left"/>
        </w:tabs>
        <w:numPr>
          <w:ilvl w:val="1"/>
          <w:numId w:val="124"/>
        </w:numPr>
        <w:rPr>
          <w:rFonts w:ascii="Arial" w:cs="Arial" w:eastAsia="Arial" w:hAnsi="Arial"/>
          <w:sz w:val="19"/>
          <w:szCs w:val="19"/>
          <w:b w:val="1"/>
          <w:bCs w:val="1"/>
          <w:color w:val="auto"/>
        </w:rPr>
      </w:pPr>
      <w:r>
        <w:rPr>
          <w:rFonts w:ascii="Arial" w:cs="Arial" w:eastAsia="Arial" w:hAnsi="Arial"/>
          <w:sz w:val="19"/>
          <w:szCs w:val="19"/>
          <w:color w:val="auto"/>
        </w:rPr>
        <w:t>Notwithstanding anything to the contrary in the Grant Notice, this Agreement or the Plan (but subject to Sections 11(b) and 11(d) of this Agreement), in the event of a Change in Control prior to the last day of the Performance Period, if the Award is assumed or continued or substituted with a similar stock award (including, but not limited to, an award to acquire the same consideration paid to the shareholders of the Company pursuant to such Change in Control) by the surviving or acquiring corporation (or its parent company) in connection with such Change in Control, then to the extent the Award is outstanding on the effective date of such Change in Control, the vesting schedule of the Award will be revised in a manner as though the greater of (i) the number of Target RSUs and (ii) the number of Certified RSUs (such greater number, the “</w:t>
      </w:r>
      <w:r>
        <w:rPr>
          <w:rFonts w:ascii="Arial" w:cs="Arial" w:eastAsia="Arial" w:hAnsi="Arial"/>
          <w:sz w:val="19"/>
          <w:szCs w:val="19"/>
          <w:b w:val="1"/>
          <w:bCs w:val="1"/>
          <w:i w:val="1"/>
          <w:iCs w:val="1"/>
          <w:color w:val="auto"/>
        </w:rPr>
        <w:t>CIC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had been subject solely to a vesting schedule pursuant to which the CIC RSUs would have vested on the last day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Period, subject to your Continuous Service through such date.</w:t>
      </w:r>
    </w:p>
    <w:p>
      <w:pPr>
        <w:spacing w:after="0" w:line="160" w:lineRule="exact"/>
        <w:rPr>
          <w:rFonts w:ascii="Arial" w:cs="Arial" w:eastAsia="Arial" w:hAnsi="Arial"/>
          <w:sz w:val="19"/>
          <w:szCs w:val="19"/>
          <w:b w:val="1"/>
          <w:bCs w:val="1"/>
          <w:color w:val="auto"/>
        </w:rPr>
      </w:pPr>
    </w:p>
    <w:p>
      <w:pPr>
        <w:jc w:val="both"/>
        <w:ind w:firstLine="1304"/>
        <w:spacing w:after="0" w:line="336" w:lineRule="auto"/>
        <w:tabs>
          <w:tab w:leader="none" w:pos="1938" w:val="left"/>
        </w:tabs>
        <w:numPr>
          <w:ilvl w:val="1"/>
          <w:numId w:val="124"/>
        </w:numPr>
        <w:rPr>
          <w:rFonts w:ascii="Arial" w:cs="Arial" w:eastAsia="Arial" w:hAnsi="Arial"/>
          <w:sz w:val="19"/>
          <w:szCs w:val="19"/>
          <w:b w:val="1"/>
          <w:bCs w:val="1"/>
          <w:color w:val="auto"/>
        </w:rPr>
      </w:pPr>
      <w:r>
        <w:rPr>
          <w:rFonts w:ascii="Arial" w:cs="Arial" w:eastAsia="Arial" w:hAnsi="Arial"/>
          <w:sz w:val="19"/>
          <w:szCs w:val="19"/>
          <w:color w:val="auto"/>
        </w:rPr>
        <w:t>If your Continuous Service terminates either within twelve (12) months following or one (1) month prior to the effective date of a Change in Control due to an Involuntary Termination Without Cause, and in each case prior to the last day of the Performance Period, then effective as of the date of such Involuntary Termination Without Cause (or as soon as administratively practicable thereafter, but no later than 60 days following such Involuntary Termination Without Cause), the number of CIC RSUs shall become vested. In order to give effect to the intent of this provision, in the event of your Involuntary Termination Without Cause, notwithstanding anything to the contrary set forth in the Plan or Section 2 of this Agreement, in no event will any portion of this Award be forfeited or terminate any earlier than 60 days following such termination date.</w:t>
      </w:r>
    </w:p>
    <w:p>
      <w:pPr>
        <w:spacing w:after="0" w:line="153" w:lineRule="exact"/>
        <w:rPr>
          <w:rFonts w:ascii="Arial" w:cs="Arial" w:eastAsia="Arial" w:hAnsi="Arial"/>
          <w:sz w:val="19"/>
          <w:szCs w:val="19"/>
          <w:b w:val="1"/>
          <w:bCs w:val="1"/>
          <w:color w:val="auto"/>
        </w:rPr>
      </w:pPr>
    </w:p>
    <w:p>
      <w:pPr>
        <w:ind w:firstLine="1304"/>
        <w:spacing w:after="0" w:line="302" w:lineRule="auto"/>
        <w:tabs>
          <w:tab w:leader="none" w:pos="1941" w:val="left"/>
        </w:tabs>
        <w:numPr>
          <w:ilvl w:val="1"/>
          <w:numId w:val="124"/>
        </w:numPr>
        <w:rPr>
          <w:rFonts w:ascii="Arial" w:cs="Arial" w:eastAsia="Arial" w:hAnsi="Arial"/>
          <w:sz w:val="22"/>
          <w:szCs w:val="22"/>
          <w:b w:val="1"/>
          <w:bCs w:val="1"/>
          <w:color w:val="auto"/>
        </w:rPr>
      </w:pPr>
      <w:r>
        <w:rPr>
          <w:rFonts w:ascii="Arial" w:cs="Arial" w:eastAsia="Arial" w:hAnsi="Arial"/>
          <w:sz w:val="22"/>
          <w:szCs w:val="22"/>
          <w:color w:val="auto"/>
        </w:rPr>
        <w:t>For purposes of Section 11(b) of this Agreement, “</w:t>
      </w:r>
      <w:r>
        <w:rPr>
          <w:rFonts w:ascii="Arial" w:cs="Arial" w:eastAsia="Arial" w:hAnsi="Arial"/>
          <w:sz w:val="22"/>
          <w:szCs w:val="22"/>
          <w:b w:val="1"/>
          <w:bCs w:val="1"/>
          <w:i w:val="1"/>
          <w:iCs w:val="1"/>
          <w:color w:val="auto"/>
        </w:rPr>
        <w:t>Involuntary Termination Without Cause</w:t>
      </w:r>
      <w:r>
        <w:rPr>
          <w:rFonts w:ascii="Arial" w:cs="Arial" w:eastAsia="Arial" w:hAnsi="Arial"/>
          <w:sz w:val="22"/>
          <w:szCs w:val="22"/>
          <w:color w:val="auto"/>
        </w:rPr>
        <w:t>” means the involuntary termination of your Continuous Service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reasons other than death, Disability, or Cause. For this purpose, “Cause” means the occurrence of any of the following events that has a material negative impact on the business or reputation of the Company or an Affiliate: (i) your conviction for any criminal offence (other than an offence under any road traffic legislation for which a fine or non-custodial penalty is imposed) or any offence under any regulation or legislation relating to insider dealing, fraud or dishonesty; (ii) your attempted commission of, or participation in, a fraud or act of dishonesty against the Company or an Affiliate; (iii) your intentional, material violation of any contract or agreement between you and the Company or an Affiliate, or of any statutory duty owed to the Company or an Affiliate; (iv) your unauthorized use or disclosure of the Company’s or an Affiliate’s confidential information or trade secrets; or</w:t>
      </w:r>
    </w:p>
    <w:p>
      <w:pPr>
        <w:spacing w:after="0" w:line="2" w:lineRule="exact"/>
        <w:rPr>
          <w:sz w:val="20"/>
          <w:szCs w:val="20"/>
          <w:color w:val="auto"/>
        </w:rPr>
      </w:pPr>
    </w:p>
    <w:p>
      <w:pPr>
        <w:jc w:val="both"/>
        <w:ind w:firstLine="8"/>
        <w:spacing w:after="0" w:line="346" w:lineRule="auto"/>
        <w:tabs>
          <w:tab w:leader="none" w:pos="30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your gross misconduct. The determination that a termination of your Continuous Service is either for Cause or without Cause shall be made by the Company in its sole discretion. Any determination by the Company (or an Affiliate, if applicable) that your Continuous Service was terminated with or without Cause for the purposes of this Agreement shall have no effect upon any determination of the rights or obligations of the Company or an Affiliate or you for any other purpose.</w:t>
      </w:r>
    </w:p>
    <w:p>
      <w:pPr>
        <w:spacing w:after="0" w:line="144" w:lineRule="exact"/>
        <w:rPr>
          <w:rFonts w:ascii="Arial" w:cs="Arial" w:eastAsia="Arial" w:hAnsi="Arial"/>
          <w:sz w:val="19"/>
          <w:szCs w:val="19"/>
          <w:color w:val="auto"/>
        </w:rPr>
      </w:pPr>
    </w:p>
    <w:p>
      <w:pPr>
        <w:jc w:val="both"/>
        <w:ind w:firstLine="1304"/>
        <w:spacing w:after="0" w:line="326" w:lineRule="auto"/>
        <w:tabs>
          <w:tab w:leader="none" w:pos="1938" w:val="left"/>
        </w:tabs>
        <w:numPr>
          <w:ilvl w:val="2"/>
          <w:numId w:val="125"/>
        </w:numPr>
        <w:rPr>
          <w:rFonts w:ascii="Arial" w:cs="Arial" w:eastAsia="Arial" w:hAnsi="Arial"/>
          <w:sz w:val="19"/>
          <w:szCs w:val="19"/>
          <w:b w:val="1"/>
          <w:bCs w:val="1"/>
          <w:color w:val="auto"/>
        </w:rPr>
      </w:pPr>
      <w:r>
        <w:rPr>
          <w:rFonts w:ascii="Arial" w:cs="Arial" w:eastAsia="Arial" w:hAnsi="Arial"/>
          <w:sz w:val="19"/>
          <w:szCs w:val="19"/>
          <w:color w:val="auto"/>
        </w:rPr>
        <w:t>If you incur a Covered Termination (as defined in the CIC Plan) prior to the last day of the Performance Period and become entitled to vesting of this Award under Section 4(c) of the CIC Plan, then notwithstanding anything in the CIC</w:t>
      </w:r>
    </w:p>
    <w:p>
      <w:pPr>
        <w:jc w:val="both"/>
        <w:spacing w:after="0" w:line="256" w:lineRule="auto"/>
        <w:rPr>
          <w:rFonts w:ascii="Arial" w:cs="Arial" w:eastAsia="Arial" w:hAnsi="Arial"/>
          <w:sz w:val="19"/>
          <w:szCs w:val="19"/>
          <w:b w:val="1"/>
          <w:bCs w:val="1"/>
          <w:color w:val="auto"/>
        </w:rPr>
      </w:pPr>
      <w:r>
        <w:rPr>
          <w:rFonts w:ascii="Arial" w:cs="Arial" w:eastAsia="Arial" w:hAnsi="Arial"/>
          <w:sz w:val="22"/>
          <w:szCs w:val="22"/>
          <w:color w:val="auto"/>
        </w:rPr>
        <w:t>Plan to the contrary, for purposes of such Section, the phrase “shall be accelerated in full” shall mean that the number of CIC RSUs shall become vested. Such vesting will be effective as of the date set forth in the CIC Plan (which, for clarity, is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date of such Covered Termination).</w:t>
      </w:r>
    </w:p>
    <w:p>
      <w:pPr>
        <w:spacing w:after="0" w:line="223" w:lineRule="exact"/>
        <w:rPr>
          <w:rFonts w:ascii="Arial" w:cs="Arial" w:eastAsia="Arial" w:hAnsi="Arial"/>
          <w:sz w:val="19"/>
          <w:szCs w:val="19"/>
          <w:b w:val="1"/>
          <w:bCs w:val="1"/>
          <w:color w:val="auto"/>
        </w:rPr>
      </w:pPr>
    </w:p>
    <w:p>
      <w:pPr>
        <w:jc w:val="both"/>
        <w:ind w:firstLine="1304"/>
        <w:spacing w:after="0" w:line="285" w:lineRule="auto"/>
        <w:tabs>
          <w:tab w:leader="none" w:pos="1941" w:val="left"/>
        </w:tabs>
        <w:numPr>
          <w:ilvl w:val="2"/>
          <w:numId w:val="125"/>
        </w:numPr>
        <w:rPr>
          <w:rFonts w:ascii="Arial" w:cs="Arial" w:eastAsia="Arial" w:hAnsi="Arial"/>
          <w:sz w:val="22"/>
          <w:szCs w:val="22"/>
          <w:b w:val="1"/>
          <w:bCs w:val="1"/>
          <w:color w:val="auto"/>
        </w:rPr>
      </w:pPr>
      <w:r>
        <w:rPr>
          <w:rFonts w:ascii="Arial" w:cs="Arial" w:eastAsia="Arial" w:hAnsi="Arial"/>
          <w:sz w:val="22"/>
          <w:szCs w:val="22"/>
          <w:color w:val="auto"/>
        </w:rPr>
        <w:t>Notwithstanding anything in the Agreement or the CIC Plan to the contrary, if you otherwise become entitled to vesting of this Award under more than one of the Special Vesting Provisions, only the Special Vesting Provision that would provide you with the most favorable vesting benefit will be deemed to be applicable to this Award and any other Special Vesting Provision will be deemed to be inapplicable to this Award. For purposes of the Agreement, “</w:t>
      </w:r>
      <w:r>
        <w:rPr>
          <w:rFonts w:ascii="Arial" w:cs="Arial" w:eastAsia="Arial" w:hAnsi="Arial"/>
          <w:sz w:val="22"/>
          <w:szCs w:val="22"/>
          <w:b w:val="1"/>
          <w:bCs w:val="1"/>
          <w:i w:val="1"/>
          <w:iCs w:val="1"/>
          <w:color w:val="auto"/>
        </w:rPr>
        <w:t>Special Vesting Provisions</w:t>
      </w:r>
      <w:r>
        <w:rPr>
          <w:rFonts w:ascii="Arial" w:cs="Arial" w:eastAsia="Arial" w:hAnsi="Arial"/>
          <w:sz w:val="22"/>
          <w:szCs w:val="22"/>
          <w:color w:val="auto"/>
        </w:rPr>
        <w:t>” means Sections 2(a), 2(b), 11(a) and 11(b) of the Agreement, and Section 4(c) of the CIC Plan, as clarified and set forth in Section 11(d) of the Agreement.</w:t>
      </w:r>
    </w:p>
    <w:p>
      <w:pPr>
        <w:spacing w:after="0" w:line="189" w:lineRule="exact"/>
        <w:rPr>
          <w:rFonts w:ascii="Arial" w:cs="Arial" w:eastAsia="Arial" w:hAnsi="Arial"/>
          <w:sz w:val="22"/>
          <w:szCs w:val="22"/>
          <w:b w:val="1"/>
          <w:bCs w:val="1"/>
          <w:color w:val="auto"/>
        </w:rPr>
      </w:pPr>
    </w:p>
    <w:p>
      <w:pPr>
        <w:ind w:left="1300" w:hanging="644"/>
        <w:spacing w:after="0"/>
        <w:tabs>
          <w:tab w:leader="none" w:pos="1300" w:val="left"/>
        </w:tabs>
        <w:numPr>
          <w:ilvl w:val="1"/>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66" w:lineRule="exact"/>
        <w:rPr>
          <w:rFonts w:ascii="Arial" w:cs="Arial" w:eastAsia="Arial" w:hAnsi="Arial"/>
          <w:sz w:val="22"/>
          <w:szCs w:val="22"/>
          <w:b w:val="1"/>
          <w:bCs w:val="1"/>
          <w:color w:val="auto"/>
        </w:rPr>
      </w:pPr>
    </w:p>
    <w:p>
      <w:pPr>
        <w:jc w:val="both"/>
        <w:ind w:firstLine="1304"/>
        <w:spacing w:after="0" w:line="286" w:lineRule="auto"/>
        <w:tabs>
          <w:tab w:leader="none" w:pos="1939" w:val="left"/>
        </w:tabs>
        <w:numPr>
          <w:ilvl w:val="2"/>
          <w:numId w:val="126"/>
        </w:numPr>
        <w:rPr>
          <w:rFonts w:ascii="Arial" w:cs="Arial" w:eastAsia="Arial" w:hAnsi="Arial"/>
          <w:sz w:val="22"/>
          <w:szCs w:val="22"/>
          <w:b w:val="1"/>
          <w:bCs w:val="1"/>
          <w:color w:val="auto"/>
        </w:rPr>
      </w:pPr>
      <w:r>
        <w:rPr>
          <w:rFonts w:ascii="Arial" w:cs="Arial" w:eastAsia="Arial" w:hAnsi="Arial"/>
          <w:sz w:val="22"/>
          <w:szCs w:val="22"/>
          <w:color w:val="auto"/>
        </w:rPr>
        <w:t>If you are a U.S. taxpayer and if any payment or benefit you would receive from the Company or otherwise in connection with a Change in Control or other similar transaction (“</w:t>
      </w:r>
      <w:r>
        <w:rPr>
          <w:rFonts w:ascii="Arial" w:cs="Arial" w:eastAsia="Arial" w:hAnsi="Arial"/>
          <w:sz w:val="22"/>
          <w:szCs w:val="22"/>
          <w:b w:val="1"/>
          <w:bCs w:val="1"/>
          <w:i w:val="1"/>
          <w:iCs w:val="1"/>
          <w:color w:val="auto"/>
        </w:rPr>
        <w:t>Payment</w:t>
      </w:r>
      <w:r>
        <w:rPr>
          <w:rFonts w:ascii="Arial" w:cs="Arial" w:eastAsia="Arial" w:hAnsi="Arial"/>
          <w:sz w:val="22"/>
          <w:szCs w:val="22"/>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2"/>
          <w:szCs w:val="22"/>
          <w:b w:val="1"/>
          <w:bCs w:val="1"/>
          <w:i w:val="1"/>
          <w:iCs w:val="1"/>
          <w:color w:val="auto"/>
        </w:rPr>
        <w:t>Excise Tax</w:t>
      </w:r>
      <w:r>
        <w:rPr>
          <w:rFonts w:ascii="Arial" w:cs="Arial" w:eastAsia="Arial" w:hAnsi="Arial"/>
          <w:sz w:val="22"/>
          <w:szCs w:val="22"/>
          <w:color w:val="auto"/>
        </w:rPr>
        <w:t>”), then such Payment shall be equal to the Reduced Amount. The “Reduced Amount” shall be either (x) the largest portion of the Payment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would result in no portion of the Payment being subject to the Excise Tax, or (y) the largest portion, up to and including the total, of the Payment, whichever amount ((x) or (y)), after taking into account all applicable federal, state, foreign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52" w:lineRule="exact"/>
        <w:rPr>
          <w:sz w:val="20"/>
          <w:szCs w:val="20"/>
          <w:color w:val="auto"/>
        </w:rPr>
      </w:pPr>
    </w:p>
    <w:p>
      <w:pPr>
        <w:jc w:val="both"/>
        <w:ind w:firstLine="1304"/>
        <w:spacing w:after="0" w:line="285" w:lineRule="auto"/>
        <w:tabs>
          <w:tab w:leader="none" w:pos="1938"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92" w:lineRule="exact"/>
        <w:rPr>
          <w:rFonts w:ascii="Arial" w:cs="Arial" w:eastAsia="Arial" w:hAnsi="Arial"/>
          <w:sz w:val="22"/>
          <w:szCs w:val="22"/>
          <w:b w:val="1"/>
          <w:bCs w:val="1"/>
          <w:color w:val="auto"/>
        </w:rPr>
      </w:pPr>
    </w:p>
    <w:p>
      <w:pPr>
        <w:jc w:val="both"/>
        <w:ind w:firstLine="1304"/>
        <w:spacing w:after="0" w:line="341" w:lineRule="auto"/>
        <w:tabs>
          <w:tab w:leader="none" w:pos="1941" w:val="left"/>
        </w:tabs>
        <w:numPr>
          <w:ilvl w:val="1"/>
          <w:numId w:val="127"/>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142" w:lineRule="exact"/>
        <w:rPr>
          <w:rFonts w:ascii="Arial" w:cs="Arial" w:eastAsia="Arial" w:hAnsi="Arial"/>
          <w:sz w:val="19"/>
          <w:szCs w:val="19"/>
          <w:b w:val="1"/>
          <w:bCs w:val="1"/>
          <w:color w:val="auto"/>
        </w:rPr>
      </w:pPr>
    </w:p>
    <w:p>
      <w:pPr>
        <w:jc w:val="both"/>
        <w:ind w:firstLine="656"/>
        <w:spacing w:after="0" w:line="301" w:lineRule="auto"/>
        <w:tabs>
          <w:tab w:leader="none" w:pos="1296" w:val="left"/>
        </w:tabs>
        <w:numPr>
          <w:ilvl w:val="0"/>
          <w:numId w:val="1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Unsecured Obligation. </w:t>
      </w:r>
      <w:r>
        <w:rPr>
          <w:rFonts w:ascii="Arial" w:cs="Arial" w:eastAsia="Arial" w:hAnsi="Arial"/>
          <w:sz w:val="21"/>
          <w:szCs w:val="21"/>
          <w:color w:val="auto"/>
        </w:rPr>
        <w:t>Your Award is unfunded, and as a holder of a vested Award, you shall be considered an</w:t>
      </w:r>
      <w:r>
        <w:rPr>
          <w:rFonts w:ascii="Arial" w:cs="Arial" w:eastAsia="Arial" w:hAnsi="Arial"/>
          <w:sz w:val="21"/>
          <w:szCs w:val="21"/>
          <w:b w:val="1"/>
          <w:bCs w:val="1"/>
          <w:color w:val="auto"/>
        </w:rPr>
        <w:t xml:space="preserve"> </w:t>
      </w:r>
      <w:r>
        <w:rPr>
          <w:rFonts w:ascii="Arial" w:cs="Arial" w:eastAsia="Arial" w:hAnsi="Arial"/>
          <w:sz w:val="21"/>
          <w:szCs w:val="21"/>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4" w:lineRule="exact"/>
        <w:rPr>
          <w:rFonts w:ascii="Arial" w:cs="Arial" w:eastAsia="Arial" w:hAnsi="Arial"/>
          <w:sz w:val="21"/>
          <w:szCs w:val="21"/>
          <w:b w:val="1"/>
          <w:bCs w:val="1"/>
          <w:color w:val="auto"/>
        </w:rPr>
      </w:pPr>
    </w:p>
    <w:p>
      <w:pPr>
        <w:jc w:val="both"/>
        <w:ind w:firstLine="656"/>
        <w:spacing w:after="0" w:line="294" w:lineRule="auto"/>
        <w:tabs>
          <w:tab w:leader="none" w:pos="1296"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or the right to receive a document providing the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Rule 428(b)(1) promulgated under the Securities Act, which includes the Plan prospectus. In addition, you acknowledge receipt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Company’s policy permitting officers and directors to sell Ordinary Shares only during certain “window” periods and the Company’s insider trading policy, in effect from time to time.</w:t>
      </w:r>
    </w:p>
    <w:p>
      <w:pPr>
        <w:spacing w:after="0" w:line="167"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In accepting the grant, you acknowledge, understand and agree that:</w:t>
      </w:r>
    </w:p>
    <w:p>
      <w:pPr>
        <w:spacing w:after="0" w:line="266" w:lineRule="exact"/>
        <w:rPr>
          <w:rFonts w:ascii="Arial" w:cs="Arial" w:eastAsia="Arial" w:hAnsi="Arial"/>
          <w:sz w:val="22"/>
          <w:szCs w:val="22"/>
          <w:b w:val="1"/>
          <w:bCs w:val="1"/>
          <w:color w:val="auto"/>
        </w:rPr>
      </w:pPr>
    </w:p>
    <w:p>
      <w:pPr>
        <w:ind w:firstLine="1304"/>
        <w:spacing w:after="0" w:line="302" w:lineRule="auto"/>
        <w:tabs>
          <w:tab w:leader="none" w:pos="1939" w:val="left"/>
        </w:tabs>
        <w:numPr>
          <w:ilvl w:val="1"/>
          <w:numId w:val="129"/>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Arial" w:cs="Arial" w:eastAsia="Arial" w:hAnsi="Arial"/>
          <w:sz w:val="22"/>
          <w:szCs w:val="22"/>
          <w:b w:val="1"/>
          <w:bCs w:val="1"/>
          <w:color w:val="auto"/>
        </w:rPr>
      </w:pPr>
    </w:p>
    <w:p>
      <w:pPr>
        <w:ind w:firstLine="1304"/>
        <w:spacing w:after="0" w:line="302" w:lineRule="auto"/>
        <w:tabs>
          <w:tab w:leader="none" w:pos="1938" w:val="left"/>
        </w:tabs>
        <w:numPr>
          <w:ilvl w:val="1"/>
          <w:numId w:val="129"/>
        </w:numPr>
        <w:rPr>
          <w:rFonts w:ascii="Arial" w:cs="Arial" w:eastAsia="Arial" w:hAnsi="Arial"/>
          <w:sz w:val="22"/>
          <w:szCs w:val="22"/>
          <w:b w:val="1"/>
          <w:bCs w:val="1"/>
          <w:color w:val="auto"/>
        </w:rPr>
      </w:pPr>
      <w:r>
        <w:rPr>
          <w:rFonts w:ascii="Arial" w:cs="Arial" w:eastAsia="Arial" w:hAnsi="Arial"/>
          <w:sz w:val="22"/>
          <w:szCs w:val="22"/>
          <w:color w:val="auto"/>
        </w:rPr>
        <w:t>the Award grant is voluntary and occasional and does not create any contractual or other right to receive future grants of RSUs, or benefits in lieu of RSUs, even if RSUs have been granted in the past;</w:t>
      </w:r>
    </w:p>
    <w:p>
      <w:pPr>
        <w:spacing w:after="0" w:line="173" w:lineRule="exact"/>
        <w:rPr>
          <w:rFonts w:ascii="Arial" w:cs="Arial" w:eastAsia="Arial" w:hAnsi="Arial"/>
          <w:sz w:val="22"/>
          <w:szCs w:val="22"/>
          <w:b w:val="1"/>
          <w:bCs w:val="1"/>
          <w:color w:val="auto"/>
        </w:rPr>
      </w:pPr>
    </w:p>
    <w:p>
      <w:pPr>
        <w:ind w:left="1940" w:hanging="636"/>
        <w:spacing w:after="0"/>
        <w:tabs>
          <w:tab w:leader="none" w:pos="1940" w:val="left"/>
        </w:tabs>
        <w:numPr>
          <w:ilvl w:val="1"/>
          <w:numId w:val="129"/>
        </w:numPr>
        <w:rPr>
          <w:rFonts w:ascii="Arial" w:cs="Arial" w:eastAsia="Arial" w:hAnsi="Arial"/>
          <w:sz w:val="19"/>
          <w:szCs w:val="19"/>
          <w:b w:val="1"/>
          <w:bCs w:val="1"/>
          <w:color w:val="auto"/>
        </w:rPr>
      </w:pPr>
      <w:r>
        <w:rPr>
          <w:rFonts w:ascii="Arial" w:cs="Arial" w:eastAsia="Arial" w:hAnsi="Arial"/>
          <w:sz w:val="19"/>
          <w:szCs w:val="19"/>
          <w:color w:val="auto"/>
        </w:rPr>
        <w:t>all decisions with respect to future grants of RSUs or other grants, if any, will be at the sole discretion of</w:t>
      </w:r>
    </w:p>
    <w:p>
      <w:pPr>
        <w:spacing w:after="0" w:line="7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Company;</w:t>
      </w:r>
    </w:p>
    <w:p>
      <w:pPr>
        <w:spacing w:after="0" w:line="260" w:lineRule="exact"/>
        <w:rPr>
          <w:rFonts w:ascii="Arial" w:cs="Arial" w:eastAsia="Arial" w:hAnsi="Arial"/>
          <w:sz w:val="19"/>
          <w:szCs w:val="19"/>
          <w:b w:val="1"/>
          <w:bCs w:val="1"/>
          <w:color w:val="auto"/>
        </w:rPr>
      </w:pPr>
    </w:p>
    <w:p>
      <w:pPr>
        <w:ind w:left="1940" w:hanging="636"/>
        <w:spacing w:after="0"/>
        <w:tabs>
          <w:tab w:leader="none" w:pos="1940" w:val="left"/>
        </w:tabs>
        <w:numPr>
          <w:ilvl w:val="1"/>
          <w:numId w:val="129"/>
        </w:numPr>
        <w:rPr>
          <w:rFonts w:ascii="Arial" w:cs="Arial" w:eastAsia="Arial" w:hAnsi="Arial"/>
          <w:sz w:val="22"/>
          <w:szCs w:val="22"/>
          <w:b w:val="1"/>
          <w:bCs w:val="1"/>
          <w:color w:val="auto"/>
        </w:rPr>
      </w:pPr>
      <w:r>
        <w:rPr>
          <w:rFonts w:ascii="Arial" w:cs="Arial" w:eastAsia="Arial" w:hAnsi="Arial"/>
          <w:sz w:val="22"/>
          <w:szCs w:val="22"/>
          <w:color w:val="auto"/>
        </w:rPr>
        <w:t>you are voluntarily participating in the Plan;</w:t>
      </w:r>
    </w:p>
    <w:p>
      <w:pPr>
        <w:spacing w:after="0" w:line="260" w:lineRule="exact"/>
        <w:rPr>
          <w:rFonts w:ascii="Arial" w:cs="Arial" w:eastAsia="Arial" w:hAnsi="Arial"/>
          <w:sz w:val="22"/>
          <w:szCs w:val="22"/>
          <w:b w:val="1"/>
          <w:bCs w:val="1"/>
          <w:color w:val="auto"/>
        </w:rPr>
      </w:pPr>
    </w:p>
    <w:p>
      <w:pPr>
        <w:ind w:right="20" w:firstLine="1304"/>
        <w:spacing w:after="0" w:line="302" w:lineRule="auto"/>
        <w:tabs>
          <w:tab w:leader="none" w:pos="1941" w:val="left"/>
        </w:tabs>
        <w:numPr>
          <w:ilvl w:val="1"/>
          <w:numId w:val="129"/>
        </w:numPr>
        <w:rPr>
          <w:rFonts w:ascii="Arial" w:cs="Arial" w:eastAsia="Arial" w:hAnsi="Arial"/>
          <w:sz w:val="22"/>
          <w:szCs w:val="22"/>
          <w:b w:val="1"/>
          <w:bCs w:val="1"/>
          <w:color w:val="auto"/>
        </w:rPr>
      </w:pPr>
      <w:r>
        <w:rPr>
          <w:rFonts w:ascii="Arial" w:cs="Arial" w:eastAsia="Arial" w:hAnsi="Arial"/>
          <w:sz w:val="22"/>
          <w:szCs w:val="22"/>
          <w:color w:val="auto"/>
        </w:rPr>
        <w:t>the RSUs and the Ordinary Shares subject to the RSUs, and the income and value of same, are not intended to replace any pension rights or compensation;</w:t>
      </w:r>
    </w:p>
    <w:p>
      <w:pPr>
        <w:spacing w:after="0" w:line="173" w:lineRule="exact"/>
        <w:rPr>
          <w:rFonts w:ascii="Arial" w:cs="Arial" w:eastAsia="Arial" w:hAnsi="Arial"/>
          <w:sz w:val="22"/>
          <w:szCs w:val="22"/>
          <w:b w:val="1"/>
          <w:bCs w:val="1"/>
          <w:color w:val="auto"/>
        </w:rPr>
      </w:pPr>
    </w:p>
    <w:p>
      <w:pPr>
        <w:jc w:val="both"/>
        <w:ind w:firstLine="1304"/>
        <w:spacing w:after="0" w:line="288" w:lineRule="auto"/>
        <w:tabs>
          <w:tab w:leader="none" w:pos="1944" w:val="left"/>
        </w:tabs>
        <w:numPr>
          <w:ilvl w:val="1"/>
          <w:numId w:val="129"/>
        </w:numPr>
        <w:rPr>
          <w:rFonts w:ascii="Arial" w:cs="Arial" w:eastAsia="Arial" w:hAnsi="Arial"/>
          <w:sz w:val="22"/>
          <w:szCs w:val="22"/>
          <w:b w:val="1"/>
          <w:bCs w:val="1"/>
          <w:color w:val="auto"/>
        </w:rPr>
      </w:pPr>
      <w:r>
        <w:rPr>
          <w:rFonts w:ascii="Arial" w:cs="Arial" w:eastAsia="Arial" w:hAnsi="Arial"/>
          <w:sz w:val="22"/>
          <w:szCs w:val="22"/>
          <w:color w:val="auto"/>
        </w:rPr>
        <w:t>the RSUs and the Ordinary Shares subject to the RSUs,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89" w:lineRule="exact"/>
        <w:rPr>
          <w:rFonts w:ascii="Arial" w:cs="Arial" w:eastAsia="Arial" w:hAnsi="Arial"/>
          <w:sz w:val="22"/>
          <w:szCs w:val="22"/>
          <w:b w:val="1"/>
          <w:bCs w:val="1"/>
          <w:color w:val="auto"/>
        </w:rPr>
      </w:pPr>
    </w:p>
    <w:p>
      <w:pPr>
        <w:ind w:left="1940" w:hanging="636"/>
        <w:spacing w:after="0"/>
        <w:tabs>
          <w:tab w:leader="none" w:pos="1940" w:val="left"/>
        </w:tabs>
        <w:numPr>
          <w:ilvl w:val="1"/>
          <w:numId w:val="129"/>
        </w:numPr>
        <w:rPr>
          <w:rFonts w:ascii="Arial" w:cs="Arial" w:eastAsia="Arial" w:hAnsi="Arial"/>
          <w:sz w:val="19"/>
          <w:szCs w:val="19"/>
          <w:b w:val="1"/>
          <w:bCs w:val="1"/>
          <w:color w:val="auto"/>
        </w:rPr>
      </w:pPr>
      <w:r>
        <w:rPr>
          <w:rFonts w:ascii="Arial" w:cs="Arial" w:eastAsia="Arial" w:hAnsi="Arial"/>
          <w:sz w:val="19"/>
          <w:szCs w:val="19"/>
          <w:color w:val="auto"/>
        </w:rPr>
        <w:t>the future value of the underlying Ordinary Shares is unknown, indeterminable and cannot be predicted</w:t>
      </w:r>
    </w:p>
    <w:p>
      <w:pPr>
        <w:spacing w:after="0" w:line="7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with certainty;</w:t>
      </w:r>
    </w:p>
    <w:p>
      <w:pPr>
        <w:spacing w:after="0" w:line="260" w:lineRule="exact"/>
        <w:rPr>
          <w:rFonts w:ascii="Arial" w:cs="Arial" w:eastAsia="Arial" w:hAnsi="Arial"/>
          <w:sz w:val="19"/>
          <w:szCs w:val="19"/>
          <w:b w:val="1"/>
          <w:bCs w:val="1"/>
          <w:color w:val="auto"/>
        </w:rPr>
      </w:pPr>
    </w:p>
    <w:p>
      <w:pPr>
        <w:jc w:val="both"/>
        <w:ind w:firstLine="1304"/>
        <w:spacing w:after="0" w:line="346" w:lineRule="auto"/>
        <w:tabs>
          <w:tab w:leader="none" w:pos="1938" w:val="left"/>
        </w:tabs>
        <w:numPr>
          <w:ilvl w:val="1"/>
          <w:numId w:val="129"/>
        </w:numPr>
        <w:rPr>
          <w:rFonts w:ascii="Arial" w:cs="Arial" w:eastAsia="Arial" w:hAnsi="Arial"/>
          <w:sz w:val="19"/>
          <w:szCs w:val="19"/>
          <w:b w:val="1"/>
          <w:bCs w:val="1"/>
          <w:color w:val="auto"/>
        </w:rPr>
      </w:pPr>
      <w:r>
        <w:rPr>
          <w:rFonts w:ascii="Arial" w:cs="Arial" w:eastAsia="Arial" w:hAnsi="Arial"/>
          <w:sz w:val="19"/>
          <w:szCs w:val="19"/>
          <w:color w:val="auto"/>
        </w:rPr>
        <w:t>no claim or entitlement to compensation or damages shall arise from forfeiture of the Award resulting from the termination of your Continuous Service (for any reason whatsoever, whether or not later found to be invalid or in breach of employment laws in the jurisdiction where you are providing Continuous Service or the terms of your employment agreement, if any), and in consideration of the Award, you agree not to institute any claim against the Company, any Affiliate or the Employer;</w:t>
      </w:r>
    </w:p>
    <w:p>
      <w:pPr>
        <w:spacing w:after="0" w:line="144" w:lineRule="exact"/>
        <w:rPr>
          <w:rFonts w:ascii="Arial" w:cs="Arial" w:eastAsia="Arial" w:hAnsi="Arial"/>
          <w:sz w:val="19"/>
          <w:szCs w:val="19"/>
          <w:b w:val="1"/>
          <w:bCs w:val="1"/>
          <w:color w:val="auto"/>
        </w:rPr>
      </w:pPr>
    </w:p>
    <w:p>
      <w:pPr>
        <w:jc w:val="both"/>
        <w:ind w:firstLine="1304"/>
        <w:spacing w:after="0" w:line="291" w:lineRule="auto"/>
        <w:tabs>
          <w:tab w:leader="none" w:pos="1932" w:val="left"/>
        </w:tabs>
        <w:numPr>
          <w:ilvl w:val="1"/>
          <w:numId w:val="129"/>
        </w:numPr>
        <w:rPr>
          <w:rFonts w:ascii="Arial" w:cs="Arial" w:eastAsia="Arial" w:hAnsi="Arial"/>
          <w:sz w:val="22"/>
          <w:szCs w:val="22"/>
          <w:b w:val="1"/>
          <w:bCs w:val="1"/>
          <w:color w:val="auto"/>
        </w:rPr>
      </w:pPr>
      <w:r>
        <w:rPr>
          <w:rFonts w:ascii="Arial" w:cs="Arial" w:eastAsia="Arial" w:hAnsi="Arial"/>
          <w:sz w:val="22"/>
          <w:szCs w:val="22"/>
          <w:color w:val="auto"/>
        </w:rPr>
        <w:t>unless otherwise agreed with the Company, the RSUs and the Ordinary Shares subject to the RSUs, and the income and value of same, are not granted as consideration for, or in connection with, the service you may provide as a director of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 w:lineRule="exact"/>
        <w:rPr>
          <w:sz w:val="20"/>
          <w:szCs w:val="20"/>
          <w:color w:val="auto"/>
        </w:rPr>
      </w:pPr>
    </w:p>
    <w:p>
      <w:pPr>
        <w:jc w:val="both"/>
        <w:ind w:firstLine="1304"/>
        <w:spacing w:after="0" w:line="288" w:lineRule="auto"/>
        <w:tabs>
          <w:tab w:leader="none" w:pos="1944" w:val="left"/>
        </w:tabs>
        <w:numPr>
          <w:ilvl w:val="1"/>
          <w:numId w:val="130"/>
        </w:numPr>
        <w:rPr>
          <w:rFonts w:ascii="Arial" w:cs="Arial" w:eastAsia="Arial" w:hAnsi="Arial"/>
          <w:sz w:val="22"/>
          <w:szCs w:val="22"/>
          <w:b w:val="1"/>
          <w:bCs w:val="1"/>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Ordinary Shares; and</w:t>
      </w:r>
    </w:p>
    <w:p>
      <w:pPr>
        <w:spacing w:after="0" w:line="189" w:lineRule="exact"/>
        <w:rPr>
          <w:rFonts w:ascii="Arial" w:cs="Arial" w:eastAsia="Arial" w:hAnsi="Arial"/>
          <w:sz w:val="22"/>
          <w:szCs w:val="22"/>
          <w:b w:val="1"/>
          <w:bCs w:val="1"/>
          <w:color w:val="auto"/>
        </w:rPr>
      </w:pPr>
    </w:p>
    <w:p>
      <w:pPr>
        <w:jc w:val="both"/>
        <w:ind w:firstLine="1304"/>
        <w:spacing w:after="0" w:line="356" w:lineRule="auto"/>
        <w:tabs>
          <w:tab w:leader="none" w:pos="1938" w:val="left"/>
        </w:tabs>
        <w:numPr>
          <w:ilvl w:val="1"/>
          <w:numId w:val="130"/>
        </w:numPr>
        <w:rPr>
          <w:rFonts w:ascii="Arial" w:cs="Arial" w:eastAsia="Arial" w:hAnsi="Arial"/>
          <w:sz w:val="19"/>
          <w:szCs w:val="19"/>
          <w:b w:val="1"/>
          <w:bCs w:val="1"/>
          <w:color w:val="auto"/>
        </w:rPr>
      </w:pPr>
      <w:r>
        <w:rPr>
          <w:rFonts w:ascii="Arial" w:cs="Arial" w:eastAsia="Arial" w:hAnsi="Arial"/>
          <w:sz w:val="19"/>
          <w:szCs w:val="19"/>
          <w:color w:val="auto"/>
        </w:rPr>
        <w:t>neither the Company, the Employer nor any Affiliate shall be liable for any foreign exchange rate fluctuation between your local currency and the United States Dollar that may affect the value of the Award or of any amounts due to you pursuant to the settlement of the Award or the subsequent sale of any Ordinary Shares acquired upon settlement</w:t>
      </w:r>
    </w:p>
    <w:p>
      <w:pPr>
        <w:spacing w:after="0" w:line="128" w:lineRule="exact"/>
        <w:rPr>
          <w:rFonts w:ascii="Arial" w:cs="Arial" w:eastAsia="Arial" w:hAnsi="Arial"/>
          <w:sz w:val="19"/>
          <w:szCs w:val="19"/>
          <w:b w:val="1"/>
          <w:bCs w:val="1"/>
          <w:color w:val="auto"/>
        </w:rPr>
      </w:pPr>
    </w:p>
    <w:p>
      <w:pPr>
        <w:jc w:val="both"/>
        <w:ind w:firstLine="656"/>
        <w:spacing w:after="0" w:line="290" w:lineRule="auto"/>
        <w:tabs>
          <w:tab w:leader="none" w:pos="1296"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Advice Regarding Grant. </w:t>
      </w:r>
      <w:r>
        <w:rPr>
          <w:rFonts w:ascii="Arial" w:cs="Arial" w:eastAsia="Arial" w:hAnsi="Arial"/>
          <w:sz w:val="22"/>
          <w:szCs w:val="22"/>
          <w:color w:val="auto"/>
        </w:rPr>
        <w:t>The Company is not providing any tax, legal or financial advice, nor is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making any recommendations regarding your participation in the Plan, or your acquisition or sale of the underlying Ordinary Shares. You are hereby advised to consult with your own personal tax, legal and financial advisors regarding your participation in the Plan before taking any action related to the Plan.</w:t>
      </w:r>
    </w:p>
    <w:p>
      <w:pPr>
        <w:spacing w:after="0" w:line="181" w:lineRule="exact"/>
        <w:rPr>
          <w:rFonts w:ascii="Arial" w:cs="Arial" w:eastAsia="Arial" w:hAnsi="Arial"/>
          <w:sz w:val="22"/>
          <w:szCs w:val="22"/>
          <w:b w:val="1"/>
          <w:bCs w:val="1"/>
          <w:color w:val="auto"/>
        </w:rPr>
      </w:pPr>
    </w:p>
    <w:p>
      <w:pPr>
        <w:jc w:val="both"/>
        <w:ind w:firstLine="656"/>
        <w:spacing w:after="0" w:line="339" w:lineRule="auto"/>
        <w:tabs>
          <w:tab w:leader="none" w:pos="1296"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Employer, the Company and any Affiliate may collect, use, process, transfer or disclose your</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Information for the purpose of implementing, administering and managing your participation in the Plan, in accordance with the Jazz Pharmaceuticals Employee Data Privacy Notice you have previously received. (Please contact Human Resources if you would like to receive another copy of this notice.) For example, your Personal Information may be directly or indirectly transferred to E*TRADE or any other third party stock plan service provider as may be selected by the Company, and any other third parties assisting the Company with the implementation, administration and management of the Plan</w:t>
      </w:r>
    </w:p>
    <w:p>
      <w:pPr>
        <w:spacing w:after="0" w:line="146" w:lineRule="exact"/>
        <w:rPr>
          <w:rFonts w:ascii="Arial" w:cs="Arial" w:eastAsia="Arial" w:hAnsi="Arial"/>
          <w:sz w:val="19"/>
          <w:szCs w:val="19"/>
          <w:b w:val="1"/>
          <w:bCs w:val="1"/>
          <w:color w:val="auto"/>
        </w:rPr>
      </w:pPr>
    </w:p>
    <w:p>
      <w:pPr>
        <w:ind w:right="20" w:firstLine="656"/>
        <w:spacing w:after="0" w:line="307" w:lineRule="auto"/>
        <w:tabs>
          <w:tab w:leader="none" w:pos="1296"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The Award and the provisions of this Agreement are governed by,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without regard to the conflict of law provisions.</w:t>
      </w:r>
    </w:p>
    <w:p>
      <w:pPr>
        <w:spacing w:after="0" w:line="169"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84" w:lineRule="exact"/>
        <w:rPr>
          <w:sz w:val="20"/>
          <w:szCs w:val="20"/>
          <w:color w:val="auto"/>
        </w:rPr>
      </w:pPr>
    </w:p>
    <w:p>
      <w:pPr>
        <w:jc w:val="both"/>
        <w:ind w:firstLine="656"/>
        <w:spacing w:after="0" w:line="294" w:lineRule="auto"/>
        <w:tabs>
          <w:tab w:leader="none" w:pos="1296"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Language. </w:t>
      </w:r>
      <w:r>
        <w:rPr>
          <w:rFonts w:ascii="Arial" w:cs="Arial" w:eastAsia="Arial" w:hAnsi="Arial"/>
          <w:sz w:val="22"/>
          <w:szCs w:val="22"/>
          <w:color w:val="auto"/>
        </w:rPr>
        <w:t>If you have received this Agreement or any other document related to the Plan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7" w:name="page178"/>
    <w:bookmarkEnd w:id="177"/>
    <w:p>
      <w:pPr>
        <w:jc w:val="both"/>
        <w:ind w:firstLine="656"/>
        <w:spacing w:after="0" w:line="288" w:lineRule="auto"/>
        <w:tabs>
          <w:tab w:leader="none" w:pos="1296"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Appendix. </w:t>
      </w:r>
      <w:r>
        <w:rPr>
          <w:rFonts w:ascii="Arial" w:cs="Arial" w:eastAsia="Arial" w:hAnsi="Arial"/>
          <w:sz w:val="22"/>
          <w:szCs w:val="22"/>
          <w:color w:val="auto"/>
        </w:rPr>
        <w:t>Notwithstanding any provisions in this Agreement, the Award shall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83" w:lineRule="exact"/>
        <w:rPr>
          <w:rFonts w:ascii="Arial" w:cs="Arial" w:eastAsia="Arial" w:hAnsi="Arial"/>
          <w:sz w:val="22"/>
          <w:szCs w:val="22"/>
          <w:b w:val="1"/>
          <w:bCs w:val="1"/>
          <w:color w:val="auto"/>
        </w:rPr>
      </w:pPr>
    </w:p>
    <w:p>
      <w:pPr>
        <w:jc w:val="both"/>
        <w:ind w:firstLine="656"/>
        <w:spacing w:after="0" w:line="300" w:lineRule="auto"/>
        <w:tabs>
          <w:tab w:leader="none" w:pos="1296"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Notices; Electronic Delivery. </w:t>
      </w:r>
      <w:r>
        <w:rPr>
          <w:rFonts w:ascii="Arial" w:cs="Arial" w:eastAsia="Arial" w:hAnsi="Arial"/>
          <w:sz w:val="21"/>
          <w:szCs w:val="21"/>
          <w:color w:val="auto"/>
        </w:rPr>
        <w:t>Any notices provided for in your Award or the Plan shall be given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electronically) and shall be deemed effectively given upon receipt or, in the case of notices delivered by the Company to you, five (5)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7" w:lineRule="exact"/>
        <w:rPr>
          <w:rFonts w:ascii="Arial" w:cs="Arial" w:eastAsia="Arial" w:hAnsi="Arial"/>
          <w:sz w:val="21"/>
          <w:szCs w:val="21"/>
          <w:b w:val="1"/>
          <w:bCs w:val="1"/>
          <w:color w:val="auto"/>
        </w:rPr>
      </w:pPr>
    </w:p>
    <w:p>
      <w:pPr>
        <w:ind w:left="1300" w:hanging="644"/>
        <w:spacing w:after="0"/>
        <w:tabs>
          <w:tab w:leader="none" w:pos="130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rFonts w:ascii="Arial" w:cs="Arial" w:eastAsia="Arial" w:hAnsi="Arial"/>
          <w:sz w:val="22"/>
          <w:szCs w:val="22"/>
          <w:b w:val="1"/>
          <w:bCs w:val="1"/>
          <w:color w:val="auto"/>
        </w:rPr>
      </w:pPr>
    </w:p>
    <w:p>
      <w:pPr>
        <w:jc w:val="both"/>
        <w:ind w:firstLine="1304"/>
        <w:spacing w:after="0" w:line="291" w:lineRule="auto"/>
        <w:tabs>
          <w:tab w:leader="none" w:pos="1939"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All covenants and agreements hereunder shall inure to the benefit of, and be enforceable by the Company’s successors and assigns, if any. Your rights and obligations under your Award may only be assigned with the prior written consent of the Company.</w:t>
      </w:r>
    </w:p>
    <w:p>
      <w:pPr>
        <w:spacing w:after="0" w:line="186" w:lineRule="exact"/>
        <w:rPr>
          <w:rFonts w:ascii="Arial" w:cs="Arial" w:eastAsia="Arial" w:hAnsi="Arial"/>
          <w:sz w:val="22"/>
          <w:szCs w:val="22"/>
          <w:b w:val="1"/>
          <w:bCs w:val="1"/>
          <w:color w:val="auto"/>
        </w:rPr>
      </w:pPr>
    </w:p>
    <w:p>
      <w:pPr>
        <w:ind w:firstLine="1304"/>
        <w:spacing w:after="0" w:line="302" w:lineRule="auto"/>
        <w:tabs>
          <w:tab w:leader="none" w:pos="1938"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173" w:lineRule="exact"/>
        <w:rPr>
          <w:rFonts w:ascii="Arial" w:cs="Arial" w:eastAsia="Arial" w:hAnsi="Arial"/>
          <w:sz w:val="22"/>
          <w:szCs w:val="22"/>
          <w:b w:val="1"/>
          <w:bCs w:val="1"/>
          <w:color w:val="auto"/>
        </w:rPr>
      </w:pPr>
    </w:p>
    <w:p>
      <w:pPr>
        <w:ind w:firstLine="1304"/>
        <w:spacing w:after="0" w:line="387" w:lineRule="auto"/>
        <w:tabs>
          <w:tab w:leader="none" w:pos="1941" w:val="left"/>
        </w:tabs>
        <w:numPr>
          <w:ilvl w:val="1"/>
          <w:numId w:val="133"/>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05" w:lineRule="exact"/>
        <w:rPr>
          <w:rFonts w:ascii="Arial" w:cs="Arial" w:eastAsia="Arial" w:hAnsi="Arial"/>
          <w:sz w:val="19"/>
          <w:szCs w:val="19"/>
          <w:b w:val="1"/>
          <w:bCs w:val="1"/>
          <w:color w:val="auto"/>
        </w:rPr>
      </w:pPr>
    </w:p>
    <w:p>
      <w:pPr>
        <w:ind w:firstLine="1304"/>
        <w:spacing w:after="0" w:line="302" w:lineRule="auto"/>
        <w:tabs>
          <w:tab w:leader="none" w:pos="1938"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pacing w:after="0" w:line="173" w:lineRule="exact"/>
        <w:rPr>
          <w:rFonts w:ascii="Arial" w:cs="Arial" w:eastAsia="Arial" w:hAnsi="Arial"/>
          <w:sz w:val="22"/>
          <w:szCs w:val="22"/>
          <w:b w:val="1"/>
          <w:bCs w:val="1"/>
          <w:color w:val="auto"/>
        </w:rPr>
      </w:pPr>
    </w:p>
    <w:p>
      <w:pPr>
        <w:jc w:val="both"/>
        <w:ind w:firstLine="1304"/>
        <w:spacing w:after="0" w:line="291" w:lineRule="auto"/>
        <w:tabs>
          <w:tab w:leader="none" w:pos="1941"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78" w:name="page179"/>
    <w:bookmarkEnd w:id="178"/>
    <w:p>
      <w:pPr>
        <w:spacing w:after="0" w:line="2" w:lineRule="exact"/>
        <w:rPr>
          <w:sz w:val="20"/>
          <w:szCs w:val="20"/>
          <w:color w:val="auto"/>
        </w:rPr>
      </w:pPr>
    </w:p>
    <w:p>
      <w:pPr>
        <w:jc w:val="both"/>
        <w:ind w:firstLine="1304"/>
        <w:spacing w:after="0" w:line="291" w:lineRule="auto"/>
        <w:tabs>
          <w:tab w:leader="none" w:pos="1944" w:val="left"/>
        </w:tabs>
        <w:numPr>
          <w:ilvl w:val="1"/>
          <w:numId w:val="134"/>
        </w:numPr>
        <w:rPr>
          <w:rFonts w:ascii="Arial" w:cs="Arial" w:eastAsia="Arial" w:hAnsi="Arial"/>
          <w:sz w:val="22"/>
          <w:szCs w:val="22"/>
          <w:b w:val="1"/>
          <w:bCs w:val="1"/>
          <w:color w:val="auto"/>
        </w:rPr>
      </w:pPr>
      <w:r>
        <w:rPr>
          <w:rFonts w:ascii="Arial" w:cs="Arial" w:eastAsia="Arial" w:hAnsi="Arial"/>
          <w:sz w:val="22"/>
          <w:szCs w:val="22"/>
          <w:color w:val="auto"/>
        </w:rPr>
        <w:t>The Committee shall have complete and absolute discretion to make the determinations called for under this Agreement, and all such determinations shall be binding on you and on any person who claims all or any part of your Award on your behalf as well as on the Company.</w:t>
      </w:r>
    </w:p>
    <w:p>
      <w:pPr>
        <w:spacing w:after="0" w:line="180" w:lineRule="exact"/>
        <w:rPr>
          <w:rFonts w:ascii="Arial" w:cs="Arial" w:eastAsia="Arial" w:hAnsi="Arial"/>
          <w:sz w:val="22"/>
          <w:szCs w:val="22"/>
          <w:b w:val="1"/>
          <w:bCs w:val="1"/>
          <w:color w:val="auto"/>
        </w:rPr>
      </w:pPr>
    </w:p>
    <w:p>
      <w:pPr>
        <w:jc w:val="both"/>
        <w:ind w:firstLine="656"/>
        <w:spacing w:after="0" w:line="333" w:lineRule="auto"/>
        <w:tabs>
          <w:tab w:leader="none" w:pos="1296"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Insider Trading / Market Abuse Laws. </w:t>
      </w:r>
      <w:r>
        <w:rPr>
          <w:rFonts w:ascii="Arial" w:cs="Arial" w:eastAsia="Arial" w:hAnsi="Arial"/>
          <w:sz w:val="19"/>
          <w:szCs w:val="19"/>
          <w:color w:val="auto"/>
        </w:rPr>
        <w:t>You may be subject to insider trading restrictions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based on the exchange on which the Ordinary Shares are listed and in applicable jurisdictions including the United States and your country or your broker’s country, if different, which may affect your ability to accept, acquire, sell or otherwise dispose of Ordinary Shares, rights to Ordinary Shares (e.g., RSUs) or rights linked to the value of Ordinary Shares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(a) disclosing the inside information to any third party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148" w:lineRule="exact"/>
        <w:rPr>
          <w:rFonts w:ascii="Arial" w:cs="Arial" w:eastAsia="Arial" w:hAnsi="Arial"/>
          <w:sz w:val="19"/>
          <w:szCs w:val="19"/>
          <w:b w:val="1"/>
          <w:bCs w:val="1"/>
          <w:color w:val="auto"/>
        </w:rPr>
      </w:pPr>
    </w:p>
    <w:p>
      <w:pPr>
        <w:jc w:val="both"/>
        <w:ind w:firstLine="656"/>
        <w:spacing w:after="0" w:line="285" w:lineRule="auto"/>
        <w:tabs>
          <w:tab w:leader="none" w:pos="1296"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Foreign Asset/Account, Exchange Control and Tax Reporting. </w:t>
      </w:r>
      <w:r>
        <w:rPr>
          <w:rFonts w:ascii="Arial" w:cs="Arial" w:eastAsia="Arial" w:hAnsi="Arial"/>
          <w:sz w:val="22"/>
          <w:szCs w:val="22"/>
          <w:color w:val="auto"/>
        </w:rPr>
        <w:t>You may be subject to foreign asset/account,</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control and/or tax reporting requirements as a result of the acquisition, holding and/or transfer of Ordinary Shares or cash (including dividends and the proceeds arising from the sale of Ordinary Shares) derived from your participation in the Plan, to and/or from a brokerage/bank account or legal entity located outside your country. The applicable laws of your country may require that you report such accounts, assets, the balances therein, the value thereof and/or the transactions related thereto to the applicable authorities in such country. You acknowledge that you are responsible for ensuring compliance with any applicable foreign asset/account, exchange control and tax reporting requirements and should consult your personal legal advisor on this matter.</w:t>
      </w:r>
    </w:p>
    <w:p>
      <w:pPr>
        <w:spacing w:after="0" w:line="188" w:lineRule="exact"/>
        <w:rPr>
          <w:rFonts w:ascii="Arial" w:cs="Arial" w:eastAsia="Arial" w:hAnsi="Arial"/>
          <w:sz w:val="22"/>
          <w:szCs w:val="22"/>
          <w:b w:val="1"/>
          <w:bCs w:val="1"/>
          <w:color w:val="auto"/>
        </w:rPr>
      </w:pPr>
    </w:p>
    <w:p>
      <w:pPr>
        <w:jc w:val="both"/>
        <w:ind w:firstLine="656"/>
        <w:spacing w:after="0" w:line="339" w:lineRule="auto"/>
        <w:tabs>
          <w:tab w:leader="none" w:pos="1296" w:val="left"/>
        </w:tabs>
        <w:numPr>
          <w:ilvl w:val="0"/>
          <w:numId w:val="1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Your Award is subject to all the provisions of the Plan, the provisions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clawback policy adopted by the Company and any compensation recovery policy otherwise required by applicable law.</w:t>
      </w:r>
    </w:p>
    <w:p>
      <w:pPr>
        <w:spacing w:after="0" w:line="266" w:lineRule="exact"/>
        <w:rPr>
          <w:sz w:val="20"/>
          <w:szCs w:val="20"/>
          <w:color w:val="auto"/>
        </w:rPr>
      </w:pPr>
    </w:p>
    <w:p>
      <w:pPr>
        <w:jc w:val="both"/>
        <w:ind w:firstLine="656"/>
        <w:spacing w:after="0" w:line="288" w:lineRule="auto"/>
        <w:tabs>
          <w:tab w:leader="none" w:pos="1296"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Agreement or the Plan is declared by any court or governmental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3" w:lineRule="exact"/>
        <w:rPr>
          <w:rFonts w:ascii="Arial" w:cs="Arial" w:eastAsia="Arial" w:hAnsi="Arial"/>
          <w:sz w:val="22"/>
          <w:szCs w:val="22"/>
          <w:b w:val="1"/>
          <w:bCs w:val="1"/>
          <w:color w:val="auto"/>
        </w:rPr>
      </w:pPr>
    </w:p>
    <w:p>
      <w:pPr>
        <w:jc w:val="both"/>
        <w:ind w:firstLine="656"/>
        <w:spacing w:after="0" w:line="360" w:lineRule="auto"/>
        <w:tabs>
          <w:tab w:leader="none" w:pos="1296" w:val="left"/>
        </w:tabs>
        <w:numPr>
          <w:ilvl w:val="0"/>
          <w:numId w:val="1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you, the provisions of this Agreement in any way it may deem necessary or advisable for legal or administrative reasons, and to require you to sign any additional agreements or undertakings that may be necessary to accomplish the foregoing.</w:t>
      </w:r>
    </w:p>
    <w:p>
      <w:pPr>
        <w:spacing w:after="0" w:line="123" w:lineRule="exact"/>
        <w:rPr>
          <w:rFonts w:ascii="Arial" w:cs="Arial" w:eastAsia="Arial" w:hAnsi="Arial"/>
          <w:sz w:val="19"/>
          <w:szCs w:val="19"/>
          <w:b w:val="1"/>
          <w:bCs w:val="1"/>
          <w:color w:val="auto"/>
        </w:rPr>
      </w:pPr>
    </w:p>
    <w:p>
      <w:pPr>
        <w:ind w:firstLine="656"/>
        <w:spacing w:after="0" w:line="307" w:lineRule="auto"/>
        <w:tabs>
          <w:tab w:leader="none" w:pos="1296"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Sections in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a part of this Agreement or to affect the meaning of this Agreement.</w:t>
      </w:r>
    </w:p>
    <w:p>
      <w:pPr>
        <w:spacing w:after="0" w:line="162" w:lineRule="exact"/>
        <w:rPr>
          <w:rFonts w:ascii="Arial" w:cs="Arial" w:eastAsia="Arial" w:hAnsi="Arial"/>
          <w:sz w:val="22"/>
          <w:szCs w:val="22"/>
          <w:b w:val="1"/>
          <w:bCs w:val="1"/>
          <w:color w:val="auto"/>
        </w:rPr>
      </w:pPr>
    </w:p>
    <w:p>
      <w:pPr>
        <w:jc w:val="both"/>
        <w:ind w:firstLine="656"/>
        <w:spacing w:after="0" w:line="294" w:lineRule="auto"/>
        <w:tabs>
          <w:tab w:leader="none" w:pos="1296"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any other provision of this Agreement, or of any subsequent breach by you or any other Participant.</w:t>
      </w:r>
    </w:p>
    <w:p>
      <w:pPr>
        <w:spacing w:after="0" w:line="183" w:lineRule="exact"/>
        <w:rPr>
          <w:rFonts w:ascii="Arial" w:cs="Arial" w:eastAsia="Arial" w:hAnsi="Arial"/>
          <w:sz w:val="22"/>
          <w:szCs w:val="22"/>
          <w:b w:val="1"/>
          <w:bCs w:val="1"/>
          <w:color w:val="auto"/>
        </w:rPr>
      </w:pPr>
    </w:p>
    <w:p>
      <w:pPr>
        <w:ind w:left="5240"/>
        <w:spacing w:after="0"/>
        <w:rPr>
          <w:rFonts w:ascii="Arial" w:cs="Arial" w:eastAsia="Arial" w:hAnsi="Arial"/>
          <w:sz w:val="22"/>
          <w:szCs w:val="22"/>
          <w:b w:val="1"/>
          <w:bCs w:val="1"/>
          <w:color w:val="auto"/>
        </w:rPr>
      </w:pPr>
      <w:r>
        <w:rPr>
          <w:rFonts w:ascii="Arial" w:cs="Arial" w:eastAsia="Arial" w:hAnsi="Arial"/>
          <w:sz w:val="22"/>
          <w:szCs w:val="22"/>
          <w:color w:val="auto"/>
        </w:rPr>
        <w:t>* * * * *</w:t>
      </w:r>
    </w:p>
    <w:p>
      <w:pPr>
        <w:spacing w:after="0" w:line="2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By signing the Non-U.S. Performance Restricted Stock Unit Award Grant Notice to which this Non-U.S. Performance Restricted Stock Unit Award Agreement is attached, you shall be deemed to have signed and agreed to the terms and conditions of this Non-U.S. Performance Restricted Stock Unit Award Agreement.</w:t>
      </w:r>
    </w:p>
    <w:p>
      <w:pPr>
        <w:spacing w:after="0" w:line="187"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80" w:name="page181"/>
    <w:bookmarkEnd w:id="180"/>
    <w:p>
      <w:pPr>
        <w:jc w:val="right"/>
        <w:ind w:right="3999"/>
        <w:spacing w:after="0"/>
        <w:rPr>
          <w:sz w:val="20"/>
          <w:szCs w:val="20"/>
          <w:color w:val="auto"/>
        </w:rPr>
      </w:pPr>
      <w:r>
        <w:rPr>
          <w:rFonts w:ascii="Arial" w:cs="Arial" w:eastAsia="Arial" w:hAnsi="Arial"/>
          <w:sz w:val="25"/>
          <w:szCs w:val="25"/>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0139"/>
          </w:cols>
          <w:pgMar w:left="320" w:top="1440"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b w:val="1"/>
          <w:bCs w:val="1"/>
          <w:color w:val="auto"/>
        </w:rPr>
        <w:t>APPENDIX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RESTRICTED STOCK UNIT AWARD AGREEMENT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66" w:lineRule="exact"/>
        <w:rPr>
          <w:sz w:val="20"/>
          <w:szCs w:val="20"/>
          <w:color w:val="auto"/>
        </w:rPr>
      </w:pPr>
    </w:p>
    <w:p>
      <w:pPr>
        <w:jc w:val="both"/>
        <w:spacing w:after="0" w:line="291" w:lineRule="auto"/>
        <w:rPr>
          <w:sz w:val="20"/>
          <w:szCs w:val="20"/>
          <w:color w:val="auto"/>
        </w:rPr>
      </w:pPr>
      <w:r>
        <w:rPr>
          <w:rFonts w:ascii="Arial" w:cs="Arial" w:eastAsia="Arial" w:hAnsi="Arial"/>
          <w:sz w:val="22"/>
          <w:szCs w:val="22"/>
          <w:color w:val="auto"/>
        </w:rPr>
        <w:t>This Appendix contains additional terms and conditions that govern the Award granted under the Plan to you if you reside and/or work in one of the countries listed below. Certain capitalized terms used but not defined in this Appendix have the meanings set forth in the Plan and/or the Agreement.</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If you are a citizen or resident of a country other than the one in which you are currently working, transfer employment and/or residency after the RSUs are granted, or are considered a resident of another country for local law purposes, the information contained herein may not be applicable to you, and the Company shall, in its discretion, determine to what extent the terms and conditions contained herein shall apply to you.</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This Appendix contains information regarding exchange controls and certain other issues of which you should be aware with respect to participation in the Plan. The information is based on the securities, exchange control, and other laws in effect in the respective countries as of January 2021.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vest in the RSUs or sell Ordinary Shares acquired pursuant thereto.</w:t>
      </w:r>
    </w:p>
    <w:p>
      <w:pPr>
        <w:spacing w:after="0" w:line="196" w:lineRule="exact"/>
        <w:rPr>
          <w:sz w:val="20"/>
          <w:szCs w:val="20"/>
          <w:color w:val="auto"/>
        </w:rPr>
      </w:pPr>
    </w:p>
    <w:p>
      <w:pPr>
        <w:jc w:val="both"/>
        <w:ind w:right="20"/>
        <w:spacing w:after="0" w:line="291" w:lineRule="auto"/>
        <w:rPr>
          <w:sz w:val="20"/>
          <w:szCs w:val="20"/>
          <w:color w:val="auto"/>
        </w:rPr>
      </w:pPr>
      <w:r>
        <w:rPr>
          <w:rFonts w:ascii="Arial" w:cs="Arial" w:eastAsia="Arial" w:hAnsi="Arial"/>
          <w:sz w:val="22"/>
          <w:szCs w:val="22"/>
          <w:color w:val="auto"/>
        </w:rPr>
        <w:t>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AUSTRALIA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82" w:name="page183"/>
    <w:bookmarkEnd w:id="182"/>
    <w:p>
      <w:pPr>
        <w:jc w:val="both"/>
        <w:spacing w:after="0" w:line="294" w:lineRule="auto"/>
        <w:rPr>
          <w:sz w:val="20"/>
          <w:szCs w:val="20"/>
          <w:color w:val="auto"/>
        </w:rPr>
      </w:pPr>
      <w:r>
        <w:rPr>
          <w:rFonts w:ascii="Arial" w:cs="Arial" w:eastAsia="Arial" w:hAnsi="Arial"/>
          <w:sz w:val="22"/>
          <w:szCs w:val="22"/>
          <w:b w:val="1"/>
          <w:bCs w:val="1"/>
          <w:color w:val="auto"/>
        </w:rPr>
        <w:t xml:space="preserve">Australia Offer Document. </w:t>
      </w:r>
      <w:r>
        <w:rPr>
          <w:rFonts w:ascii="Arial" w:cs="Arial" w:eastAsia="Arial" w:hAnsi="Arial"/>
          <w:sz w:val="22"/>
          <w:szCs w:val="22"/>
          <w:color w:val="auto"/>
        </w:rPr>
        <w:t>The RSUs are intended to comply with the provisions of the Corporations Act 2001, Australia</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and Investments Commission (“</w:t>
      </w:r>
      <w:r>
        <w:rPr>
          <w:rFonts w:ascii="Arial" w:cs="Arial" w:eastAsia="Arial" w:hAnsi="Arial"/>
          <w:sz w:val="22"/>
          <w:szCs w:val="22"/>
          <w:b w:val="1"/>
          <w:bCs w:val="1"/>
          <w:i w:val="1"/>
          <w:iCs w:val="1"/>
          <w:color w:val="auto"/>
        </w:rPr>
        <w:t>ASIC</w:t>
      </w:r>
      <w:r>
        <w:rPr>
          <w:rFonts w:ascii="Arial" w:cs="Arial" w:eastAsia="Arial" w:hAnsi="Arial"/>
          <w:sz w:val="22"/>
          <w:szCs w:val="22"/>
          <w:color w:val="auto"/>
        </w:rPr>
        <w:t>”) Regulatory Guide 49 and ASIC Class Order 14/1000. Additional details are set forth in the Offer Document below.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Subdivision 83A-C of the Income Tax Assessment Act 1997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applies to the RSUs granted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terms and conditions of the Grant Notice, the Plan and the Agreement (subject to the requirements of the Act).</w:t>
      </w:r>
    </w:p>
    <w:p>
      <w:pPr>
        <w:spacing w:after="0" w:line="177" w:lineRule="exact"/>
        <w:rPr>
          <w:sz w:val="20"/>
          <w:szCs w:val="20"/>
          <w:color w:val="auto"/>
        </w:rPr>
      </w:pPr>
    </w:p>
    <w:p>
      <w:pPr>
        <w:jc w:val="both"/>
        <w:spacing w:after="0" w:line="314"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Exchange control reporting is required for cash transactions exceeding AUD 10,000 and</w:t>
      </w:r>
      <w:r>
        <w:rPr>
          <w:rFonts w:ascii="Arial" w:cs="Arial" w:eastAsia="Arial" w:hAnsi="Arial"/>
          <w:sz w:val="21"/>
          <w:szCs w:val="21"/>
          <w:b w:val="1"/>
          <w:bCs w:val="1"/>
          <w:color w:val="auto"/>
        </w:rPr>
        <w:t xml:space="preserve"> </w:t>
      </w:r>
      <w:r>
        <w:rPr>
          <w:rFonts w:ascii="Arial" w:cs="Arial" w:eastAsia="Arial" w:hAnsi="Arial"/>
          <w:sz w:val="21"/>
          <w:szCs w:val="21"/>
          <w:color w:val="auto"/>
        </w:rPr>
        <w:t>international fund transfers. If an Australian bank is assisting you with the transaction, the bank will file the report on your behalf. If there is no Australian bank involved with the transfer, you will be required to file the report.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OF RESTRICTED STOCK UNITS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AUSTRALIAN RESIDENT EMPLOYEES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Jazz Pharmaceuticals plc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Equity Incentive Plan</w:t>
      </w:r>
    </w:p>
    <w:p>
      <w:pPr>
        <w:spacing w:after="0" w:line="200" w:lineRule="exact"/>
        <w:rPr>
          <w:sz w:val="20"/>
          <w:szCs w:val="20"/>
          <w:color w:val="auto"/>
        </w:rPr>
      </w:pPr>
    </w:p>
    <w:p>
      <w:pPr>
        <w:spacing w:after="0" w:line="303" w:lineRule="exact"/>
        <w:rPr>
          <w:sz w:val="20"/>
          <w:szCs w:val="20"/>
          <w:color w:val="auto"/>
        </w:rPr>
      </w:pPr>
    </w:p>
    <w:p>
      <w:pPr>
        <w:jc w:val="both"/>
        <w:spacing w:after="0" w:line="308" w:lineRule="auto"/>
        <w:rPr>
          <w:sz w:val="20"/>
          <w:szCs w:val="20"/>
          <w:color w:val="auto"/>
        </w:rPr>
      </w:pPr>
      <w:r>
        <w:rPr>
          <w:rFonts w:ascii="Arial" w:cs="Arial" w:eastAsia="Arial" w:hAnsi="Arial"/>
          <w:sz w:val="21"/>
          <w:szCs w:val="21"/>
          <w:b w:val="1"/>
          <w:bCs w:val="1"/>
          <w:color w:val="auto"/>
        </w:rPr>
        <w:t>Offer</w:t>
      </w:r>
      <w:r>
        <w:rPr>
          <w:rFonts w:ascii="Arial" w:cs="Arial" w:eastAsia="Arial" w:hAnsi="Arial"/>
          <w:sz w:val="21"/>
          <w:szCs w:val="21"/>
          <w:color w:val="auto"/>
        </w:rPr>
        <w:t>. We are pleased to provide you with this offer to participate in the Plan. This offer sets out information regarding the grant</w:t>
      </w:r>
      <w:r>
        <w:rPr>
          <w:rFonts w:ascii="Arial" w:cs="Arial" w:eastAsia="Arial" w:hAnsi="Arial"/>
          <w:sz w:val="21"/>
          <w:szCs w:val="21"/>
          <w:b w:val="1"/>
          <w:bCs w:val="1"/>
          <w:color w:val="auto"/>
        </w:rPr>
        <w:t xml:space="preserve"> </w:t>
      </w:r>
      <w:r>
        <w:rPr>
          <w:rFonts w:ascii="Arial" w:cs="Arial" w:eastAsia="Arial" w:hAnsi="Arial"/>
          <w:sz w:val="21"/>
          <w:szCs w:val="21"/>
          <w:color w:val="auto"/>
        </w:rPr>
        <w:t>of RSUs to Australian resident employees of the Company and its Affiliates (“</w:t>
      </w:r>
      <w:r>
        <w:rPr>
          <w:rFonts w:ascii="Arial" w:cs="Arial" w:eastAsia="Arial" w:hAnsi="Arial"/>
          <w:sz w:val="21"/>
          <w:szCs w:val="21"/>
          <w:b w:val="1"/>
          <w:bCs w:val="1"/>
          <w:i w:val="1"/>
          <w:iCs w:val="1"/>
          <w:color w:val="auto"/>
        </w:rPr>
        <w:t>Australian Participants</w:t>
      </w:r>
      <w:r>
        <w:rPr>
          <w:rFonts w:ascii="Arial" w:cs="Arial" w:eastAsia="Arial" w:hAnsi="Arial"/>
          <w:sz w:val="21"/>
          <w:szCs w:val="21"/>
          <w:color w:val="auto"/>
        </w:rPr>
        <w:t>”). This information is provided by the Company to ensure compliance with the Australian Securities and Investments Commission (“</w:t>
      </w:r>
      <w:r>
        <w:rPr>
          <w:rFonts w:ascii="Arial" w:cs="Arial" w:eastAsia="Arial" w:hAnsi="Arial"/>
          <w:sz w:val="21"/>
          <w:szCs w:val="21"/>
          <w:b w:val="1"/>
          <w:bCs w:val="1"/>
          <w:i w:val="1"/>
          <w:iCs w:val="1"/>
          <w:color w:val="auto"/>
        </w:rPr>
        <w:t>ASIC</w:t>
      </w:r>
      <w:r>
        <w:rPr>
          <w:rFonts w:ascii="Arial" w:cs="Arial" w:eastAsia="Arial" w:hAnsi="Arial"/>
          <w:sz w:val="21"/>
          <w:szCs w:val="21"/>
          <w:color w:val="auto"/>
        </w:rPr>
        <w:t xml:space="preserve">”) Class Order 14/1000 and the relevant provisions of the </w:t>
      </w:r>
      <w:r>
        <w:rPr>
          <w:rFonts w:ascii="Arial" w:cs="Arial" w:eastAsia="Arial" w:hAnsi="Arial"/>
          <w:sz w:val="21"/>
          <w:szCs w:val="21"/>
          <w:i w:val="1"/>
          <w:iCs w:val="1"/>
          <w:color w:val="auto"/>
        </w:rPr>
        <w:t>Corporations Act 2001</w:t>
      </w:r>
      <w:r>
        <w:rPr>
          <w:rFonts w:ascii="Arial" w:cs="Arial" w:eastAsia="Arial" w:hAnsi="Arial"/>
          <w:sz w:val="21"/>
          <w:szCs w:val="2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In addition to the information set out in the Agreement, Australian Participants are also being provided with copies of the</w:t>
      </w:r>
    </w:p>
    <w:p>
      <w:pPr>
        <w:spacing w:after="0" w:line="56"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following documents, which are available on the Company’s internal website (</w:t>
      </w:r>
      <w:r>
        <w:rPr>
          <w:rFonts w:ascii="Arial" w:cs="Arial" w:eastAsia="Arial" w:hAnsi="Arial"/>
          <w:sz w:val="19"/>
          <w:szCs w:val="19"/>
          <w:u w:val="single" w:color="auto"/>
          <w:color w:val="0000FF"/>
        </w:rPr>
        <w:t>https://jazzpharma.sharepoint.com/sites/EmployeeResources/SitePages/Stock-Plan-Services-Australia.aspx</w:t>
      </w:r>
      <w:r>
        <w:rPr>
          <w:rFonts w:ascii="Arial" w:cs="Arial" w:eastAsia="Arial" w:hAnsi="Arial"/>
          <w:sz w:val="22"/>
          <w:szCs w:val="22"/>
          <w:color w:val="auto"/>
        </w:rPr>
        <w:t>)</w:t>
      </w:r>
      <w:r>
        <w:rPr>
          <w:rFonts w:ascii="Arial" w:cs="Arial" w:eastAsia="Arial" w:hAnsi="Arial"/>
          <w:sz w:val="19"/>
          <w:szCs w:val="19"/>
          <w:color w:val="auto"/>
        </w:rPr>
        <w:t>:</w:t>
      </w:r>
    </w:p>
    <w:p>
      <w:pPr>
        <w:spacing w:after="0" w:line="173"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Plan;</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Plan Prospectus; and</w:t>
      </w:r>
    </w:p>
    <w:p>
      <w:pPr>
        <w:spacing w:after="0" w:line="260" w:lineRule="exact"/>
        <w:rPr>
          <w:rFonts w:ascii="Arial" w:cs="Arial" w:eastAsia="Arial" w:hAnsi="Arial"/>
          <w:sz w:val="22"/>
          <w:szCs w:val="22"/>
          <w:color w:val="auto"/>
        </w:rPr>
      </w:pPr>
    </w:p>
    <w:p>
      <w:pPr>
        <w:ind w:left="660" w:right="6400" w:hanging="4"/>
        <w:spacing w:after="0" w:line="624" w:lineRule="auto"/>
        <w:tabs>
          <w:tab w:leader="none" w:pos="130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Employee Tax Supplement for Australia. (collectively, the “</w:t>
      </w:r>
      <w:r>
        <w:rPr>
          <w:rFonts w:ascii="Arial" w:cs="Arial" w:eastAsia="Arial" w:hAnsi="Arial"/>
          <w:sz w:val="19"/>
          <w:szCs w:val="19"/>
          <w:b w:val="1"/>
          <w:bCs w:val="1"/>
          <w:i w:val="1"/>
          <w:iCs w:val="1"/>
          <w:color w:val="auto"/>
        </w:rPr>
        <w:t>Additional Documents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83" w:name="page184"/>
    <w:bookmarkEnd w:id="183"/>
    <w:p>
      <w:pPr>
        <w:spacing w:after="0" w:line="2" w:lineRule="exact"/>
        <w:rPr>
          <w:sz w:val="20"/>
          <w:szCs w:val="20"/>
          <w:color w:val="auto"/>
        </w:rPr>
      </w:pPr>
    </w:p>
    <w:p>
      <w:pPr>
        <w:jc w:val="both"/>
        <w:spacing w:after="0" w:line="291" w:lineRule="auto"/>
        <w:rPr>
          <w:sz w:val="20"/>
          <w:szCs w:val="20"/>
          <w:color w:val="auto"/>
        </w:rPr>
      </w:pPr>
      <w:r>
        <w:rPr>
          <w:rFonts w:ascii="Arial" w:cs="Arial" w:eastAsia="Arial" w:hAnsi="Arial"/>
          <w:sz w:val="22"/>
          <w:szCs w:val="22"/>
          <w:color w:val="auto"/>
        </w:rPr>
        <w:t xml:space="preserve">The Additional Documents provide further information to help Australian Participants make an informed investment decision about participating in the Plan. Neither the Plan nor the Plan Prospectus is a prospectus for purposes of the </w:t>
      </w:r>
      <w:r>
        <w:rPr>
          <w:rFonts w:ascii="Arial" w:cs="Arial" w:eastAsia="Arial" w:hAnsi="Arial"/>
          <w:sz w:val="22"/>
          <w:szCs w:val="22"/>
          <w:i w:val="1"/>
          <w:iCs w:val="1"/>
          <w:color w:val="auto"/>
        </w:rPr>
        <w:t>Corporations Act</w:t>
      </w:r>
      <w:r>
        <w:rPr>
          <w:rFonts w:ascii="Arial" w:cs="Arial" w:eastAsia="Arial" w:hAnsi="Arial"/>
          <w:sz w:val="22"/>
          <w:szCs w:val="22"/>
          <w:color w:val="auto"/>
        </w:rPr>
        <w:t xml:space="preserve"> </w:t>
      </w:r>
      <w:r>
        <w:rPr>
          <w:rFonts w:ascii="Arial" w:cs="Arial" w:eastAsia="Arial" w:hAnsi="Arial"/>
          <w:sz w:val="22"/>
          <w:szCs w:val="22"/>
          <w:i w:val="1"/>
          <w:iCs w:val="1"/>
          <w:color w:val="auto"/>
        </w:rPr>
        <w:t>2001</w:t>
      </w:r>
      <w:r>
        <w:rPr>
          <w:rFonts w:ascii="Arial" w:cs="Arial" w:eastAsia="Arial" w:hAnsi="Arial"/>
          <w:sz w:val="22"/>
          <w:szCs w:val="22"/>
          <w:color w:val="auto"/>
        </w:rPr>
        <w:t>.</w:t>
      </w:r>
    </w:p>
    <w:p>
      <w:pPr>
        <w:spacing w:after="0" w:line="187"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Australian Participants should not rely upon any oral statements made in relation to this offer. Australian Participants should rely only upon the statements contained in the Agreement and the Additional Documents when considering participation in the Plan.</w:t>
      </w:r>
    </w:p>
    <w:p>
      <w:pPr>
        <w:spacing w:after="0" w:line="99"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Securities Law Notification</w:t>
      </w:r>
      <w:r>
        <w:rPr>
          <w:rFonts w:ascii="Arial" w:cs="Arial" w:eastAsia="Arial" w:hAnsi="Arial"/>
          <w:sz w:val="22"/>
          <w:szCs w:val="22"/>
          <w:color w:val="auto"/>
        </w:rPr>
        <w:t>. Investment in Ordinary Shares involves a degree of risk. Australian Participants should monitor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participation and consider all risk factors relevant to the acquisition of Ordinary Shares under the Plan as set forth below and in the Additional Documents.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The information herein is general information only. It is not advice or information that takes into account Australian Participants’ objectives, financial situations or needs.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Australian Participants should consider obtaining their own financial product advice from a person who is licensed by ASIC to give such advice.</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21"/>
          <w:szCs w:val="21"/>
          <w:b w:val="1"/>
          <w:bCs w:val="1"/>
          <w:color w:val="auto"/>
        </w:rPr>
        <w:t xml:space="preserve">Additional Risk Factors for Australian Participants. </w:t>
      </w:r>
      <w:r>
        <w:rPr>
          <w:rFonts w:ascii="Arial" w:cs="Arial" w:eastAsia="Arial" w:hAnsi="Arial"/>
          <w:sz w:val="21"/>
          <w:szCs w:val="21"/>
          <w:color w:val="auto"/>
        </w:rPr>
        <w:t>Australian Participants should have regard to risk factors relevant to</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in securities generally and, in particular, to the holding of Ordinary Shares. For example, the price at which Ordinary Shares are quoted on the Nasdaq may increase or decrease due to a number of factors. There is no guarantee that the price of the Ordinary Shares will increase. Factors which may affect the price of Ordinary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22"/>
          <w:szCs w:val="22"/>
          <w:color w:val="auto"/>
        </w:rPr>
        <w:t>More information about potential factors that could affect the Company’s business and financial results are included in the Company’s most recent Annual Report on Form 10-K and the Company’s Quarterly Report on Form 10-Q, available upon request. In addition, Australian Participants should be aware that the Australian dollar equivalent of the value of Ordinary Shares acquired at vesting/settlement will be affected by the US$/A$ exchange rate. Participation in the Plan involves certain risks related to fluctuations in this rate of exchange.</w:t>
      </w:r>
    </w:p>
    <w:p>
      <w:pPr>
        <w:spacing w:after="0" w:line="188" w:lineRule="exact"/>
        <w:rPr>
          <w:sz w:val="20"/>
          <w:szCs w:val="20"/>
          <w:color w:val="auto"/>
        </w:rPr>
      </w:pPr>
    </w:p>
    <w:p>
      <w:pPr>
        <w:jc w:val="both"/>
        <w:spacing w:after="0" w:line="394" w:lineRule="auto"/>
        <w:rPr>
          <w:sz w:val="20"/>
          <w:szCs w:val="20"/>
          <w:color w:val="auto"/>
        </w:rPr>
      </w:pPr>
      <w:r>
        <w:rPr>
          <w:rFonts w:ascii="Arial" w:cs="Arial" w:eastAsia="Arial" w:hAnsi="Arial"/>
          <w:sz w:val="19"/>
          <w:szCs w:val="19"/>
          <w:b w:val="1"/>
          <w:bCs w:val="1"/>
          <w:color w:val="auto"/>
        </w:rPr>
        <w:t>Common Stock in a U.S. Corporation</w:t>
      </w:r>
      <w:r>
        <w:rPr>
          <w:rFonts w:ascii="Arial" w:cs="Arial" w:eastAsia="Arial" w:hAnsi="Arial"/>
          <w:sz w:val="19"/>
          <w:szCs w:val="19"/>
          <w:color w:val="auto"/>
        </w:rPr>
        <w:t>. Common stock of a U.S. corporation is analogous to ordinary shares of an Australian</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Each holder of common stock is entitled to one vote for every Ordinary Share held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Dividends may be paid on the Ordinary Shares out of any funds of the Company legally available for dividends at the discretion of the Board.</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The Ordinary Shares are currently traded on the Nasdaq Global Select Market (the “</w:t>
      </w:r>
      <w:r>
        <w:rPr>
          <w:rFonts w:ascii="Arial" w:cs="Arial" w:eastAsia="Arial" w:hAnsi="Arial"/>
          <w:sz w:val="22"/>
          <w:szCs w:val="22"/>
          <w:b w:val="1"/>
          <w:bCs w:val="1"/>
          <w:i w:val="1"/>
          <w:iCs w:val="1"/>
          <w:color w:val="auto"/>
        </w:rPr>
        <w:t>Nasdaq</w:t>
      </w:r>
      <w:r>
        <w:rPr>
          <w:rFonts w:ascii="Arial" w:cs="Arial" w:eastAsia="Arial" w:hAnsi="Arial"/>
          <w:sz w:val="22"/>
          <w:szCs w:val="22"/>
          <w:color w:val="auto"/>
        </w:rPr>
        <w:t>”) in the United States of America under the symbol “JAZZ.”</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The Ordinary Shares are not liable to any further calls for payment of capital or for other assessment by the Company and have no sinking fund provisions, pre-emptive rights, conversion rights or redemption provisions.</w:t>
      </w:r>
    </w:p>
    <w:p>
      <w:pPr>
        <w:spacing w:after="0" w:line="167" w:lineRule="exact"/>
        <w:rPr>
          <w:sz w:val="20"/>
          <w:szCs w:val="20"/>
          <w:color w:val="auto"/>
        </w:rPr>
      </w:pPr>
    </w:p>
    <w:p>
      <w:pPr>
        <w:jc w:val="both"/>
        <w:spacing w:after="0" w:line="314" w:lineRule="auto"/>
        <w:rPr>
          <w:sz w:val="20"/>
          <w:szCs w:val="20"/>
          <w:color w:val="auto"/>
        </w:rPr>
      </w:pPr>
      <w:r>
        <w:rPr>
          <w:rFonts w:ascii="Arial" w:cs="Arial" w:eastAsia="Arial" w:hAnsi="Arial"/>
          <w:sz w:val="21"/>
          <w:szCs w:val="21"/>
          <w:b w:val="1"/>
          <w:bCs w:val="1"/>
          <w:color w:val="auto"/>
        </w:rPr>
        <w:t xml:space="preserve">Ascertaining the Market Price of Shares. </w:t>
      </w:r>
      <w:r>
        <w:rPr>
          <w:rFonts w:ascii="Arial" w:cs="Arial" w:eastAsia="Arial" w:hAnsi="Arial"/>
          <w:sz w:val="21"/>
          <w:szCs w:val="21"/>
          <w:color w:val="auto"/>
        </w:rPr>
        <w:t>Australian Participants may ascertain the current or historical market price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Ordinary Shares as traded on the Nasdaq at </w:t>
      </w:r>
      <w:r>
        <w:rPr>
          <w:rFonts w:ascii="Arial" w:cs="Arial" w:eastAsia="Arial" w:hAnsi="Arial"/>
          <w:sz w:val="21"/>
          <w:szCs w:val="21"/>
          <w:u w:val="single" w:color="auto"/>
          <w:color w:val="0000FF"/>
        </w:rPr>
        <w:t>http://www.nasdaq.com</w:t>
      </w:r>
      <w:r>
        <w:rPr>
          <w:rFonts w:ascii="Arial" w:cs="Arial" w:eastAsia="Arial" w:hAnsi="Arial"/>
          <w:sz w:val="21"/>
          <w:szCs w:val="21"/>
          <w:color w:val="auto"/>
        </w:rPr>
        <w:t xml:space="preserve"> under the symbol “JAZZ.” The Australian dollar equivalent of that price can be obtained at: </w:t>
      </w:r>
      <w:r>
        <w:rPr>
          <w:rFonts w:ascii="Arial" w:cs="Arial" w:eastAsia="Arial" w:hAnsi="Arial"/>
          <w:sz w:val="21"/>
          <w:szCs w:val="21"/>
          <w:u w:val="single" w:color="auto"/>
          <w:color w:val="0000FF"/>
        </w:rPr>
        <w:t>http://www.rba.gov.au/statistics/frequency/exchange-rates.html.</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22"/>
          <w:szCs w:val="22"/>
          <w:b w:val="1"/>
          <w:bCs w:val="1"/>
          <w:i w:val="1"/>
          <w:iCs w:val="1"/>
          <w:color w:val="auto"/>
        </w:rPr>
        <w:t>This will not be a prediction of what the market price per Ordinary Share will be when the RSUs vest or settle or of the applicable exchange rate on the actual date of vesting or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b w:val="1"/>
          <w:bCs w:val="1"/>
          <w:color w:val="auto"/>
        </w:rPr>
        <w:t>AUSTRIA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If you hold Ordinary Shares acquired under the Plan outside of Austria, you must submit a</w:t>
      </w:r>
      <w:r>
        <w:rPr>
          <w:rFonts w:ascii="Arial" w:cs="Arial" w:eastAsia="Arial" w:hAnsi="Arial"/>
          <w:sz w:val="22"/>
          <w:szCs w:val="22"/>
          <w:b w:val="1"/>
          <w:bCs w:val="1"/>
          <w:color w:val="auto"/>
        </w:rPr>
        <w:t xml:space="preserve"> </w:t>
      </w:r>
      <w:r>
        <w:rPr>
          <w:rFonts w:ascii="Arial" w:cs="Arial" w:eastAsia="Arial" w:hAnsi="Arial"/>
          <w:sz w:val="22"/>
          <w:szCs w:val="22"/>
          <w:color w:val="auto"/>
        </w:rPr>
        <w:t>report to the Austrian National Bank. An exemption applies if the value of the Ordinary Shares as of any given quarter does not meet or exceed €30,000,000 or if the value of the Ordinary Shares in any given year as of December 31 does not meet or exceed €5,000,000. If the former threshold is exceeded, quarterly obligations are imposed, whereas if the latter threshold is exceeded, annual reports must be given. The annual reporting date is December 31 and the deadline for filing the annual report is March 31 of the following year.</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22"/>
          <w:szCs w:val="22"/>
          <w:color w:val="auto"/>
        </w:rPr>
        <w:t>A separate reporting requirement applies when you sell Ordinary Shares acquired under the Plan or receive a dividend. In that case, there may be exchange control obligations if the cash proceeds are held outside of Austria. If the transaction volume of all accounts abroad meets or exceeds €10,000,000, the movements and balances of all accounts must be reported monthly, as of the last day of the month, on or before the 15th day of the following month, on the prescribed form (</w:t>
      </w:r>
      <w:r>
        <w:rPr>
          <w:rFonts w:ascii="Arial" w:cs="Arial" w:eastAsia="Arial" w:hAnsi="Arial"/>
          <w:sz w:val="22"/>
          <w:szCs w:val="22"/>
          <w:i w:val="1"/>
          <w:iCs w:val="1"/>
          <w:color w:val="auto"/>
        </w:rPr>
        <w:t>Meldungen SI-Forderungen</w:t>
      </w:r>
      <w:r>
        <w:rPr>
          <w:rFonts w:ascii="Arial" w:cs="Arial" w:eastAsia="Arial" w:hAnsi="Arial"/>
          <w:sz w:val="22"/>
          <w:szCs w:val="22"/>
          <w:color w:val="auto"/>
        </w:rPr>
        <w:t xml:space="preserve"> </w:t>
      </w:r>
      <w:r>
        <w:rPr>
          <w:rFonts w:ascii="Arial" w:cs="Arial" w:eastAsia="Arial" w:hAnsi="Arial"/>
          <w:sz w:val="22"/>
          <w:szCs w:val="22"/>
          <w:i w:val="1"/>
          <w:iCs w:val="1"/>
          <w:color w:val="auto"/>
        </w:rPr>
        <w:t>und/oder SI-Verpflichtungen</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BELGIUM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327"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Belgian residents are required to report any securities held (</w:t>
      </w:r>
      <w:r>
        <w:rPr>
          <w:rFonts w:ascii="Arial" w:cs="Arial" w:eastAsia="Arial" w:hAnsi="Arial"/>
          <w:sz w:val="19"/>
          <w:szCs w:val="19"/>
          <w:i w:val="1"/>
          <w:iCs w:val="1"/>
          <w:color w:val="auto"/>
        </w:rPr>
        <w:t>e.g.,</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or bank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accounts (including brokerage accounts) opened and maintained outside of Belgium on their annual tax returns. Belgian residents are also required to complete a separate report, providing the Central Contact Point of the National Bank of Belgium with details regarding any such account, including the account number, the name of the bank in which such account is held and the country in which such account is located the first time they report the foreign security and/or bank account on their annual tax returns. The forms to complete this report are available on the website of the National Bank of Belgium, </w:t>
      </w:r>
      <w:r>
        <w:rPr>
          <w:rFonts w:ascii="Arial" w:cs="Arial" w:eastAsia="Arial" w:hAnsi="Arial"/>
          <w:sz w:val="19"/>
          <w:szCs w:val="19"/>
          <w:u w:val="single" w:color="auto"/>
          <w:color w:val="0000FF"/>
        </w:rPr>
        <w:t>www.nbb.be</w:t>
      </w:r>
      <w:r>
        <w:rPr>
          <w:rFonts w:ascii="Arial" w:cs="Arial" w:eastAsia="Arial" w:hAnsi="Arial"/>
          <w:sz w:val="19"/>
          <w:szCs w:val="19"/>
          <w:color w:val="auto"/>
        </w:rPr>
        <w:t xml:space="preserve">, under </w:t>
      </w:r>
      <w:r>
        <w:rPr>
          <w:rFonts w:ascii="Arial" w:cs="Arial" w:eastAsia="Arial" w:hAnsi="Arial"/>
          <w:sz w:val="19"/>
          <w:szCs w:val="19"/>
          <w:i w:val="1"/>
          <w:iCs w:val="1"/>
          <w:color w:val="auto"/>
        </w:rPr>
        <w:t>Kredietcentrales</w:t>
      </w:r>
    </w:p>
    <w:p>
      <w:pPr>
        <w:spacing w:after="0" w:line="2" w:lineRule="exact"/>
        <w:rPr>
          <w:sz w:val="20"/>
          <w:szCs w:val="20"/>
          <w:color w:val="auto"/>
        </w:rPr>
      </w:pPr>
    </w:p>
    <w:p>
      <w:pPr>
        <w:ind w:firstLine="8"/>
        <w:spacing w:after="0" w:line="302" w:lineRule="auto"/>
        <w:tabs>
          <w:tab w:leader="none" w:pos="141" w:val="left"/>
        </w:tabs>
        <w:numPr>
          <w:ilvl w:val="0"/>
          <w:numId w:val="13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Centrales des crédits </w:t>
      </w:r>
      <w:r>
        <w:rPr>
          <w:rFonts w:ascii="Arial" w:cs="Arial" w:eastAsia="Arial" w:hAnsi="Arial"/>
          <w:sz w:val="22"/>
          <w:szCs w:val="22"/>
          <w:color w:val="auto"/>
        </w:rPr>
        <w:t>caption. You should consult your personal tax advisor to ensure compliance with applicable reporting</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60" w:lineRule="exact"/>
        <w:rPr>
          <w:sz w:val="20"/>
          <w:szCs w:val="20"/>
          <w:color w:val="auto"/>
        </w:rPr>
      </w:pPr>
    </w:p>
    <w:p>
      <w:pPr>
        <w:spacing w:after="0" w:line="307" w:lineRule="auto"/>
        <w:rPr>
          <w:sz w:val="20"/>
          <w:szCs w:val="20"/>
          <w:color w:val="auto"/>
        </w:rPr>
      </w:pPr>
      <w:r>
        <w:rPr>
          <w:rFonts w:ascii="Arial" w:cs="Arial" w:eastAsia="Arial" w:hAnsi="Arial"/>
          <w:sz w:val="22"/>
          <w:szCs w:val="22"/>
          <w:b w:val="1"/>
          <w:bCs w:val="1"/>
          <w:color w:val="auto"/>
        </w:rPr>
        <w:t xml:space="preserve">Settlement of RSUs. </w:t>
      </w:r>
      <w:r>
        <w:rPr>
          <w:rFonts w:ascii="Arial" w:cs="Arial" w:eastAsia="Arial" w:hAnsi="Arial"/>
          <w:sz w:val="22"/>
          <w:szCs w:val="22"/>
          <w:color w:val="auto"/>
        </w:rPr>
        <w:t>Notwithstanding any discretion contained in Section 6(b)(iii) of the Plan, the grant of RSUs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any right for you to receive a cash payment; the RSUs are payable in Ordinary Shares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86" w:name="page187"/>
    <w:bookmarkEnd w:id="186"/>
    <w:p>
      <w:pPr>
        <w:jc w:val="both"/>
        <w:spacing w:after="0" w:line="331" w:lineRule="auto"/>
        <w:rPr>
          <w:sz w:val="20"/>
          <w:szCs w:val="20"/>
          <w:color w:val="auto"/>
        </w:rPr>
      </w:pPr>
      <w:r>
        <w:rPr>
          <w:rFonts w:ascii="Arial" w:cs="Arial" w:eastAsia="Arial" w:hAnsi="Arial"/>
          <w:sz w:val="19"/>
          <w:szCs w:val="19"/>
          <w:b w:val="1"/>
          <w:bCs w:val="1"/>
          <w:color w:val="auto"/>
        </w:rPr>
        <w:t xml:space="preserve">Involuntary Termination Terms. </w:t>
      </w:r>
      <w:r>
        <w:rPr>
          <w:rFonts w:ascii="Arial" w:cs="Arial" w:eastAsia="Arial" w:hAnsi="Arial"/>
          <w:sz w:val="19"/>
          <w:szCs w:val="19"/>
          <w:color w:val="auto"/>
        </w:rPr>
        <w:t>Except as otherwise provided in the Agreement, in the event of involuntary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Continuous Service (regardless of the reason for such termination and whether or not later found to be invalid, unlawful or in breach of employment laws in the jurisdiction where you are providing Continuous Service or the terms of your employment agreement, if any), except as otherwise set forth in the Agreement, vesting will terminate as of the date that is the earlier of: (1) the date you receive notice of termination of employment from the Employer, or (2) the date you are no longer actively rendering services, regardless of any notice period or period of pay in lieu of such notice required under local law (including, but not limited to, statutory law, regulatory law, and/or common law); the Board or the chief executive officer of the Company or an Affiliate, as applicable, shall have the exclusive discretion to determine when you are no longer actively employed or rendering services for purposes of the RSUs (including whether you may still be considered to be providing services while on a leave of absence). If, notwithstanding the foregoing, applicable employment legislation explicitly requires continued vesting during a statutory notice period, your right to vest in the RSUs, if any, will terminate effective as of the last date of the minimum statutory notice period, but you will not earn or be entitled to pro-rated vesting if the vesting date falls after the end of your statutory notice period, nor will you be entitled to any compensation for lost vesting.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provisions apply if Participant resides in Quebec:</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The parties acknowledge that it is their express wish that the Agreement, as well as</w:t>
      </w:r>
      <w:r>
        <w:rPr>
          <w:rFonts w:ascii="Arial" w:cs="Arial" w:eastAsia="Arial" w:hAnsi="Arial"/>
          <w:sz w:val="22"/>
          <w:szCs w:val="22"/>
          <w:b w:val="1"/>
          <w:bCs w:val="1"/>
          <w:color w:val="auto"/>
        </w:rPr>
        <w:t xml:space="preserve"> </w:t>
      </w:r>
      <w:r>
        <w:rPr>
          <w:rFonts w:ascii="Arial" w:cs="Arial" w:eastAsia="Arial" w:hAnsi="Arial"/>
          <w:sz w:val="22"/>
          <w:szCs w:val="22"/>
          <w:color w:val="auto"/>
        </w:rPr>
        <w:t>all documents, notices and legal proceedings entered into, given or instituted pursuant hereto or relating directly or indirectly hereto, be drawn up in English.</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22"/>
          <w:szCs w:val="22"/>
          <w:b w:val="1"/>
          <w:bCs w:val="1"/>
          <w:i w:val="1"/>
          <w:iCs w:val="1"/>
          <w:color w:val="auto"/>
        </w:rPr>
        <w:t xml:space="preserve">Consentement Pour Recevoir Des Informations en Anglais. </w:t>
      </w:r>
      <w:r>
        <w:rPr>
          <w:rFonts w:ascii="Arial" w:cs="Arial" w:eastAsia="Arial" w:hAnsi="Arial"/>
          <w:sz w:val="22"/>
          <w:szCs w:val="22"/>
          <w:i w:val="1"/>
          <w:iCs w:val="1"/>
          <w:color w:val="auto"/>
        </w:rPr>
        <w:t>Les parties reconnaissent avoir exigé la rédaction en anglais de la</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convention, ainsi que de tous documents, avis et procédures judiciaires, exécutés, donnés ou intentés en vertu de, ou liés directement ou indirectement à, la présente convention.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360"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You will not be permitted to sell or otherwise dispose of the Ordinary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within Canada. You will be permitted to sell or dispose of any Ordinary Shares only if such sale or disposal takes place outside of Canada through the facilities of the stock exchange on which the Ordinary Shares are traded (</w:t>
      </w:r>
      <w:r>
        <w:rPr>
          <w:rFonts w:ascii="Arial" w:cs="Arial" w:eastAsia="Arial" w:hAnsi="Arial"/>
          <w:sz w:val="19"/>
          <w:szCs w:val="19"/>
          <w:i w:val="1"/>
          <w:iCs w:val="1"/>
          <w:color w:val="auto"/>
        </w:rPr>
        <w:t>i.e.,</w:t>
      </w:r>
      <w:r>
        <w:rPr>
          <w:rFonts w:ascii="Arial" w:cs="Arial" w:eastAsia="Arial" w:hAnsi="Arial"/>
          <w:sz w:val="19"/>
          <w:szCs w:val="19"/>
          <w:color w:val="auto"/>
        </w:rPr>
        <w:t xml:space="preserve"> Nasdaq).</w:t>
      </w:r>
    </w:p>
    <w:p>
      <w:pPr>
        <w:spacing w:after="0" w:line="124"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Foreign Asset / Account Reporting. </w:t>
      </w:r>
      <w:r>
        <w:rPr>
          <w:rFonts w:ascii="Arial" w:cs="Arial" w:eastAsia="Arial" w:hAnsi="Arial"/>
          <w:sz w:val="22"/>
          <w:szCs w:val="22"/>
          <w:color w:val="auto"/>
        </w:rPr>
        <w:t>Canadian residents are required to report any foreign specified property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unvested RSUs and Ordinary Shares) annually on Form T1135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87" w:name="page188"/>
    <w:bookmarkEnd w:id="187"/>
    <w:p>
      <w:pPr>
        <w:spacing w:after="0" w:line="2"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(Foreign Income Verification Statement) if the total cost of the foreign specified property exceeds C$100,000 at any time during the year. The form must be filed by April 30th of the following year. RSUs must be reported - generally at a nil cost - if the C$100,000 cost threshold is exceeded because of other foreign specified property. When Ordinary Shares are acquired, their cost generally is the adjusted cost base (“</w:t>
      </w:r>
      <w:r>
        <w:rPr>
          <w:rFonts w:ascii="Arial" w:cs="Arial" w:eastAsia="Arial" w:hAnsi="Arial"/>
          <w:sz w:val="19"/>
          <w:szCs w:val="19"/>
          <w:b w:val="1"/>
          <w:bCs w:val="1"/>
          <w:i w:val="1"/>
          <w:iCs w:val="1"/>
          <w:color w:val="auto"/>
        </w:rPr>
        <w:t>ACB</w:t>
      </w:r>
      <w:r>
        <w:rPr>
          <w:rFonts w:ascii="Arial" w:cs="Arial" w:eastAsia="Arial" w:hAnsi="Arial"/>
          <w:sz w:val="19"/>
          <w:szCs w:val="19"/>
          <w:color w:val="auto"/>
        </w:rPr>
        <w:t>”) of the Ordinary Shares. The ACB would ordinarily equal the fair market value of the Ordinary Shares at the time of acquisition, but if other shares are also owned, this ACB may have to be averaged with the ACB of the other shares. You should consult your personal tax advisor to ensure compliance with applicable reporting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DENMARK</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ind w:right="20"/>
        <w:spacing w:after="0" w:line="394" w:lineRule="auto"/>
        <w:rPr>
          <w:sz w:val="20"/>
          <w:szCs w:val="20"/>
          <w:color w:val="auto"/>
        </w:rPr>
      </w:pPr>
      <w:r>
        <w:rPr>
          <w:rFonts w:ascii="Arial" w:cs="Arial" w:eastAsia="Arial" w:hAnsi="Arial"/>
          <w:sz w:val="19"/>
          <w:szCs w:val="19"/>
          <w:b w:val="1"/>
          <w:bCs w:val="1"/>
          <w:color w:val="auto"/>
        </w:rPr>
        <w:t>Special Notice for Employees in Denmark</w:t>
      </w:r>
      <w:r>
        <w:rPr>
          <w:rFonts w:ascii="Arial" w:cs="Arial" w:eastAsia="Arial" w:hAnsi="Arial"/>
          <w:sz w:val="19"/>
          <w:szCs w:val="19"/>
          <w:color w:val="auto"/>
        </w:rPr>
        <w:t>. A Special Notice for Employees in Denmark, Employer Statement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Danish Act on Stock Options, as amended effective January 1, 2019, will be provided to you under separate cover.</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FINLAND</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FRANCE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grant, you confirm that you have read and understood the documents relating to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the Agreement, including this Appendix) which were provided in the English language. You accept the terms of these documents accordingly.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les documents relatifs</w:t>
      </w:r>
    </w:p>
    <w:p>
      <w:pPr>
        <w:spacing w:after="0" w:line="79" w:lineRule="exact"/>
        <w:rPr>
          <w:sz w:val="20"/>
          <w:szCs w:val="20"/>
          <w:color w:val="auto"/>
        </w:rPr>
      </w:pPr>
    </w:p>
    <w:p>
      <w:pPr>
        <w:ind w:firstLine="8"/>
        <w:spacing w:after="0" w:line="302" w:lineRule="auto"/>
        <w:tabs>
          <w:tab w:leader="none" w:pos="181" w:val="left"/>
        </w:tabs>
        <w:numPr>
          <w:ilvl w:val="0"/>
          <w:numId w:val="139"/>
        </w:numPr>
        <w:rPr>
          <w:rFonts w:ascii="Arial" w:cs="Arial" w:eastAsia="Arial" w:hAnsi="Arial"/>
          <w:sz w:val="22"/>
          <w:szCs w:val="22"/>
          <w:i w:val="1"/>
          <w:iCs w:val="1"/>
          <w:color w:val="auto"/>
        </w:rPr>
      </w:pPr>
      <w:r>
        <w:rPr>
          <w:rFonts w:ascii="Arial" w:cs="Arial" w:eastAsia="Arial" w:hAnsi="Arial"/>
          <w:sz w:val="22"/>
          <w:szCs w:val="22"/>
          <w:i w:val="1"/>
          <w:iCs w:val="1"/>
          <w:color w:val="auto"/>
        </w:rPr>
        <w:t>l’attribution (le Plan et le Contrat, y compris cette Annexe) qui ont été communiqués en langue anglaise. Vous acceptez les termes de ces documents en connaissance de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307" w:lineRule="auto"/>
        <w:rPr>
          <w:sz w:val="20"/>
          <w:szCs w:val="20"/>
          <w:color w:val="auto"/>
        </w:rPr>
      </w:pPr>
      <w:r>
        <w:rPr>
          <w:rFonts w:ascii="Arial" w:cs="Arial" w:eastAsia="Arial" w:hAnsi="Arial"/>
          <w:sz w:val="22"/>
          <w:szCs w:val="22"/>
          <w:b w:val="1"/>
          <w:bCs w:val="1"/>
          <w:color w:val="auto"/>
        </w:rPr>
        <w:t xml:space="preserve">Foreign Asset / Account Reporting. </w:t>
      </w:r>
      <w:r>
        <w:rPr>
          <w:rFonts w:ascii="Arial" w:cs="Arial" w:eastAsia="Arial" w:hAnsi="Arial"/>
          <w:sz w:val="22"/>
          <w:szCs w:val="22"/>
          <w:color w:val="auto"/>
        </w:rPr>
        <w:t>If you hold Ordinary Shares outside of France or maintain a foreign bank account, you are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report such to the French tax authorities when filing your annual tax return.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GERMANY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308"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Effective from September 2013, the report must be filed electronically. The form of report (</w:t>
      </w:r>
      <w:r>
        <w:rPr>
          <w:rFonts w:ascii="Arial" w:cs="Arial" w:eastAsia="Arial" w:hAnsi="Arial"/>
          <w:sz w:val="21"/>
          <w:szCs w:val="21"/>
          <w:i w:val="1"/>
          <w:iCs w:val="1"/>
          <w:color w:val="auto"/>
        </w:rPr>
        <w:t>Allgemeines</w:t>
      </w:r>
      <w:r>
        <w:rPr>
          <w:rFonts w:ascii="Arial" w:cs="Arial" w:eastAsia="Arial" w:hAnsi="Arial"/>
          <w:sz w:val="21"/>
          <w:szCs w:val="21"/>
          <w:color w:val="auto"/>
        </w:rPr>
        <w:t xml:space="preserve"> </w:t>
      </w:r>
      <w:r>
        <w:rPr>
          <w:rFonts w:ascii="Arial" w:cs="Arial" w:eastAsia="Arial" w:hAnsi="Arial"/>
          <w:sz w:val="21"/>
          <w:szCs w:val="21"/>
          <w:i w:val="1"/>
          <w:iCs w:val="1"/>
          <w:color w:val="auto"/>
        </w:rPr>
        <w:t>Meldeportal Statistik</w:t>
      </w:r>
      <w:r>
        <w:rPr>
          <w:rFonts w:ascii="Arial" w:cs="Arial" w:eastAsia="Arial" w:hAnsi="Arial"/>
          <w:sz w:val="21"/>
          <w:szCs w:val="21"/>
          <w:color w:val="auto"/>
        </w:rPr>
        <w:t>) can be accessed via the</w:t>
      </w:r>
      <w:r>
        <w:rPr>
          <w:rFonts w:ascii="Arial" w:cs="Arial" w:eastAsia="Arial" w:hAnsi="Arial"/>
          <w:sz w:val="21"/>
          <w:szCs w:val="21"/>
          <w:i w:val="1"/>
          <w:iCs w:val="1"/>
          <w:color w:val="auto"/>
        </w:rPr>
        <w:t xml:space="preserve"> Bundesbank’s </w:t>
      </w:r>
      <w:r>
        <w:rPr>
          <w:rFonts w:ascii="Arial" w:cs="Arial" w:eastAsia="Arial" w:hAnsi="Arial"/>
          <w:sz w:val="21"/>
          <w:szCs w:val="21"/>
          <w:color w:val="auto"/>
        </w:rPr>
        <w:t>website (</w:t>
      </w:r>
      <w:r>
        <w:rPr>
          <w:rFonts w:ascii="Arial" w:cs="Arial" w:eastAsia="Arial" w:hAnsi="Arial"/>
          <w:sz w:val="21"/>
          <w:szCs w:val="21"/>
          <w:u w:val="single" w:color="auto"/>
          <w:color w:val="0000FF"/>
        </w:rPr>
        <w:t>www.bundesbank.de</w:t>
      </w:r>
      <w:r>
        <w:rPr>
          <w:rFonts w:ascii="Arial" w:cs="Arial" w:eastAsia="Arial" w:hAnsi="Arial"/>
          <w:sz w:val="21"/>
          <w:szCs w:val="21"/>
          <w:color w:val="auto"/>
        </w:rPr>
        <w:t>) and is available in both German and</w:t>
      </w:r>
      <w:r>
        <w:rPr>
          <w:rFonts w:ascii="Arial" w:cs="Arial" w:eastAsia="Arial" w:hAnsi="Arial"/>
          <w:sz w:val="21"/>
          <w:szCs w:val="21"/>
          <w:i w:val="1"/>
          <w:iCs w:val="1"/>
          <w:color w:val="auto"/>
        </w:rPr>
        <w:t xml:space="preserve"> </w:t>
      </w:r>
      <w:r>
        <w:rPr>
          <w:rFonts w:ascii="Arial" w:cs="Arial" w:eastAsia="Arial" w:hAnsi="Arial"/>
          <w:sz w:val="21"/>
          <w:szCs w:val="21"/>
          <w:color w:val="auto"/>
        </w:rPr>
        <w:t>English. You are responsible for satisfying the reporting obligations.</w:t>
      </w:r>
    </w:p>
    <w:p>
      <w:pPr>
        <w:spacing w:after="0" w:line="164" w:lineRule="exact"/>
        <w:rPr>
          <w:sz w:val="20"/>
          <w:szCs w:val="20"/>
          <w:color w:val="auto"/>
        </w:rPr>
      </w:pPr>
    </w:p>
    <w:p>
      <w:pPr>
        <w:jc w:val="both"/>
        <w:spacing w:after="0" w:line="348"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If your acquisition of Ordinary Shares leads to a so-called qualified participation at any</w:t>
      </w:r>
      <w:r>
        <w:rPr>
          <w:rFonts w:ascii="Arial" w:cs="Arial" w:eastAsia="Arial" w:hAnsi="Arial"/>
          <w:sz w:val="19"/>
          <w:szCs w:val="19"/>
          <w:b w:val="1"/>
          <w:bCs w:val="1"/>
          <w:color w:val="auto"/>
        </w:rPr>
        <w:t xml:space="preserve"> </w:t>
      </w:r>
      <w:r>
        <w:rPr>
          <w:rFonts w:ascii="Arial" w:cs="Arial" w:eastAsia="Arial" w:hAnsi="Arial"/>
          <w:sz w:val="19"/>
          <w:szCs w:val="19"/>
          <w:color w:val="auto"/>
        </w:rPr>
        <w:t>point during the calendar year, you may need to report the acquisition when you file your tax return for the relevant year. A qualified participation is attained if (i) you own 1% or more of the Company and the value of Ordinary Shares acquired exceeds €150,000 or (ii) you hold Company common stock exceeding 10% of the Company’s total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Vesting and Issuance. </w:t>
      </w:r>
      <w:r>
        <w:rPr>
          <w:rFonts w:ascii="Arial" w:cs="Arial" w:eastAsia="Arial" w:hAnsi="Arial"/>
          <w:sz w:val="19"/>
          <w:szCs w:val="19"/>
          <w:color w:val="auto"/>
        </w:rPr>
        <w:t>The following supplements Sections 2 and 6 of the Agreement, provided you are not a U.S. taxpayer:</w:t>
      </w:r>
    </w:p>
    <w:p>
      <w:pPr>
        <w:spacing w:after="0" w:line="328" w:lineRule="exact"/>
        <w:rPr>
          <w:sz w:val="20"/>
          <w:szCs w:val="20"/>
          <w:color w:val="auto"/>
        </w:rPr>
      </w:pPr>
    </w:p>
    <w:p>
      <w:pPr>
        <w:jc w:val="both"/>
        <w:spacing w:after="0" w:line="336" w:lineRule="auto"/>
        <w:rPr>
          <w:sz w:val="20"/>
          <w:szCs w:val="20"/>
          <w:color w:val="auto"/>
        </w:rPr>
      </w:pPr>
      <w:r>
        <w:rPr>
          <w:rFonts w:ascii="Arial" w:cs="Arial" w:eastAsia="Arial" w:hAnsi="Arial"/>
          <w:sz w:val="19"/>
          <w:szCs w:val="19"/>
          <w:color w:val="auto"/>
        </w:rPr>
        <w:t>Notwithstanding the vesting schedule provided in the Grant Notice and Section 6 (a) of the Agreement, (i) if any vesting date set forth in the Grant Notice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falls on a date when the Company determines that you are not permitted to sell Ordinary Shares in the open market for any reason, including under the Company’s Policy Regarding Stock Trading by Executive Officers, Directors and Other Designated Employees (or any successor policy) or the Company’s Policy Against Trading on the Basis of Inside Information (or any successor policy), and (ii) the Company elects not to satisfy any Tax-Related Items (defined in Section 10) by withholding Ordinary Shares, then such Vesting Date shall instead be the later of the next U.S. business day of the next occurring open “window period” applicable to you or the next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89" w:name="page190"/>
    <w:bookmarkEnd w:id="189"/>
    <w:p>
      <w:pPr>
        <w:spacing w:after="0" w:line="2"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business day when the Company determines that you are not prohibited from selling Ordinary Shares in the open market (such later date, the “</w:t>
      </w:r>
      <w:r>
        <w:rPr>
          <w:rFonts w:ascii="Arial" w:cs="Arial" w:eastAsia="Arial" w:hAnsi="Arial"/>
          <w:sz w:val="22"/>
          <w:szCs w:val="22"/>
          <w:b w:val="1"/>
          <w:bCs w:val="1"/>
          <w:i w:val="1"/>
          <w:iCs w:val="1"/>
          <w:color w:val="auto"/>
        </w:rPr>
        <w:t>Actual Vesting Date</w:t>
      </w:r>
      <w:r>
        <w:rPr>
          <w:rFonts w:ascii="Arial" w:cs="Arial" w:eastAsia="Arial" w:hAnsi="Arial"/>
          <w:sz w:val="22"/>
          <w:szCs w:val="22"/>
          <w:color w:val="auto"/>
        </w:rPr>
        <w:t>”).</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22"/>
          <w:szCs w:val="22"/>
          <w:color w:val="auto"/>
        </w:rPr>
        <w:t>Notwithstanding the foregoing and Section 2 of the Agreement, if your Continuous Service terminates between the Vesting Date and the Actual Vesting Date, then the vesting of the Ordinary Shares subject to the Award originally scheduled to vest on the Vesting Date will cease and not vest upon termination of your Continuous Service, unless your Continuous Service terminates for a reason other than Cause, in which case they will instead vest in full on the first U.S. business day following the termination of your Continuous Service.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87" w:lineRule="exact"/>
        <w:rPr>
          <w:sz w:val="20"/>
          <w:szCs w:val="20"/>
          <w:color w:val="auto"/>
        </w:rPr>
      </w:pPr>
    </w:p>
    <w:p>
      <w:pPr>
        <w:jc w:val="both"/>
        <w:spacing w:after="0" w:line="286" w:lineRule="auto"/>
        <w:rPr>
          <w:sz w:val="20"/>
          <w:szCs w:val="20"/>
          <w:color w:val="auto"/>
        </w:rPr>
      </w:pPr>
      <w:r>
        <w:rPr>
          <w:rFonts w:ascii="Arial" w:cs="Arial" w:eastAsia="Arial" w:hAnsi="Arial"/>
          <w:sz w:val="22"/>
          <w:szCs w:val="22"/>
          <w:b w:val="1"/>
          <w:bCs w:val="1"/>
          <w:color w:val="auto"/>
        </w:rPr>
        <w:t xml:space="preserve">Director Notification Obligation. </w:t>
      </w:r>
      <w:r>
        <w:rPr>
          <w:rFonts w:ascii="Arial" w:cs="Arial" w:eastAsia="Arial" w:hAnsi="Arial"/>
          <w:sz w:val="22"/>
          <w:szCs w:val="22"/>
          <w:color w:val="auto"/>
        </w:rPr>
        <w:t>If you are a director, shadow director or secretary of the Company or an Irish Affiliate, you</w:t>
      </w:r>
      <w:r>
        <w:rPr>
          <w:rFonts w:ascii="Arial" w:cs="Arial" w:eastAsia="Arial" w:hAnsi="Arial"/>
          <w:sz w:val="22"/>
          <w:szCs w:val="22"/>
          <w:b w:val="1"/>
          <w:bCs w:val="1"/>
          <w:color w:val="auto"/>
        </w:rPr>
        <w:t xml:space="preserve"> </w:t>
      </w:r>
      <w:r>
        <w:rPr>
          <w:rFonts w:ascii="Arial" w:cs="Arial" w:eastAsia="Arial" w:hAnsi="Arial"/>
          <w:sz w:val="22"/>
          <w:szCs w:val="22"/>
          <w:color w:val="auto"/>
        </w:rPr>
        <w:t>must notify the Company or the Irish Affiliate in writing if you receive or dispose of an interest exceeding 1% of the Company (</w:t>
      </w:r>
      <w:r>
        <w:rPr>
          <w:rFonts w:ascii="Arial" w:cs="Arial" w:eastAsia="Arial" w:hAnsi="Arial"/>
          <w:sz w:val="22"/>
          <w:szCs w:val="22"/>
          <w:i w:val="1"/>
          <w:iCs w:val="1"/>
          <w:color w:val="auto"/>
        </w:rPr>
        <w:t>e.g.,</w:t>
      </w:r>
      <w:r>
        <w:rPr>
          <w:rFonts w:ascii="Arial" w:cs="Arial" w:eastAsia="Arial" w:hAnsi="Arial"/>
          <w:sz w:val="22"/>
          <w:szCs w:val="22"/>
          <w:color w:val="auto"/>
        </w:rPr>
        <w:t xml:space="preserve"> RSUs, Ordinary Shares), or become aware of the event giving rise to the notification requirement, or if you become a director or secretary if such an interest exceeding 1% of the Company exists at the time. This notification requirement also applies with respect to the interests of a spouse or minor children (whose interests will be attributed to the director, shadow director or secretary, as applicable).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ITALY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Withholding Obligations. </w:t>
      </w:r>
      <w:r>
        <w:rPr>
          <w:rFonts w:ascii="Arial" w:cs="Arial" w:eastAsia="Arial" w:hAnsi="Arial"/>
          <w:sz w:val="20"/>
          <w:szCs w:val="20"/>
          <w:color w:val="auto"/>
        </w:rPr>
        <w:t>The following provisions replace Section 10 of the Agreement:</w:t>
      </w:r>
    </w:p>
    <w:p>
      <w:pPr>
        <w:spacing w:after="0" w:line="251" w:lineRule="exact"/>
        <w:rPr>
          <w:sz w:val="20"/>
          <w:szCs w:val="20"/>
          <w:color w:val="auto"/>
        </w:rPr>
      </w:pPr>
    </w:p>
    <w:p>
      <w:pPr>
        <w:ind w:left="1220" w:hanging="645"/>
        <w:spacing w:after="0"/>
        <w:tabs>
          <w:tab w:leader="none" w:pos="122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66" w:lineRule="exact"/>
        <w:rPr>
          <w:rFonts w:ascii="Arial" w:cs="Arial" w:eastAsia="Arial" w:hAnsi="Arial"/>
          <w:sz w:val="22"/>
          <w:szCs w:val="22"/>
          <w:b w:val="1"/>
          <w:bCs w:val="1"/>
          <w:color w:val="auto"/>
        </w:rPr>
      </w:pPr>
    </w:p>
    <w:p>
      <w:pPr>
        <w:jc w:val="both"/>
        <w:ind w:firstLine="1304"/>
        <w:spacing w:after="0" w:line="335" w:lineRule="auto"/>
        <w:tabs>
          <w:tab w:leader="none" w:pos="1939" w:val="left"/>
        </w:tabs>
        <w:numPr>
          <w:ilvl w:val="1"/>
          <w:numId w:val="140"/>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9"/>
          <w:szCs w:val="19"/>
          <w:b w:val="1"/>
          <w:bCs w:val="1"/>
          <w:i w:val="1"/>
          <w:iCs w:val="1"/>
          <w:color w:val="auto"/>
        </w:rPr>
        <w:t>Tax-Related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Items</w:t>
      </w:r>
      <w:r>
        <w:rPr>
          <w:rFonts w:ascii="Arial" w:cs="Arial" w:eastAsia="Arial" w:hAnsi="Arial"/>
          <w:sz w:val="19"/>
          <w:szCs w:val="19"/>
          <w:color w:val="auto"/>
        </w:rPr>
        <w:t>”). Additionally, the Company or the Employer may, in its sole discretion, satisfy all or any portion of the Tax-Related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 issued the full number of Ordinary Shares subject to the vested RSUs, notwithstanding that a number of the Ordinary Shares are held back solely for the purpose of paying the Tax-Related Items. Furthermore, you acknowledge that the Company and/or your Employer make no representations or undertakings regarding the treatment of any Tax-Related Items in connection with any aspect of the Award grant, including, but not limited to, the grant or 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61" w:lineRule="exact"/>
        <w:rPr>
          <w:sz w:val="20"/>
          <w:szCs w:val="20"/>
          <w:color w:val="auto"/>
        </w:rPr>
      </w:pPr>
    </w:p>
    <w:p>
      <w:pPr>
        <w:ind w:firstLine="1304"/>
        <w:spacing w:after="0" w:line="302" w:lineRule="auto"/>
        <w:tabs>
          <w:tab w:leader="none" w:pos="1938" w:val="left"/>
        </w:tabs>
        <w:numPr>
          <w:ilvl w:val="0"/>
          <w:numId w:val="141"/>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the Employer are satisfied, the Company and/or the Employer shall have no obligation to deliver to you any Ordinary Shares.</w:t>
      </w:r>
    </w:p>
    <w:p>
      <w:pPr>
        <w:spacing w:after="0" w:line="173" w:lineRule="exact"/>
        <w:rPr>
          <w:rFonts w:ascii="Arial" w:cs="Arial" w:eastAsia="Arial" w:hAnsi="Arial"/>
          <w:sz w:val="22"/>
          <w:szCs w:val="22"/>
          <w:b w:val="1"/>
          <w:bCs w:val="1"/>
          <w:color w:val="auto"/>
        </w:rPr>
      </w:pPr>
    </w:p>
    <w:p>
      <w:pPr>
        <w:jc w:val="both"/>
        <w:ind w:firstLine="1304"/>
        <w:spacing w:after="0" w:line="346" w:lineRule="auto"/>
        <w:tabs>
          <w:tab w:leader="none" w:pos="1941" w:val="left"/>
        </w:tabs>
        <w:numPr>
          <w:ilvl w:val="0"/>
          <w:numId w:val="141"/>
        </w:numPr>
        <w:rPr>
          <w:rFonts w:ascii="Arial" w:cs="Arial" w:eastAsia="Arial" w:hAnsi="Arial"/>
          <w:sz w:val="19"/>
          <w:szCs w:val="19"/>
          <w:b w:val="1"/>
          <w:bCs w:val="1"/>
          <w:color w:val="auto"/>
        </w:rPr>
      </w:pPr>
      <w:r>
        <w:rPr>
          <w:rFonts w:ascii="Arial" w:cs="Arial" w:eastAsia="Arial" w:hAnsi="Arial"/>
          <w:sz w:val="19"/>
          <w:szCs w:val="19"/>
          <w:color w:val="auto"/>
        </w:rPr>
        <w:t>In the event the Company’s and/or the Employer’s obligation to withhold arises prior to the delivery to you of Ordinary Shares or it is determined after the delivery of Ordinary Shares to you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138" w:lineRule="exact"/>
        <w:rPr>
          <w:sz w:val="20"/>
          <w:szCs w:val="20"/>
          <w:color w:val="auto"/>
        </w:rPr>
      </w:pPr>
    </w:p>
    <w:p>
      <w:pPr>
        <w:jc w:val="both"/>
        <w:spacing w:after="0" w:line="360" w:lineRule="auto"/>
        <w:rPr>
          <w:sz w:val="20"/>
          <w:szCs w:val="20"/>
          <w:color w:val="auto"/>
        </w:rPr>
      </w:pPr>
      <w:r>
        <w:rPr>
          <w:rFonts w:ascii="Arial" w:cs="Arial" w:eastAsia="Arial" w:hAnsi="Arial"/>
          <w:sz w:val="19"/>
          <w:szCs w:val="19"/>
          <w:b w:val="1"/>
          <w:bCs w:val="1"/>
          <w:color w:val="auto"/>
        </w:rPr>
        <w:t xml:space="preserve">Acknowledgement. </w:t>
      </w:r>
      <w:r>
        <w:rPr>
          <w:rFonts w:ascii="Arial" w:cs="Arial" w:eastAsia="Arial" w:hAnsi="Arial"/>
          <w:sz w:val="19"/>
          <w:szCs w:val="19"/>
          <w:color w:val="auto"/>
        </w:rPr>
        <w:t>You acknowledge that you have read and specifically and expressly approve the following sections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Section 10 - Tax Withholding Obligations; Section 15 - Nature of Grant; Section 17 - Data Privacy; Section 18 - Governing Law and Venue; Section 19 - Language; Section 21- Notices; Electronic Delivery; and Section 26 - Severability.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91" w:name="page192"/>
    <w:bookmarkEnd w:id="191"/>
    <w:p>
      <w:pPr>
        <w:jc w:val="both"/>
        <w:spacing w:after="0" w:line="286" w:lineRule="auto"/>
        <w:rPr>
          <w:sz w:val="20"/>
          <w:szCs w:val="20"/>
          <w:color w:val="auto"/>
        </w:rPr>
      </w:pPr>
      <w:r>
        <w:rPr>
          <w:rFonts w:ascii="Arial" w:cs="Arial" w:eastAsia="Arial" w:hAnsi="Arial"/>
          <w:sz w:val="22"/>
          <w:szCs w:val="22"/>
          <w:b w:val="1"/>
          <w:bCs w:val="1"/>
          <w:color w:val="auto"/>
        </w:rPr>
        <w:t xml:space="preserve">Foreign Asset / Account Reporting. </w:t>
      </w:r>
      <w:r>
        <w:rPr>
          <w:rFonts w:ascii="Arial" w:cs="Arial" w:eastAsia="Arial" w:hAnsi="Arial"/>
          <w:sz w:val="22"/>
          <w:szCs w:val="22"/>
          <w:color w:val="auto"/>
        </w:rPr>
        <w:t>Italian residents who, at any time during the fiscal year, hold foreign financial assets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Ordinary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You are responsible for complying with this reporting obligation and should speak with your personal legal advisor in this regard.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NETHERLANDS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NORWAY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POLAND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360"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Polish residents are required to file quarterly reports to the National Bank of Poland with</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on transactions and balances regarding their rights to Ordinary Shares (such as RSUs) and Ordinary Shares if the total value (calculated individually or together with other assets and liabilities possessed abroad) exceeds PLN 7 million.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22"/>
          <w:szCs w:val="22"/>
          <w:color w:val="auto"/>
        </w:rPr>
        <w:t>Polish residents also are required to transfer funds through a bank account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documents connected with foreign exchange transactions for a period of five years from the date the exchange transaction was made.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PORTUGAL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60" w:lineRule="exact"/>
        <w:rPr>
          <w:sz w:val="20"/>
          <w:szCs w:val="20"/>
          <w:color w:val="auto"/>
        </w:rPr>
      </w:pPr>
    </w:p>
    <w:p>
      <w:pPr>
        <w:jc w:val="both"/>
        <w:spacing w:after="0" w:line="333"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You hereby expressly declare that you have full knowledge of the English language and have read,</w:t>
      </w:r>
      <w:r>
        <w:rPr>
          <w:rFonts w:ascii="Arial" w:cs="Arial" w:eastAsia="Arial" w:hAnsi="Arial"/>
          <w:sz w:val="21"/>
          <w:szCs w:val="21"/>
          <w:b w:val="1"/>
          <w:bCs w:val="1"/>
          <w:color w:val="auto"/>
        </w:rPr>
        <w:t xml:space="preserve"> </w:t>
      </w:r>
      <w:r>
        <w:rPr>
          <w:rFonts w:ascii="Arial" w:cs="Arial" w:eastAsia="Arial" w:hAnsi="Arial"/>
          <w:sz w:val="21"/>
          <w:szCs w:val="21"/>
          <w:color w:val="auto"/>
        </w:rPr>
        <w:t>understood and fully accepted and agreed with the terms and conditions established in the Plan and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92" w:name="page193"/>
    <w:bookmarkEnd w:id="192"/>
    <w:p>
      <w:pPr>
        <w:jc w:val="both"/>
        <w:spacing w:after="0" w:line="394"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color w:val="auto"/>
        </w:rPr>
        <w:t>Por meio do presente, eu declaro expressamente que tem pleno conhecimento da língua inglesa e que</w:t>
      </w:r>
      <w:r>
        <w:rPr>
          <w:rFonts w:ascii="Arial" w:cs="Arial" w:eastAsia="Arial" w:hAnsi="Arial"/>
          <w:sz w:val="19"/>
          <w:szCs w:val="19"/>
          <w:b w:val="1"/>
          <w:bCs w:val="1"/>
          <w:color w:val="auto"/>
        </w:rPr>
        <w:t xml:space="preserve"> </w:t>
      </w:r>
      <w:r>
        <w:rPr>
          <w:rFonts w:ascii="Arial" w:cs="Arial" w:eastAsia="Arial" w:hAnsi="Arial"/>
          <w:sz w:val="19"/>
          <w:szCs w:val="19"/>
          <w:color w:val="auto"/>
        </w:rPr>
        <w:t>li, compreendi e livremente aceitei e concordei com os termos e condições estabelecidas no Plano e no Acordo.</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If you acquire Ordinary Shares under the Plan and hold the Ordinary Shares with a U.S. broker</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not a Portuguese financial intermediary, you may need to file a report with the Portuguese Central Bank. If the Ordinary Shares are held by a Portuguese financial intermediary, it will file the report for you.</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SPAIN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Withholding Obligations. </w:t>
      </w:r>
      <w:r>
        <w:rPr>
          <w:rFonts w:ascii="Arial" w:cs="Arial" w:eastAsia="Arial" w:hAnsi="Arial"/>
          <w:sz w:val="20"/>
          <w:szCs w:val="20"/>
          <w:color w:val="auto"/>
        </w:rPr>
        <w:t>The following provisions replace Section 10 of the Agreement:</w:t>
      </w:r>
    </w:p>
    <w:p>
      <w:pPr>
        <w:spacing w:after="0" w:line="251" w:lineRule="exact"/>
        <w:rPr>
          <w:sz w:val="20"/>
          <w:szCs w:val="20"/>
          <w:color w:val="auto"/>
        </w:rPr>
      </w:pPr>
    </w:p>
    <w:p>
      <w:pPr>
        <w:ind w:left="1220" w:hanging="645"/>
        <w:spacing w:after="0"/>
        <w:tabs>
          <w:tab w:leader="none" w:pos="122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66" w:lineRule="exact"/>
        <w:rPr>
          <w:rFonts w:ascii="Arial" w:cs="Arial" w:eastAsia="Arial" w:hAnsi="Arial"/>
          <w:sz w:val="22"/>
          <w:szCs w:val="22"/>
          <w:b w:val="1"/>
          <w:bCs w:val="1"/>
          <w:color w:val="auto"/>
        </w:rPr>
      </w:pPr>
    </w:p>
    <w:p>
      <w:pPr>
        <w:jc w:val="both"/>
        <w:ind w:firstLine="1304"/>
        <w:spacing w:after="0" w:line="330" w:lineRule="auto"/>
        <w:tabs>
          <w:tab w:leader="none" w:pos="1939" w:val="left"/>
        </w:tabs>
        <w:numPr>
          <w:ilvl w:val="1"/>
          <w:numId w:val="142"/>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9"/>
          <w:szCs w:val="19"/>
          <w:b w:val="1"/>
          <w:bCs w:val="1"/>
          <w:i w:val="1"/>
          <w:iCs w:val="1"/>
          <w:color w:val="auto"/>
        </w:rPr>
        <w:t>Tax-Related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Items</w:t>
      </w:r>
      <w:r>
        <w:rPr>
          <w:rFonts w:ascii="Arial" w:cs="Arial" w:eastAsia="Arial" w:hAnsi="Arial"/>
          <w:sz w:val="19"/>
          <w:szCs w:val="19"/>
          <w:color w:val="auto"/>
        </w:rPr>
        <w:t>”), where the Fair Market Value of the Ordinary Shares is measured as of the date the Ordinary Shares are issued pursuant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Section 6. Additionally, the Company or the Employer may, in its sole discretion, satisfy all or any portion of the Tax-Related 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93" w:name="page194"/>
    <w:bookmarkEnd w:id="193"/>
    <w:p>
      <w:pPr>
        <w:spacing w:after="0" w:line="2" w:lineRule="exact"/>
        <w:rPr>
          <w:sz w:val="20"/>
          <w:szCs w:val="20"/>
          <w:color w:val="auto"/>
        </w:rPr>
      </w:pPr>
    </w:p>
    <w:p>
      <w:pPr>
        <w:jc w:val="both"/>
        <w:spacing w:after="0" w:line="333" w:lineRule="auto"/>
        <w:rPr>
          <w:sz w:val="20"/>
          <w:szCs w:val="20"/>
          <w:color w:val="auto"/>
        </w:rPr>
      </w:pPr>
      <w:r>
        <w:rPr>
          <w:rFonts w:ascii="Arial" w:cs="Arial" w:eastAsia="Arial" w:hAnsi="Arial"/>
          <w:sz w:val="19"/>
          <w:szCs w:val="19"/>
          <w:color w:val="auto"/>
        </w:rPr>
        <w:t>issued a cash bonus in the amount of the Ordinary Shares that are held back for the purpose of paying the Tax-Related Items and compensation in kind corresponding to the number of Ordinary Shares issued to you. Furthermore, you acknowledge that the Company and/or your Employer make no representations or undertakings regarding the treatment of any Tax-Related Items in connection with any aspect of the Award grant, including, but not limited to, the grant or 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61" w:lineRule="exact"/>
        <w:rPr>
          <w:sz w:val="20"/>
          <w:szCs w:val="20"/>
          <w:color w:val="auto"/>
        </w:rPr>
      </w:pPr>
    </w:p>
    <w:p>
      <w:pPr>
        <w:ind w:firstLine="1304"/>
        <w:spacing w:after="0" w:line="302" w:lineRule="auto"/>
        <w:tabs>
          <w:tab w:leader="none" w:pos="1938" w:val="left"/>
        </w:tabs>
        <w:numPr>
          <w:ilvl w:val="0"/>
          <w:numId w:val="143"/>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the Employer are satisfied, the Company and/or the Employer shall have no obligation to deliver to you any Ordinary Shares.</w:t>
      </w:r>
    </w:p>
    <w:p>
      <w:pPr>
        <w:spacing w:after="0" w:line="173" w:lineRule="exact"/>
        <w:rPr>
          <w:rFonts w:ascii="Arial" w:cs="Arial" w:eastAsia="Arial" w:hAnsi="Arial"/>
          <w:sz w:val="22"/>
          <w:szCs w:val="22"/>
          <w:b w:val="1"/>
          <w:bCs w:val="1"/>
          <w:color w:val="auto"/>
        </w:rPr>
      </w:pPr>
    </w:p>
    <w:p>
      <w:pPr>
        <w:jc w:val="both"/>
        <w:ind w:firstLine="1304"/>
        <w:spacing w:after="0" w:line="346" w:lineRule="auto"/>
        <w:tabs>
          <w:tab w:leader="none" w:pos="1941" w:val="left"/>
        </w:tabs>
        <w:numPr>
          <w:ilvl w:val="0"/>
          <w:numId w:val="143"/>
        </w:numPr>
        <w:rPr>
          <w:rFonts w:ascii="Arial" w:cs="Arial" w:eastAsia="Arial" w:hAnsi="Arial"/>
          <w:sz w:val="19"/>
          <w:szCs w:val="19"/>
          <w:b w:val="1"/>
          <w:bCs w:val="1"/>
          <w:color w:val="auto"/>
        </w:rPr>
      </w:pPr>
      <w:r>
        <w:rPr>
          <w:rFonts w:ascii="Arial" w:cs="Arial" w:eastAsia="Arial" w:hAnsi="Arial"/>
          <w:sz w:val="19"/>
          <w:szCs w:val="19"/>
          <w:color w:val="auto"/>
        </w:rPr>
        <w:t>In the event the Company’s and/or the Employer’s obligation to withhold arises prior to the delivery to you of Ordinary Shares or it is determined after the delivery of Ordinary Shares to you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15 of the Agreement:</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RSUs, you consent to participate in the Plan and acknowledge having received and read a copy of the Plan.</w:t>
      </w:r>
    </w:p>
    <w:p>
      <w:pPr>
        <w:spacing w:after="0" w:line="295" w:lineRule="exact"/>
        <w:rPr>
          <w:sz w:val="20"/>
          <w:szCs w:val="20"/>
          <w:color w:val="auto"/>
        </w:rPr>
      </w:pPr>
    </w:p>
    <w:p>
      <w:pPr>
        <w:jc w:val="both"/>
        <w:spacing w:after="0" w:line="284" w:lineRule="auto"/>
        <w:rPr>
          <w:sz w:val="20"/>
          <w:szCs w:val="20"/>
          <w:color w:val="auto"/>
        </w:rPr>
      </w:pPr>
      <w:r>
        <w:rPr>
          <w:rFonts w:ascii="Arial" w:cs="Arial" w:eastAsia="Arial" w:hAnsi="Arial"/>
          <w:sz w:val="22"/>
          <w:szCs w:val="22"/>
          <w:color w:val="auto"/>
        </w:rPr>
        <w:t>You understand that the Company has unilaterally, gratuitously and discretionally decided to grant the RSUs under the Plan to individuals who may be employees of the Employer, the Company or any Affiliate throughout the world. The decision is a limited decision that is entered into upon the express assumption and condition that any grant will not bind the Company or any Affiliate except as set forth in the Plan or Agreement. Consequently, you understand that the RSUs are granted on the assumption and condition that such RSUs and any Ordinary Shares acquired upon vesting of the RSUs shall not become a part of any employment contract (either with the Employer or the Company or any Affiliate) and shall not be considered a mandatory benefit, salary for any purpose (including severance compensation) or any other right whatsoever. In addition, you understand that the RSUs would not be granted but for the assumptions and conditions referred to above; thus, you acknowledge and freely accept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should any or all of the assumptions be mistaken or should any of the conditions not be met for any reason, then the grant of the RSUs shall be null and void.</w:t>
      </w:r>
    </w:p>
    <w:p>
      <w:pPr>
        <w:spacing w:after="0" w:line="173"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Further, the vesting of the RSUs is expressly conditioned on your Continuous Service, such that if your service or employment terminates for any reason whatsoever, the RSUs will cease to vest immediately effective on the date of termination of your service or employment unless otherwise expressly set forth in the Agreement. This will be the case, for example, even if you</w:t>
      </w:r>
    </w:p>
    <w:p>
      <w:pPr>
        <w:spacing w:after="0" w:line="1" w:lineRule="exact"/>
        <w:rPr>
          <w:sz w:val="20"/>
          <w:szCs w:val="20"/>
          <w:color w:val="auto"/>
        </w:rPr>
      </w:pPr>
    </w:p>
    <w:p>
      <w:pPr>
        <w:jc w:val="both"/>
        <w:ind w:firstLine="8"/>
        <w:spacing w:after="0" w:line="285" w:lineRule="auto"/>
        <w:tabs>
          <w:tab w:leader="none" w:pos="31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are considered to be unfairly dismissed without good cause; (2) are dismissed for disciplinary or objective reasons or due to a collective dismissal; (3) terminate service or employment due to a change of work location, duties or any other employment or contractual condition; (4) terminate service or employment due to the Company’s or any Affiliate’s unilateral breach of contract; or (5) are terminated from service or employment for any other reason whatsoever. Consequently, upon your termination of service or employment for any of the above reasons, you will automatically lose any rights to the RSUs that were unvested on the date of termination.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RSUs described in the Plan and the Agreement, including this Appendix, do not qualify under</w:t>
      </w:r>
      <w:r>
        <w:rPr>
          <w:rFonts w:ascii="Arial" w:cs="Arial" w:eastAsia="Arial" w:hAnsi="Arial"/>
          <w:sz w:val="22"/>
          <w:szCs w:val="22"/>
          <w:b w:val="1"/>
          <w:bCs w:val="1"/>
          <w:color w:val="auto"/>
        </w:rPr>
        <w:t xml:space="preserve"> </w:t>
      </w:r>
      <w:r>
        <w:rPr>
          <w:rFonts w:ascii="Arial" w:cs="Arial" w:eastAsia="Arial" w:hAnsi="Arial"/>
          <w:sz w:val="22"/>
          <w:szCs w:val="22"/>
          <w:color w:val="auto"/>
        </w:rPr>
        <w:t>Spanish regulations as securities. No “offer of securities to the public,” as defined under Spanish law, has taken place or will take place in the Spanish territory. The Plan and the Agreement, including this Appendix, have not been nor will they be registered with the Comisión Nacional del Mercado de Valores (Spanish Securities Exchange Commission), and they do not constitute a public offering prospectus.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The acquisition, ownership and sale of Ordinary Shares under the Plan must be declared for</w:t>
      </w:r>
      <w:r>
        <w:rPr>
          <w:rFonts w:ascii="Arial" w:cs="Arial" w:eastAsia="Arial" w:hAnsi="Arial"/>
          <w:sz w:val="22"/>
          <w:szCs w:val="22"/>
          <w:b w:val="1"/>
          <w:bCs w:val="1"/>
          <w:color w:val="auto"/>
        </w:rPr>
        <w:t xml:space="preserve"> </w:t>
      </w:r>
      <w:r>
        <w:rPr>
          <w:rFonts w:ascii="Arial" w:cs="Arial" w:eastAsia="Arial" w:hAnsi="Arial"/>
          <w:sz w:val="22"/>
          <w:szCs w:val="22"/>
          <w:color w:val="auto"/>
        </w:rPr>
        <w:t>statistical purposes to the Spanish Dirección General de Comercio e Inversiones (the “</w:t>
      </w:r>
      <w:r>
        <w:rPr>
          <w:rFonts w:ascii="Arial" w:cs="Arial" w:eastAsia="Arial" w:hAnsi="Arial"/>
          <w:sz w:val="22"/>
          <w:szCs w:val="22"/>
          <w:b w:val="1"/>
          <w:bCs w:val="1"/>
          <w:i w:val="1"/>
          <w:iCs w:val="1"/>
          <w:color w:val="auto"/>
        </w:rPr>
        <w:t>DGCI</w:t>
      </w:r>
      <w:r>
        <w:rPr>
          <w:rFonts w:ascii="Arial" w:cs="Arial" w:eastAsia="Arial" w:hAnsi="Arial"/>
          <w:sz w:val="22"/>
          <w:szCs w:val="22"/>
          <w:color w:val="auto"/>
        </w:rPr>
        <w:t>”), the Bureau for Commerce and Investments, which is a department of the Ministry of Economy and Competitiveness. Generally, the declaration must be made each January for Ordinary Shares owned as of December 31 of the prior year; however, if the amount of Ordinary Shares acquired or sold exceeds a specific threshold or if you hold 10% or more of the share capital of the Company or such other amount that would entitle you to join the Company’s board of directors, the declaration must be filed also within one month of the acquisition or sale, as applicable.</w:t>
      </w:r>
    </w:p>
    <w:p>
      <w:pPr>
        <w:spacing w:after="0" w:line="185" w:lineRule="exact"/>
        <w:rPr>
          <w:sz w:val="20"/>
          <w:szCs w:val="20"/>
          <w:color w:val="auto"/>
        </w:rPr>
      </w:pPr>
    </w:p>
    <w:p>
      <w:pPr>
        <w:jc w:val="both"/>
        <w:spacing w:after="0" w:line="348"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Spanish residents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Ordinary Shares held in such accounts if the value of the transactions during the prior tax year or the balances in such accounts as of December 31 of the prior tax year exceed €1,000,000. More frequent reporting is required if such transaction value or account balance exceeds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 w:lineRule="exact"/>
        <w:rPr>
          <w:sz w:val="20"/>
          <w:szCs w:val="20"/>
          <w:color w:val="auto"/>
        </w:rPr>
      </w:pPr>
    </w:p>
    <w:p>
      <w:pPr>
        <w:jc w:val="both"/>
        <w:spacing w:after="0" w:line="299" w:lineRule="auto"/>
        <w:rPr>
          <w:sz w:val="20"/>
          <w:szCs w:val="20"/>
          <w:color w:val="auto"/>
        </w:rPr>
      </w:pPr>
      <w:r>
        <w:rPr>
          <w:rFonts w:ascii="Arial" w:cs="Arial" w:eastAsia="Arial" w:hAnsi="Arial"/>
          <w:sz w:val="21"/>
          <w:szCs w:val="21"/>
          <w:color w:val="auto"/>
        </w:rPr>
        <w:t>In addition, you may be subject to certain tax reporting requirements with respect to assets or rights that you hold outside of Spain, including bank accounts, securities and real estate if the aggregate value for particular category of assets exceeds €50,000 as of December 31 each year. Ordinary Shares acquired under the Plan or other equity programs offered by the Company constitute securities for purposes of this requirement, but unvested awards (</w:t>
      </w:r>
      <w:r>
        <w:rPr>
          <w:rFonts w:ascii="Arial" w:cs="Arial" w:eastAsia="Arial" w:hAnsi="Arial"/>
          <w:sz w:val="21"/>
          <w:szCs w:val="21"/>
          <w:i w:val="1"/>
          <w:iCs w:val="1"/>
          <w:color w:val="auto"/>
        </w:rPr>
        <w:t>e.g</w:t>
      </w:r>
      <w:r>
        <w:rPr>
          <w:rFonts w:ascii="Arial" w:cs="Arial" w:eastAsia="Arial" w:hAnsi="Arial"/>
          <w:sz w:val="21"/>
          <w:szCs w:val="21"/>
          <w:color w:val="auto"/>
        </w:rPr>
        <w:t>., RSUs, etc.) are not considered assets or rights for purposes of this reporting requirement. If applicable, you must report the assets on Form 720 by no later than March 31 following the end of the relevant year. After the rights and/or assets are initially reported, the reporting obligation will apply only if the value of previously-reported rights or assets increases by more than €20,000 as of each subsequent December 31 or if you sell or otherwise dispose of previously-reported rights or assets. You should consult with your personal advisor to determine your obligations in this respect.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SWEDEN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Obligations. </w:t>
      </w:r>
      <w:r>
        <w:rPr>
          <w:rFonts w:ascii="Arial" w:cs="Arial" w:eastAsia="Arial" w:hAnsi="Arial"/>
          <w:sz w:val="22"/>
          <w:szCs w:val="22"/>
          <w:color w:val="auto"/>
        </w:rPr>
        <w:t>The following provisions supplements Section 10 of the Agreement:</w:t>
      </w:r>
    </w:p>
    <w:p>
      <w:pPr>
        <w:spacing w:after="0" w:line="266" w:lineRule="exact"/>
        <w:rPr>
          <w:sz w:val="20"/>
          <w:szCs w:val="20"/>
          <w:color w:val="auto"/>
        </w:rPr>
      </w:pPr>
    </w:p>
    <w:p>
      <w:pPr>
        <w:jc w:val="both"/>
        <w:spacing w:after="0" w:line="306"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Tax-Related Items as set forth in Section 10 of the Agreement, in accepting the RSUs, you authorize the Company and/or the Employer to sell or withhold Ordinary Shares otherwise deliverable to you upon vesting to satisfy Tax-Related Items, regardless of whether the Company and/or the Employer have an obligation to withhold such Tax-Related Items.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SWITZERLAND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60" w:lineRule="exact"/>
        <w:rPr>
          <w:sz w:val="20"/>
          <w:szCs w:val="20"/>
          <w:color w:val="auto"/>
        </w:rPr>
      </w:pPr>
    </w:p>
    <w:p>
      <w:pPr>
        <w:jc w:val="both"/>
        <w:spacing w:after="0" w:line="304"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this document nor any other materials relating to the RSUs (i) constitutes a prospectus</w:t>
      </w:r>
      <w:r>
        <w:rPr>
          <w:rFonts w:ascii="Arial" w:cs="Arial" w:eastAsia="Arial" w:hAnsi="Arial"/>
          <w:sz w:val="21"/>
          <w:szCs w:val="21"/>
          <w:b w:val="1"/>
          <w:bCs w:val="1"/>
          <w:color w:val="auto"/>
        </w:rPr>
        <w:t xml:space="preserve"> </w:t>
      </w:r>
      <w:r>
        <w:rPr>
          <w:rFonts w:ascii="Arial" w:cs="Arial" w:eastAsia="Arial" w:hAnsi="Arial"/>
          <w:sz w:val="21"/>
          <w:szCs w:val="21"/>
          <w:color w:val="auto"/>
        </w:rPr>
        <w:t>according to articles 35 et seq. of the Swiss Federal Act on Financial Services (“</w:t>
      </w:r>
      <w:r>
        <w:rPr>
          <w:rFonts w:ascii="Arial" w:cs="Arial" w:eastAsia="Arial" w:hAnsi="Arial"/>
          <w:sz w:val="21"/>
          <w:szCs w:val="21"/>
          <w:b w:val="1"/>
          <w:bCs w:val="1"/>
          <w:i w:val="1"/>
          <w:iCs w:val="1"/>
          <w:color w:val="auto"/>
        </w:rPr>
        <w:t>FinSA</w:t>
      </w:r>
      <w:r>
        <w:rPr>
          <w:rFonts w:ascii="Arial" w:cs="Arial" w:eastAsia="Arial" w:hAnsi="Arial"/>
          <w:sz w:val="21"/>
          <w:szCs w:val="21"/>
          <w:color w:val="auto"/>
        </w:rPr>
        <w:t>”), (ii) may be publicly distributed or otherwise made available in Switzerland to any person other than an employee of the Company, or (iii) has been or will be filed with, approved or supervised by any Swiss reviewing body according to article 51 of FinSA or any Swiss regulatory authority (in particular, the Swiss Financial Market Supervisory Authority (FINMA)).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b w:val="1"/>
          <w:bCs w:val="1"/>
          <w:color w:val="auto"/>
        </w:rPr>
        <w:t>UNITED KINGDOM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Obligations. </w:t>
      </w:r>
      <w:r>
        <w:rPr>
          <w:rFonts w:ascii="Arial" w:cs="Arial" w:eastAsia="Arial" w:hAnsi="Arial"/>
          <w:sz w:val="22"/>
          <w:szCs w:val="22"/>
          <w:color w:val="auto"/>
        </w:rPr>
        <w:t>This provision supplements Section 10 of the Agreement:</w:t>
      </w:r>
    </w:p>
    <w:p>
      <w:pPr>
        <w:spacing w:after="0" w:line="293" w:lineRule="exact"/>
        <w:rPr>
          <w:sz w:val="20"/>
          <w:szCs w:val="20"/>
          <w:color w:val="auto"/>
        </w:rPr>
      </w:pPr>
    </w:p>
    <w:p>
      <w:pPr>
        <w:jc w:val="both"/>
        <w:spacing w:after="0" w:line="303" w:lineRule="auto"/>
        <w:rPr>
          <w:sz w:val="20"/>
          <w:szCs w:val="20"/>
          <w:color w:val="auto"/>
        </w:rPr>
      </w:pPr>
      <w:r>
        <w:rPr>
          <w:rFonts w:ascii="Arial" w:cs="Arial" w:eastAsia="Arial" w:hAnsi="Arial"/>
          <w:sz w:val="21"/>
          <w:szCs w:val="21"/>
          <w:color w:val="auto"/>
        </w:rPr>
        <w:t>Without limitation to Section 10 of the Agreement, you agree that you are liable for all Tax-Related Items and hereby covenant to pay all such Tax-Related Items as and when requested by the Company or the Employer or by Her Majesty’s Revenue and Customs (“</w:t>
      </w:r>
      <w:r>
        <w:rPr>
          <w:rFonts w:ascii="Arial" w:cs="Arial" w:eastAsia="Arial" w:hAnsi="Arial"/>
          <w:sz w:val="21"/>
          <w:szCs w:val="21"/>
          <w:b w:val="1"/>
          <w:bCs w:val="1"/>
          <w:i w:val="1"/>
          <w:iCs w:val="1"/>
          <w:color w:val="auto"/>
        </w:rPr>
        <w:t>HMRC</w:t>
      </w:r>
      <w:r>
        <w:rPr>
          <w:rFonts w:ascii="Arial" w:cs="Arial" w:eastAsia="Arial" w:hAnsi="Arial"/>
          <w:sz w:val="21"/>
          <w:szCs w:val="21"/>
          <w:color w:val="auto"/>
        </w:rPr>
        <w:t>” ) (or any other tax authority or any other relevant authority). You also agree to indemnify and keep indemnified the Company and the Employer against any taxes that they are required to pay or withhold or have paid or will pay on your behalf to HMRC (or any other tax authority or any other relevant authority).</w:t>
      </w:r>
    </w:p>
    <w:p>
      <w:pPr>
        <w:spacing w:after="0" w:line="204" w:lineRule="exact"/>
        <w:rPr>
          <w:sz w:val="20"/>
          <w:szCs w:val="20"/>
          <w:color w:val="auto"/>
        </w:rPr>
      </w:pPr>
    </w:p>
    <w:p>
      <w:pPr>
        <w:jc w:val="both"/>
        <w:spacing w:after="0" w:line="335" w:lineRule="auto"/>
        <w:rPr>
          <w:sz w:val="20"/>
          <w:szCs w:val="20"/>
          <w:color w:val="auto"/>
        </w:rPr>
      </w:pPr>
      <w:r>
        <w:rPr>
          <w:rFonts w:ascii="Arial" w:cs="Arial" w:eastAsia="Arial" w:hAnsi="Arial"/>
          <w:sz w:val="19"/>
          <w:szCs w:val="19"/>
          <w:color w:val="auto"/>
        </w:rPr>
        <w:t>Notwithstanding the foregoing, if you are a director or executive officer of the Company (within the meaning of Section 13(k) of the Exchange Act), the terms of the immediately foregoing provision will not apply. In such case, if the amount of any income tax due is not collected from or paid by you within 90 days of the end of the UK tax year in which an event giving rise to the indemnification described above occurs, the amount of any uncollected income tax may constitute a benefit to you on which additional income tax and national insurance contributions (“</w:t>
      </w:r>
      <w:r>
        <w:rPr>
          <w:rFonts w:ascii="Arial" w:cs="Arial" w:eastAsia="Arial" w:hAnsi="Arial"/>
          <w:sz w:val="19"/>
          <w:szCs w:val="19"/>
          <w:b w:val="1"/>
          <w:bCs w:val="1"/>
          <w:i w:val="1"/>
          <w:iCs w:val="1"/>
          <w:color w:val="auto"/>
        </w:rPr>
        <w:t>NICs</w:t>
      </w:r>
      <w:r>
        <w:rPr>
          <w:rFonts w:ascii="Arial" w:cs="Arial" w:eastAsia="Arial" w:hAnsi="Arial"/>
          <w:sz w:val="19"/>
          <w:szCs w:val="19"/>
          <w:color w:val="auto"/>
        </w:rPr>
        <w:t>”) may be payable. You will be responsible for reporting and paying any income tax due on this additional benefit directly to HMRC under the self-assessment regime and for reimbursing the Employer for the value of any employee NICs due on this additional benefit, which the Company or the Employer may recover from you at any time thereafter by any of the means referred to in Section 10 of the Agreement.</w:t>
      </w:r>
    </w:p>
    <w:p>
      <w:pPr>
        <w:spacing w:after="0" w:line="146" w:lineRule="exact"/>
        <w:rPr>
          <w:sz w:val="20"/>
          <w:szCs w:val="20"/>
          <w:color w:val="auto"/>
        </w:rPr>
      </w:pPr>
    </w:p>
    <w:p>
      <w:pPr>
        <w:jc w:val="both"/>
        <w:spacing w:after="0" w:line="335" w:lineRule="auto"/>
        <w:rPr>
          <w:sz w:val="20"/>
          <w:szCs w:val="20"/>
          <w:color w:val="auto"/>
        </w:rPr>
      </w:pPr>
      <w:r>
        <w:rPr>
          <w:rFonts w:ascii="Arial" w:cs="Arial" w:eastAsia="Arial" w:hAnsi="Arial"/>
          <w:sz w:val="19"/>
          <w:szCs w:val="19"/>
          <w:b w:val="1"/>
          <w:bCs w:val="1"/>
          <w:color w:val="auto"/>
        </w:rPr>
        <w:t xml:space="preserve">Joint Election for Transfer of Liability for Employer National Insurance Contributions. </w:t>
      </w:r>
      <w:r>
        <w:rPr>
          <w:rFonts w:ascii="Arial" w:cs="Arial" w:eastAsia="Arial" w:hAnsi="Arial"/>
          <w:sz w:val="19"/>
          <w:szCs w:val="19"/>
          <w:color w:val="auto"/>
        </w:rPr>
        <w:t>As a condition of participation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and the vesting of the RSUs, you agree to accept any liability for secondary Class 1 NICs that may be payable by the Company, the Employer or any Affiliate in connection with the RSUs and any event giving rise to Tax-Related Items (the “</w:t>
      </w:r>
      <w:r>
        <w:rPr>
          <w:rFonts w:ascii="Arial" w:cs="Arial" w:eastAsia="Arial" w:hAnsi="Arial"/>
          <w:sz w:val="19"/>
          <w:szCs w:val="19"/>
          <w:b w:val="1"/>
          <w:bCs w:val="1"/>
          <w:i w:val="1"/>
          <w:iCs w:val="1"/>
          <w:color w:val="auto"/>
        </w:rPr>
        <w:t>Employer NICs</w:t>
      </w:r>
      <w:r>
        <w:rPr>
          <w:rFonts w:ascii="Arial" w:cs="Arial" w:eastAsia="Arial" w:hAnsi="Arial"/>
          <w:sz w:val="19"/>
          <w:szCs w:val="19"/>
          <w:color w:val="auto"/>
        </w:rPr>
        <w:t>”). Without prejudice to the foregoing, you agree to execute a joint election with the Company, the form of such joint election (the “Joint Election”) having been approved formally by HMRC, and any other required consent or election prior to vesting of the RSUs. You further agree to execute such other joint elections as may be required between you and any successor to the Company, the Employer or any Affiliate. You further agree that the Company, the Employer or any Affiliate may collect the Employer NICs from you by any of the means set forth in Section 10 of the Agreement.</w:t>
      </w:r>
    </w:p>
    <w:p>
      <w:pPr>
        <w:spacing w:after="0" w:line="158"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If you do not enter into a Joint Election prior to the vesting of the RSUs, you will not be entitled to vest in the RSUs without any liability to the Company, the Employer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22"/>
          <w:szCs w:val="22"/>
          <w:b w:val="1"/>
          <w:bCs w:val="1"/>
          <w:color w:val="auto"/>
        </w:rPr>
        <w:t>JAZZ PHARMACEUTICALS PLC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EQUITY INCENTIVE PLAN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ELECTION TO TRANSFER THE EMPLOYER’S SECONDARY CLASS 1</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NATIONAL INSURANCE LIABILITY TO THE EMPLOYEE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This Election is between:</w:t>
      </w:r>
    </w:p>
    <w:p>
      <w:pPr>
        <w:spacing w:after="0" w:line="281" w:lineRule="exact"/>
        <w:rPr>
          <w:sz w:val="20"/>
          <w:szCs w:val="20"/>
          <w:color w:val="auto"/>
        </w:rPr>
      </w:pPr>
    </w:p>
    <w:p>
      <w:pPr>
        <w:ind w:left="660" w:hanging="652"/>
        <w:spacing w:after="0" w:line="360" w:lineRule="auto"/>
        <w:tabs>
          <w:tab w:leader="none" w:pos="53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individual who has received this Election (the “</w:t>
      </w:r>
      <w:r>
        <w:rPr>
          <w:rFonts w:ascii="Arial" w:cs="Arial" w:eastAsia="Arial" w:hAnsi="Arial"/>
          <w:sz w:val="19"/>
          <w:szCs w:val="19"/>
          <w:b w:val="1"/>
          <w:bCs w:val="1"/>
          <w:color w:val="auto"/>
        </w:rPr>
        <w:t>Employee</w:t>
      </w:r>
      <w:r>
        <w:rPr>
          <w:rFonts w:ascii="Arial" w:cs="Arial" w:eastAsia="Arial" w:hAnsi="Arial"/>
          <w:sz w:val="19"/>
          <w:szCs w:val="19"/>
          <w:color w:val="auto"/>
        </w:rPr>
        <w:t>”), who is employed by one of the employing companies listed in the attached schedule (the “</w:t>
      </w:r>
      <w:r>
        <w:rPr>
          <w:rFonts w:ascii="Arial" w:cs="Arial" w:eastAsia="Arial" w:hAnsi="Arial"/>
          <w:sz w:val="19"/>
          <w:szCs w:val="19"/>
          <w:b w:val="1"/>
          <w:bCs w:val="1"/>
          <w:color w:val="auto"/>
        </w:rPr>
        <w:t>Employer</w:t>
      </w:r>
      <w:r>
        <w:rPr>
          <w:rFonts w:ascii="Arial" w:cs="Arial" w:eastAsia="Arial" w:hAnsi="Arial"/>
          <w:sz w:val="19"/>
          <w:szCs w:val="19"/>
          <w:color w:val="auto"/>
        </w:rPr>
        <w:t>”) and who is eligible to receive stock options and/or restricted stock units (together, the “</w:t>
      </w:r>
      <w:r>
        <w:rPr>
          <w:rFonts w:ascii="Arial" w:cs="Arial" w:eastAsia="Arial" w:hAnsi="Arial"/>
          <w:sz w:val="19"/>
          <w:szCs w:val="19"/>
          <w:b w:val="1"/>
          <w:bCs w:val="1"/>
          <w:color w:val="auto"/>
        </w:rPr>
        <w:t>Awards</w:t>
      </w:r>
      <w:r>
        <w:rPr>
          <w:rFonts w:ascii="Arial" w:cs="Arial" w:eastAsia="Arial" w:hAnsi="Arial"/>
          <w:sz w:val="19"/>
          <w:szCs w:val="19"/>
          <w:color w:val="auto"/>
        </w:rPr>
        <w:t>”) pursuant to the Jazz Pharmaceuticals plc 2011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and</w:t>
      </w:r>
    </w:p>
    <w:p>
      <w:pPr>
        <w:spacing w:after="0" w:line="150" w:lineRule="exact"/>
        <w:rPr>
          <w:rFonts w:ascii="Arial" w:cs="Arial" w:eastAsia="Arial" w:hAnsi="Arial"/>
          <w:sz w:val="19"/>
          <w:szCs w:val="19"/>
          <w:color w:val="auto"/>
        </w:rPr>
      </w:pPr>
    </w:p>
    <w:p>
      <w:pPr>
        <w:ind w:left="660" w:hanging="652"/>
        <w:spacing w:after="0" w:line="333" w:lineRule="auto"/>
        <w:tabs>
          <w:tab w:leader="none" w:pos="477" w:val="left"/>
        </w:tabs>
        <w:numPr>
          <w:ilvl w:val="0"/>
          <w:numId w:val="145"/>
        </w:numPr>
        <w:rPr>
          <w:rFonts w:ascii="Arial" w:cs="Arial" w:eastAsia="Arial" w:hAnsi="Arial"/>
          <w:sz w:val="21"/>
          <w:szCs w:val="21"/>
          <w:color w:val="auto"/>
        </w:rPr>
      </w:pPr>
      <w:r>
        <w:rPr>
          <w:rFonts w:ascii="Arial" w:cs="Arial" w:eastAsia="Arial" w:hAnsi="Arial"/>
          <w:sz w:val="21"/>
          <w:szCs w:val="21"/>
          <w:color w:val="auto"/>
        </w:rPr>
        <w:t>Jazz Pharmaceuticals plc, Fourth Floor, Connaught House, 1 Burlington Road, Dublin 4, Ireland (the “</w:t>
      </w:r>
      <w:r>
        <w:rPr>
          <w:rFonts w:ascii="Arial" w:cs="Arial" w:eastAsia="Arial" w:hAnsi="Arial"/>
          <w:sz w:val="21"/>
          <w:szCs w:val="21"/>
          <w:b w:val="1"/>
          <w:bCs w:val="1"/>
          <w:color w:val="auto"/>
        </w:rPr>
        <w:t>Company</w:t>
      </w:r>
      <w:r>
        <w:rPr>
          <w:rFonts w:ascii="Arial" w:cs="Arial" w:eastAsia="Arial" w:hAnsi="Arial"/>
          <w:sz w:val="21"/>
          <w:szCs w:val="21"/>
          <w:color w:val="auto"/>
        </w:rPr>
        <w:t>”), which may grant Awards under the Plan and is entering into this Election on behalf of the Employer.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Introduction</w:t>
      </w:r>
    </w:p>
    <w:p>
      <w:pPr>
        <w:spacing w:after="0" w:line="293" w:lineRule="exact"/>
        <w:rPr>
          <w:sz w:val="20"/>
          <w:szCs w:val="20"/>
          <w:color w:val="auto"/>
        </w:rPr>
      </w:pPr>
    </w:p>
    <w:p>
      <w:pPr>
        <w:ind w:firstLine="8"/>
        <w:spacing w:after="0" w:line="302" w:lineRule="auto"/>
        <w:tabs>
          <w:tab w:leader="none" w:pos="643" w:val="left"/>
        </w:tabs>
        <w:numPr>
          <w:ilvl w:val="0"/>
          <w:numId w:val="146"/>
        </w:numPr>
        <w:rPr>
          <w:rFonts w:ascii="Arial" w:cs="Arial" w:eastAsia="Arial" w:hAnsi="Arial"/>
          <w:sz w:val="22"/>
          <w:szCs w:val="22"/>
          <w:b w:val="1"/>
          <w:bCs w:val="1"/>
          <w:color w:val="auto"/>
        </w:rPr>
      </w:pPr>
      <w:r>
        <w:rPr>
          <w:rFonts w:ascii="Arial" w:cs="Arial" w:eastAsia="Arial" w:hAnsi="Arial"/>
          <w:sz w:val="22"/>
          <w:szCs w:val="22"/>
          <w:color w:val="auto"/>
        </w:rPr>
        <w:t>This Election relates to all Awards granted to the Employee under the Plan on or after January 18, 2012 up to the termination date of the Plan.</w:t>
      </w:r>
    </w:p>
    <w:p>
      <w:pPr>
        <w:spacing w:after="0" w:line="200" w:lineRule="exact"/>
        <w:rPr>
          <w:rFonts w:ascii="Arial" w:cs="Arial" w:eastAsia="Arial" w:hAnsi="Arial"/>
          <w:sz w:val="22"/>
          <w:szCs w:val="22"/>
          <w:b w:val="1"/>
          <w:bCs w:val="1"/>
          <w:color w:val="auto"/>
        </w:rPr>
      </w:pPr>
    </w:p>
    <w:p>
      <w:pPr>
        <w:ind w:left="640" w:hanging="632"/>
        <w:spacing w:after="0"/>
        <w:tabs>
          <w:tab w:leader="none" w:pos="640" w:val="left"/>
        </w:tabs>
        <w:numPr>
          <w:ilvl w:val="0"/>
          <w:numId w:val="146"/>
        </w:numPr>
        <w:rPr>
          <w:rFonts w:ascii="Arial" w:cs="Arial" w:eastAsia="Arial" w:hAnsi="Arial"/>
          <w:sz w:val="22"/>
          <w:szCs w:val="22"/>
          <w:b w:val="1"/>
          <w:bCs w:val="1"/>
          <w:color w:val="auto"/>
        </w:rPr>
      </w:pPr>
      <w:r>
        <w:rPr>
          <w:rFonts w:ascii="Arial" w:cs="Arial" w:eastAsia="Arial" w:hAnsi="Arial"/>
          <w:sz w:val="22"/>
          <w:szCs w:val="22"/>
          <w:color w:val="auto"/>
        </w:rPr>
        <w:t>In this Election the following words and phrases have the following meanings:</w:t>
      </w:r>
    </w:p>
    <w:p>
      <w:pPr>
        <w:spacing w:after="0" w:line="281" w:lineRule="exact"/>
        <w:rPr>
          <w:rFonts w:ascii="Arial" w:cs="Arial" w:eastAsia="Arial" w:hAnsi="Arial"/>
          <w:sz w:val="22"/>
          <w:szCs w:val="22"/>
          <w:b w:val="1"/>
          <w:bCs w:val="1"/>
          <w:color w:val="auto"/>
        </w:rPr>
      </w:pPr>
    </w:p>
    <w:p>
      <w:pPr>
        <w:ind w:left="300" w:hanging="253"/>
        <w:spacing w:after="0"/>
        <w:tabs>
          <w:tab w:leader="none" w:pos="300" w:val="left"/>
        </w:tabs>
        <w:numPr>
          <w:ilvl w:val="1"/>
          <w:numId w:val="1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Chargeable Event</w:t>
      </w:r>
      <w:r>
        <w:rPr>
          <w:rFonts w:ascii="Arial" w:cs="Arial" w:eastAsia="Arial" w:hAnsi="Arial"/>
          <w:sz w:val="22"/>
          <w:szCs w:val="22"/>
          <w:color w:val="auto"/>
        </w:rPr>
        <w:t>” means, in relation to the Awards:</w:t>
      </w:r>
    </w:p>
    <w:p>
      <w:pPr>
        <w:spacing w:after="0" w:line="293"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22"/>
          <w:szCs w:val="22"/>
          <w:b w:val="1"/>
          <w:bCs w:val="1"/>
          <w:color w:val="auto"/>
        </w:rPr>
      </w:pPr>
      <w:r>
        <w:rPr>
          <w:rFonts w:ascii="Arial" w:cs="Arial" w:eastAsia="Arial" w:hAnsi="Arial"/>
          <w:sz w:val="22"/>
          <w:szCs w:val="22"/>
          <w:color w:val="auto"/>
        </w:rPr>
        <w:t>the acquisition of securities pursuant to the Awards (within section 477(3)(a) of ITEPA);</w:t>
      </w:r>
    </w:p>
    <w:p>
      <w:pPr>
        <w:spacing w:after="0" w:line="287" w:lineRule="exact"/>
        <w:rPr>
          <w:rFonts w:ascii="Arial" w:cs="Arial" w:eastAsia="Arial" w:hAnsi="Arial"/>
          <w:sz w:val="22"/>
          <w:szCs w:val="22"/>
          <w:b w:val="1"/>
          <w:bCs w:val="1"/>
          <w:color w:val="auto"/>
        </w:rPr>
      </w:pPr>
    </w:p>
    <w:p>
      <w:pPr>
        <w:ind w:left="660" w:hanging="652"/>
        <w:spacing w:after="0"/>
        <w:tabs>
          <w:tab w:leader="none" w:pos="660" w:val="left"/>
        </w:tabs>
        <w:numPr>
          <w:ilvl w:val="0"/>
          <w:numId w:val="147"/>
        </w:numPr>
        <w:rPr>
          <w:rFonts w:ascii="Arial" w:cs="Arial" w:eastAsia="Arial" w:hAnsi="Arial"/>
          <w:sz w:val="19"/>
          <w:szCs w:val="19"/>
          <w:b w:val="1"/>
          <w:bCs w:val="1"/>
          <w:color w:val="auto"/>
        </w:rPr>
      </w:pPr>
      <w:r>
        <w:rPr>
          <w:rFonts w:ascii="Arial" w:cs="Arial" w:eastAsia="Arial" w:hAnsi="Arial"/>
          <w:sz w:val="19"/>
          <w:szCs w:val="19"/>
          <w:color w:val="auto"/>
        </w:rPr>
        <w:t>the assignment (if applicable) or release of the Awards in return for consideration (within section 477(3)(b) of ITEPA);</w:t>
      </w:r>
    </w:p>
    <w:p>
      <w:pPr>
        <w:spacing w:after="0" w:line="321" w:lineRule="exact"/>
        <w:rPr>
          <w:rFonts w:ascii="Arial" w:cs="Arial" w:eastAsia="Arial" w:hAnsi="Arial"/>
          <w:sz w:val="19"/>
          <w:szCs w:val="19"/>
          <w:b w:val="1"/>
          <w:bCs w:val="1"/>
          <w:color w:val="auto"/>
        </w:rPr>
      </w:pPr>
    </w:p>
    <w:p>
      <w:pPr>
        <w:ind w:left="660" w:hanging="652"/>
        <w:spacing w:after="0"/>
        <w:tabs>
          <w:tab w:leader="none" w:pos="660" w:val="left"/>
        </w:tabs>
        <w:numPr>
          <w:ilvl w:val="0"/>
          <w:numId w:val="147"/>
        </w:numPr>
        <w:rPr>
          <w:rFonts w:ascii="Arial" w:cs="Arial" w:eastAsia="Arial" w:hAnsi="Arial"/>
          <w:sz w:val="19"/>
          <w:szCs w:val="19"/>
          <w:b w:val="1"/>
          <w:bCs w:val="1"/>
          <w:color w:val="auto"/>
        </w:rPr>
      </w:pPr>
      <w:r>
        <w:rPr>
          <w:rFonts w:ascii="Arial" w:cs="Arial" w:eastAsia="Arial" w:hAnsi="Arial"/>
          <w:sz w:val="19"/>
          <w:szCs w:val="19"/>
          <w:color w:val="auto"/>
        </w:rPr>
        <w:t>the receipt of a benefit in connection with the Awards, other than a benefit within (i) or (ii) above (within section 477(3)</w:t>
      </w:r>
    </w:p>
    <w:p>
      <w:pPr>
        <w:spacing w:after="0" w:line="7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 of ITEPA);</w:t>
      </w:r>
    </w:p>
    <w:p>
      <w:pPr>
        <w:spacing w:after="0" w:line="287" w:lineRule="exact"/>
        <w:rPr>
          <w:rFonts w:ascii="Arial" w:cs="Arial" w:eastAsia="Arial" w:hAnsi="Arial"/>
          <w:sz w:val="19"/>
          <w:szCs w:val="19"/>
          <w:b w:val="1"/>
          <w:bCs w:val="1"/>
          <w:color w:val="auto"/>
        </w:rPr>
      </w:pPr>
    </w:p>
    <w:p>
      <w:pPr>
        <w:ind w:right="20" w:firstLine="8"/>
        <w:spacing w:after="0" w:line="302" w:lineRule="auto"/>
        <w:tabs>
          <w:tab w:leader="none" w:pos="643" w:val="left"/>
        </w:tabs>
        <w:numPr>
          <w:ilvl w:val="0"/>
          <w:numId w:val="147"/>
        </w:numPr>
        <w:rPr>
          <w:rFonts w:ascii="Arial" w:cs="Arial" w:eastAsia="Arial" w:hAnsi="Arial"/>
          <w:sz w:val="22"/>
          <w:szCs w:val="22"/>
          <w:b w:val="1"/>
          <w:bCs w:val="1"/>
          <w:color w:val="auto"/>
        </w:rPr>
      </w:pPr>
      <w:r>
        <w:rPr>
          <w:rFonts w:ascii="Arial" w:cs="Arial" w:eastAsia="Arial" w:hAnsi="Arial"/>
          <w:sz w:val="22"/>
          <w:szCs w:val="22"/>
          <w:color w:val="auto"/>
        </w:rPr>
        <w:t>post-acquisition charges relating to the Awards and/or ordinary shares of the Company acquired pursuant to the Awards (within section 427 of ITEPA);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35" w:right="339" w:bottom="1440" w:gutter="0" w:footer="0" w:header="0"/>
        </w:sectPr>
      </w:pPr>
    </w:p>
    <w:bookmarkStart w:id="198" w:name="page199"/>
    <w:bookmarkEnd w:id="198"/>
    <w:p>
      <w:pPr>
        <w:spacing w:after="0" w:line="2" w:lineRule="exact"/>
        <w:rPr>
          <w:sz w:val="20"/>
          <w:szCs w:val="20"/>
          <w:color w:val="auto"/>
        </w:rPr>
      </w:pPr>
    </w:p>
    <w:p>
      <w:pPr>
        <w:ind w:right="20" w:firstLine="8"/>
        <w:spacing w:after="0" w:line="302" w:lineRule="auto"/>
        <w:tabs>
          <w:tab w:leader="none" w:pos="643"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post-acquisition charges relating to the Awards and/or ordinary shares of the Company acquired pursuant to the Awards (within section 439 of ITEPA).</w:t>
      </w:r>
    </w:p>
    <w:p>
      <w:pPr>
        <w:spacing w:after="0" w:line="194" w:lineRule="exact"/>
        <w:rPr>
          <w:rFonts w:ascii="Arial" w:cs="Arial" w:eastAsia="Arial" w:hAnsi="Arial"/>
          <w:sz w:val="22"/>
          <w:szCs w:val="22"/>
          <w:b w:val="1"/>
          <w:bCs w:val="1"/>
          <w:color w:val="auto"/>
        </w:rPr>
      </w:pPr>
    </w:p>
    <w:p>
      <w:pPr>
        <w:ind w:left="380" w:hanging="311"/>
        <w:spacing w:after="0"/>
        <w:tabs>
          <w:tab w:leader="none" w:pos="380" w:val="left"/>
        </w:tabs>
        <w:numPr>
          <w:ilvl w:val="1"/>
          <w:numId w:val="14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ITEPA</w:t>
      </w:r>
      <w:r>
        <w:rPr>
          <w:rFonts w:ascii="Arial" w:cs="Arial" w:eastAsia="Arial" w:hAnsi="Arial"/>
          <w:sz w:val="22"/>
          <w:szCs w:val="22"/>
          <w:color w:val="auto"/>
        </w:rPr>
        <w:t>” means the Income Tax (Earnings and Pensions) Act 2003.</w:t>
      </w:r>
    </w:p>
    <w:p>
      <w:pPr>
        <w:spacing w:after="0" w:line="287" w:lineRule="exact"/>
        <w:rPr>
          <w:rFonts w:ascii="Arial" w:cs="Arial" w:eastAsia="Arial" w:hAnsi="Arial"/>
          <w:sz w:val="22"/>
          <w:szCs w:val="22"/>
          <w:b w:val="1"/>
          <w:bCs w:val="1"/>
          <w:color w:val="auto"/>
        </w:rPr>
      </w:pPr>
    </w:p>
    <w:p>
      <w:pPr>
        <w:ind w:left="380" w:hanging="371"/>
        <w:spacing w:after="0"/>
        <w:tabs>
          <w:tab w:leader="none" w:pos="380" w:val="left"/>
        </w:tabs>
        <w:numPr>
          <w:ilvl w:val="1"/>
          <w:numId w:val="14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SSCBA</w:t>
      </w:r>
      <w:r>
        <w:rPr>
          <w:rFonts w:ascii="Arial" w:cs="Arial" w:eastAsia="Arial" w:hAnsi="Arial"/>
          <w:sz w:val="22"/>
          <w:szCs w:val="22"/>
          <w:color w:val="auto"/>
        </w:rPr>
        <w:t>” means the Social Security Contributions and Benefits Act 1992.</w:t>
      </w:r>
    </w:p>
    <w:p>
      <w:pPr>
        <w:spacing w:after="0" w:line="287" w:lineRule="exact"/>
        <w:rPr>
          <w:sz w:val="20"/>
          <w:szCs w:val="20"/>
          <w:color w:val="auto"/>
        </w:rPr>
      </w:pPr>
    </w:p>
    <w:p>
      <w:pPr>
        <w:jc w:val="both"/>
        <w:ind w:firstLine="8"/>
        <w:spacing w:after="0" w:line="294" w:lineRule="auto"/>
        <w:tabs>
          <w:tab w:leader="none" w:pos="645" w:val="left"/>
        </w:tabs>
        <w:numPr>
          <w:ilvl w:val="0"/>
          <w:numId w:val="149"/>
        </w:numPr>
        <w:rPr>
          <w:rFonts w:ascii="Arial" w:cs="Arial" w:eastAsia="Arial" w:hAnsi="Arial"/>
          <w:sz w:val="22"/>
          <w:szCs w:val="22"/>
          <w:b w:val="1"/>
          <w:bCs w:val="1"/>
          <w:color w:val="auto"/>
        </w:rPr>
      </w:pPr>
      <w:r>
        <w:rPr>
          <w:rFonts w:ascii="Arial" w:cs="Arial" w:eastAsia="Arial" w:hAnsi="Arial"/>
          <w:sz w:val="22"/>
          <w:szCs w:val="22"/>
          <w:color w:val="auto"/>
        </w:rPr>
        <w:t>This Election relates to the Employer’s secondary Class 1 National Insurance Contributions (the “</w:t>
      </w:r>
      <w:r>
        <w:rPr>
          <w:rFonts w:ascii="Arial" w:cs="Arial" w:eastAsia="Arial" w:hAnsi="Arial"/>
          <w:sz w:val="22"/>
          <w:szCs w:val="22"/>
          <w:b w:val="1"/>
          <w:bCs w:val="1"/>
          <w:color w:val="auto"/>
        </w:rPr>
        <w:t>Employer’s Liability</w:t>
      </w:r>
      <w:r>
        <w:rPr>
          <w:rFonts w:ascii="Arial" w:cs="Arial" w:eastAsia="Arial" w:hAnsi="Arial"/>
          <w:sz w:val="22"/>
          <w:szCs w:val="22"/>
          <w:color w:val="auto"/>
        </w:rPr>
        <w:t>”) which may arise on the occurrence of a Chargeable Event in respect of the Awards pursuant to section 4(4)(a) and/or paragraph 3B(1A) of Schedule 1 of the SSCBA.</w:t>
      </w:r>
    </w:p>
    <w:p>
      <w:pPr>
        <w:spacing w:after="0" w:line="210" w:lineRule="exact"/>
        <w:rPr>
          <w:rFonts w:ascii="Arial" w:cs="Arial" w:eastAsia="Arial" w:hAnsi="Arial"/>
          <w:sz w:val="22"/>
          <w:szCs w:val="22"/>
          <w:b w:val="1"/>
          <w:bCs w:val="1"/>
          <w:color w:val="auto"/>
        </w:rPr>
      </w:pPr>
    </w:p>
    <w:p>
      <w:pPr>
        <w:jc w:val="both"/>
        <w:ind w:right="20" w:firstLine="8"/>
        <w:spacing w:after="0" w:line="291" w:lineRule="auto"/>
        <w:tabs>
          <w:tab w:leader="none" w:pos="642" w:val="left"/>
        </w:tabs>
        <w:numPr>
          <w:ilvl w:val="0"/>
          <w:numId w:val="149"/>
        </w:numPr>
        <w:rPr>
          <w:rFonts w:ascii="Arial" w:cs="Arial" w:eastAsia="Arial" w:hAnsi="Arial"/>
          <w:sz w:val="22"/>
          <w:szCs w:val="22"/>
          <w:b w:val="1"/>
          <w:bCs w:val="1"/>
          <w:color w:val="auto"/>
        </w:rPr>
      </w:pPr>
      <w:r>
        <w:rPr>
          <w:rFonts w:ascii="Arial" w:cs="Arial" w:eastAsia="Arial" w:hAnsi="Arial"/>
          <w:sz w:val="22"/>
          <w:szCs w:val="22"/>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13" w:lineRule="exact"/>
        <w:rPr>
          <w:rFonts w:ascii="Arial" w:cs="Arial" w:eastAsia="Arial" w:hAnsi="Arial"/>
          <w:sz w:val="22"/>
          <w:szCs w:val="22"/>
          <w:b w:val="1"/>
          <w:bCs w:val="1"/>
          <w:color w:val="auto"/>
        </w:rPr>
      </w:pPr>
    </w:p>
    <w:p>
      <w:pPr>
        <w:jc w:val="both"/>
        <w:ind w:firstLine="8"/>
        <w:spacing w:after="0" w:line="291" w:lineRule="auto"/>
        <w:tabs>
          <w:tab w:leader="none" w:pos="645" w:val="left"/>
        </w:tabs>
        <w:numPr>
          <w:ilvl w:val="0"/>
          <w:numId w:val="149"/>
        </w:numPr>
        <w:rPr>
          <w:rFonts w:ascii="Arial" w:cs="Arial" w:eastAsia="Arial" w:hAnsi="Arial"/>
          <w:sz w:val="22"/>
          <w:szCs w:val="22"/>
          <w:b w:val="1"/>
          <w:bCs w:val="1"/>
          <w:color w:val="auto"/>
        </w:rPr>
      </w:pPr>
      <w:r>
        <w:rPr>
          <w:rFonts w:ascii="Arial" w:cs="Arial" w:eastAsia="Arial" w:hAnsi="Arial"/>
          <w:sz w:val="22"/>
          <w:szCs w:val="22"/>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208"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The Election</w:t>
      </w:r>
    </w:p>
    <w:p>
      <w:pPr>
        <w:spacing w:after="0" w:line="293" w:lineRule="exact"/>
        <w:rPr>
          <w:rFonts w:ascii="Arial" w:cs="Arial" w:eastAsia="Arial" w:hAnsi="Arial"/>
          <w:sz w:val="22"/>
          <w:szCs w:val="22"/>
          <w:b w:val="1"/>
          <w:bCs w:val="1"/>
          <w:color w:val="auto"/>
        </w:rPr>
      </w:pPr>
    </w:p>
    <w:p>
      <w:pPr>
        <w:jc w:val="both"/>
        <w:ind w:left="66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The Employee and the Company jointly elect that the entire liability of the Employer to pay the Employer’s Liability on the Chargeable Event is hereby transferred to the Employee. The Employee understands that, by signing the award grant notice, he or she will become personally liable for the Employer’s Liability covered by this Election. This Election is made in accordance with paragraph 3B(1) of Schedule 1 of the SSCBA.</w:t>
      </w:r>
    </w:p>
    <w:p>
      <w:pPr>
        <w:spacing w:after="0" w:line="210" w:lineRule="exact"/>
        <w:rPr>
          <w:rFonts w:ascii="Arial" w:cs="Arial" w:eastAsia="Arial" w:hAnsi="Arial"/>
          <w:sz w:val="22"/>
          <w:szCs w:val="22"/>
          <w:b w:val="1"/>
          <w:bCs w:val="1"/>
          <w:color w:val="auto"/>
        </w:rPr>
      </w:pPr>
    </w:p>
    <w:p>
      <w:pPr>
        <w:ind w:left="660" w:hanging="652"/>
        <w:spacing w:after="0"/>
        <w:tabs>
          <w:tab w:leader="none" w:pos="66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the Employer’s Liability</w:t>
      </w:r>
    </w:p>
    <w:p>
      <w:pPr>
        <w:spacing w:after="0" w:line="293" w:lineRule="exact"/>
        <w:rPr>
          <w:sz w:val="20"/>
          <w:szCs w:val="20"/>
          <w:color w:val="auto"/>
        </w:rPr>
      </w:pPr>
    </w:p>
    <w:p>
      <w:pPr>
        <w:ind w:firstLine="8"/>
        <w:spacing w:after="0" w:line="302" w:lineRule="auto"/>
        <w:tabs>
          <w:tab w:leader="none" w:pos="643" w:val="left"/>
        </w:tabs>
        <w:numPr>
          <w:ilvl w:val="0"/>
          <w:numId w:val="151"/>
        </w:numPr>
        <w:rPr>
          <w:rFonts w:ascii="Arial" w:cs="Arial" w:eastAsia="Arial" w:hAnsi="Arial"/>
          <w:sz w:val="22"/>
          <w:szCs w:val="22"/>
          <w:b w:val="1"/>
          <w:bCs w:val="1"/>
          <w:color w:val="auto"/>
        </w:rPr>
      </w:pPr>
      <w:r>
        <w:rPr>
          <w:rFonts w:ascii="Arial" w:cs="Arial" w:eastAsia="Arial" w:hAnsi="Arial"/>
          <w:sz w:val="22"/>
          <w:szCs w:val="22"/>
          <w:color w:val="auto"/>
        </w:rPr>
        <w:t>The Employee hereby authorises the Company and/or the Employer to collect the Employer’s Liability from the Employee at any time after the Chargeable Event:</w:t>
      </w:r>
    </w:p>
    <w:p>
      <w:pPr>
        <w:spacing w:after="0" w:line="200" w:lineRule="exact"/>
        <w:rPr>
          <w:rFonts w:ascii="Arial" w:cs="Arial" w:eastAsia="Arial" w:hAnsi="Arial"/>
          <w:sz w:val="22"/>
          <w:szCs w:val="22"/>
          <w:b w:val="1"/>
          <w:bCs w:val="1"/>
          <w:color w:val="auto"/>
        </w:rPr>
      </w:pPr>
    </w:p>
    <w:p>
      <w:pPr>
        <w:ind w:left="1300" w:hanging="644"/>
        <w:spacing w:after="0" w:line="302" w:lineRule="auto"/>
        <w:tabs>
          <w:tab w:leader="none" w:pos="117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by deduction from salary or any other payment payable to the Employee at any time on or after the date of the Chargeable Event; and/or</w:t>
      </w:r>
    </w:p>
    <w:p>
      <w:pPr>
        <w:spacing w:after="0" w:line="200" w:lineRule="exact"/>
        <w:rPr>
          <w:rFonts w:ascii="Arial" w:cs="Arial" w:eastAsia="Arial" w:hAnsi="Arial"/>
          <w:sz w:val="22"/>
          <w:szCs w:val="22"/>
          <w:color w:val="auto"/>
        </w:rPr>
      </w:pPr>
    </w:p>
    <w:p>
      <w:pPr>
        <w:ind w:left="1140" w:hanging="484"/>
        <w:spacing w:after="0"/>
        <w:tabs>
          <w:tab w:leader="none" w:pos="1140" w:val="left"/>
        </w:tabs>
        <w:numPr>
          <w:ilvl w:val="1"/>
          <w:numId w:val="151"/>
        </w:numPr>
        <w:rPr>
          <w:rFonts w:ascii="Arial" w:cs="Arial" w:eastAsia="Arial" w:hAnsi="Arial"/>
          <w:sz w:val="22"/>
          <w:szCs w:val="22"/>
          <w:color w:val="auto"/>
        </w:rPr>
      </w:pPr>
      <w:r>
        <w:rPr>
          <w:rFonts w:ascii="Arial" w:cs="Arial" w:eastAsia="Arial" w:hAnsi="Arial"/>
          <w:sz w:val="22"/>
          <w:szCs w:val="22"/>
          <w:color w:val="auto"/>
        </w:rPr>
        <w:t>directly from the Employee by payment in cash or cleared funds;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 w:lineRule="exact"/>
        <w:rPr>
          <w:sz w:val="20"/>
          <w:szCs w:val="20"/>
          <w:color w:val="auto"/>
        </w:rPr>
      </w:pPr>
    </w:p>
    <w:p>
      <w:pPr>
        <w:jc w:val="both"/>
        <w:ind w:left="1300" w:right="20" w:hanging="644"/>
        <w:spacing w:after="0" w:line="356" w:lineRule="auto"/>
        <w:tabs>
          <w:tab w:leader="none" w:pos="125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w:t>
      </w:r>
      <w:r>
        <w:rPr>
          <w:rFonts w:ascii="Arial" w:cs="Arial" w:eastAsia="Arial" w:hAnsi="Arial"/>
          <w:sz w:val="19"/>
          <w:szCs w:val="19"/>
          <w:b w:val="1"/>
          <w:bCs w:val="1"/>
          <w:color w:val="auto"/>
        </w:rPr>
        <w:t>HMRC</w:t>
      </w:r>
      <w:r>
        <w:rPr>
          <w:rFonts w:ascii="Arial" w:cs="Arial" w:eastAsia="Arial" w:hAnsi="Arial"/>
          <w:sz w:val="19"/>
          <w:szCs w:val="19"/>
          <w:color w:val="auto"/>
        </w:rPr>
        <w:t>”) by the due date; and/or</w:t>
      </w:r>
    </w:p>
    <w:p>
      <w:pPr>
        <w:spacing w:after="0" w:line="161" w:lineRule="exact"/>
        <w:rPr>
          <w:rFonts w:ascii="Arial" w:cs="Arial" w:eastAsia="Arial" w:hAnsi="Arial"/>
          <w:sz w:val="19"/>
          <w:szCs w:val="19"/>
          <w:color w:val="auto"/>
        </w:rPr>
      </w:pPr>
    </w:p>
    <w:p>
      <w:pPr>
        <w:jc w:val="both"/>
        <w:ind w:left="1300" w:hanging="644"/>
        <w:spacing w:after="0" w:line="288" w:lineRule="auto"/>
        <w:tabs>
          <w:tab w:leader="none" w:pos="1283" w:val="left"/>
        </w:tabs>
        <w:numPr>
          <w:ilvl w:val="1"/>
          <w:numId w:val="152"/>
        </w:numPr>
        <w:rPr>
          <w:rFonts w:ascii="Arial" w:cs="Arial" w:eastAsia="Arial" w:hAnsi="Arial"/>
          <w:sz w:val="22"/>
          <w:szCs w:val="22"/>
          <w:color w:val="auto"/>
        </w:rPr>
      </w:pPr>
      <w:r>
        <w:rPr>
          <w:rFonts w:ascii="Arial" w:cs="Arial" w:eastAsia="Arial" w:hAnsi="Arial"/>
          <w:sz w:val="22"/>
          <w:szCs w:val="22"/>
          <w:color w:val="auto"/>
        </w:rPr>
        <w:t>where the proceeds of the gain are to be made through a third party, the Employee will authorize that party to withhold an amount from the payment or to sell some of the securities which the Employee is entitled to receive in respect of the Award, such amount to be paid in sufficient time to enable the Company and/or the Employer to make payment to HMRC by the due date; and/or</w:t>
      </w:r>
    </w:p>
    <w:p>
      <w:pPr>
        <w:spacing w:after="0" w:line="216" w:lineRule="exact"/>
        <w:rPr>
          <w:rFonts w:ascii="Arial" w:cs="Arial" w:eastAsia="Arial" w:hAnsi="Arial"/>
          <w:sz w:val="22"/>
          <w:szCs w:val="22"/>
          <w:color w:val="auto"/>
        </w:rPr>
      </w:pPr>
    </w:p>
    <w:p>
      <w:pPr>
        <w:ind w:left="1300" w:right="20" w:hanging="644"/>
        <w:spacing w:after="0" w:line="302" w:lineRule="auto"/>
        <w:tabs>
          <w:tab w:leader="none" w:pos="1268" w:val="left"/>
        </w:tabs>
        <w:numPr>
          <w:ilvl w:val="1"/>
          <w:numId w:val="152"/>
        </w:numPr>
        <w:rPr>
          <w:rFonts w:ascii="Arial" w:cs="Arial" w:eastAsia="Arial" w:hAnsi="Arial"/>
          <w:sz w:val="22"/>
          <w:szCs w:val="22"/>
          <w:color w:val="auto"/>
        </w:rPr>
      </w:pPr>
      <w:r>
        <w:rPr>
          <w:rFonts w:ascii="Arial" w:cs="Arial" w:eastAsia="Arial" w:hAnsi="Arial"/>
          <w:sz w:val="22"/>
          <w:szCs w:val="22"/>
          <w:color w:val="auto"/>
        </w:rPr>
        <w:t>by any other means specified in the applicable Award agreement entered into between the Employee and the Company.</w:t>
      </w:r>
    </w:p>
    <w:p>
      <w:pPr>
        <w:spacing w:after="0" w:line="200" w:lineRule="exact"/>
        <w:rPr>
          <w:rFonts w:ascii="Arial" w:cs="Arial" w:eastAsia="Arial" w:hAnsi="Arial"/>
          <w:sz w:val="22"/>
          <w:szCs w:val="22"/>
          <w:color w:val="auto"/>
        </w:rPr>
      </w:pPr>
    </w:p>
    <w:p>
      <w:pPr>
        <w:ind w:firstLine="8"/>
        <w:spacing w:after="0" w:line="302" w:lineRule="auto"/>
        <w:tabs>
          <w:tab w:leader="none" w:pos="642" w:val="left"/>
        </w:tabs>
        <w:numPr>
          <w:ilvl w:val="0"/>
          <w:numId w:val="153"/>
        </w:numPr>
        <w:rPr>
          <w:rFonts w:ascii="Arial" w:cs="Arial" w:eastAsia="Arial" w:hAnsi="Arial"/>
          <w:sz w:val="22"/>
          <w:szCs w:val="22"/>
          <w:b w:val="1"/>
          <w:bCs w:val="1"/>
          <w:color w:val="auto"/>
        </w:rPr>
      </w:pPr>
      <w:r>
        <w:rPr>
          <w:rFonts w:ascii="Arial" w:cs="Arial" w:eastAsia="Arial" w:hAnsi="Arial"/>
          <w:sz w:val="22"/>
          <w:szCs w:val="22"/>
          <w:color w:val="auto"/>
        </w:rPr>
        <w:t>The Company hereby reserves for itself and the Employer the right to withhold the transfer of any securities to the Employee in respect of the Awards until full payment of the Employer’s Liability is received.</w:t>
      </w:r>
    </w:p>
    <w:p>
      <w:pPr>
        <w:spacing w:after="0" w:line="200" w:lineRule="exact"/>
        <w:rPr>
          <w:rFonts w:ascii="Arial" w:cs="Arial" w:eastAsia="Arial" w:hAnsi="Arial"/>
          <w:sz w:val="22"/>
          <w:szCs w:val="22"/>
          <w:b w:val="1"/>
          <w:bCs w:val="1"/>
          <w:color w:val="auto"/>
        </w:rPr>
      </w:pPr>
    </w:p>
    <w:p>
      <w:pPr>
        <w:jc w:val="both"/>
        <w:ind w:firstLine="8"/>
        <w:spacing w:after="0" w:line="311" w:lineRule="auto"/>
        <w:tabs>
          <w:tab w:leader="none" w:pos="645" w:val="left"/>
        </w:tabs>
        <w:numPr>
          <w:ilvl w:val="0"/>
          <w:numId w:val="153"/>
        </w:numPr>
        <w:rPr>
          <w:rFonts w:ascii="Arial" w:cs="Arial" w:eastAsia="Arial" w:hAnsi="Arial"/>
          <w:sz w:val="21"/>
          <w:szCs w:val="21"/>
          <w:b w:val="1"/>
          <w:bCs w:val="1"/>
          <w:color w:val="auto"/>
        </w:rPr>
      </w:pPr>
      <w:r>
        <w:rPr>
          <w:rFonts w:ascii="Arial" w:cs="Arial" w:eastAsia="Arial" w:hAnsi="Arial"/>
          <w:sz w:val="21"/>
          <w:szCs w:val="21"/>
          <w:color w:val="auto"/>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89"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Duration of Election</w:t>
      </w:r>
    </w:p>
    <w:p>
      <w:pPr>
        <w:spacing w:after="0" w:line="293" w:lineRule="exact"/>
        <w:rPr>
          <w:sz w:val="20"/>
          <w:szCs w:val="20"/>
          <w:color w:val="auto"/>
        </w:rPr>
      </w:pPr>
    </w:p>
    <w:p>
      <w:pPr>
        <w:ind w:right="20" w:firstLine="8"/>
        <w:spacing w:after="0" w:line="387" w:lineRule="auto"/>
        <w:tabs>
          <w:tab w:leader="none" w:pos="643" w:val="left"/>
        </w:tabs>
        <w:numPr>
          <w:ilvl w:val="0"/>
          <w:numId w:val="155"/>
        </w:numPr>
        <w:rPr>
          <w:rFonts w:ascii="Arial" w:cs="Arial" w:eastAsia="Arial" w:hAnsi="Arial"/>
          <w:sz w:val="19"/>
          <w:szCs w:val="19"/>
          <w:b w:val="1"/>
          <w:bCs w:val="1"/>
          <w:color w:val="auto"/>
        </w:rPr>
      </w:pPr>
      <w:r>
        <w:rPr>
          <w:rFonts w:ascii="Arial" w:cs="Arial" w:eastAsia="Arial" w:hAnsi="Arial"/>
          <w:sz w:val="19"/>
          <w:szCs w:val="19"/>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32" w:lineRule="exact"/>
        <w:rPr>
          <w:rFonts w:ascii="Arial" w:cs="Arial" w:eastAsia="Arial" w:hAnsi="Arial"/>
          <w:sz w:val="19"/>
          <w:szCs w:val="19"/>
          <w:b w:val="1"/>
          <w:bCs w:val="1"/>
          <w:color w:val="auto"/>
        </w:rPr>
      </w:pPr>
    </w:p>
    <w:p>
      <w:pPr>
        <w:jc w:val="both"/>
        <w:ind w:firstLine="8"/>
        <w:spacing w:after="0" w:line="291" w:lineRule="auto"/>
        <w:tabs>
          <w:tab w:leader="none" w:pos="642" w:val="left"/>
        </w:tabs>
        <w:numPr>
          <w:ilvl w:val="0"/>
          <w:numId w:val="155"/>
        </w:numPr>
        <w:rPr>
          <w:rFonts w:ascii="Arial" w:cs="Arial" w:eastAsia="Arial" w:hAnsi="Arial"/>
          <w:sz w:val="22"/>
          <w:szCs w:val="22"/>
          <w:b w:val="1"/>
          <w:bCs w:val="1"/>
          <w:color w:val="auto"/>
        </w:rPr>
      </w:pPr>
      <w:r>
        <w:rPr>
          <w:rFonts w:ascii="Arial" w:cs="Arial" w:eastAsia="Arial" w:hAnsi="Arial"/>
          <w:sz w:val="22"/>
          <w:szCs w:val="22"/>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213" w:lineRule="exact"/>
        <w:rPr>
          <w:rFonts w:ascii="Arial" w:cs="Arial" w:eastAsia="Arial" w:hAnsi="Arial"/>
          <w:sz w:val="22"/>
          <w:szCs w:val="22"/>
          <w:b w:val="1"/>
          <w:bCs w:val="1"/>
          <w:color w:val="auto"/>
        </w:rPr>
      </w:pPr>
    </w:p>
    <w:p>
      <w:pPr>
        <w:ind w:left="660" w:hanging="652"/>
        <w:spacing w:after="0"/>
        <w:tabs>
          <w:tab w:leader="none" w:pos="660" w:val="left"/>
        </w:tabs>
        <w:numPr>
          <w:ilvl w:val="0"/>
          <w:numId w:val="155"/>
        </w:numPr>
        <w:rPr>
          <w:rFonts w:ascii="Arial" w:cs="Arial" w:eastAsia="Arial" w:hAnsi="Arial"/>
          <w:sz w:val="22"/>
          <w:szCs w:val="22"/>
          <w:b w:val="1"/>
          <w:bCs w:val="1"/>
          <w:color w:val="auto"/>
        </w:rPr>
      </w:pPr>
      <w:r>
        <w:rPr>
          <w:rFonts w:ascii="Arial" w:cs="Arial" w:eastAsia="Arial" w:hAnsi="Arial"/>
          <w:sz w:val="22"/>
          <w:szCs w:val="22"/>
          <w:color w:val="auto"/>
        </w:rPr>
        <w:t>This Election will continue in effect until the earliest of the following:</w:t>
      </w:r>
    </w:p>
    <w:p>
      <w:pPr>
        <w:spacing w:after="0" w:line="287" w:lineRule="exact"/>
        <w:rPr>
          <w:rFonts w:ascii="Arial" w:cs="Arial" w:eastAsia="Arial" w:hAnsi="Arial"/>
          <w:sz w:val="22"/>
          <w:szCs w:val="22"/>
          <w:b w:val="1"/>
          <w:bCs w:val="1"/>
          <w:color w:val="auto"/>
        </w:rPr>
      </w:pPr>
    </w:p>
    <w:p>
      <w:pPr>
        <w:ind w:left="1140" w:hanging="484"/>
        <w:spacing w:after="0"/>
        <w:tabs>
          <w:tab w:leader="none" w:pos="1140"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date on which the Employee and the Company agree in writing that it should cease to have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45" w:lineRule="exact"/>
        <w:rPr>
          <w:sz w:val="20"/>
          <w:szCs w:val="20"/>
          <w:color w:val="auto"/>
        </w:rPr>
      </w:pPr>
    </w:p>
    <w:p>
      <w:pPr>
        <w:ind w:left="980" w:hanging="324"/>
        <w:spacing w:after="0"/>
        <w:tabs>
          <w:tab w:leader="none" w:pos="9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date on which the Company serves written notice on the Employee terminating its effect;</w:t>
      </w:r>
    </w:p>
    <w:p>
      <w:pPr>
        <w:spacing w:after="0" w:line="287" w:lineRule="exact"/>
        <w:rPr>
          <w:rFonts w:ascii="Arial" w:cs="Arial" w:eastAsia="Arial" w:hAnsi="Arial"/>
          <w:sz w:val="22"/>
          <w:szCs w:val="22"/>
          <w:color w:val="auto"/>
        </w:rPr>
      </w:pPr>
    </w:p>
    <w:p>
      <w:pPr>
        <w:ind w:left="1260" w:hanging="604"/>
        <w:spacing w:after="0"/>
        <w:tabs>
          <w:tab w:leader="none" w:pos="12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date on which HMRC withdraws approval of this Election; or</w:t>
      </w:r>
    </w:p>
    <w:p>
      <w:pPr>
        <w:spacing w:after="0" w:line="287" w:lineRule="exact"/>
        <w:rPr>
          <w:rFonts w:ascii="Arial" w:cs="Arial" w:eastAsia="Arial" w:hAnsi="Arial"/>
          <w:sz w:val="22"/>
          <w:szCs w:val="22"/>
          <w:color w:val="auto"/>
        </w:rPr>
      </w:pPr>
    </w:p>
    <w:p>
      <w:pPr>
        <w:ind w:left="1300" w:hanging="644"/>
        <w:spacing w:after="0" w:line="387" w:lineRule="auto"/>
        <w:tabs>
          <w:tab w:leader="none" w:pos="126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1240"/>
          </w:cols>
          <w:pgMar w:left="320" w:top="1440" w:right="3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b w:val="1"/>
          <w:bCs w:val="1"/>
          <w:color w:val="auto"/>
        </w:rPr>
        <w:t>SCHEDULE OF EMPLOYER COMPANIES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are employer companies to which this Election may apply: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3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Employer Company:</w:t>
            </w:r>
          </w:p>
        </w:tc>
        <w:tc>
          <w:tcPr>
            <w:tcW w:w="54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Jazz Pharmaceuticals UK Limited</w:t>
            </w:r>
          </w:p>
        </w:tc>
      </w:tr>
      <w:tr>
        <w:trPr>
          <w:trHeight w:val="348"/>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Wing B, Building 5700 Spires House</w:t>
            </w:r>
          </w:p>
        </w:tc>
      </w:tr>
      <w:tr>
        <w:trPr>
          <w:trHeight w:val="297"/>
        </w:trPr>
        <w:tc>
          <w:tcPr>
            <w:tcW w:w="534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8"/>
              </w:rPr>
              <w:t>John Smith Drive - Oxford Business Park South, Oxford</w:t>
            </w:r>
          </w:p>
        </w:tc>
      </w:tr>
      <w:tr>
        <w:trPr>
          <w:trHeight w:val="297"/>
        </w:trPr>
        <w:tc>
          <w:tcPr>
            <w:tcW w:w="534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OX4 2RW, United Kingdom</w:t>
            </w:r>
          </w:p>
        </w:tc>
      </w:tr>
      <w:tr>
        <w:trPr>
          <w:trHeight w:val="71"/>
        </w:trPr>
        <w:tc>
          <w:tcPr>
            <w:tcW w:w="5340" w:type="dxa"/>
            <w:vAlign w:val="bottom"/>
            <w:tcBorders>
              <w:left w:val="single" w:sz="8" w:color="auto"/>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r>
      <w:tr>
        <w:trPr>
          <w:trHeight w:val="298"/>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Registration Number:</w:t>
            </w:r>
          </w:p>
        </w:tc>
        <w:tc>
          <w:tcPr>
            <w:tcW w:w="5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4555273</w:t>
            </w:r>
          </w:p>
        </w:tc>
      </w:tr>
      <w:tr>
        <w:trPr>
          <w:trHeight w:val="304"/>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Corporation Tax Reference:</w:t>
            </w:r>
          </w:p>
        </w:tc>
        <w:tc>
          <w:tcPr>
            <w:tcW w:w="5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452/76424 00934</w:t>
            </w:r>
          </w:p>
        </w:tc>
      </w:tr>
      <w:tr>
        <w:trPr>
          <w:trHeight w:val="348"/>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Corporation Tax Address:</w:t>
            </w: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HM Revenue &amp; Customs</w:t>
            </w:r>
          </w:p>
        </w:tc>
      </w:tr>
      <w:tr>
        <w:trPr>
          <w:trHeight w:val="297"/>
        </w:trPr>
        <w:tc>
          <w:tcPr>
            <w:tcW w:w="534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CT Operations (Large &amp; Complex Specialist)</w:t>
            </w:r>
          </w:p>
        </w:tc>
      </w:tr>
      <w:tr>
        <w:trPr>
          <w:trHeight w:val="297"/>
        </w:trPr>
        <w:tc>
          <w:tcPr>
            <w:tcW w:w="534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16 North</w:t>
            </w:r>
          </w:p>
        </w:tc>
      </w:tr>
      <w:tr>
        <w:trPr>
          <w:trHeight w:val="297"/>
        </w:trPr>
        <w:tc>
          <w:tcPr>
            <w:tcW w:w="534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Government Buildings</w:t>
            </w:r>
          </w:p>
        </w:tc>
      </w:tr>
      <w:tr>
        <w:trPr>
          <w:trHeight w:val="297"/>
        </w:trPr>
        <w:tc>
          <w:tcPr>
            <w:tcW w:w="534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Ty Glas, Llanishen</w:t>
            </w:r>
          </w:p>
        </w:tc>
      </w:tr>
      <w:tr>
        <w:trPr>
          <w:trHeight w:val="297"/>
        </w:trPr>
        <w:tc>
          <w:tcPr>
            <w:tcW w:w="5340" w:type="dxa"/>
            <w:vAlign w:val="bottom"/>
            <w:tcBorders>
              <w:left w:val="single" w:sz="8" w:color="auto"/>
              <w:right w:val="single" w:sz="8" w:color="auto"/>
            </w:tcBorders>
          </w:tcPr>
          <w:p>
            <w:pPr>
              <w:spacing w:after="0"/>
              <w:rPr>
                <w:sz w:val="24"/>
                <w:szCs w:val="24"/>
                <w:color w:val="auto"/>
              </w:rPr>
            </w:pPr>
          </w:p>
        </w:tc>
        <w:tc>
          <w:tcPr>
            <w:tcW w:w="54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Cardiff, CF14 5 FP</w:t>
            </w:r>
          </w:p>
        </w:tc>
      </w:tr>
      <w:tr>
        <w:trPr>
          <w:trHeight w:val="71"/>
        </w:trPr>
        <w:tc>
          <w:tcPr>
            <w:tcW w:w="5340" w:type="dxa"/>
            <w:vAlign w:val="bottom"/>
            <w:tcBorders>
              <w:left w:val="single" w:sz="8" w:color="auto"/>
              <w:bottom w:val="single" w:sz="8" w:color="auto"/>
              <w:right w:val="single" w:sz="8" w:color="auto"/>
            </w:tcBorders>
          </w:tcPr>
          <w:p>
            <w:pPr>
              <w:spacing w:after="0"/>
              <w:rPr>
                <w:sz w:val="6"/>
                <w:szCs w:val="6"/>
                <w:color w:val="auto"/>
              </w:rPr>
            </w:pPr>
          </w:p>
        </w:tc>
        <w:tc>
          <w:tcPr>
            <w:tcW w:w="5440" w:type="dxa"/>
            <w:vAlign w:val="bottom"/>
            <w:tcBorders>
              <w:bottom w:val="single" w:sz="8" w:color="auto"/>
              <w:right w:val="single" w:sz="8" w:color="auto"/>
            </w:tcBorders>
          </w:tcPr>
          <w:p>
            <w:pPr>
              <w:spacing w:after="0"/>
              <w:rPr>
                <w:sz w:val="6"/>
                <w:szCs w:val="6"/>
                <w:color w:val="auto"/>
              </w:rPr>
            </w:pPr>
          </w:p>
        </w:tc>
      </w:tr>
      <w:tr>
        <w:trPr>
          <w:trHeight w:val="298"/>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PAYE Reference:</w:t>
            </w:r>
          </w:p>
        </w:tc>
        <w:tc>
          <w:tcPr>
            <w:tcW w:w="5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120/WZ72892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248711832 v10</w:t>
      </w:r>
    </w:p>
    <w:p>
      <w:pPr>
        <w:sectPr>
          <w:pgSz w:w="11900" w:h="16838" w:orient="portrait"/>
          <w:cols w:equalWidth="0" w:num="1">
            <w:col w:w="10780"/>
          </w:cols>
          <w:pgMar w:left="320" w:top="1435" w:right="79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ind w:left="4180"/>
        <w:spacing w:after="0"/>
        <w:rPr>
          <w:sz w:val="20"/>
          <w:szCs w:val="20"/>
          <w:color w:val="auto"/>
        </w:rPr>
      </w:pPr>
      <w:r>
        <w:rPr>
          <w:rFonts w:ascii="Arial" w:cs="Arial" w:eastAsia="Arial" w:hAnsi="Arial"/>
          <w:sz w:val="25"/>
          <w:szCs w:val="25"/>
          <w:b w:val="1"/>
          <w:bCs w:val="1"/>
          <w:color w:val="auto"/>
        </w:rPr>
        <w:t>2011 Equity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Restricted Stock Unit Award Grant Notice</w:t>
      </w:r>
    </w:p>
    <w:p>
      <w:pPr>
        <w:spacing w:after="0" w:line="200" w:lineRule="exact"/>
        <w:rPr>
          <w:sz w:val="20"/>
          <w:szCs w:val="20"/>
          <w:color w:val="auto"/>
        </w:rPr>
      </w:pPr>
    </w:p>
    <w:p>
      <w:pPr>
        <w:spacing w:after="0" w:line="29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Jazz Pharmaceuticals plc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pursuant to its 2011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hereby awards to Participant the number of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specified and on the terms set forth below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of the terms and conditions as set forth in this U.S. Restricted Stock Unit Award Grant Notice (the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and in the U.S. Restricted Stock Unit Award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Plan, both of which are attached hereto and incorporated herein in their entirety.</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24130</wp:posOffset>
            </wp:positionV>
            <wp:extent cx="43205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RSU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24130</wp:posOffset>
            </wp:positionV>
            <wp:extent cx="43205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24130</wp:posOffset>
            </wp:positionV>
            <wp:extent cx="43205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24130</wp:posOffset>
            </wp:positionV>
            <wp:extent cx="43205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Number of RSUs Subject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24130</wp:posOffset>
            </wp:positionV>
            <wp:extent cx="43205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Consideration: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Participant’s Services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(payment of par value of newly issued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34925</wp:posOffset>
            </wp:positionV>
            <wp:extent cx="43205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6780"/>
          </w:cols>
          <w:pgMar w:left="320" w:top="121" w:right="339" w:bottom="1440" w:gutter="0" w:footer="0" w:header="0"/>
          <w:type w:val="continuous"/>
        </w:sectPr>
      </w:pPr>
    </w:p>
    <w:p>
      <w:pPr>
        <w:spacing w:after="0" w:line="300" w:lineRule="exact"/>
        <w:rPr>
          <w:sz w:val="20"/>
          <w:szCs w:val="20"/>
          <w:color w:val="auto"/>
        </w:rPr>
      </w:pPr>
    </w:p>
    <w:p>
      <w:pPr>
        <w:jc w:val="both"/>
        <w:ind w:left="2040" w:hanging="2105"/>
        <w:spacing w:after="0" w:line="253" w:lineRule="auto"/>
        <w:tabs>
          <w:tab w:leader="none" w:pos="202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22"/>
          <w:szCs w:val="22"/>
          <w:color w:val="auto"/>
        </w:rPr>
        <w:t>Subject to Sections 2 and 11 of the Agreement, the Ordinary Shares subject to this Award will vest as follows: 1/4th of the Ordinary Shares subject to this Award will vest on each of the first, second, third and fourth anniversaries of the Vesting Commencement Date.</w:t>
      </w:r>
    </w:p>
    <w:p>
      <w:pPr>
        <w:spacing w:after="0" w:line="212" w:lineRule="exact"/>
        <w:rPr>
          <w:sz w:val="20"/>
          <w:szCs w:val="20"/>
          <w:color w:val="auto"/>
        </w:rPr>
      </w:pPr>
    </w:p>
    <w:p>
      <w:pPr>
        <w:jc w:val="both"/>
        <w:ind w:left="2060" w:hanging="2105"/>
        <w:spacing w:after="0" w:line="263" w:lineRule="auto"/>
        <w:tabs>
          <w:tab w:leader="none" w:pos="2040" w:val="left"/>
        </w:tabs>
        <w:rPr>
          <w:sz w:val="20"/>
          <w:szCs w:val="20"/>
          <w:color w:val="auto"/>
        </w:rPr>
      </w:pPr>
      <w:r>
        <w:rPr>
          <w:rFonts w:ascii="Arial" w:cs="Arial" w:eastAsia="Arial" w:hAnsi="Arial"/>
          <w:sz w:val="22"/>
          <w:szCs w:val="22"/>
          <w:b w:val="1"/>
          <w:bCs w:val="1"/>
          <w:color w:val="auto"/>
        </w:rPr>
        <w:t>Issuance Schedule:</w:t>
      </w:r>
      <w:r>
        <w:rPr>
          <w:sz w:val="20"/>
          <w:szCs w:val="20"/>
          <w:color w:val="auto"/>
        </w:rPr>
        <w:tab/>
      </w:r>
      <w:r>
        <w:rPr>
          <w:rFonts w:ascii="Arial" w:cs="Arial" w:eastAsia="Arial" w:hAnsi="Arial"/>
          <w:sz w:val="22"/>
          <w:szCs w:val="22"/>
          <w:color w:val="auto"/>
        </w:rPr>
        <w:t>One Ordinary Share will be issuable for each RSU which vests at the time set forth in Section 6 of the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Tax</w:t>
      </w:r>
    </w:p>
    <w:p>
      <w:pPr>
        <w:spacing w:after="0" w:line="27" w:lineRule="exact"/>
        <w:rPr>
          <w:sz w:val="20"/>
          <w:szCs w:val="20"/>
          <w:color w:val="auto"/>
        </w:rPr>
      </w:pPr>
    </w:p>
    <w:p>
      <w:pPr>
        <w:jc w:val="both"/>
        <w:ind w:left="2060" w:hanging="2105"/>
        <w:spacing w:after="0" w:line="244" w:lineRule="auto"/>
        <w:tabs>
          <w:tab w:leader="none" w:pos="2040" w:val="left"/>
        </w:tabs>
        <w:rPr>
          <w:sz w:val="20"/>
          <w:szCs w:val="20"/>
          <w:color w:val="auto"/>
        </w:rPr>
      </w:pPr>
      <w:r>
        <w:rPr>
          <w:rFonts w:ascii="Arial" w:cs="Arial" w:eastAsia="Arial" w:hAnsi="Arial"/>
          <w:sz w:val="22"/>
          <w:szCs w:val="22"/>
          <w:b w:val="1"/>
          <w:bCs w:val="1"/>
          <w:color w:val="auto"/>
        </w:rPr>
        <w:t>Withholding Right:</w:t>
      </w:r>
      <w:r>
        <w:rPr>
          <w:sz w:val="20"/>
          <w:szCs w:val="20"/>
          <w:color w:val="auto"/>
        </w:rPr>
        <w:tab/>
      </w:r>
      <w:r>
        <w:rPr>
          <w:rFonts w:ascii="Arial" w:cs="Arial" w:eastAsia="Arial" w:hAnsi="Arial"/>
          <w:sz w:val="22"/>
          <w:szCs w:val="22"/>
          <w:color w:val="auto"/>
        </w:rPr>
        <w:t>[ ] You may direct the Company (i) to withhold, from Ordinary Shares otherwise issuable in respect of the Award, a portion of those Ordinary Shares with an aggregate fair market value (measured as of the delivery date) equal to the amount of the applicable withholding taxes, and (ii) to make a cash payment equal to such fair market value directly to the appropriate taxing authorities, as provided in Section 10 of the Agreement.</w:t>
      </w:r>
    </w:p>
    <w:p>
      <w:pPr>
        <w:spacing w:after="0" w:line="235" w:lineRule="exact"/>
        <w:rPr>
          <w:sz w:val="20"/>
          <w:szCs w:val="20"/>
          <w:color w:val="auto"/>
        </w:rPr>
      </w:pPr>
    </w:p>
    <w:p>
      <w:pPr>
        <w:ind w:left="740" w:hanging="516"/>
        <w:spacing w:after="0"/>
        <w:tabs>
          <w:tab w:leader="none" w:pos="7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None</w:t>
      </w: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Additional Terms/Acknowledgements: </w:t>
      </w:r>
      <w:r>
        <w:rPr>
          <w:rFonts w:ascii="Arial" w:cs="Arial" w:eastAsia="Arial" w:hAnsi="Arial"/>
          <w:sz w:val="22"/>
          <w:szCs w:val="22"/>
          <w:color w:val="auto"/>
        </w:rPr>
        <w:t>The undersigned Participant acknowledges receipt of, and understands and agrees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Grant Notice, the Agreement and the Plan. Participant</w:t>
      </w:r>
    </w:p>
    <w:p>
      <w:pPr>
        <w:sectPr>
          <w:pgSz w:w="11900" w:h="16838" w:orient="portrait"/>
          <w:cols w:equalWidth="0" w:num="1">
            <w:col w:w="11240"/>
          </w:cols>
          <w:pgMar w:left="320" w:top="121" w:right="339" w:bottom="1440" w:gutter="0" w:footer="0" w:header="0"/>
          <w:type w:val="continuous"/>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further acknowledges that as of the Date of Grant, this Grant Notice, the Agreement and the Plan set forth the entire understanding between Participant and the Company regarding the Award and supersede all prior oral and written agreements on that subject, with the exception of: (i) any employment or severance arrangement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100" w:type="dxa"/>
            <w:vAlign w:val="bottom"/>
          </w:tcPr>
          <w:p>
            <w:pPr>
              <w:ind w:left="20"/>
              <w:spacing w:after="0"/>
              <w:rPr>
                <w:sz w:val="20"/>
                <w:szCs w:val="20"/>
                <w:color w:val="auto"/>
              </w:rPr>
            </w:pPr>
            <w:r>
              <w:rPr>
                <w:rFonts w:ascii="Arial" w:cs="Arial" w:eastAsia="Arial" w:hAnsi="Arial"/>
                <w:sz w:val="22"/>
                <w:szCs w:val="22"/>
                <w:b w:val="1"/>
                <w:bCs w:val="1"/>
                <w:color w:val="auto"/>
              </w:rPr>
              <w:t>Jazz Pharmaceuticals plc</w:t>
            </w:r>
          </w:p>
        </w:tc>
        <w:tc>
          <w:tcPr>
            <w:tcW w:w="84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22"/>
                <w:szCs w:val="22"/>
                <w:b w:val="1"/>
                <w:bCs w:val="1"/>
                <w:color w:val="auto"/>
              </w:rPr>
              <w:t>Participant</w:t>
            </w:r>
          </w:p>
        </w:tc>
      </w:tr>
      <w:tr>
        <w:trPr>
          <w:trHeight w:val="32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By:</w:t>
            </w:r>
          </w:p>
        </w:tc>
        <w:tc>
          <w:tcPr>
            <w:tcW w:w="84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r>
        <w:trPr>
          <w:trHeight w:val="293"/>
        </w:trPr>
        <w:tc>
          <w:tcPr>
            <w:tcW w:w="5100" w:type="dxa"/>
            <w:vAlign w:val="bottom"/>
          </w:tcPr>
          <w:p>
            <w:pPr>
              <w:ind w:left="2140"/>
              <w:spacing w:after="0"/>
              <w:rPr>
                <w:sz w:val="20"/>
                <w:szCs w:val="20"/>
                <w:color w:val="auto"/>
              </w:rPr>
            </w:pPr>
            <w:r>
              <w:rPr>
                <w:rFonts w:ascii="Arial" w:cs="Arial" w:eastAsia="Arial" w:hAnsi="Arial"/>
                <w:sz w:val="22"/>
                <w:szCs w:val="22"/>
                <w:color w:val="auto"/>
              </w:rPr>
              <w:t>Signature</w:t>
            </w:r>
          </w:p>
        </w:tc>
        <w:tc>
          <w:tcPr>
            <w:tcW w:w="840" w:type="dxa"/>
            <w:vAlign w:val="bottom"/>
          </w:tcPr>
          <w:p>
            <w:pPr>
              <w:spacing w:after="0"/>
              <w:rPr>
                <w:sz w:val="24"/>
                <w:szCs w:val="24"/>
                <w:color w:val="auto"/>
              </w:rPr>
            </w:pPr>
          </w:p>
        </w:tc>
        <w:tc>
          <w:tcPr>
            <w:tcW w:w="5300" w:type="dxa"/>
            <w:vAlign w:val="bottom"/>
          </w:tcPr>
          <w:p>
            <w:pPr>
              <w:ind w:left="2240"/>
              <w:spacing w:after="0"/>
              <w:rPr>
                <w:sz w:val="20"/>
                <w:szCs w:val="20"/>
                <w:color w:val="auto"/>
              </w:rPr>
            </w:pPr>
            <w:r>
              <w:rPr>
                <w:rFonts w:ascii="Arial" w:cs="Arial" w:eastAsia="Arial" w:hAnsi="Arial"/>
                <w:sz w:val="22"/>
                <w:szCs w:val="22"/>
                <w:color w:val="auto"/>
              </w:rPr>
              <w:t>Signature</w:t>
            </w:r>
          </w:p>
        </w:tc>
      </w:tr>
      <w:tr>
        <w:trPr>
          <w:trHeight w:val="32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Title:</w:t>
            </w:r>
          </w:p>
        </w:tc>
        <w:tc>
          <w:tcPr>
            <w:tcW w:w="840" w:type="dxa"/>
            <w:vAlign w:val="bottom"/>
          </w:tcPr>
          <w:p>
            <w:pPr>
              <w:spacing w:after="0"/>
              <w:rPr>
                <w:sz w:val="24"/>
                <w:szCs w:val="24"/>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Date:</w:t>
            </w:r>
          </w:p>
        </w:tc>
      </w:tr>
      <w:tr>
        <w:trPr>
          <w:trHeight w:val="304"/>
        </w:trPr>
        <w:tc>
          <w:tcPr>
            <w:tcW w:w="51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Date:</w:t>
            </w:r>
          </w:p>
        </w:tc>
        <w:tc>
          <w:tcPr>
            <w:tcW w:w="84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Attachments: </w:t>
      </w:r>
      <w:r>
        <w:rPr>
          <w:rFonts w:ascii="Arial" w:cs="Arial" w:eastAsia="Arial" w:hAnsi="Arial"/>
          <w:sz w:val="22"/>
          <w:szCs w:val="22"/>
          <w:color w:val="auto"/>
        </w:rPr>
        <w:t>U.S. Restricted Stock Unit Award Agreement, 2011 Equity Incentive Plan</w:t>
      </w:r>
    </w:p>
    <w:p>
      <w:pPr>
        <w:spacing w:after="0" w:line="199"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240"/>
          </w:cols>
          <w:pgMar w:left="320" w:top="121"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2"/>
          <w:szCs w:val="22"/>
          <w:b w:val="1"/>
          <w:bCs w:val="1"/>
          <w:color w:val="auto"/>
        </w:rPr>
        <w:t>Attachment 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Restricted Stock Unit Award Agreement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2011 Equity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Restricted Stock Unit Award Agreement</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Pursuant to your U.S. Restricted Stock Unit Award Grant Notice (the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and this U.S. Restricted Stock Unit Award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 in consideration of your services, Jazz Pharmaceuticals plc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awarded you a Restricted Stock Unit Award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under its 2011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for the number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indicated in your Grant Notice. The Award is granted to you effective as of the date of grant set forth in the Grant Notice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 Except as otherwise explicitly provided in the Grant Notice or this Agreement, in the event of any conflict between the terms in the Grant Notice or this Agreement and the Plan, the terms of the Plan shall control. Capitalized terms not explicitly defined in the Grant Notice or this Agreement but defined in the Plan shall have the same definitions as in the Plan.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Award, in addition to those set forth in the Grant Notice and the Plan, are as follows.</w:t>
      </w:r>
    </w:p>
    <w:p>
      <w:pPr>
        <w:spacing w:after="0" w:line="214" w:lineRule="exact"/>
        <w:rPr>
          <w:sz w:val="20"/>
          <w:szCs w:val="20"/>
          <w:color w:val="auto"/>
        </w:rPr>
      </w:pPr>
    </w:p>
    <w:p>
      <w:pPr>
        <w:jc w:val="both"/>
        <w:ind w:firstLine="656"/>
        <w:spacing w:after="0" w:line="259" w:lineRule="auto"/>
        <w:tabs>
          <w:tab w:leader="none" w:pos="1296" w:val="left"/>
        </w:tabs>
        <w:numPr>
          <w:ilvl w:val="0"/>
          <w:numId w:val="15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the Award. </w:t>
      </w:r>
      <w:r>
        <w:rPr>
          <w:rFonts w:ascii="Arial" w:cs="Arial" w:eastAsia="Arial" w:hAnsi="Arial"/>
          <w:sz w:val="21"/>
          <w:szCs w:val="21"/>
          <w:color w:val="auto"/>
        </w:rPr>
        <w:t>This Award represents your right to be issued on a future date the number of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that is equal to the number of RSUs indicated in the Grant Notice.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xml:space="preserve">”) the number of RSUs subject to the Award. This Award was granted in consideration of your services to the Company or one of its Affiliates. Except as otherwise provided herein, you will not be required to make any payment to the Company (other than past and future services to the Company or its Affiliates) with respect to your receipt of the Award, the vesting of the RSUs or the delivery of the Ordinary Shares to be issued in respect of the Award; </w:t>
      </w:r>
      <w:r>
        <w:rPr>
          <w:rFonts w:ascii="Arial" w:cs="Arial" w:eastAsia="Arial" w:hAnsi="Arial"/>
          <w:sz w:val="21"/>
          <w:szCs w:val="21"/>
          <w:i w:val="1"/>
          <w:iCs w:val="1"/>
          <w:color w:val="auto"/>
        </w:rPr>
        <w:t>provided, however</w:t>
      </w:r>
      <w:r>
        <w:rPr>
          <w:rFonts w:ascii="Arial" w:cs="Arial" w:eastAsia="Arial" w:hAnsi="Arial"/>
          <w:sz w:val="21"/>
          <w:szCs w:val="21"/>
          <w:color w:val="auto"/>
        </w:rPr>
        <w:t>, that to the extent that any Ordinary Shares issued upon settlement of your Award are newly issued Ordinary Shares, a payment must be received by the Company of an amount equal to the par value of such number of newly issued Ordinary Shares (rounded up to the nearest whole cent) in cash, by check, bank draft or money order payable to the Company.</w:t>
      </w:r>
    </w:p>
    <w:p>
      <w:pPr>
        <w:spacing w:after="0" w:line="175" w:lineRule="exact"/>
        <w:rPr>
          <w:rFonts w:ascii="Arial" w:cs="Arial" w:eastAsia="Arial" w:hAnsi="Arial"/>
          <w:sz w:val="21"/>
          <w:szCs w:val="21"/>
          <w:b w:val="1"/>
          <w:bCs w:val="1"/>
          <w:color w:val="auto"/>
        </w:rPr>
      </w:pPr>
    </w:p>
    <w:p>
      <w:pPr>
        <w:jc w:val="both"/>
        <w:ind w:firstLine="656"/>
        <w:spacing w:after="0" w:line="248" w:lineRule="auto"/>
        <w:tabs>
          <w:tab w:leader="none" w:pos="1296"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Section 11 and the limitations contained herein, your Award will vest, if at all,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vesting schedule provided in the Grant Notice, provided that vesting will cease upon the termination of your Continuous Service, except as otherwise set forth below in this Section 2. Upon such termination of your Continuous Service, the RSUs credited to the Account that were not vested on the date of such termination will be forfeited at no cost to the Company and you will have no further right, title or interest in such RSUs or the Ordinary Shares to be issued in respect of such portion of the Award, except as otherwise</w:t>
      </w:r>
    </w:p>
    <w:p>
      <w:pPr>
        <w:sectPr>
          <w:pgSz w:w="11900" w:h="16838" w:orient="portrait"/>
          <w:cols w:equalWidth="0" w:num="1">
            <w:col w:w="11240"/>
          </w:cols>
          <w:pgMar w:left="320" w:top="1395" w:right="339" w:bottom="1440" w:gutter="0" w:footer="0" w:header="0"/>
        </w:sectPr>
      </w:pPr>
    </w:p>
    <w:bookmarkStart w:id="205" w:name="page206"/>
    <w:bookmarkEnd w:id="205"/>
    <w:p>
      <w:pPr>
        <w:spacing w:after="0"/>
        <w:rPr>
          <w:sz w:val="20"/>
          <w:szCs w:val="20"/>
          <w:color w:val="auto"/>
        </w:rPr>
      </w:pPr>
      <w:r>
        <w:rPr>
          <w:rFonts w:ascii="Arial" w:cs="Arial" w:eastAsia="Arial" w:hAnsi="Arial"/>
          <w:sz w:val="19"/>
          <w:szCs w:val="19"/>
          <w:color w:val="auto"/>
        </w:rPr>
        <w:t>directed by the Compensation &amp; Management Development Committee of the Board (or its successor following a Change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Control) (the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w:t>
      </w:r>
    </w:p>
    <w:p>
      <w:pPr>
        <w:spacing w:after="0" w:line="202" w:lineRule="exact"/>
        <w:rPr>
          <w:sz w:val="20"/>
          <w:szCs w:val="20"/>
          <w:color w:val="auto"/>
        </w:rPr>
      </w:pPr>
    </w:p>
    <w:p>
      <w:pPr>
        <w:jc w:val="both"/>
        <w:ind w:firstLine="1304"/>
        <w:spacing w:after="0" w:line="271" w:lineRule="auto"/>
        <w:tabs>
          <w:tab w:leader="none" w:pos="1939" w:val="left"/>
        </w:tabs>
        <w:numPr>
          <w:ilvl w:val="0"/>
          <w:numId w:val="159"/>
        </w:numPr>
        <w:rPr>
          <w:rFonts w:ascii="Arial" w:cs="Arial" w:eastAsia="Arial" w:hAnsi="Arial"/>
          <w:sz w:val="21"/>
          <w:szCs w:val="21"/>
          <w:b w:val="1"/>
          <w:bCs w:val="1"/>
          <w:color w:val="auto"/>
        </w:rPr>
      </w:pPr>
      <w:r>
        <w:rPr>
          <w:rFonts w:ascii="Arial" w:cs="Arial" w:eastAsia="Arial" w:hAnsi="Arial"/>
          <w:sz w:val="21"/>
          <w:szCs w:val="21"/>
          <w:u w:val="single" w:color="auto"/>
          <w:color w:val="auto"/>
        </w:rPr>
        <w:t>Termination of Continuous Service due to Death</w:t>
      </w:r>
      <w:r>
        <w:rPr>
          <w:rFonts w:ascii="Arial" w:cs="Arial" w:eastAsia="Arial" w:hAnsi="Arial"/>
          <w:sz w:val="21"/>
          <w:szCs w:val="21"/>
          <w:color w:val="auto"/>
        </w:rPr>
        <w:t>. If your Continuous Service terminates due to your death, the vesting of the RSUs subject to this Award shall be accelerated in full, effective as of the date of such termination (or as soon as administratively practicable thereafter, but no later than 60 days following such termination).</w:t>
      </w:r>
    </w:p>
    <w:p>
      <w:pPr>
        <w:spacing w:after="0" w:line="167" w:lineRule="exact"/>
        <w:rPr>
          <w:rFonts w:ascii="Arial" w:cs="Arial" w:eastAsia="Arial" w:hAnsi="Arial"/>
          <w:sz w:val="21"/>
          <w:szCs w:val="21"/>
          <w:b w:val="1"/>
          <w:bCs w:val="1"/>
          <w:color w:val="auto"/>
        </w:rPr>
      </w:pPr>
    </w:p>
    <w:p>
      <w:pPr>
        <w:ind w:firstLine="1304"/>
        <w:spacing w:after="0" w:line="343" w:lineRule="auto"/>
        <w:tabs>
          <w:tab w:leader="none" w:pos="1938" w:val="left"/>
        </w:tabs>
        <w:numPr>
          <w:ilvl w:val="0"/>
          <w:numId w:val="159"/>
        </w:numPr>
        <w:rPr>
          <w:rFonts w:ascii="Arial" w:cs="Arial" w:eastAsia="Arial" w:hAnsi="Arial"/>
          <w:sz w:val="19"/>
          <w:szCs w:val="19"/>
          <w:b w:val="1"/>
          <w:bCs w:val="1"/>
          <w:color w:val="auto"/>
        </w:rPr>
      </w:pPr>
      <w:r>
        <w:rPr>
          <w:rFonts w:ascii="Arial" w:cs="Arial" w:eastAsia="Arial" w:hAnsi="Arial"/>
          <w:sz w:val="19"/>
          <w:szCs w:val="19"/>
          <w:u w:val="single" w:color="auto"/>
          <w:color w:val="auto"/>
        </w:rPr>
        <w:t>Termination of Continuous Service due to Disability</w:t>
      </w:r>
      <w:r>
        <w:rPr>
          <w:rFonts w:ascii="Arial" w:cs="Arial" w:eastAsia="Arial" w:hAnsi="Arial"/>
          <w:sz w:val="19"/>
          <w:szCs w:val="19"/>
          <w:color w:val="auto"/>
        </w:rPr>
        <w:t>. If your Continuous Service terminates due to your Disability, your unvested RSUs will continue to vest pursuant to the original Vesting Schedule as provided in the Grant Notice.</w:t>
      </w:r>
    </w:p>
    <w:p>
      <w:pPr>
        <w:spacing w:after="0" w:line="104" w:lineRule="exact"/>
        <w:rPr>
          <w:rFonts w:ascii="Arial" w:cs="Arial" w:eastAsia="Arial" w:hAnsi="Arial"/>
          <w:sz w:val="19"/>
          <w:szCs w:val="19"/>
          <w:b w:val="1"/>
          <w:bCs w:val="1"/>
          <w:color w:val="auto"/>
        </w:rPr>
      </w:pPr>
    </w:p>
    <w:p>
      <w:pPr>
        <w:jc w:val="both"/>
        <w:ind w:firstLine="1304"/>
        <w:spacing w:after="0" w:line="247" w:lineRule="auto"/>
        <w:tabs>
          <w:tab w:leader="none" w:pos="1941" w:val="left"/>
        </w:tabs>
        <w:numPr>
          <w:ilvl w:val="0"/>
          <w:numId w:val="159"/>
        </w:numPr>
        <w:rPr>
          <w:rFonts w:ascii="Arial" w:cs="Arial" w:eastAsia="Arial" w:hAnsi="Arial"/>
          <w:sz w:val="22"/>
          <w:szCs w:val="22"/>
          <w:b w:val="1"/>
          <w:bCs w:val="1"/>
          <w:color w:val="auto"/>
        </w:rPr>
      </w:pPr>
      <w:r>
        <w:rPr>
          <w:rFonts w:ascii="Arial" w:cs="Arial" w:eastAsia="Arial" w:hAnsi="Arial"/>
          <w:sz w:val="22"/>
          <w:szCs w:val="22"/>
          <w:u w:val="single" w:color="auto"/>
          <w:color w:val="auto"/>
        </w:rPr>
        <w:t>Termination of Continuous Service due to Retirement</w:t>
      </w:r>
      <w:r>
        <w:rPr>
          <w:rFonts w:ascii="Arial" w:cs="Arial" w:eastAsia="Arial" w:hAnsi="Arial"/>
          <w:sz w:val="22"/>
          <w:szCs w:val="22"/>
          <w:color w:val="auto"/>
        </w:rPr>
        <w:t>. If, on or after the first anniversary of the Date of Grant, your Continuous Service terminates due to your Regular Retirement or your Long-Service Retirement (each as defined below, and together, “</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then provided that (i) you have given the Company at least four months advance written notice of your intention to terminate your Continuous Service and (ii) you execute and deliver a non-solicitation agreement satisfactory to the Company that will apply for a period of 12 months after your termination date (the “</w:t>
      </w:r>
      <w:r>
        <w:rPr>
          <w:rFonts w:ascii="Arial" w:cs="Arial" w:eastAsia="Arial" w:hAnsi="Arial"/>
          <w:sz w:val="22"/>
          <w:szCs w:val="22"/>
          <w:b w:val="1"/>
          <w:bCs w:val="1"/>
          <w:i w:val="1"/>
          <w:iCs w:val="1"/>
          <w:color w:val="auto"/>
        </w:rPr>
        <w:t>Non-Solicitation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then the RSUs will be treated as follows:</w:t>
      </w:r>
    </w:p>
    <w:p>
      <w:pPr>
        <w:spacing w:after="0" w:line="192" w:lineRule="exact"/>
        <w:rPr>
          <w:rFonts w:ascii="Arial" w:cs="Arial" w:eastAsia="Arial" w:hAnsi="Arial"/>
          <w:sz w:val="22"/>
          <w:szCs w:val="22"/>
          <w:b w:val="1"/>
          <w:bCs w:val="1"/>
          <w:color w:val="auto"/>
        </w:rPr>
      </w:pPr>
    </w:p>
    <w:p>
      <w:pPr>
        <w:jc w:val="both"/>
        <w:ind w:firstLine="2600"/>
        <w:spacing w:after="0" w:line="258" w:lineRule="auto"/>
        <w:tabs>
          <w:tab w:leader="none" w:pos="3235" w:val="left"/>
        </w:tabs>
        <w:numPr>
          <w:ilvl w:val="1"/>
          <w:numId w:val="159"/>
        </w:numPr>
        <w:rPr>
          <w:rFonts w:ascii="Arial" w:cs="Arial" w:eastAsia="Arial" w:hAnsi="Arial"/>
          <w:sz w:val="21"/>
          <w:szCs w:val="21"/>
          <w:b w:val="1"/>
          <w:bCs w:val="1"/>
          <w:color w:val="auto"/>
        </w:rPr>
      </w:pPr>
      <w:r>
        <w:rPr>
          <w:rFonts w:ascii="Arial" w:cs="Arial" w:eastAsia="Arial" w:hAnsi="Arial"/>
          <w:sz w:val="21"/>
          <w:szCs w:val="21"/>
          <w:color w:val="auto"/>
        </w:rPr>
        <w:t>In the case of your Regular Retirement, a pro-rata portion of each unvested tranche of your RSUs will continue to vest pursuant to the original Vesting Schedule as provided in the Grant Notice. For each such unvested tranche of the RSUs, such pro-rata portion shall be determined by reference to the number of RSUs in such unvested tranche of the Award multiplied by the ratio of (x) the number of calendar days that have elapsed from the Vesting Commencement Date through the date of your termination of Continuous Service divided by (y) the total number of calendar days in such vesting tranche (which, for clarity, shall be equal to the number of calendar days that have elapsed from the Vesting Commencement Date through the vesting date for such tranche), and rounded down to the nearest whole RSU. For purposes of the foregoing, “</w:t>
      </w:r>
      <w:r>
        <w:rPr>
          <w:rFonts w:ascii="Arial" w:cs="Arial" w:eastAsia="Arial" w:hAnsi="Arial"/>
          <w:sz w:val="21"/>
          <w:szCs w:val="21"/>
          <w:b w:val="1"/>
          <w:bCs w:val="1"/>
          <w:i w:val="1"/>
          <w:iCs w:val="1"/>
          <w:color w:val="auto"/>
        </w:rPr>
        <w:t>Regular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Retirement</w:t>
      </w:r>
      <w:r>
        <w:rPr>
          <w:rFonts w:ascii="Arial" w:cs="Arial" w:eastAsia="Arial" w:hAnsi="Arial"/>
          <w:sz w:val="21"/>
          <w:szCs w:val="21"/>
          <w:color w:val="auto"/>
        </w:rPr>
        <w:t>” means your voluntary termination of Continuous Service, unless circumstances exist at the time of such termination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that would constitute Cause, following: (a) your completion of five years of Continuous Service and (b) your attainment of age 55.</w:t>
      </w:r>
    </w:p>
    <w:p>
      <w:pPr>
        <w:spacing w:after="0" w:line="185" w:lineRule="exact"/>
        <w:rPr>
          <w:rFonts w:ascii="Arial" w:cs="Arial" w:eastAsia="Arial" w:hAnsi="Arial"/>
          <w:sz w:val="21"/>
          <w:szCs w:val="21"/>
          <w:b w:val="1"/>
          <w:bCs w:val="1"/>
          <w:color w:val="auto"/>
        </w:rPr>
      </w:pPr>
    </w:p>
    <w:p>
      <w:pPr>
        <w:jc w:val="both"/>
        <w:ind w:firstLine="2600"/>
        <w:spacing w:after="0" w:line="302" w:lineRule="auto"/>
        <w:tabs>
          <w:tab w:leader="none" w:pos="3235" w:val="left"/>
        </w:tabs>
        <w:numPr>
          <w:ilvl w:val="1"/>
          <w:numId w:val="159"/>
        </w:numPr>
        <w:rPr>
          <w:rFonts w:ascii="Arial" w:cs="Arial" w:eastAsia="Arial" w:hAnsi="Arial"/>
          <w:sz w:val="19"/>
          <w:szCs w:val="19"/>
          <w:b w:val="1"/>
          <w:bCs w:val="1"/>
          <w:color w:val="auto"/>
        </w:rPr>
      </w:pPr>
      <w:r>
        <w:rPr>
          <w:rFonts w:ascii="Arial" w:cs="Arial" w:eastAsia="Arial" w:hAnsi="Arial"/>
          <w:sz w:val="19"/>
          <w:szCs w:val="19"/>
          <w:color w:val="auto"/>
        </w:rPr>
        <w:t>In the case of your Long-Service Retirement, all of your unvested RSUs will continue to vest pursuant to the original Vesting Schedule as provided in the Grant Notice. For purposes of the Award, “</w:t>
      </w:r>
      <w:r>
        <w:rPr>
          <w:rFonts w:ascii="Arial" w:cs="Arial" w:eastAsia="Arial" w:hAnsi="Arial"/>
          <w:sz w:val="19"/>
          <w:szCs w:val="19"/>
          <w:b w:val="1"/>
          <w:bCs w:val="1"/>
          <w:i w:val="1"/>
          <w:iCs w:val="1"/>
          <w:color w:val="auto"/>
        </w:rPr>
        <w:t>Long-Service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Retirement</w:t>
      </w:r>
      <w:r>
        <w:rPr>
          <w:rFonts w:ascii="Arial" w:cs="Arial" w:eastAsia="Arial" w:hAnsi="Arial"/>
          <w:sz w:val="19"/>
          <w:szCs w:val="19"/>
          <w:color w:val="auto"/>
        </w:rPr>
        <w:t>” means your voluntary termination of Continuous Service, unless circumstances exist at the time of such termination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would constitute Cause, following: (a) your completion of 10 years of Continuous Service and (b) your attainment of age 55.</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avoidance of doubt, in the event of your Retirement, if you fail to comply with the conditions in this Section 2(c), including compliance with the Non-Solicitation Agreement for a period of 12 months after your termination date, you will forfeit all unvested RSUs.</w:t>
      </w:r>
    </w:p>
    <w:p>
      <w:pPr>
        <w:sectPr>
          <w:pgSz w:w="11900" w:h="16838" w:orient="portrait"/>
          <w:cols w:equalWidth="0" w:num="1">
            <w:col w:w="11240"/>
          </w:cols>
          <w:pgMar w:left="320" w:top="1428" w:right="339" w:bottom="1440" w:gutter="0" w:footer="0" w:header="0"/>
        </w:sectPr>
      </w:pPr>
    </w:p>
    <w:bookmarkStart w:id="206" w:name="page207"/>
    <w:bookmarkEnd w:id="206"/>
    <w:p>
      <w:pPr>
        <w:ind w:left="1292" w:hanging="644"/>
        <w:spacing w:after="0"/>
        <w:tabs>
          <w:tab w:leader="none" w:pos="1292" w:val="left"/>
        </w:tabs>
        <w:numPr>
          <w:ilvl w:val="1"/>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RSUs and Ordinary Shares.</w:t>
      </w:r>
    </w:p>
    <w:p>
      <w:pPr>
        <w:spacing w:after="0" w:line="225" w:lineRule="exact"/>
        <w:rPr>
          <w:rFonts w:ascii="Arial" w:cs="Arial" w:eastAsia="Arial" w:hAnsi="Arial"/>
          <w:sz w:val="22"/>
          <w:szCs w:val="22"/>
          <w:b w:val="1"/>
          <w:bCs w:val="1"/>
          <w:color w:val="auto"/>
        </w:rPr>
      </w:pPr>
    </w:p>
    <w:p>
      <w:pPr>
        <w:ind w:left="-8" w:right="20" w:firstLine="1304"/>
        <w:spacing w:after="0" w:line="263" w:lineRule="auto"/>
        <w:tabs>
          <w:tab w:leader="none" w:pos="2034" w:val="left"/>
        </w:tabs>
        <w:numPr>
          <w:ilvl w:val="2"/>
          <w:numId w:val="160"/>
        </w:numPr>
        <w:rPr>
          <w:rFonts w:ascii="Arial" w:cs="Arial" w:eastAsia="Arial" w:hAnsi="Arial"/>
          <w:sz w:val="22"/>
          <w:szCs w:val="22"/>
          <w:b w:val="1"/>
          <w:bCs w:val="1"/>
          <w:color w:val="auto"/>
        </w:rPr>
      </w:pPr>
      <w:r>
        <w:rPr>
          <w:rFonts w:ascii="Arial" w:cs="Arial" w:eastAsia="Arial" w:hAnsi="Arial"/>
          <w:sz w:val="22"/>
          <w:szCs w:val="22"/>
          <w:color w:val="auto"/>
        </w:rPr>
        <w:t>The number of RSUs subject to your Award may be adjusted from time to time for Capitalization Adjustments, as provided in the Plan.</w:t>
      </w:r>
    </w:p>
    <w:p>
      <w:pPr>
        <w:spacing w:after="0" w:line="174" w:lineRule="exact"/>
        <w:rPr>
          <w:rFonts w:ascii="Arial" w:cs="Arial" w:eastAsia="Arial" w:hAnsi="Arial"/>
          <w:sz w:val="22"/>
          <w:szCs w:val="22"/>
          <w:b w:val="1"/>
          <w:bCs w:val="1"/>
          <w:color w:val="auto"/>
        </w:rPr>
      </w:pPr>
    </w:p>
    <w:p>
      <w:pPr>
        <w:jc w:val="both"/>
        <w:ind w:left="-8" w:firstLine="1304"/>
        <w:spacing w:after="0" w:line="253" w:lineRule="auto"/>
        <w:tabs>
          <w:tab w:leader="none" w:pos="1930" w:val="left"/>
        </w:tabs>
        <w:numPr>
          <w:ilvl w:val="2"/>
          <w:numId w:val="160"/>
        </w:numPr>
        <w:rPr>
          <w:rFonts w:ascii="Arial" w:cs="Arial" w:eastAsia="Arial" w:hAnsi="Arial"/>
          <w:sz w:val="22"/>
          <w:szCs w:val="22"/>
          <w:b w:val="1"/>
          <w:bCs w:val="1"/>
          <w:color w:val="auto"/>
        </w:rPr>
      </w:pPr>
      <w:r>
        <w:rPr>
          <w:rFonts w:ascii="Arial" w:cs="Arial" w:eastAsia="Arial" w:hAnsi="Arial"/>
          <w:sz w:val="22"/>
          <w:szCs w:val="22"/>
          <w:color w:val="auto"/>
        </w:rPr>
        <w:t>Any additional RSUs that become subject to the Award pursuant to this Section 3 shall be subject, in a manner determined by the Board, to the same forfeiture restrictions, restrictions on transferability, and time and manner of delivery as applicable to the other RSUs covered by your Award.</w:t>
      </w:r>
    </w:p>
    <w:p>
      <w:pPr>
        <w:spacing w:after="0" w:line="185" w:lineRule="exact"/>
        <w:rPr>
          <w:rFonts w:ascii="Arial" w:cs="Arial" w:eastAsia="Arial" w:hAnsi="Arial"/>
          <w:sz w:val="22"/>
          <w:szCs w:val="22"/>
          <w:b w:val="1"/>
          <w:bCs w:val="1"/>
          <w:color w:val="auto"/>
        </w:rPr>
      </w:pPr>
    </w:p>
    <w:p>
      <w:pPr>
        <w:jc w:val="both"/>
        <w:ind w:left="-8" w:firstLine="1304"/>
        <w:spacing w:after="0" w:line="250" w:lineRule="auto"/>
        <w:tabs>
          <w:tab w:leader="none" w:pos="1933" w:val="left"/>
        </w:tabs>
        <w:numPr>
          <w:ilvl w:val="2"/>
          <w:numId w:val="160"/>
        </w:numPr>
        <w:rPr>
          <w:rFonts w:ascii="Arial" w:cs="Arial" w:eastAsia="Arial" w:hAnsi="Arial"/>
          <w:sz w:val="22"/>
          <w:szCs w:val="22"/>
          <w:b w:val="1"/>
          <w:bCs w:val="1"/>
          <w:color w:val="auto"/>
        </w:rPr>
      </w:pPr>
      <w:r>
        <w:rPr>
          <w:rFonts w:ascii="Arial" w:cs="Arial" w:eastAsia="Arial" w:hAnsi="Arial"/>
          <w:sz w:val="22"/>
          <w:szCs w:val="22"/>
          <w:color w:val="auto"/>
        </w:rPr>
        <w:t>Notwithstanding the provisions of this Section 3, no fractional Ordinary Shares or rights for fractional Ordinary Shares shall be created pursuant to this Section 3. The Board shall, in its discretion, determine an equivalent benefit for any fractional Ordinary Shares or fractional Ordinary Shares that might be created by the adjustments referred to in this Section 3.</w:t>
      </w:r>
    </w:p>
    <w:p>
      <w:pPr>
        <w:spacing w:after="0" w:line="181" w:lineRule="exact"/>
        <w:rPr>
          <w:rFonts w:ascii="Arial" w:cs="Arial" w:eastAsia="Arial" w:hAnsi="Arial"/>
          <w:sz w:val="22"/>
          <w:szCs w:val="22"/>
          <w:b w:val="1"/>
          <w:bCs w:val="1"/>
          <w:color w:val="auto"/>
        </w:rPr>
      </w:pPr>
    </w:p>
    <w:p>
      <w:pPr>
        <w:ind w:left="1292" w:hanging="644"/>
        <w:spacing w:after="0"/>
        <w:tabs>
          <w:tab w:leader="none" w:pos="1292" w:val="left"/>
        </w:tabs>
        <w:numPr>
          <w:ilvl w:val="1"/>
          <w:numId w:val="1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You may not be issued any Ordinary Shares in respect of your Award unless either</w:t>
      </w:r>
    </w:p>
    <w:p>
      <w:pPr>
        <w:spacing w:after="0" w:line="61" w:lineRule="exact"/>
        <w:rPr>
          <w:rFonts w:ascii="Arial" w:cs="Arial" w:eastAsia="Arial" w:hAnsi="Arial"/>
          <w:sz w:val="19"/>
          <w:szCs w:val="19"/>
          <w:b w:val="1"/>
          <w:bCs w:val="1"/>
          <w:color w:val="auto"/>
        </w:rPr>
      </w:pPr>
    </w:p>
    <w:p>
      <w:pPr>
        <w:jc w:val="both"/>
        <w:ind w:left="-8" w:firstLine="8"/>
        <w:spacing w:after="0" w:line="257" w:lineRule="auto"/>
        <w:tabs>
          <w:tab w:leader="none" w:pos="296"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Ordinary Shares are registered under the Securities Act; or (b)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 The Company shall not be liable if Ordinary Shares cannot be issued to you as a consequence of the Company’s determination that the issuance of Ordinary Shares does not comply with applicable laws and regulations governing the Award.</w:t>
      </w:r>
    </w:p>
    <w:p>
      <w:pPr>
        <w:spacing w:after="0" w:line="179" w:lineRule="exact"/>
        <w:rPr>
          <w:rFonts w:ascii="Arial" w:cs="Arial" w:eastAsia="Arial" w:hAnsi="Arial"/>
          <w:sz w:val="21"/>
          <w:szCs w:val="21"/>
          <w:color w:val="auto"/>
        </w:rPr>
      </w:pPr>
    </w:p>
    <w:p>
      <w:pPr>
        <w:jc w:val="both"/>
        <w:ind w:left="-8" w:firstLine="656"/>
        <w:spacing w:after="0" w:line="259" w:lineRule="auto"/>
        <w:tabs>
          <w:tab w:leader="none" w:pos="1288" w:val="left"/>
        </w:tabs>
        <w:numPr>
          <w:ilvl w:val="1"/>
          <w:numId w:val="16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Transfer Restrictions. </w:t>
      </w:r>
      <w:r>
        <w:rPr>
          <w:rFonts w:ascii="Arial" w:cs="Arial" w:eastAsia="Arial" w:hAnsi="Arial"/>
          <w:sz w:val="21"/>
          <w:szCs w:val="21"/>
          <w:color w:val="auto"/>
        </w:rPr>
        <w:t>Your Award is not transferable, except by will or by the laws of descent and distribution.</w:t>
      </w:r>
      <w:r>
        <w:rPr>
          <w:rFonts w:ascii="Arial" w:cs="Arial" w:eastAsia="Arial" w:hAnsi="Arial"/>
          <w:sz w:val="21"/>
          <w:szCs w:val="21"/>
          <w:b w:val="1"/>
          <w:bCs w:val="1"/>
          <w:color w:val="auto"/>
        </w:rPr>
        <w:t xml:space="preserve"> </w:t>
      </w:r>
      <w:r>
        <w:rPr>
          <w:rFonts w:ascii="Arial" w:cs="Arial" w:eastAsia="Arial" w:hAnsi="Arial"/>
          <w:sz w:val="21"/>
          <w:szCs w:val="21"/>
          <w:color w:val="auto"/>
        </w:rPr>
        <w:t>In 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6 of this Agreement. After the Ordinary Shares have been issued to you, you are free to assign, hypothecate, donate, encumber or otherwise dispose of any interest in such Ordinary Shares provided that any such actions are in compliance with the provisions herein and applicable securities laws. Notwithstanding the foregoing, by delivering written notice to the Company, in a form satisfactory to the Company, you may designate a third party who, in the event of your death, shall thereafter be entitled to receive any distribution of Ordinary Shares to which you were entitled at the time of your death pursuant to this Agreement.</w:t>
      </w:r>
    </w:p>
    <w:p>
      <w:pPr>
        <w:spacing w:after="0" w:line="179" w:lineRule="exact"/>
        <w:rPr>
          <w:rFonts w:ascii="Arial" w:cs="Arial" w:eastAsia="Arial" w:hAnsi="Arial"/>
          <w:sz w:val="21"/>
          <w:szCs w:val="21"/>
          <w:b w:val="1"/>
          <w:bCs w:val="1"/>
          <w:color w:val="auto"/>
        </w:rPr>
      </w:pPr>
    </w:p>
    <w:p>
      <w:pPr>
        <w:ind w:left="1292" w:hanging="644"/>
        <w:spacing w:after="0"/>
        <w:tabs>
          <w:tab w:leader="none" w:pos="1292" w:val="left"/>
        </w:tabs>
        <w:numPr>
          <w:ilvl w:val="1"/>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25" w:lineRule="exact"/>
        <w:rPr>
          <w:rFonts w:ascii="Arial" w:cs="Arial" w:eastAsia="Arial" w:hAnsi="Arial"/>
          <w:sz w:val="22"/>
          <w:szCs w:val="22"/>
          <w:b w:val="1"/>
          <w:bCs w:val="1"/>
          <w:color w:val="auto"/>
        </w:rPr>
      </w:pPr>
    </w:p>
    <w:p>
      <w:pPr>
        <w:jc w:val="both"/>
        <w:ind w:left="-8" w:firstLine="1304"/>
        <w:spacing w:after="0" w:line="265" w:lineRule="auto"/>
        <w:tabs>
          <w:tab w:leader="none" w:pos="1931" w:val="left"/>
        </w:tabs>
        <w:numPr>
          <w:ilvl w:val="2"/>
          <w:numId w:val="161"/>
        </w:numPr>
        <w:rPr>
          <w:rFonts w:ascii="Arial" w:cs="Arial" w:eastAsia="Arial" w:hAnsi="Arial"/>
          <w:sz w:val="21"/>
          <w:szCs w:val="21"/>
          <w:b w:val="1"/>
          <w:bCs w:val="1"/>
          <w:color w:val="auto"/>
        </w:rPr>
      </w:pPr>
      <w:r>
        <w:rPr>
          <w:rFonts w:ascii="Arial" w:cs="Arial" w:eastAsia="Arial" w:hAnsi="Arial"/>
          <w:sz w:val="21"/>
          <w:szCs w:val="21"/>
          <w:color w:val="auto"/>
        </w:rPr>
        <w:t>To the extent your Award is exempt from application of Section 409A of the Code and any state or foreign law of similar effect (collectively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the Company will deliver to you a number of Ordinary Shares equal to the number of vested RSUs subject to your Award, including any additional RSUs received pursuant to Section 3 above that relate to those vested RSUs, on the applicable vesting date(s). However, if a scheduled delivery</w:t>
      </w:r>
    </w:p>
    <w:p>
      <w:pPr>
        <w:sectPr>
          <w:pgSz w:w="11900" w:h="16838" w:orient="portrait"/>
          <w:cols w:equalWidth="0" w:num="1">
            <w:col w:w="11232"/>
          </w:cols>
          <w:pgMar w:left="328" w:top="1422" w:right="339" w:bottom="1440" w:gutter="0" w:footer="0" w:header="0"/>
        </w:sectPr>
      </w:pPr>
    </w:p>
    <w:bookmarkStart w:id="207" w:name="page208"/>
    <w:bookmarkEnd w:id="207"/>
    <w:p>
      <w:pPr>
        <w:jc w:val="both"/>
        <w:spacing w:after="0" w:line="285" w:lineRule="auto"/>
        <w:rPr>
          <w:sz w:val="20"/>
          <w:szCs w:val="20"/>
          <w:color w:val="auto"/>
        </w:rPr>
      </w:pPr>
      <w:r>
        <w:rPr>
          <w:rFonts w:ascii="Arial" w:cs="Arial" w:eastAsia="Arial" w:hAnsi="Arial"/>
          <w:sz w:val="19"/>
          <w:szCs w:val="19"/>
          <w:color w:val="auto"/>
        </w:rPr>
        <w:t>date falls on a date that is not a business day, such delivery date shall instead fall on the next following business day. Notwithstanding the foregoing, in the event that (i) you are subject to the Company’s Policy Regarding Stock Trading by Executive Officers, Directors and Other Designated Employees (or any successor policy) (the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Company’s Policy Against Trading on the Basis of Inside Information, or you are otherwise prohibited from selling Ordinary Shares in the open market and any Ordinary Shares covered by your Award are scheduled to be delivered on a day (the “</w:t>
      </w:r>
      <w:r>
        <w:rPr>
          <w:rFonts w:ascii="Arial" w:cs="Arial" w:eastAsia="Arial" w:hAnsi="Arial"/>
          <w:sz w:val="19"/>
          <w:szCs w:val="19"/>
          <w:b w:val="1"/>
          <w:bCs w:val="1"/>
          <w:i w:val="1"/>
          <w:iCs w:val="1"/>
          <w:color w:val="auto"/>
        </w:rPr>
        <w:t>Original Distribution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that does not occur during an open “window period” applicable to you or a day on which you are permitted to sell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Ordinary 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its tax withholding obligations by withholding Ordinary Shares from your distribution, then such Ordinary Shares shall not be delivered on such Original Distribution Date and shall instead be delivered on the first business day of the next occurring open “window period” applicable to you pursuant to the Policy (regardless of whether you are still providing Continuous Service at such time) or the next business day when you are not prohibited from selling Ordinary Shares in the open market, but in no event later than the fifteenth (15th) day of the third calendar month of the calendar year following the calendar year in which the Ordinary Shares covered by the Award are no longer subject to a “substantial risk of forfeiture” within the meaning of Treasury Regulations Section 1.409A-1(d). Delivery of the Ordinary Shares pursuant to the provisions of this Section 6(a) is intended to comply with the requirements for the short-term deferral exemption available under Treasury Regulations Section 1.409A-1(b)(4) and shall be construed and administered in such manner. The form of such delivery of the Ordinary Shares (</w:t>
      </w:r>
      <w:r>
        <w:rPr>
          <w:rFonts w:ascii="Arial" w:cs="Arial" w:eastAsia="Arial" w:hAnsi="Arial"/>
          <w:sz w:val="19"/>
          <w:szCs w:val="19"/>
          <w:i w:val="1"/>
          <w:iCs w:val="1"/>
          <w:color w:val="auto"/>
        </w:rPr>
        <w:t>e.g.</w:t>
      </w:r>
      <w:r>
        <w:rPr>
          <w:rFonts w:ascii="Arial" w:cs="Arial" w:eastAsia="Arial" w:hAnsi="Arial"/>
          <w:sz w:val="19"/>
          <w:szCs w:val="19"/>
          <w:color w:val="auto"/>
        </w:rPr>
        <w:t>, a share certificate or electronic entry evidencing such Ordinary Shares) shall be determined by the Company.</w:t>
      </w:r>
    </w:p>
    <w:p>
      <w:pPr>
        <w:spacing w:after="0" w:line="200" w:lineRule="exact"/>
        <w:rPr>
          <w:sz w:val="20"/>
          <w:szCs w:val="20"/>
          <w:color w:val="auto"/>
        </w:rPr>
      </w:pPr>
    </w:p>
    <w:p>
      <w:pPr>
        <w:spacing w:after="0" w:line="219" w:lineRule="exact"/>
        <w:rPr>
          <w:sz w:val="20"/>
          <w:szCs w:val="20"/>
          <w:color w:val="auto"/>
        </w:rPr>
      </w:pPr>
    </w:p>
    <w:p>
      <w:pPr>
        <w:jc w:val="both"/>
        <w:ind w:firstLine="1304"/>
        <w:spacing w:after="0" w:line="289" w:lineRule="auto"/>
        <w:tabs>
          <w:tab w:leader="none" w:pos="1938" w:val="left"/>
        </w:tabs>
        <w:numPr>
          <w:ilvl w:val="0"/>
          <w:numId w:val="162"/>
        </w:numPr>
        <w:rPr>
          <w:rFonts w:ascii="Arial" w:cs="Arial" w:eastAsia="Arial" w:hAnsi="Arial"/>
          <w:sz w:val="19"/>
          <w:szCs w:val="19"/>
          <w:b w:val="1"/>
          <w:bCs w:val="1"/>
          <w:color w:val="auto"/>
        </w:rPr>
      </w:pPr>
      <w:r>
        <w:rPr>
          <w:rFonts w:ascii="Arial" w:cs="Arial" w:eastAsia="Arial" w:hAnsi="Arial"/>
          <w:sz w:val="19"/>
          <w:szCs w:val="19"/>
          <w:color w:val="auto"/>
        </w:rPr>
        <w:t>The provisions of this Section 6(b) are intended to apply to the extent your Award is subject to Section 409A (including, but not limited to, because you are party to a severance arrangement or other agreement between you and the Company (or are eligible for benefits under a severance arrangement, plan or policy maintained by the Company), if any, that provides for acceleration of vesting of your Award upon your termination of employment or separation from service (as such term is defined in Section 409A(a)(2)(A)(i) of the Code (and without regard to any alternative definition thereunder))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severance benefit does not satisfy the requirements for an exemption from application of Section 409A provided under Treasury Regulations Section 1.409A-1(b)(4) or 1.409A-1(b)(9) (“</w:t>
      </w:r>
      <w:r>
        <w:rPr>
          <w:rFonts w:ascii="Arial" w:cs="Arial" w:eastAsia="Arial" w:hAnsi="Arial"/>
          <w:sz w:val="19"/>
          <w:szCs w:val="19"/>
          <w:b w:val="1"/>
          <w:bCs w:val="1"/>
          <w:i w:val="1"/>
          <w:iCs w:val="1"/>
          <w:color w:val="auto"/>
        </w:rPr>
        <w:t>Non-Exempt 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Arrangement</w:t>
      </w:r>
      <w:r>
        <w:rPr>
          <w:rFonts w:ascii="Arial" w:cs="Arial" w:eastAsia="Arial" w:hAnsi="Arial"/>
          <w:sz w:val="19"/>
          <w:szCs w:val="19"/>
          <w:color w:val="auto"/>
        </w:rPr>
        <w:t>”)). To the extent your Award is subject to and not exempt from application of Section 409A, the following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provisions in this Section 6(b) shall supersede anything to the contrary in Section 6(a).</w:t>
      </w:r>
    </w:p>
    <w:p>
      <w:pPr>
        <w:spacing w:after="0" w:line="156" w:lineRule="exact"/>
        <w:rPr>
          <w:rFonts w:ascii="Arial" w:cs="Arial" w:eastAsia="Arial" w:hAnsi="Arial"/>
          <w:sz w:val="19"/>
          <w:szCs w:val="19"/>
          <w:b w:val="1"/>
          <w:bCs w:val="1"/>
          <w:color w:val="auto"/>
        </w:rPr>
      </w:pPr>
    </w:p>
    <w:p>
      <w:pPr>
        <w:jc w:val="both"/>
        <w:ind w:firstLine="1952"/>
        <w:spacing w:after="0" w:line="268" w:lineRule="auto"/>
        <w:tabs>
          <w:tab w:leader="none" w:pos="2580" w:val="left"/>
        </w:tabs>
        <w:numPr>
          <w:ilvl w:val="1"/>
          <w:numId w:val="162"/>
        </w:numPr>
        <w:rPr>
          <w:rFonts w:ascii="Arial" w:cs="Arial" w:eastAsia="Arial" w:hAnsi="Arial"/>
          <w:sz w:val="21"/>
          <w:szCs w:val="21"/>
          <w:b w:val="1"/>
          <w:bCs w:val="1"/>
          <w:color w:val="auto"/>
        </w:rPr>
      </w:pPr>
      <w:r>
        <w:rPr>
          <w:rFonts w:ascii="Arial" w:cs="Arial" w:eastAsia="Arial" w:hAnsi="Arial"/>
          <w:sz w:val="21"/>
          <w:szCs w:val="21"/>
          <w:color w:val="auto"/>
        </w:rPr>
        <w:t>If your Award vests in the ordinary course during your Continuous Service in accordance with the original Vesting Schedule provided in the Grant Notice, without vesting under the terms of a Non-Exempt Severance Arrangement or pursuant to Section 2(a), 2(b), 2(c) or 11(a) of this Agreement, in no event will the Ordinary Shares be issued in respect of your Award any later than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that follows the applicable vesting date.</w:t>
      </w:r>
    </w:p>
    <w:p>
      <w:pPr>
        <w:sectPr>
          <w:pgSz w:w="11900" w:h="16838" w:orient="portrait"/>
          <w:cols w:equalWidth="0" w:num="1">
            <w:col w:w="11240"/>
          </w:cols>
          <w:pgMar w:left="320" w:top="1428" w:right="339" w:bottom="1440" w:gutter="0" w:footer="0" w:header="0"/>
        </w:sectPr>
      </w:pPr>
    </w:p>
    <w:bookmarkStart w:id="208" w:name="page209"/>
    <w:bookmarkEnd w:id="208"/>
    <w:p>
      <w:pPr>
        <w:jc w:val="both"/>
        <w:ind w:left="-1120" w:firstLine="1952"/>
        <w:spacing w:after="0" w:line="257" w:lineRule="auto"/>
        <w:tabs>
          <w:tab w:leader="none" w:pos="1466" w:val="left"/>
        </w:tabs>
        <w:numPr>
          <w:ilvl w:val="0"/>
          <w:numId w:val="163"/>
        </w:numPr>
        <w:rPr>
          <w:rFonts w:ascii="Arial" w:cs="Arial" w:eastAsia="Arial" w:hAnsi="Arial"/>
          <w:sz w:val="20"/>
          <w:szCs w:val="20"/>
          <w:b w:val="1"/>
          <w:bCs w:val="1"/>
          <w:color w:val="auto"/>
        </w:rPr>
      </w:pPr>
      <w:r>
        <w:rPr>
          <w:rFonts w:ascii="Arial" w:cs="Arial" w:eastAsia="Arial" w:hAnsi="Arial"/>
          <w:sz w:val="20"/>
          <w:szCs w:val="20"/>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earlier issued in respect of your Award upon your Separation from Service in accordance with the terms of the Non-Exempt Severance Arrangement, but in no event later than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date of your Separation from Service. For clarity, if such Non-Exempt Severance Arrangement is the Jazz Pharmaceuticals plc Amended and Restated Executive Change in Control and Severance Benefit Plan (the “</w:t>
      </w:r>
      <w:r>
        <w:rPr>
          <w:rFonts w:ascii="Arial" w:cs="Arial" w:eastAsia="Arial" w:hAnsi="Arial"/>
          <w:sz w:val="20"/>
          <w:szCs w:val="20"/>
          <w:b w:val="1"/>
          <w:bCs w:val="1"/>
          <w:i w:val="1"/>
          <w:iCs w:val="1"/>
          <w:color w:val="auto"/>
        </w:rPr>
        <w:t>CIC Plan</w:t>
      </w:r>
      <w:r>
        <w:rPr>
          <w:rFonts w:ascii="Arial" w:cs="Arial" w:eastAsia="Arial" w:hAnsi="Arial"/>
          <w:sz w:val="20"/>
          <w:szCs w:val="20"/>
          <w:color w:val="auto"/>
        </w:rPr>
        <w:t>”), such Ordinary Shares will be issued on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your Covered Termination (as defined in the CIC Plan) (which, for clarity, must be a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90" w:lineRule="exact"/>
        <w:rPr>
          <w:rFonts w:ascii="Arial" w:cs="Arial" w:eastAsia="Arial" w:hAnsi="Arial"/>
          <w:sz w:val="20"/>
          <w:szCs w:val="20"/>
          <w:b w:val="1"/>
          <w:bCs w:val="1"/>
          <w:color w:val="auto"/>
        </w:rPr>
      </w:pPr>
    </w:p>
    <w:p>
      <w:pPr>
        <w:jc w:val="both"/>
        <w:ind w:left="-1120" w:firstLine="1952"/>
        <w:spacing w:after="0" w:line="274" w:lineRule="auto"/>
        <w:tabs>
          <w:tab w:leader="none" w:pos="1472" w:val="left"/>
        </w:tabs>
        <w:numPr>
          <w:ilvl w:val="0"/>
          <w:numId w:val="163"/>
        </w:numPr>
        <w:rPr>
          <w:rFonts w:ascii="Arial" w:cs="Arial" w:eastAsia="Arial" w:hAnsi="Arial"/>
          <w:sz w:val="21"/>
          <w:szCs w:val="21"/>
          <w:b w:val="1"/>
          <w:bCs w:val="1"/>
          <w:color w:val="auto"/>
        </w:rPr>
      </w:pPr>
      <w:r>
        <w:rPr>
          <w:rFonts w:ascii="Arial" w:cs="Arial" w:eastAsia="Arial" w:hAnsi="Arial"/>
          <w:sz w:val="21"/>
          <w:szCs w:val="21"/>
          <w:color w:val="auto"/>
        </w:rPr>
        <w:t>If vesting of your Award accelerates upon your termination of Continuous Service due to your death under Section 2(a) of this Agreement, then the Ordinary Shares will be issued in respect of your Award to your beneficiary (if any) or to the personal representative of your estate by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that follows the date of your death.</w:t>
      </w:r>
    </w:p>
    <w:p>
      <w:pPr>
        <w:spacing w:after="0" w:line="79" w:lineRule="exact"/>
        <w:rPr>
          <w:rFonts w:ascii="Arial" w:cs="Arial" w:eastAsia="Arial" w:hAnsi="Arial"/>
          <w:sz w:val="21"/>
          <w:szCs w:val="21"/>
          <w:b w:val="1"/>
          <w:bCs w:val="1"/>
          <w:color w:val="auto"/>
        </w:rPr>
      </w:pPr>
    </w:p>
    <w:p>
      <w:pPr>
        <w:jc w:val="both"/>
        <w:ind w:left="-1120" w:firstLine="1952"/>
        <w:spacing w:after="0" w:line="231" w:lineRule="auto"/>
        <w:tabs>
          <w:tab w:leader="none" w:pos="1460" w:val="left"/>
        </w:tabs>
        <w:numPr>
          <w:ilvl w:val="0"/>
          <w:numId w:val="163"/>
        </w:numPr>
        <w:rPr>
          <w:rFonts w:ascii="Arial" w:cs="Arial" w:eastAsia="Arial" w:hAnsi="Arial"/>
          <w:sz w:val="22"/>
          <w:szCs w:val="22"/>
          <w:b w:val="1"/>
          <w:bCs w:val="1"/>
          <w:color w:val="auto"/>
        </w:rPr>
      </w:pPr>
      <w:r>
        <w:rPr>
          <w:rFonts w:ascii="Arial" w:cs="Arial" w:eastAsia="Arial" w:hAnsi="Arial"/>
          <w:sz w:val="22"/>
          <w:szCs w:val="22"/>
          <w:color w:val="auto"/>
        </w:rPr>
        <w:t>If your Award continues to vest pursuant to the original Vesting Schedule as provided in the Grant Notice upon your termination of Continuous Service due to your Disability under Section 2(b) or Retirement under Section 2(c) of this Agreement, then in no event will the Ordinary Shares be issued in respect of your Award any later than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that follows the applicable vesting date.</w:t>
      </w:r>
    </w:p>
    <w:p>
      <w:pPr>
        <w:spacing w:after="0" w:line="201" w:lineRule="exact"/>
        <w:rPr>
          <w:rFonts w:ascii="Arial" w:cs="Arial" w:eastAsia="Arial" w:hAnsi="Arial"/>
          <w:sz w:val="22"/>
          <w:szCs w:val="22"/>
          <w:b w:val="1"/>
          <w:bCs w:val="1"/>
          <w:color w:val="auto"/>
        </w:rPr>
      </w:pPr>
    </w:p>
    <w:p>
      <w:pPr>
        <w:jc w:val="both"/>
        <w:ind w:left="-1120" w:firstLine="1952"/>
        <w:spacing w:after="0" w:line="248" w:lineRule="auto"/>
        <w:tabs>
          <w:tab w:leader="none" w:pos="1467" w:val="left"/>
        </w:tabs>
        <w:numPr>
          <w:ilvl w:val="0"/>
          <w:numId w:val="163"/>
        </w:numPr>
        <w:rPr>
          <w:rFonts w:ascii="Arial" w:cs="Arial" w:eastAsia="Arial" w:hAnsi="Arial"/>
          <w:sz w:val="21"/>
          <w:szCs w:val="21"/>
          <w:b w:val="1"/>
          <w:bCs w:val="1"/>
          <w:color w:val="auto"/>
        </w:rPr>
      </w:pPr>
      <w:r>
        <w:rPr>
          <w:rFonts w:ascii="Arial" w:cs="Arial" w:eastAsia="Arial" w:hAnsi="Arial"/>
          <w:sz w:val="21"/>
          <w:szCs w:val="21"/>
          <w:color w:val="auto"/>
        </w:rPr>
        <w:t>If vesting of your Award accelerates upon your Involuntary Termination Without Cause under Section 11(a) of this Agreement, then the Ordinary Shares will be issued in respect of your Award on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that follows the date of your Involuntary Termination Without Cause (which, for clarity, must be a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93" w:lineRule="exact"/>
        <w:rPr>
          <w:rFonts w:ascii="Arial" w:cs="Arial" w:eastAsia="Arial" w:hAnsi="Arial"/>
          <w:sz w:val="21"/>
          <w:szCs w:val="21"/>
          <w:b w:val="1"/>
          <w:bCs w:val="1"/>
          <w:color w:val="auto"/>
        </w:rPr>
      </w:pPr>
    </w:p>
    <w:p>
      <w:pPr>
        <w:jc w:val="both"/>
        <w:ind w:left="-1120" w:firstLine="1952"/>
        <w:spacing w:after="0" w:line="247" w:lineRule="auto"/>
        <w:tabs>
          <w:tab w:leader="none" w:pos="1460" w:val="left"/>
        </w:tabs>
        <w:numPr>
          <w:ilvl w:val="0"/>
          <w:numId w:val="163"/>
        </w:numPr>
        <w:rPr>
          <w:rFonts w:ascii="Arial" w:cs="Arial" w:eastAsia="Arial" w:hAnsi="Arial"/>
          <w:sz w:val="22"/>
          <w:szCs w:val="22"/>
          <w:b w:val="1"/>
          <w:bCs w:val="1"/>
          <w:color w:val="auto"/>
        </w:rPr>
      </w:pPr>
      <w:r>
        <w:rPr>
          <w:rFonts w:ascii="Arial" w:cs="Arial" w:eastAsia="Arial" w:hAnsi="Arial"/>
          <w:sz w:val="22"/>
          <w:szCs w:val="22"/>
          <w:color w:val="auto"/>
        </w:rPr>
        <w:t>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in respect of your Award, but such Ordinary Shares shall instead be issued on the same schedule as set forth in Section 6(b)(i) of this Agreement as if they had vested in the ordinary course during your</w:t>
      </w:r>
    </w:p>
    <w:p>
      <w:pPr>
        <w:sectPr>
          <w:pgSz w:w="11900" w:h="16838" w:orient="portrait"/>
          <w:cols w:equalWidth="0" w:num="1">
            <w:col w:w="10120"/>
          </w:cols>
          <w:pgMar w:left="1440" w:top="1428" w:right="339" w:bottom="1440" w:gutter="0" w:footer="0" w:header="0"/>
        </w:sectPr>
      </w:pPr>
    </w:p>
    <w:bookmarkStart w:id="209" w:name="page210"/>
    <w:bookmarkEnd w:id="209"/>
    <w:p>
      <w:pPr>
        <w:jc w:val="both"/>
        <w:spacing w:after="0" w:line="302" w:lineRule="auto"/>
        <w:rPr>
          <w:sz w:val="20"/>
          <w:szCs w:val="20"/>
          <w:color w:val="auto"/>
        </w:rPr>
      </w:pPr>
      <w:r>
        <w:rPr>
          <w:rFonts w:ascii="Arial" w:cs="Arial" w:eastAsia="Arial" w:hAnsi="Arial"/>
          <w:sz w:val="19"/>
          <w:szCs w:val="19"/>
          <w:color w:val="auto"/>
        </w:rPr>
        <w:t>Continuous Service in accordance with the original Vesting Schedule provided in the Grant Notice (without vesting under the terms of a Non-Exempt Severance Arrangement or pursuant to Section 2(a), 2(b), 2(c) or 11(a) of this Agreement), notwithstanding the vesting acceleration of the Award. Such issuance schedule is intended to satisfy the requirements of payment on a specified date or pursuant to a fixed schedule, as provided under Treasury Regulations Section 1.409A-3(a)(4).</w:t>
      </w:r>
    </w:p>
    <w:p>
      <w:pPr>
        <w:spacing w:after="0" w:line="142" w:lineRule="exact"/>
        <w:rPr>
          <w:sz w:val="20"/>
          <w:szCs w:val="20"/>
          <w:color w:val="auto"/>
        </w:rPr>
      </w:pPr>
    </w:p>
    <w:p>
      <w:pPr>
        <w:jc w:val="both"/>
        <w:ind w:firstLine="1304"/>
        <w:spacing w:after="0" w:line="312" w:lineRule="auto"/>
        <w:tabs>
          <w:tab w:leader="none" w:pos="1941" w:val="left"/>
        </w:tabs>
        <w:numPr>
          <w:ilvl w:val="0"/>
          <w:numId w:val="164"/>
        </w:numPr>
        <w:rPr>
          <w:rFonts w:ascii="Arial" w:cs="Arial" w:eastAsia="Arial" w:hAnsi="Arial"/>
          <w:sz w:val="19"/>
          <w:szCs w:val="19"/>
          <w:b w:val="1"/>
          <w:bCs w:val="1"/>
          <w:color w:val="auto"/>
        </w:rPr>
      </w:pPr>
      <w:r>
        <w:rPr>
          <w:rFonts w:ascii="Arial" w:cs="Arial" w:eastAsia="Arial" w:hAnsi="Arial"/>
          <w:sz w:val="19"/>
          <w:szCs w:val="19"/>
          <w:color w:val="auto"/>
        </w:rPr>
        <w:t>If your Award is subject to and not exempt from Section 409A (a “</w:t>
      </w:r>
      <w:r>
        <w:rPr>
          <w:rFonts w:ascii="Arial" w:cs="Arial" w:eastAsia="Arial" w:hAnsi="Arial"/>
          <w:sz w:val="19"/>
          <w:szCs w:val="19"/>
          <w:b w:val="1"/>
          <w:bCs w:val="1"/>
          <w:i w:val="1"/>
          <w:iCs w:val="1"/>
          <w:color w:val="auto"/>
        </w:rPr>
        <w:t>Non-Exempt Award</w:t>
      </w:r>
      <w:r>
        <w:rPr>
          <w:rFonts w:ascii="Arial" w:cs="Arial" w:eastAsia="Arial" w:hAnsi="Arial"/>
          <w:sz w:val="19"/>
          <w:szCs w:val="19"/>
          <w:color w:val="auto"/>
        </w:rPr>
        <w:t>”), then the provisions in this Section 6(c) shall apply and supersede anything to the contrary that may be set forth in the Plan, the Grant Notice or in any other section of this Agreement with respect to the permitted treatment of your Non-Exempt Award:</w:t>
      </w:r>
    </w:p>
    <w:p>
      <w:pPr>
        <w:spacing w:after="0" w:line="133" w:lineRule="exact"/>
        <w:rPr>
          <w:rFonts w:ascii="Arial" w:cs="Arial" w:eastAsia="Arial" w:hAnsi="Arial"/>
          <w:sz w:val="19"/>
          <w:szCs w:val="19"/>
          <w:b w:val="1"/>
          <w:bCs w:val="1"/>
          <w:color w:val="auto"/>
        </w:rPr>
      </w:pPr>
    </w:p>
    <w:p>
      <w:pPr>
        <w:jc w:val="both"/>
        <w:ind w:firstLine="1952"/>
        <w:spacing w:after="0" w:line="250" w:lineRule="auto"/>
        <w:tabs>
          <w:tab w:leader="none" w:pos="2580" w:val="left"/>
        </w:tabs>
        <w:numPr>
          <w:ilvl w:val="1"/>
          <w:numId w:val="164"/>
        </w:numPr>
        <w:rPr>
          <w:rFonts w:ascii="Arial" w:cs="Arial" w:eastAsia="Arial" w:hAnsi="Arial"/>
          <w:sz w:val="22"/>
          <w:szCs w:val="22"/>
          <w:b w:val="1"/>
          <w:bCs w:val="1"/>
          <w:color w:val="auto"/>
        </w:rPr>
      </w:pPr>
      <w:r>
        <w:rPr>
          <w:rFonts w:ascii="Arial" w:cs="Arial" w:eastAsia="Arial" w:hAnsi="Arial"/>
          <w:sz w:val="22"/>
          <w:szCs w:val="22"/>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 Shares upon the applicable vesting dates would be in compliance with the requirements of Section 409A.</w:t>
      </w:r>
    </w:p>
    <w:p>
      <w:pPr>
        <w:spacing w:after="0" w:line="187" w:lineRule="exact"/>
        <w:rPr>
          <w:rFonts w:ascii="Arial" w:cs="Arial" w:eastAsia="Arial" w:hAnsi="Arial"/>
          <w:sz w:val="22"/>
          <w:szCs w:val="22"/>
          <w:b w:val="1"/>
          <w:bCs w:val="1"/>
          <w:color w:val="auto"/>
        </w:rPr>
      </w:pPr>
    </w:p>
    <w:p>
      <w:pPr>
        <w:jc w:val="both"/>
        <w:ind w:firstLine="1952"/>
        <w:spacing w:after="0" w:line="248" w:lineRule="auto"/>
        <w:tabs>
          <w:tab w:leader="none" w:pos="2586" w:val="left"/>
        </w:tabs>
        <w:numPr>
          <w:ilvl w:val="1"/>
          <w:numId w:val="164"/>
        </w:numPr>
        <w:rPr>
          <w:rFonts w:ascii="Arial" w:cs="Arial" w:eastAsia="Arial" w:hAnsi="Arial"/>
          <w:sz w:val="22"/>
          <w:szCs w:val="22"/>
          <w:b w:val="1"/>
          <w:bCs w:val="1"/>
          <w:color w:val="auto"/>
        </w:rPr>
      </w:pPr>
      <w:r>
        <w:rPr>
          <w:rFonts w:ascii="Arial" w:cs="Arial" w:eastAsia="Arial" w:hAnsi="Arial"/>
          <w:sz w:val="22"/>
          <w:szCs w:val="22"/>
          <w:color w:val="auto"/>
        </w:rPr>
        <w:t>The Company explicitly reserves the right to (A) earlier settle your Non-Exempt Award to the extent permitted and in compliance with the requirements of Section 409A, including pursuant to any of the exemptions available in Treasury Regulations Section 1.409A-3(j)(4)(i), and (B) provide that you will receive a cash settlement equal to the Fair Market Value of the Ordinary Shares that would otherwise be issued to you, if applicable and in compliance with the requirements of Section 409A.</w:t>
      </w:r>
    </w:p>
    <w:p>
      <w:pPr>
        <w:spacing w:after="0" w:line="191" w:lineRule="exact"/>
        <w:rPr>
          <w:rFonts w:ascii="Arial" w:cs="Arial" w:eastAsia="Arial" w:hAnsi="Arial"/>
          <w:sz w:val="22"/>
          <w:szCs w:val="22"/>
          <w:b w:val="1"/>
          <w:bCs w:val="1"/>
          <w:color w:val="auto"/>
        </w:rPr>
      </w:pPr>
    </w:p>
    <w:p>
      <w:pPr>
        <w:jc w:val="both"/>
        <w:ind w:firstLine="1952"/>
        <w:spacing w:after="0" w:line="287" w:lineRule="auto"/>
        <w:tabs>
          <w:tab w:leader="none" w:pos="2592" w:val="left"/>
        </w:tabs>
        <w:numPr>
          <w:ilvl w:val="1"/>
          <w:numId w:val="164"/>
        </w:numPr>
        <w:rPr>
          <w:rFonts w:ascii="Arial" w:cs="Arial" w:eastAsia="Arial" w:hAnsi="Arial"/>
          <w:sz w:val="19"/>
          <w:szCs w:val="19"/>
          <w:b w:val="1"/>
          <w:bCs w:val="1"/>
          <w:color w:val="auto"/>
        </w:rPr>
      </w:pPr>
      <w:r>
        <w:rPr>
          <w:rFonts w:ascii="Arial" w:cs="Arial" w:eastAsia="Arial" w:hAnsi="Arial"/>
          <w:sz w:val="19"/>
          <w:szCs w:val="19"/>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each as determined under Section 409A(a)(2)(A)(v) of the Code and Treasury Regulations Section 1.409A-3(i)(5) (a “</w:t>
      </w:r>
      <w:r>
        <w:rPr>
          <w:rFonts w:ascii="Arial" w:cs="Arial" w:eastAsia="Arial" w:hAnsi="Arial"/>
          <w:sz w:val="19"/>
          <w:szCs w:val="19"/>
          <w:b w:val="1"/>
          <w:bCs w:val="1"/>
          <w:i w:val="1"/>
          <w:iCs w:val="1"/>
          <w:color w:val="auto"/>
        </w:rPr>
        <w:t>409A Change of Control</w:t>
      </w:r>
      <w:r>
        <w:rPr>
          <w:rFonts w:ascii="Arial" w:cs="Arial" w:eastAsia="Arial" w:hAnsi="Arial"/>
          <w:sz w:val="19"/>
          <w:szCs w:val="19"/>
          <w:color w:val="auto"/>
        </w:rPr>
        <w:t>”). To the extent the terms of your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952"/>
        <w:spacing w:after="0" w:line="253" w:lineRule="auto"/>
        <w:tabs>
          <w:tab w:leader="none" w:pos="2580" w:val="left"/>
        </w:tabs>
        <w:numPr>
          <w:ilvl w:val="1"/>
          <w:numId w:val="164"/>
        </w:numPr>
        <w:rPr>
          <w:rFonts w:ascii="Arial" w:cs="Arial" w:eastAsia="Arial" w:hAnsi="Arial"/>
          <w:sz w:val="22"/>
          <w:szCs w:val="22"/>
          <w:b w:val="1"/>
          <w:bCs w:val="1"/>
          <w:color w:val="auto"/>
        </w:rPr>
      </w:pPr>
      <w:r>
        <w:rPr>
          <w:rFonts w:ascii="Arial" w:cs="Arial" w:eastAsia="Arial" w:hAnsi="Arial"/>
          <w:sz w:val="22"/>
          <w:szCs w:val="22"/>
          <w:color w:val="auto"/>
        </w:rPr>
        <w:t>The provisions in this Agreement for delivery of the Ordinary Shares in respect of the Non-Exempt Award are intended to comply with the requirements of Section 409A so that the delivery of the Ordinary Shares to you in respect of your Non-Exempt</w:t>
      </w:r>
    </w:p>
    <w:p>
      <w:pPr>
        <w:sectPr>
          <w:pgSz w:w="11900" w:h="16838" w:orient="portrait"/>
          <w:cols w:equalWidth="0" w:num="1">
            <w:col w:w="11240"/>
          </w:cols>
          <w:pgMar w:left="320" w:top="1428" w:right="339" w:bottom="1440" w:gutter="0" w:footer="0" w:header="0"/>
        </w:sectPr>
      </w:pPr>
    </w:p>
    <w:bookmarkStart w:id="210" w:name="page211"/>
    <w:bookmarkEnd w:id="210"/>
    <w:p>
      <w:pPr>
        <w:spacing w:after="0"/>
        <w:rPr>
          <w:sz w:val="20"/>
          <w:szCs w:val="20"/>
          <w:color w:val="auto"/>
        </w:rPr>
      </w:pPr>
      <w:r>
        <w:rPr>
          <w:rFonts w:ascii="Arial" w:cs="Arial" w:eastAsia="Arial" w:hAnsi="Arial"/>
          <w:sz w:val="21"/>
          <w:szCs w:val="21"/>
          <w:color w:val="auto"/>
        </w:rPr>
        <w:t>Award will not trigger the additional tax imposed under Section 409A, and any ambiguities herein will be so interpreted.</w:t>
      </w:r>
    </w:p>
    <w:p>
      <w:pPr>
        <w:spacing w:after="0" w:line="225" w:lineRule="exact"/>
        <w:rPr>
          <w:sz w:val="20"/>
          <w:szCs w:val="20"/>
          <w:color w:val="auto"/>
        </w:rPr>
      </w:pPr>
    </w:p>
    <w:p>
      <w:pPr>
        <w:jc w:val="both"/>
        <w:ind w:firstLine="656"/>
        <w:spacing w:after="0" w:line="252" w:lineRule="auto"/>
        <w:tabs>
          <w:tab w:leader="none" w:pos="1296"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Award with respect to any cash dividend, share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or other distribution that does not result from a Capitalization Adjustment as provided in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sentence shall not apply with respect to any Ordinary Shares that are delivered to you in connection with your Award after such Ordinary Shares have been delivered to you.</w:t>
      </w:r>
    </w:p>
    <w:p>
      <w:pPr>
        <w:spacing w:after="0" w:line="179"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Legends. </w:t>
      </w:r>
      <w:r>
        <w:rPr>
          <w:rFonts w:ascii="Arial" w:cs="Arial" w:eastAsia="Arial" w:hAnsi="Arial"/>
          <w:sz w:val="22"/>
          <w:szCs w:val="22"/>
          <w:color w:val="auto"/>
        </w:rPr>
        <w:t>The Ordinary Shares issued in respect of your Award shall be endorsed with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legends determined by the Company.</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p>
    <w:p>
      <w:pPr>
        <w:spacing w:after="0" w:line="225" w:lineRule="exact"/>
        <w:rPr>
          <w:rFonts w:ascii="Arial" w:cs="Arial" w:eastAsia="Arial" w:hAnsi="Arial"/>
          <w:sz w:val="22"/>
          <w:szCs w:val="22"/>
          <w:b w:val="1"/>
          <w:bCs w:val="1"/>
          <w:color w:val="auto"/>
        </w:rPr>
      </w:pPr>
    </w:p>
    <w:p>
      <w:pPr>
        <w:jc w:val="both"/>
        <w:ind w:firstLine="1304"/>
        <w:spacing w:after="0" w:line="288" w:lineRule="auto"/>
        <w:tabs>
          <w:tab w:leader="none" w:pos="1939" w:val="left"/>
        </w:tabs>
        <w:numPr>
          <w:ilvl w:val="1"/>
          <w:numId w:val="165"/>
        </w:numPr>
        <w:rPr>
          <w:rFonts w:ascii="Arial" w:cs="Arial" w:eastAsia="Arial" w:hAnsi="Arial"/>
          <w:sz w:val="19"/>
          <w:szCs w:val="19"/>
          <w:b w:val="1"/>
          <w:bCs w:val="1"/>
          <w:color w:val="auto"/>
        </w:rPr>
      </w:pPr>
      <w:r>
        <w:rPr>
          <w:rFonts w:ascii="Arial" w:cs="Arial" w:eastAsia="Arial" w:hAnsi="Arial"/>
          <w:sz w:val="19"/>
          <w:szCs w:val="19"/>
          <w:color w:val="auto"/>
        </w:rPr>
        <w:t>Your Continuous Service with the Company or an Affiliate is not for any specified term and may be terminated by you or by the Company or an Affiliate at any time, for any reason, with or without cause and with or without notice. Nothing in this Agreement (including, but not limited to, the vesting of your Award pursuant to the schedule set forth in Section 2 herein or the issuance of the Ordinary Shares in respect of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its Affiliates, as applicable, of the right to terminate you at will and without regard to any future vesting opportunity that you may have.</w:t>
      </w:r>
    </w:p>
    <w:p>
      <w:pPr>
        <w:spacing w:after="0" w:line="159" w:lineRule="exact"/>
        <w:rPr>
          <w:rFonts w:ascii="Arial" w:cs="Arial" w:eastAsia="Arial" w:hAnsi="Arial"/>
          <w:sz w:val="19"/>
          <w:szCs w:val="19"/>
          <w:b w:val="1"/>
          <w:bCs w:val="1"/>
          <w:color w:val="auto"/>
        </w:rPr>
      </w:pPr>
    </w:p>
    <w:p>
      <w:pPr>
        <w:jc w:val="both"/>
        <w:ind w:firstLine="1304"/>
        <w:spacing w:after="0" w:line="287" w:lineRule="auto"/>
        <w:tabs>
          <w:tab w:leader="none" w:pos="1938" w:val="left"/>
        </w:tabs>
        <w:numPr>
          <w:ilvl w:val="1"/>
          <w:numId w:val="165"/>
        </w:numPr>
        <w:rPr>
          <w:rFonts w:ascii="Arial" w:cs="Arial" w:eastAsia="Arial" w:hAnsi="Arial"/>
          <w:sz w:val="19"/>
          <w:szCs w:val="19"/>
          <w:b w:val="1"/>
          <w:bCs w:val="1"/>
          <w:color w:val="auto"/>
        </w:rPr>
      </w:pPr>
      <w:r>
        <w:rPr>
          <w:rFonts w:ascii="Arial" w:cs="Arial" w:eastAsia="Arial" w:hAnsi="Arial"/>
          <w:sz w:val="19"/>
          <w:szCs w:val="19"/>
          <w:color w:val="auto"/>
        </w:rPr>
        <w:t>By accepting this Award, you acknowledge and agree that the right to continue vesting in the Award pursuant to the schedule set forth in Section 2 is earned only by providing Continuous Service at the will of the Company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right of the Company or its Affiliate, as applicable, to terminate your Continuous Service at any time, with or without cause and with or without notice.</w:t>
      </w:r>
    </w:p>
    <w:p>
      <w:pPr>
        <w:sectPr>
          <w:pgSz w:w="11900" w:h="16838" w:orient="portrait"/>
          <w:cols w:equalWidth="0" w:num="1">
            <w:col w:w="11240"/>
          </w:cols>
          <w:pgMar w:left="320" w:top="1428" w:right="339" w:bottom="1440" w:gutter="0" w:footer="0" w:header="0"/>
        </w:sectPr>
      </w:pPr>
    </w:p>
    <w:bookmarkStart w:id="211" w:name="page212"/>
    <w:bookmarkEnd w:id="211"/>
    <w:p>
      <w:pPr>
        <w:ind w:left="644" w:hanging="644"/>
        <w:spacing w:after="0"/>
        <w:tabs>
          <w:tab w:leader="none" w:pos="644"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25" w:lineRule="exact"/>
        <w:rPr>
          <w:rFonts w:ascii="Arial" w:cs="Arial" w:eastAsia="Arial" w:hAnsi="Arial"/>
          <w:sz w:val="22"/>
          <w:szCs w:val="22"/>
          <w:b w:val="1"/>
          <w:bCs w:val="1"/>
          <w:color w:val="auto"/>
        </w:rPr>
      </w:pPr>
    </w:p>
    <w:p>
      <w:pPr>
        <w:jc w:val="both"/>
        <w:ind w:left="-656" w:firstLine="1304"/>
        <w:spacing w:after="0" w:line="287" w:lineRule="auto"/>
        <w:tabs>
          <w:tab w:leader="none" w:pos="1283" w:val="left"/>
        </w:tabs>
        <w:numPr>
          <w:ilvl w:val="1"/>
          <w:numId w:val="166"/>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any required withholding from the Ordinary Shares issuable to you and/or otherwise agree to make adequate provision in cash for any sums required to satisfy the federal, state, local and foreign tax withholding obligations of the Company or any Affiliate which arise in connection with your Award (the “</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Further, to the extent that any obligation to withhold Withholding Taxes arises prior to distribution of the Ordinary Shares, the Company may cause the RSUs to vest and be deemed payable for the purpose of satisfying such obligation by withholding of Ordinary Shares as provided for above, where the Fair Market Value of the Ordinary Shares is measured as of such deemed RSU payment date, provided that (i) to avoid a prohibited acceleration under Section 409A, the number of RSUs so vested and deemed payable will not exceed the number necessary to satisfy the liability for the Withholding Taxes; and (ii) if you are subject to Section 16 of the Exchange Act, withholding in Ordinary Shares pursuant to the foregoing will either be approved in advance by the Committee or solely at your election, provided that, for clarity, you will not have any discretion with respect to whether any RSUs will vest pursuant to this Section 10(a).</w:t>
      </w:r>
    </w:p>
    <w:p>
      <w:pPr>
        <w:spacing w:after="0" w:line="158" w:lineRule="exact"/>
        <w:rPr>
          <w:rFonts w:ascii="Arial" w:cs="Arial" w:eastAsia="Arial" w:hAnsi="Arial"/>
          <w:sz w:val="19"/>
          <w:szCs w:val="19"/>
          <w:b w:val="1"/>
          <w:bCs w:val="1"/>
          <w:color w:val="auto"/>
        </w:rPr>
      </w:pPr>
    </w:p>
    <w:p>
      <w:pPr>
        <w:jc w:val="both"/>
        <w:ind w:left="-656" w:firstLine="1304"/>
        <w:spacing w:after="0" w:line="257" w:lineRule="auto"/>
        <w:tabs>
          <w:tab w:leader="none" w:pos="1282" w:val="left"/>
        </w:tabs>
        <w:numPr>
          <w:ilvl w:val="1"/>
          <w:numId w:val="166"/>
        </w:numPr>
        <w:rPr>
          <w:rFonts w:ascii="Arial" w:cs="Arial" w:eastAsia="Arial" w:hAnsi="Arial"/>
          <w:sz w:val="21"/>
          <w:szCs w:val="21"/>
          <w:b w:val="1"/>
          <w:bCs w:val="1"/>
          <w:color w:val="auto"/>
        </w:rPr>
      </w:pPr>
      <w:r>
        <w:rPr>
          <w:rFonts w:ascii="Arial" w:cs="Arial" w:eastAsia="Arial" w:hAnsi="Arial"/>
          <w:sz w:val="21"/>
          <w:szCs w:val="21"/>
          <w:color w:val="auto"/>
        </w:rPr>
        <w:t>Additionally, the Company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with a broker-dealer that is a member of the Financial Industry Regulatory Authority (a “</w:t>
      </w:r>
      <w:r>
        <w:rPr>
          <w:rFonts w:ascii="Arial" w:cs="Arial" w:eastAsia="Arial" w:hAnsi="Arial"/>
          <w:sz w:val="21"/>
          <w:szCs w:val="21"/>
          <w:b w:val="1"/>
          <w:bCs w:val="1"/>
          <w:i w:val="1"/>
          <w:iCs w:val="1"/>
          <w:color w:val="auto"/>
        </w:rPr>
        <w:t>FINRA Dealer</w:t>
      </w:r>
      <w:r>
        <w:rPr>
          <w:rFonts w:ascii="Arial" w:cs="Arial" w:eastAsia="Arial" w:hAnsi="Arial"/>
          <w:sz w:val="21"/>
          <w:szCs w:val="21"/>
          <w:color w:val="auto"/>
        </w:rPr>
        <w:t xml:space="preserve">”) whereby you irrevocably elect to sell a portion of the Ordinary Shares to be delivered in connection with your RSUs to satisfy the Withholding Taxes and whereby the FINRA Dealer irrevocably commits to forward the proceeds necessary to satisfy the Withholding Taxes directly to the Company and/or its Affiliates; or (iv) withholding Ordinary Shares from the Ordinary Shares issued or otherwise issuable to you in connection with the Award with a Fair Market Value (measured as of the date Ordinary Shares are issued to pursuant to Section 6) equal to the amount of such Withholding Taxes;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number of such Ordinary Shares so withheld shall not exceed the amount necessary to satisfy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Company’s required tax withholding obligations using the minimum statutory withholding rates for federal, state, local and foreign tax purposes, including payroll taxes, that are applicable to supplemental taxable income. Notwithstanding the foregoing, if you are subject to Section 16 of the Exchange Act, the alternative withholding methods set forth in this Section 10(b) shall not apply to you other than with respect to any withholding obligation for Withholding Taxes that arises prior to the distribution of the Ordinary Shares.</w:t>
      </w:r>
    </w:p>
    <w:p>
      <w:pPr>
        <w:spacing w:after="0" w:line="184" w:lineRule="exact"/>
        <w:rPr>
          <w:rFonts w:ascii="Arial" w:cs="Arial" w:eastAsia="Arial" w:hAnsi="Arial"/>
          <w:sz w:val="21"/>
          <w:szCs w:val="21"/>
          <w:b w:val="1"/>
          <w:bCs w:val="1"/>
          <w:color w:val="auto"/>
        </w:rPr>
      </w:pPr>
    </w:p>
    <w:p>
      <w:pPr>
        <w:ind w:left="-656" w:firstLine="1304"/>
        <w:spacing w:after="0" w:line="263" w:lineRule="auto"/>
        <w:tabs>
          <w:tab w:leader="none" w:pos="1285" w:val="left"/>
        </w:tabs>
        <w:numPr>
          <w:ilvl w:val="1"/>
          <w:numId w:val="166"/>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any Affiliate are satisfied, the Company shall have no obligation to deliver to you any Ordinary Shares.</w:t>
      </w:r>
    </w:p>
    <w:p>
      <w:pPr>
        <w:sectPr>
          <w:pgSz w:w="11900" w:h="16838" w:orient="portrait"/>
          <w:cols w:equalWidth="0" w:num="1">
            <w:col w:w="10584"/>
          </w:cols>
          <w:pgMar w:left="976" w:top="1422" w:right="339" w:bottom="1440" w:gutter="0" w:footer="0" w:header="0"/>
        </w:sectPr>
      </w:pPr>
    </w:p>
    <w:bookmarkStart w:id="212" w:name="page213"/>
    <w:bookmarkEnd w:id="212"/>
    <w:p>
      <w:pPr>
        <w:jc w:val="both"/>
        <w:ind w:left="-656" w:firstLine="1304"/>
        <w:spacing w:after="0" w:line="253" w:lineRule="auto"/>
        <w:tabs>
          <w:tab w:leader="none" w:pos="1282" w:val="left"/>
        </w:tabs>
        <w:numPr>
          <w:ilvl w:val="1"/>
          <w:numId w:val="167"/>
        </w:numPr>
        <w:rPr>
          <w:rFonts w:ascii="Arial" w:cs="Arial" w:eastAsia="Arial" w:hAnsi="Arial"/>
          <w:sz w:val="22"/>
          <w:szCs w:val="22"/>
          <w:b w:val="1"/>
          <w:bCs w:val="1"/>
          <w:color w:val="auto"/>
        </w:rPr>
      </w:pPr>
      <w:r>
        <w:rPr>
          <w:rFonts w:ascii="Arial" w:cs="Arial" w:eastAsia="Arial" w:hAnsi="Arial"/>
          <w:sz w:val="22"/>
          <w:szCs w:val="22"/>
          <w:color w:val="auto"/>
        </w:rPr>
        <w:t>In the event that the amount of the Company’s withholding obligation was greater than the amount withheld by the Company, you agree to indemnify and hold the Company harmless from any failure by the Company to withhold the proper amount.</w:t>
      </w:r>
    </w:p>
    <w:p>
      <w:pPr>
        <w:spacing w:after="0" w:line="185" w:lineRule="exact"/>
        <w:rPr>
          <w:rFonts w:ascii="Arial" w:cs="Arial" w:eastAsia="Arial" w:hAnsi="Arial"/>
          <w:sz w:val="22"/>
          <w:szCs w:val="22"/>
          <w:b w:val="1"/>
          <w:bCs w:val="1"/>
          <w:color w:val="auto"/>
        </w:rPr>
      </w:pPr>
    </w:p>
    <w:p>
      <w:pPr>
        <w:jc w:val="both"/>
        <w:ind w:left="-656" w:firstLine="1304"/>
        <w:spacing w:after="0" w:line="297" w:lineRule="auto"/>
        <w:tabs>
          <w:tab w:leader="none" w:pos="1285" w:val="left"/>
        </w:tabs>
        <w:numPr>
          <w:ilvl w:val="1"/>
          <w:numId w:val="167"/>
        </w:numPr>
        <w:rPr>
          <w:rFonts w:ascii="Arial" w:cs="Arial" w:eastAsia="Arial" w:hAnsi="Arial"/>
          <w:sz w:val="19"/>
          <w:szCs w:val="19"/>
          <w:b w:val="1"/>
          <w:bCs w:val="1"/>
          <w:color w:val="auto"/>
        </w:rPr>
      </w:pPr>
      <w:r>
        <w:rPr>
          <w:rFonts w:ascii="Arial" w:cs="Arial" w:eastAsia="Arial" w:hAnsi="Arial"/>
          <w:sz w:val="19"/>
          <w:szCs w:val="19"/>
          <w:color w:val="auto"/>
        </w:rPr>
        <w:t xml:space="preserve">If specified in your Grant Notice, you may direct the Company to withhold Ordinary Shares with a Fair Market Value (measured as of the date Ordinary Shares are issued pursuant to Section 6) equal to the amount of such Withholding Taxes;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number of such Ordinary Shares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w:t>
      </w:r>
    </w:p>
    <w:p>
      <w:pPr>
        <w:spacing w:after="0" w:line="140" w:lineRule="exact"/>
        <w:rPr>
          <w:rFonts w:ascii="Arial" w:cs="Arial" w:eastAsia="Arial" w:hAnsi="Arial"/>
          <w:sz w:val="19"/>
          <w:szCs w:val="19"/>
          <w:b w:val="1"/>
          <w:bCs w:val="1"/>
          <w:color w:val="auto"/>
        </w:rPr>
      </w:pPr>
    </w:p>
    <w:p>
      <w:pPr>
        <w:ind w:left="644" w:hanging="644"/>
        <w:spacing w:after="0"/>
        <w:tabs>
          <w:tab w:leader="none" w:pos="644"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25" w:lineRule="exact"/>
        <w:rPr>
          <w:rFonts w:ascii="Arial" w:cs="Arial" w:eastAsia="Arial" w:hAnsi="Arial"/>
          <w:sz w:val="22"/>
          <w:szCs w:val="22"/>
          <w:b w:val="1"/>
          <w:bCs w:val="1"/>
          <w:color w:val="auto"/>
        </w:rPr>
      </w:pPr>
    </w:p>
    <w:p>
      <w:pPr>
        <w:jc w:val="both"/>
        <w:ind w:left="-656" w:firstLine="1304"/>
        <w:spacing w:after="0" w:line="292" w:lineRule="auto"/>
        <w:tabs>
          <w:tab w:leader="none" w:pos="1283" w:val="left"/>
        </w:tabs>
        <w:numPr>
          <w:ilvl w:val="1"/>
          <w:numId w:val="168"/>
        </w:numPr>
        <w:rPr>
          <w:rFonts w:ascii="Arial" w:cs="Arial" w:eastAsia="Arial" w:hAnsi="Arial"/>
          <w:sz w:val="19"/>
          <w:szCs w:val="19"/>
          <w:b w:val="1"/>
          <w:bCs w:val="1"/>
          <w:color w:val="auto"/>
        </w:rPr>
      </w:pPr>
      <w:r>
        <w:rPr>
          <w:rFonts w:ascii="Arial" w:cs="Arial" w:eastAsia="Arial" w:hAnsi="Arial"/>
          <w:sz w:val="19"/>
          <w:szCs w:val="19"/>
          <w:color w:val="auto"/>
        </w:rPr>
        <w:t>If your Continuous Service terminates either within twelve (12) months following or one (1) month prior to the effective date of a Change in Control due to an Involuntary Termination Without Cause, the vesting of the RSUs subject to this Award shall be accelerated in full, effective as of the date of such Involuntary Termination Without Cause (or as soon as administratively practicable thereafter, but no later than 60 days following such Involuntary Termination Without Cause). In order to give effect to the intent of this provision, in the event of your Involuntary Termination Without Cause, notwithstanding anything to the contrary set forth in the Plan or Section 2 of this Agreement, in no event will any portion of this Award be forfeited or terminate any earlier than 60 days following such termination date.</w:t>
      </w:r>
    </w:p>
    <w:p>
      <w:pPr>
        <w:spacing w:after="0" w:line="150" w:lineRule="exact"/>
        <w:rPr>
          <w:rFonts w:ascii="Arial" w:cs="Arial" w:eastAsia="Arial" w:hAnsi="Arial"/>
          <w:sz w:val="19"/>
          <w:szCs w:val="19"/>
          <w:b w:val="1"/>
          <w:bCs w:val="1"/>
          <w:color w:val="auto"/>
        </w:rPr>
      </w:pPr>
    </w:p>
    <w:p>
      <w:pPr>
        <w:jc w:val="both"/>
        <w:ind w:left="-656" w:firstLine="1304"/>
        <w:spacing w:after="0" w:line="248" w:lineRule="auto"/>
        <w:tabs>
          <w:tab w:leader="none" w:pos="1282" w:val="left"/>
        </w:tabs>
        <w:numPr>
          <w:ilvl w:val="1"/>
          <w:numId w:val="168"/>
        </w:numPr>
        <w:rPr>
          <w:rFonts w:ascii="Arial" w:cs="Arial" w:eastAsia="Arial" w:hAnsi="Arial"/>
          <w:sz w:val="22"/>
          <w:szCs w:val="22"/>
          <w:b w:val="1"/>
          <w:bCs w:val="1"/>
          <w:color w:val="auto"/>
        </w:rPr>
      </w:pPr>
      <w:r>
        <w:rPr>
          <w:rFonts w:ascii="Arial" w:cs="Arial" w:eastAsia="Arial" w:hAnsi="Arial"/>
          <w:sz w:val="22"/>
          <w:szCs w:val="22"/>
          <w:color w:val="auto"/>
        </w:rPr>
        <w:t>For purposes of this Agreement, “</w:t>
      </w:r>
      <w:r>
        <w:rPr>
          <w:rFonts w:ascii="Arial" w:cs="Arial" w:eastAsia="Arial" w:hAnsi="Arial"/>
          <w:sz w:val="22"/>
          <w:szCs w:val="22"/>
          <w:b w:val="1"/>
          <w:bCs w:val="1"/>
          <w:i w:val="1"/>
          <w:iCs w:val="1"/>
          <w:color w:val="auto"/>
        </w:rPr>
        <w:t>Involuntary Termination Without Cause</w:t>
      </w:r>
      <w:r>
        <w:rPr>
          <w:rFonts w:ascii="Arial" w:cs="Arial" w:eastAsia="Arial" w:hAnsi="Arial"/>
          <w:sz w:val="22"/>
          <w:szCs w:val="22"/>
          <w:color w:val="auto"/>
        </w:rPr>
        <w:t>” means the involuntary termination of your Continuous Service for reasons other than death, Disability, or Cause. Any determination by the Company (or an Affiliate, if applicable) that your Continuous Service was terminated with or without Cause for the purposes of this Agreement shall have no effect upon any determination of the rights or obligations of the Company or an Affiliate or you for any other purpose.</w:t>
      </w:r>
    </w:p>
    <w:p>
      <w:pPr>
        <w:spacing w:after="0" w:line="191" w:lineRule="exact"/>
        <w:rPr>
          <w:rFonts w:ascii="Arial" w:cs="Arial" w:eastAsia="Arial" w:hAnsi="Arial"/>
          <w:sz w:val="22"/>
          <w:szCs w:val="22"/>
          <w:b w:val="1"/>
          <w:bCs w:val="1"/>
          <w:color w:val="auto"/>
        </w:rPr>
      </w:pPr>
    </w:p>
    <w:p>
      <w:pPr>
        <w:jc w:val="both"/>
        <w:ind w:left="-656" w:firstLine="1304"/>
        <w:spacing w:after="0" w:line="297" w:lineRule="auto"/>
        <w:tabs>
          <w:tab w:leader="none" w:pos="1285" w:val="left"/>
        </w:tabs>
        <w:numPr>
          <w:ilvl w:val="1"/>
          <w:numId w:val="168"/>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the Agreement or the CIC Plan to the contrary, if you otherwise become entitled to vesting of this Award under more than one of the Special Vesting Provisions, only the Special Vesting Provision that would provide you with the most favorable vesting benefit will be deemed to be applicable to this Award and any other Special Vesting Provision will be deemed to be inapplicable to this Award. For purposes of the Agreement, “</w:t>
      </w:r>
      <w:r>
        <w:rPr>
          <w:rFonts w:ascii="Arial" w:cs="Arial" w:eastAsia="Arial" w:hAnsi="Arial"/>
          <w:sz w:val="19"/>
          <w:szCs w:val="19"/>
          <w:b w:val="1"/>
          <w:bCs w:val="1"/>
          <w:i w:val="1"/>
          <w:iCs w:val="1"/>
          <w:color w:val="auto"/>
        </w:rPr>
        <w:t>Special Vesting Provisions</w:t>
      </w:r>
      <w:r>
        <w:rPr>
          <w:rFonts w:ascii="Arial" w:cs="Arial" w:eastAsia="Arial" w:hAnsi="Arial"/>
          <w:sz w:val="19"/>
          <w:szCs w:val="19"/>
          <w:color w:val="auto"/>
        </w:rPr>
        <w:t>” means Sections 2(a), 2(b), 2(c) and 11(a) of the Agreement, and Section 4(c) of the CIC Plan.</w:t>
      </w:r>
    </w:p>
    <w:p>
      <w:pPr>
        <w:spacing w:after="0" w:line="140" w:lineRule="exact"/>
        <w:rPr>
          <w:rFonts w:ascii="Arial" w:cs="Arial" w:eastAsia="Arial" w:hAnsi="Arial"/>
          <w:sz w:val="19"/>
          <w:szCs w:val="19"/>
          <w:b w:val="1"/>
          <w:bCs w:val="1"/>
          <w:color w:val="auto"/>
        </w:rPr>
      </w:pPr>
    </w:p>
    <w:p>
      <w:pPr>
        <w:ind w:left="644" w:hanging="644"/>
        <w:spacing w:after="0"/>
        <w:tabs>
          <w:tab w:leader="none" w:pos="644"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25" w:lineRule="exact"/>
        <w:rPr>
          <w:rFonts w:ascii="Arial" w:cs="Arial" w:eastAsia="Arial" w:hAnsi="Arial"/>
          <w:sz w:val="22"/>
          <w:szCs w:val="22"/>
          <w:b w:val="1"/>
          <w:bCs w:val="1"/>
          <w:color w:val="auto"/>
        </w:rPr>
      </w:pPr>
    </w:p>
    <w:p>
      <w:pPr>
        <w:jc w:val="both"/>
        <w:ind w:left="-656" w:firstLine="1304"/>
        <w:spacing w:after="0" w:line="265" w:lineRule="auto"/>
        <w:tabs>
          <w:tab w:leader="none" w:pos="1283" w:val="left"/>
        </w:tabs>
        <w:numPr>
          <w:ilvl w:val="1"/>
          <w:numId w:val="168"/>
        </w:numPr>
        <w:rPr>
          <w:rFonts w:ascii="Arial" w:cs="Arial" w:eastAsia="Arial" w:hAnsi="Arial"/>
          <w:sz w:val="21"/>
          <w:szCs w:val="21"/>
          <w:b w:val="1"/>
          <w:bCs w:val="1"/>
          <w:color w:val="auto"/>
        </w:rPr>
      </w:pPr>
      <w:r>
        <w:rPr>
          <w:rFonts w:ascii="Arial" w:cs="Arial" w:eastAsia="Arial" w:hAnsi="Arial"/>
          <w:sz w:val="21"/>
          <w:szCs w:val="21"/>
          <w:color w:val="auto"/>
        </w:rPr>
        <w:t>If any payment or benefit you would receive from the Company or otherwise in connection with a Change in Control or other similar transaction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1"/>
          <w:szCs w:val="21"/>
          <w:b w:val="1"/>
          <w:bCs w:val="1"/>
          <w:i w:val="1"/>
          <w:iCs w:val="1"/>
          <w:color w:val="auto"/>
        </w:rPr>
        <w:t>Excise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Tax</w:t>
      </w:r>
      <w:r>
        <w:rPr>
          <w:rFonts w:ascii="Arial" w:cs="Arial" w:eastAsia="Arial" w:hAnsi="Arial"/>
          <w:sz w:val="21"/>
          <w:szCs w:val="21"/>
          <w:color w:val="auto"/>
        </w:rPr>
        <w:t>”), then such Payment shall be equal to the Reduced Amount. The “Reduced</w:t>
      </w:r>
    </w:p>
    <w:p>
      <w:pPr>
        <w:sectPr>
          <w:pgSz w:w="11900" w:h="16838" w:orient="portrait"/>
          <w:cols w:equalWidth="0" w:num="1">
            <w:col w:w="10584"/>
          </w:cols>
          <w:pgMar w:left="976" w:top="1428" w:right="339" w:bottom="1440" w:gutter="0" w:footer="0" w:header="0"/>
        </w:sectPr>
      </w:pPr>
    </w:p>
    <w:bookmarkStart w:id="213" w:name="page214"/>
    <w:bookmarkEnd w:id="213"/>
    <w:p>
      <w:pPr>
        <w:jc w:val="both"/>
        <w:spacing w:after="0" w:line="260" w:lineRule="auto"/>
        <w:rPr>
          <w:sz w:val="20"/>
          <w:szCs w:val="20"/>
          <w:color w:val="auto"/>
        </w:rPr>
      </w:pPr>
      <w:r>
        <w:rPr>
          <w:rFonts w:ascii="Arial" w:cs="Arial" w:eastAsia="Arial" w:hAnsi="Arial"/>
          <w:sz w:val="21"/>
          <w:szCs w:val="21"/>
          <w:color w:val="auto"/>
        </w:rPr>
        <w:t>Amount” shall be either (x) the largest portion of the Payment that would result in no portion of the Payment being subject to the Excise Tax, or (y) the largest portion, up to and including the total, of the Payment, whichever amount ((x) or (y)), after taking into account all applicable federal, state, foreign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80" w:lineRule="exact"/>
        <w:rPr>
          <w:sz w:val="20"/>
          <w:szCs w:val="20"/>
          <w:color w:val="auto"/>
        </w:rPr>
      </w:pPr>
    </w:p>
    <w:p>
      <w:pPr>
        <w:jc w:val="both"/>
        <w:ind w:firstLine="1304"/>
        <w:spacing w:after="0" w:line="246" w:lineRule="auto"/>
        <w:tabs>
          <w:tab w:leader="none" w:pos="1938" w:val="left"/>
        </w:tabs>
        <w:numPr>
          <w:ilvl w:val="1"/>
          <w:numId w:val="169"/>
        </w:numPr>
        <w:rPr>
          <w:rFonts w:ascii="Arial" w:cs="Arial" w:eastAsia="Arial" w:hAnsi="Arial"/>
          <w:sz w:val="22"/>
          <w:szCs w:val="22"/>
          <w:b w:val="1"/>
          <w:bCs w:val="1"/>
          <w:color w:val="auto"/>
        </w:rPr>
      </w:pPr>
      <w:r>
        <w:rPr>
          <w:rFonts w:ascii="Arial" w:cs="Arial" w:eastAsia="Arial" w:hAnsi="Arial"/>
          <w:sz w:val="22"/>
          <w:szCs w:val="22"/>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96" w:lineRule="exact"/>
        <w:rPr>
          <w:rFonts w:ascii="Arial" w:cs="Arial" w:eastAsia="Arial" w:hAnsi="Arial"/>
          <w:sz w:val="22"/>
          <w:szCs w:val="22"/>
          <w:b w:val="1"/>
          <w:bCs w:val="1"/>
          <w:color w:val="auto"/>
        </w:rPr>
      </w:pPr>
    </w:p>
    <w:p>
      <w:pPr>
        <w:jc w:val="both"/>
        <w:ind w:firstLine="1304"/>
        <w:spacing w:after="0" w:line="297" w:lineRule="auto"/>
        <w:tabs>
          <w:tab w:leader="none" w:pos="1941" w:val="left"/>
        </w:tabs>
        <w:numPr>
          <w:ilvl w:val="1"/>
          <w:numId w:val="169"/>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140" w:lineRule="exact"/>
        <w:rPr>
          <w:rFonts w:ascii="Arial" w:cs="Arial" w:eastAsia="Arial" w:hAnsi="Arial"/>
          <w:sz w:val="19"/>
          <w:szCs w:val="19"/>
          <w:b w:val="1"/>
          <w:bCs w:val="1"/>
          <w:color w:val="auto"/>
        </w:rPr>
      </w:pPr>
    </w:p>
    <w:p>
      <w:pPr>
        <w:jc w:val="both"/>
        <w:ind w:firstLine="656"/>
        <w:spacing w:after="0" w:line="261" w:lineRule="auto"/>
        <w:tabs>
          <w:tab w:leader="none" w:pos="1296" w:val="left"/>
        </w:tabs>
        <w:numPr>
          <w:ilvl w:val="0"/>
          <w:numId w:val="17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Unsecured Obligation. </w:t>
      </w:r>
      <w:r>
        <w:rPr>
          <w:rFonts w:ascii="Arial" w:cs="Arial" w:eastAsia="Arial" w:hAnsi="Arial"/>
          <w:sz w:val="21"/>
          <w:szCs w:val="21"/>
          <w:color w:val="auto"/>
        </w:rPr>
        <w:t>Your Award is unfunded, and as a holder of a vested Award, you shall be considered an</w:t>
      </w:r>
      <w:r>
        <w:rPr>
          <w:rFonts w:ascii="Arial" w:cs="Arial" w:eastAsia="Arial" w:hAnsi="Arial"/>
          <w:sz w:val="21"/>
          <w:szCs w:val="21"/>
          <w:b w:val="1"/>
          <w:bCs w:val="1"/>
          <w:color w:val="auto"/>
        </w:rPr>
        <w:t xml:space="preserve"> </w:t>
      </w:r>
      <w:r>
        <w:rPr>
          <w:rFonts w:ascii="Arial" w:cs="Arial" w:eastAsia="Arial" w:hAnsi="Arial"/>
          <w:sz w:val="21"/>
          <w:szCs w:val="21"/>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3" w:lineRule="exact"/>
        <w:rPr>
          <w:rFonts w:ascii="Arial" w:cs="Arial" w:eastAsia="Arial" w:hAnsi="Arial"/>
          <w:sz w:val="21"/>
          <w:szCs w:val="21"/>
          <w:b w:val="1"/>
          <w:bCs w:val="1"/>
          <w:color w:val="auto"/>
        </w:rPr>
      </w:pPr>
    </w:p>
    <w:p>
      <w:pPr>
        <w:jc w:val="both"/>
        <w:ind w:firstLine="656"/>
        <w:spacing w:after="0" w:line="252" w:lineRule="auto"/>
        <w:tabs>
          <w:tab w:leader="none" w:pos="1296"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or the right to receive a document providing the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Rule 428(b)(1) promulgated under the Securities Act, which includes the Plan prospectus. In addition, you acknowledge receipt of the Company’s policy permitting officers and directors to sell Ordinary Shares only during certain “window” periods and the Company’s insider trading policy, in effect from time to time.</w:t>
      </w:r>
    </w:p>
    <w:p>
      <w:pPr>
        <w:spacing w:after="0" w:line="179" w:lineRule="exact"/>
        <w:rPr>
          <w:rFonts w:ascii="Arial" w:cs="Arial" w:eastAsia="Arial" w:hAnsi="Arial"/>
          <w:sz w:val="22"/>
          <w:szCs w:val="22"/>
          <w:b w:val="1"/>
          <w:bCs w:val="1"/>
          <w:color w:val="auto"/>
        </w:rPr>
      </w:pPr>
    </w:p>
    <w:p>
      <w:pPr>
        <w:ind w:right="20" w:firstLine="656"/>
        <w:spacing w:after="0" w:line="269" w:lineRule="auto"/>
        <w:tabs>
          <w:tab w:leader="none" w:pos="1296"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Advice Regarding Grant. </w:t>
      </w:r>
      <w:r>
        <w:rPr>
          <w:rFonts w:ascii="Arial" w:cs="Arial" w:eastAsia="Arial" w:hAnsi="Arial"/>
          <w:sz w:val="22"/>
          <w:szCs w:val="22"/>
          <w:color w:val="auto"/>
        </w:rPr>
        <w:t>The Company is not providing any tax, legal or financial advice, nor is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making any recommendations regarding your participation</w:t>
      </w:r>
    </w:p>
    <w:p>
      <w:pPr>
        <w:sectPr>
          <w:pgSz w:w="11900" w:h="16838" w:orient="portrait"/>
          <w:cols w:equalWidth="0" w:num="1">
            <w:col w:w="11240"/>
          </w:cols>
          <w:pgMar w:left="320" w:top="1428" w:right="339" w:bottom="1440" w:gutter="0" w:footer="0" w:header="0"/>
        </w:sectPr>
      </w:pPr>
    </w:p>
    <w:bookmarkStart w:id="214" w:name="page215"/>
    <w:bookmarkEnd w:id="214"/>
    <w:p>
      <w:pPr>
        <w:spacing w:after="0" w:line="343" w:lineRule="auto"/>
        <w:rPr>
          <w:sz w:val="20"/>
          <w:szCs w:val="20"/>
          <w:color w:val="auto"/>
        </w:rPr>
      </w:pPr>
      <w:r>
        <w:rPr>
          <w:rFonts w:ascii="Arial" w:cs="Arial" w:eastAsia="Arial" w:hAnsi="Arial"/>
          <w:sz w:val="19"/>
          <w:szCs w:val="19"/>
          <w:color w:val="auto"/>
        </w:rPr>
        <w:t>in the Plan, or your acquisition or sale of the underlying Ordinary Shares. You are hereby advised to consult with your own personal tax, legal and financial advisors regarding your participation in the Plan before taking any action related to the Plan.</w:t>
      </w:r>
    </w:p>
    <w:p>
      <w:pPr>
        <w:spacing w:after="0" w:line="98" w:lineRule="exact"/>
        <w:rPr>
          <w:sz w:val="20"/>
          <w:szCs w:val="20"/>
          <w:color w:val="auto"/>
        </w:rPr>
      </w:pPr>
    </w:p>
    <w:p>
      <w:pPr>
        <w:ind w:right="20" w:firstLine="656"/>
        <w:spacing w:after="0" w:line="269" w:lineRule="auto"/>
        <w:tabs>
          <w:tab w:leader="none" w:pos="1296"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The Award and the provisions of this Agreement are governed by,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without regard to the conflict of law provisions.</w:t>
      </w:r>
    </w:p>
    <w:p>
      <w:pPr>
        <w:spacing w:after="0" w:line="16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82" w:lineRule="exact"/>
        <w:rPr>
          <w:sz w:val="20"/>
          <w:szCs w:val="20"/>
          <w:color w:val="auto"/>
        </w:rPr>
      </w:pPr>
    </w:p>
    <w:p>
      <w:pPr>
        <w:jc w:val="both"/>
        <w:ind w:firstLine="656"/>
        <w:spacing w:after="0" w:line="260" w:lineRule="auto"/>
        <w:tabs>
          <w:tab w:leader="none" w:pos="1296" w:val="left"/>
        </w:tabs>
        <w:numPr>
          <w:ilvl w:val="0"/>
          <w:numId w:val="17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Notices; Electronic Delivery. </w:t>
      </w:r>
      <w:r>
        <w:rPr>
          <w:rFonts w:ascii="Arial" w:cs="Arial" w:eastAsia="Arial" w:hAnsi="Arial"/>
          <w:sz w:val="21"/>
          <w:szCs w:val="21"/>
          <w:color w:val="auto"/>
        </w:rPr>
        <w:t>Any notices provided for in your Award or the Plan shall be given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electronically) and shall be deemed effectively given upon receipt or, in the case of notices delivered by the Company to you, five (5)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5" w:lineRule="exact"/>
        <w:rPr>
          <w:rFonts w:ascii="Arial" w:cs="Arial" w:eastAsia="Arial" w:hAnsi="Arial"/>
          <w:sz w:val="21"/>
          <w:szCs w:val="21"/>
          <w:b w:val="1"/>
          <w:bCs w:val="1"/>
          <w:color w:val="auto"/>
        </w:rPr>
      </w:pPr>
    </w:p>
    <w:p>
      <w:pPr>
        <w:ind w:left="1300" w:hanging="644"/>
        <w:spacing w:after="0"/>
        <w:tabs>
          <w:tab w:leader="none" w:pos="130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jc w:val="both"/>
        <w:ind w:firstLine="1304"/>
        <w:spacing w:after="0" w:line="250" w:lineRule="auto"/>
        <w:tabs>
          <w:tab w:leader="none" w:pos="1939" w:val="left"/>
        </w:tabs>
        <w:numPr>
          <w:ilvl w:val="1"/>
          <w:numId w:val="172"/>
        </w:numPr>
        <w:rPr>
          <w:rFonts w:ascii="Arial" w:cs="Arial" w:eastAsia="Arial" w:hAnsi="Arial"/>
          <w:sz w:val="22"/>
          <w:szCs w:val="22"/>
          <w:b w:val="1"/>
          <w:bCs w:val="1"/>
          <w:color w:val="auto"/>
        </w:rPr>
      </w:pPr>
      <w:r>
        <w:rPr>
          <w:rFonts w:ascii="Arial" w:cs="Arial" w:eastAsia="Arial" w:hAnsi="Arial"/>
          <w:sz w:val="22"/>
          <w:szCs w:val="22"/>
          <w:color w:val="auto"/>
        </w:rPr>
        <w:t>The rights and obligations of the Company under your Award shall be transferable to any one or more persons or entities, and all covenants and agreements hereunder shall inure to the benefit of, and be enforceable by the Company’s successors and assigns, if any. Your rights and obligations under your Award may only be assigned with the prior written consent of the Company.</w:t>
      </w:r>
    </w:p>
    <w:p>
      <w:pPr>
        <w:spacing w:after="0" w:line="187"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1"/>
          <w:numId w:val="172"/>
        </w:numPr>
        <w:rPr>
          <w:rFonts w:ascii="Arial" w:cs="Arial" w:eastAsia="Arial" w:hAnsi="Arial"/>
          <w:sz w:val="22"/>
          <w:szCs w:val="22"/>
          <w:b w:val="1"/>
          <w:bCs w:val="1"/>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174" w:lineRule="exact"/>
        <w:rPr>
          <w:rFonts w:ascii="Arial" w:cs="Arial" w:eastAsia="Arial" w:hAnsi="Arial"/>
          <w:sz w:val="22"/>
          <w:szCs w:val="22"/>
          <w:b w:val="1"/>
          <w:bCs w:val="1"/>
          <w:color w:val="auto"/>
        </w:rPr>
      </w:pPr>
    </w:p>
    <w:p>
      <w:pPr>
        <w:ind w:firstLine="1304"/>
        <w:spacing w:after="0" w:line="343" w:lineRule="auto"/>
        <w:tabs>
          <w:tab w:leader="none" w:pos="1941" w:val="left"/>
        </w:tabs>
        <w:numPr>
          <w:ilvl w:val="1"/>
          <w:numId w:val="172"/>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04" w:lineRule="exact"/>
        <w:rPr>
          <w:rFonts w:ascii="Arial" w:cs="Arial" w:eastAsia="Arial" w:hAnsi="Arial"/>
          <w:sz w:val="19"/>
          <w:szCs w:val="19"/>
          <w:b w:val="1"/>
          <w:bCs w:val="1"/>
          <w:color w:val="auto"/>
        </w:rPr>
      </w:pPr>
    </w:p>
    <w:p>
      <w:pPr>
        <w:ind w:firstLine="1304"/>
        <w:spacing w:after="0" w:line="263" w:lineRule="auto"/>
        <w:tabs>
          <w:tab w:leader="none" w:pos="1938" w:val="left"/>
        </w:tabs>
        <w:numPr>
          <w:ilvl w:val="1"/>
          <w:numId w:val="172"/>
        </w:numPr>
        <w:rPr>
          <w:rFonts w:ascii="Arial" w:cs="Arial" w:eastAsia="Arial" w:hAnsi="Arial"/>
          <w:sz w:val="22"/>
          <w:szCs w:val="22"/>
          <w:b w:val="1"/>
          <w:bCs w:val="1"/>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ectPr>
          <w:pgSz w:w="11900" w:h="16838" w:orient="portrait"/>
          <w:cols w:equalWidth="0" w:num="1">
            <w:col w:w="11240"/>
          </w:cols>
          <w:pgMar w:left="320" w:top="1428" w:right="339" w:bottom="1440" w:gutter="0" w:footer="0" w:header="0"/>
        </w:sectPr>
      </w:pPr>
    </w:p>
    <w:bookmarkStart w:id="215" w:name="page216"/>
    <w:bookmarkEnd w:id="215"/>
    <w:p>
      <w:pPr>
        <w:jc w:val="both"/>
        <w:ind w:left="-656" w:firstLine="1304"/>
        <w:spacing w:after="0" w:line="253" w:lineRule="auto"/>
        <w:tabs>
          <w:tab w:leader="none" w:pos="1285" w:val="left"/>
        </w:tabs>
        <w:numPr>
          <w:ilvl w:val="1"/>
          <w:numId w:val="173"/>
        </w:numPr>
        <w:rPr>
          <w:rFonts w:ascii="Arial" w:cs="Arial" w:eastAsia="Arial" w:hAnsi="Arial"/>
          <w:sz w:val="22"/>
          <w:szCs w:val="22"/>
          <w:b w:val="1"/>
          <w:bCs w:val="1"/>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5" w:lineRule="exact"/>
        <w:rPr>
          <w:rFonts w:ascii="Arial" w:cs="Arial" w:eastAsia="Arial" w:hAnsi="Arial"/>
          <w:sz w:val="22"/>
          <w:szCs w:val="22"/>
          <w:b w:val="1"/>
          <w:bCs w:val="1"/>
          <w:color w:val="auto"/>
        </w:rPr>
      </w:pPr>
    </w:p>
    <w:p>
      <w:pPr>
        <w:jc w:val="both"/>
        <w:ind w:left="-656" w:firstLine="1304"/>
        <w:spacing w:after="0" w:line="253" w:lineRule="auto"/>
        <w:tabs>
          <w:tab w:leader="none" w:pos="1288" w:val="left"/>
        </w:tabs>
        <w:numPr>
          <w:ilvl w:val="1"/>
          <w:numId w:val="173"/>
        </w:numPr>
        <w:rPr>
          <w:rFonts w:ascii="Arial" w:cs="Arial" w:eastAsia="Arial" w:hAnsi="Arial"/>
          <w:sz w:val="22"/>
          <w:szCs w:val="22"/>
          <w:b w:val="1"/>
          <w:bCs w:val="1"/>
          <w:color w:val="auto"/>
        </w:rPr>
      </w:pPr>
      <w:r>
        <w:rPr>
          <w:rFonts w:ascii="Arial" w:cs="Arial" w:eastAsia="Arial" w:hAnsi="Arial"/>
          <w:sz w:val="22"/>
          <w:szCs w:val="22"/>
          <w:color w:val="auto"/>
        </w:rPr>
        <w:t>The Committee shall have complete and absolute discretion to make the determinations called for under this Agreement, and all such determinations shall be binding on you and on any person who claims all or any part of your Award on your behalf as well as on the Company.</w:t>
      </w:r>
    </w:p>
    <w:p>
      <w:pPr>
        <w:spacing w:after="0" w:line="179" w:lineRule="exact"/>
        <w:rPr>
          <w:rFonts w:ascii="Arial" w:cs="Arial" w:eastAsia="Arial" w:hAnsi="Arial"/>
          <w:sz w:val="22"/>
          <w:szCs w:val="22"/>
          <w:b w:val="1"/>
          <w:bCs w:val="1"/>
          <w:color w:val="auto"/>
        </w:rPr>
      </w:pPr>
    </w:p>
    <w:p>
      <w:pPr>
        <w:jc w:val="both"/>
        <w:ind w:left="-656" w:firstLine="656"/>
        <w:spacing w:after="0" w:line="293" w:lineRule="auto"/>
        <w:tabs>
          <w:tab w:leader="none" w:pos="64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Your Award is subject to all the provisions of the Plan, the provisions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44" w:lineRule="exact"/>
        <w:rPr>
          <w:rFonts w:ascii="Arial" w:cs="Arial" w:eastAsia="Arial" w:hAnsi="Arial"/>
          <w:sz w:val="19"/>
          <w:szCs w:val="19"/>
          <w:b w:val="1"/>
          <w:bCs w:val="1"/>
          <w:color w:val="auto"/>
        </w:rPr>
      </w:pPr>
    </w:p>
    <w:p>
      <w:pPr>
        <w:jc w:val="both"/>
        <w:ind w:left="-656" w:firstLine="656"/>
        <w:spacing w:after="0" w:line="249" w:lineRule="auto"/>
        <w:tabs>
          <w:tab w:leader="none" w:pos="64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Agreement or the Plan is declared by any court or governmental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6" w:lineRule="exact"/>
        <w:rPr>
          <w:rFonts w:ascii="Arial" w:cs="Arial" w:eastAsia="Arial" w:hAnsi="Arial"/>
          <w:sz w:val="22"/>
          <w:szCs w:val="22"/>
          <w:b w:val="1"/>
          <w:bCs w:val="1"/>
          <w:color w:val="auto"/>
        </w:rPr>
      </w:pPr>
    </w:p>
    <w:p>
      <w:pPr>
        <w:jc w:val="both"/>
        <w:ind w:left="-656" w:firstLine="656"/>
        <w:spacing w:after="0" w:line="304" w:lineRule="auto"/>
        <w:tabs>
          <w:tab w:leader="none" w:pos="64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on Other Employee Benefit Plans. </w:t>
      </w:r>
      <w:r>
        <w:rPr>
          <w:rFonts w:ascii="Arial" w:cs="Arial" w:eastAsia="Arial" w:hAnsi="Arial"/>
          <w:sz w:val="19"/>
          <w:szCs w:val="19"/>
          <w:color w:val="auto"/>
        </w:rPr>
        <w:t>The value of the Award subject to this Agreement shall not be included</w:t>
      </w:r>
      <w:r>
        <w:rPr>
          <w:rFonts w:ascii="Arial" w:cs="Arial" w:eastAsia="Arial" w:hAnsi="Arial"/>
          <w:sz w:val="19"/>
          <w:szCs w:val="19"/>
          <w:b w:val="1"/>
          <w:bCs w:val="1"/>
          <w:color w:val="auto"/>
        </w:rPr>
        <w:t xml:space="preserve"> </w:t>
      </w:r>
      <w:r>
        <w:rPr>
          <w:rFonts w:ascii="Arial" w:cs="Arial" w:eastAsia="Arial" w:hAnsi="Arial"/>
          <w:sz w:val="19"/>
          <w:szCs w:val="19"/>
          <w:color w:val="auto"/>
        </w:rPr>
        <w:t>as compensation, earnings, salaries, or other similar terms used when calculating the Employee’s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34" w:lineRule="exact"/>
        <w:rPr>
          <w:rFonts w:ascii="Arial" w:cs="Arial" w:eastAsia="Arial" w:hAnsi="Arial"/>
          <w:sz w:val="19"/>
          <w:szCs w:val="19"/>
          <w:b w:val="1"/>
          <w:bCs w:val="1"/>
          <w:color w:val="auto"/>
        </w:rPr>
      </w:pPr>
    </w:p>
    <w:p>
      <w:pPr>
        <w:jc w:val="both"/>
        <w:ind w:left="-656" w:firstLine="656"/>
        <w:spacing w:after="0" w:line="315" w:lineRule="auto"/>
        <w:tabs>
          <w:tab w:leader="none" w:pos="64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you, the provisions of this Agreement in any way it may deem necessary or advisable for legal or administrative reasons, and to require you to sign any additional agreements or undertakings that may be necessary to accomplish the foregoing.</w:t>
      </w:r>
    </w:p>
    <w:p>
      <w:pPr>
        <w:spacing w:after="0" w:line="125" w:lineRule="exact"/>
        <w:rPr>
          <w:rFonts w:ascii="Arial" w:cs="Arial" w:eastAsia="Arial" w:hAnsi="Arial"/>
          <w:sz w:val="19"/>
          <w:szCs w:val="19"/>
          <w:b w:val="1"/>
          <w:bCs w:val="1"/>
          <w:color w:val="auto"/>
        </w:rPr>
      </w:pPr>
    </w:p>
    <w:p>
      <w:pPr>
        <w:ind w:left="-656" w:firstLine="656"/>
        <w:spacing w:after="0" w:line="269" w:lineRule="auto"/>
        <w:tabs>
          <w:tab w:leader="none" w:pos="64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Sections in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a part of this Agreement or to affect the meaning of this Agreement.</w:t>
      </w:r>
    </w:p>
    <w:p>
      <w:pPr>
        <w:sectPr>
          <w:pgSz w:w="11900" w:h="16838" w:orient="portrait"/>
          <w:cols w:equalWidth="0" w:num="1">
            <w:col w:w="10584"/>
          </w:cols>
          <w:pgMar w:left="976" w:top="1428" w:right="339" w:bottom="1440" w:gutter="0" w:footer="0" w:header="0"/>
        </w:sectPr>
      </w:pPr>
    </w:p>
    <w:bookmarkStart w:id="216" w:name="page217"/>
    <w:bookmarkEnd w:id="216"/>
    <w:p>
      <w:pPr>
        <w:jc w:val="both"/>
        <w:ind w:firstLine="656"/>
        <w:spacing w:after="0" w:line="249" w:lineRule="auto"/>
        <w:tabs>
          <w:tab w:leader="none" w:pos="1296"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Obligation to Minimize Taxes. </w:t>
      </w:r>
      <w:r>
        <w:rPr>
          <w:rFonts w:ascii="Arial" w:cs="Arial" w:eastAsia="Arial" w:hAnsi="Arial"/>
          <w:sz w:val="22"/>
          <w:szCs w:val="22"/>
          <w:color w:val="auto"/>
        </w:rPr>
        <w:t>The Company has no duty or obligation to minimize the tax consequences to</w:t>
      </w:r>
      <w:r>
        <w:rPr>
          <w:rFonts w:ascii="Arial" w:cs="Arial" w:eastAsia="Arial" w:hAnsi="Arial"/>
          <w:sz w:val="22"/>
          <w:szCs w:val="22"/>
          <w:b w:val="1"/>
          <w:bCs w:val="1"/>
          <w:color w:val="auto"/>
        </w:rPr>
        <w:t xml:space="preserve"> </w:t>
      </w:r>
      <w:r>
        <w:rPr>
          <w:rFonts w:ascii="Arial" w:cs="Arial" w:eastAsia="Arial" w:hAnsi="Arial"/>
          <w:sz w:val="22"/>
          <w:szCs w:val="22"/>
          <w:color w:val="auto"/>
        </w:rPr>
        <w:t>you of this Award 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w:t>
      </w:r>
    </w:p>
    <w:p>
      <w:pPr>
        <w:spacing w:after="0" w:line="186"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any other provision of this Agreement, or of any subsequent breach by you or any other Participant.</w:t>
      </w:r>
    </w:p>
    <w:p>
      <w:pPr>
        <w:spacing w:after="0" w:line="176" w:lineRule="exact"/>
        <w:rPr>
          <w:rFonts w:ascii="Arial" w:cs="Arial" w:eastAsia="Arial" w:hAnsi="Arial"/>
          <w:sz w:val="22"/>
          <w:szCs w:val="22"/>
          <w:b w:val="1"/>
          <w:bCs w:val="1"/>
          <w:color w:val="auto"/>
        </w:rPr>
      </w:pPr>
    </w:p>
    <w:p>
      <w:pPr>
        <w:jc w:val="both"/>
        <w:ind w:firstLine="656"/>
        <w:spacing w:after="0" w:line="295" w:lineRule="auto"/>
        <w:tabs>
          <w:tab w:leader="none" w:pos="1296" w:val="left"/>
        </w:tabs>
        <w:numPr>
          <w:ilvl w:val="0"/>
          <w:numId w:val="1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Insider Trading / Market Abuse Laws. </w:t>
      </w:r>
      <w:r>
        <w:rPr>
          <w:rFonts w:ascii="Arial" w:cs="Arial" w:eastAsia="Arial" w:hAnsi="Arial"/>
          <w:sz w:val="19"/>
          <w:szCs w:val="19"/>
          <w:color w:val="auto"/>
        </w:rPr>
        <w:t>You may be subject to insider trading restrictions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which may affect your ability to acquire or sell Ordinary Shares or rights to Ordinary Shares (</w:t>
      </w:r>
      <w:r>
        <w:rPr>
          <w:rFonts w:ascii="Arial" w:cs="Arial" w:eastAsia="Arial" w:hAnsi="Arial"/>
          <w:sz w:val="19"/>
          <w:szCs w:val="19"/>
          <w:i w:val="1"/>
          <w:iCs w:val="1"/>
          <w:color w:val="auto"/>
        </w:rPr>
        <w:t>e.g.,</w:t>
      </w:r>
      <w:r>
        <w:rPr>
          <w:rFonts w:ascii="Arial" w:cs="Arial" w:eastAsia="Arial" w:hAnsi="Arial"/>
          <w:sz w:val="19"/>
          <w:szCs w:val="19"/>
          <w:color w:val="auto"/>
        </w:rPr>
        <w:t xml:space="preserve"> RSUs) under the Plan during such times as you are considered to have “inside information” regarding the Company (as defined by applicable laws).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149" w:lineRule="exact"/>
        <w:rPr>
          <w:rFonts w:ascii="Arial" w:cs="Arial" w:eastAsia="Arial" w:hAnsi="Arial"/>
          <w:sz w:val="19"/>
          <w:szCs w:val="19"/>
          <w:b w:val="1"/>
          <w:bCs w:val="1"/>
          <w:color w:val="auto"/>
        </w:rPr>
      </w:pPr>
    </w:p>
    <w:p>
      <w:pPr>
        <w:ind w:left="5240"/>
        <w:spacing w:after="0"/>
        <w:rPr>
          <w:rFonts w:ascii="Arial" w:cs="Arial" w:eastAsia="Arial" w:hAnsi="Arial"/>
          <w:sz w:val="19"/>
          <w:szCs w:val="19"/>
          <w:b w:val="1"/>
          <w:bCs w:val="1"/>
          <w:color w:val="auto"/>
        </w:rPr>
      </w:pPr>
      <w:r>
        <w:rPr>
          <w:rFonts w:ascii="Arial" w:cs="Arial" w:eastAsia="Arial" w:hAnsi="Arial"/>
          <w:sz w:val="22"/>
          <w:szCs w:val="22"/>
          <w:color w:val="auto"/>
        </w:rPr>
        <w:t>* * * *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By signing the U.S. Restricted Stock Unit Award Grant Notice to which this U.S. Restricted Stock Unit Award Agreement is attached, you shall be deemed to have signed and agreed to the terms and conditions of this U.S. Restricted Stock Unit Award Agreement.</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240"/>
          </w:cols>
          <w:pgMar w:left="320" w:top="1422" w:right="3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22"/>
          <w:szCs w:val="22"/>
          <w:b w:val="1"/>
          <w:bCs w:val="1"/>
          <w:color w:val="auto"/>
        </w:rPr>
        <w:t>Attachment II</w:t>
      </w:r>
    </w:p>
    <w:p>
      <w:pPr>
        <w:spacing w:after="0" w:line="136" w:lineRule="exact"/>
        <w:rPr>
          <w:sz w:val="20"/>
          <w:szCs w:val="20"/>
          <w:color w:val="auto"/>
        </w:rPr>
      </w:pPr>
    </w:p>
    <w:p>
      <w:pPr>
        <w:ind w:left="3120"/>
        <w:spacing w:after="0"/>
        <w:rPr>
          <w:sz w:val="20"/>
          <w:szCs w:val="20"/>
          <w:color w:val="auto"/>
        </w:rPr>
      </w:pPr>
      <w:r>
        <w:rPr>
          <w:rFonts w:ascii="Arial" w:cs="Arial" w:eastAsia="Arial" w:hAnsi="Arial"/>
          <w:sz w:val="23"/>
          <w:szCs w:val="23"/>
          <w:b w:val="1"/>
          <w:bCs w:val="1"/>
          <w:color w:val="auto"/>
        </w:rPr>
        <w:t>Jazz Pharmaceuticals plc</w:t>
      </w:r>
    </w:p>
    <w:p>
      <w:pPr>
        <w:ind w:left="3060"/>
        <w:spacing w:after="0"/>
        <w:rPr>
          <w:sz w:val="20"/>
          <w:szCs w:val="20"/>
          <w:color w:val="auto"/>
        </w:rPr>
      </w:pPr>
      <w:r>
        <w:rPr>
          <w:rFonts w:ascii="Arial" w:cs="Arial" w:eastAsia="Arial" w:hAnsi="Arial"/>
          <w:sz w:val="22"/>
          <w:szCs w:val="22"/>
          <w:b w:val="1"/>
          <w:bCs w:val="1"/>
          <w:color w:val="auto"/>
        </w:rPr>
        <w:t>2011 Equity Incentive Plan</w:t>
      </w:r>
    </w:p>
    <w:p>
      <w:pPr>
        <w:sectPr>
          <w:pgSz w:w="11900" w:h="16838" w:orient="portrait"/>
          <w:cols w:equalWidth="0" w:num="1">
            <w:col w:w="9019"/>
          </w:cols>
          <w:pgMar w:left="1440" w:top="1395" w:right="1440"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2011 Equity Incentive Plan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Non-U.S. Restricted Stock Unit Award Grant Notice</w:t>
      </w:r>
    </w:p>
    <w:p>
      <w:pPr>
        <w:spacing w:after="0" w:line="349" w:lineRule="exact"/>
        <w:rPr>
          <w:sz w:val="20"/>
          <w:szCs w:val="20"/>
          <w:color w:val="auto"/>
        </w:rPr>
      </w:pPr>
    </w:p>
    <w:p>
      <w:pPr>
        <w:jc w:val="both"/>
        <w:ind w:left="60"/>
        <w:spacing w:after="0" w:line="263" w:lineRule="auto"/>
        <w:rPr>
          <w:sz w:val="20"/>
          <w:szCs w:val="20"/>
          <w:color w:val="auto"/>
        </w:rPr>
      </w:pPr>
      <w:r>
        <w:rPr>
          <w:rFonts w:ascii="Arial" w:cs="Arial" w:eastAsia="Arial" w:hAnsi="Arial"/>
          <w:sz w:val="21"/>
          <w:szCs w:val="21"/>
          <w:color w:val="auto"/>
        </w:rPr>
        <w:t>Jazz Pharmaceuticals plc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pursuant to its 2011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hereby awards to Participant the number of restricted stock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specified and on the terms set forth below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The Award is subject to all of the terms and conditions as set forth in this Non-U.S. Restricted Stock Unit Award Grant Notice (the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and in the Non-U.S. Restricted Stock Unit Award Agreement, including any country-specific Appendix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 the Plan, both of which are attached hereto and incorporated herein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725170</wp:posOffset>
            </wp:positionV>
            <wp:extent cx="33007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3300730" cy="8255"/>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527685</wp:posOffset>
            </wp:positionV>
            <wp:extent cx="33007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3300730" cy="889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330835</wp:posOffset>
            </wp:positionV>
            <wp:extent cx="3300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24130</wp:posOffset>
            </wp:positionV>
            <wp:extent cx="33007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Subject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24130</wp:posOffset>
            </wp:positionV>
            <wp:extent cx="33007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5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Participant’s Services</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(payment of par value of newly issued shares)</w:t>
      </w:r>
    </w:p>
    <w:p>
      <w:pPr>
        <w:spacing w:after="0" w:line="344" w:lineRule="exact"/>
        <w:rPr>
          <w:sz w:val="20"/>
          <w:szCs w:val="20"/>
          <w:color w:val="auto"/>
        </w:rPr>
      </w:pPr>
    </w:p>
    <w:p>
      <w:pPr>
        <w:jc w:val="both"/>
        <w:ind w:left="1860" w:hanging="1781"/>
        <w:spacing w:after="0" w:line="253" w:lineRule="auto"/>
        <w:tabs>
          <w:tab w:leader="none" w:pos="184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22"/>
          <w:szCs w:val="22"/>
          <w:color w:val="auto"/>
        </w:rPr>
        <w:t>Subject to Section 2 of the Agreement, the Ordinary Shares subject to this Award will vest as follows: 1/4th of the Shares subject to this Award will vest on each of the first, second, third and fourth anniversary of the Vesting Commencement Date.</w:t>
      </w:r>
    </w:p>
    <w:p>
      <w:pPr>
        <w:spacing w:after="0" w:line="212" w:lineRule="exact"/>
        <w:rPr>
          <w:sz w:val="20"/>
          <w:szCs w:val="20"/>
          <w:color w:val="auto"/>
        </w:rPr>
      </w:pPr>
    </w:p>
    <w:p>
      <w:pPr>
        <w:jc w:val="both"/>
        <w:ind w:left="1860" w:hanging="1781"/>
        <w:spacing w:after="0" w:line="263" w:lineRule="auto"/>
        <w:tabs>
          <w:tab w:leader="none" w:pos="1840" w:val="left"/>
        </w:tabs>
        <w:rPr>
          <w:sz w:val="20"/>
          <w:szCs w:val="20"/>
          <w:color w:val="auto"/>
        </w:rPr>
      </w:pPr>
      <w:r>
        <w:rPr>
          <w:rFonts w:ascii="Arial" w:cs="Arial" w:eastAsia="Arial" w:hAnsi="Arial"/>
          <w:sz w:val="22"/>
          <w:szCs w:val="22"/>
          <w:b w:val="1"/>
          <w:bCs w:val="1"/>
          <w:color w:val="auto"/>
        </w:rPr>
        <w:t>Issuance Schedule:</w:t>
      </w:r>
      <w:r>
        <w:rPr>
          <w:sz w:val="20"/>
          <w:szCs w:val="20"/>
          <w:color w:val="auto"/>
        </w:rPr>
        <w:tab/>
      </w:r>
      <w:r>
        <w:rPr>
          <w:rFonts w:ascii="Arial" w:cs="Arial" w:eastAsia="Arial" w:hAnsi="Arial"/>
          <w:sz w:val="22"/>
          <w:szCs w:val="22"/>
          <w:color w:val="auto"/>
        </w:rPr>
        <w:t>One Ordinary Share will be issuable for each RSU which vests at the time set forth in Section 6 of the Agreement.</w:t>
      </w:r>
    </w:p>
    <w:p>
      <w:pPr>
        <w:spacing w:after="0" w:line="202" w:lineRule="exact"/>
        <w:rPr>
          <w:sz w:val="20"/>
          <w:szCs w:val="20"/>
          <w:color w:val="auto"/>
        </w:rPr>
      </w:pPr>
    </w:p>
    <w:p>
      <w:pPr>
        <w:jc w:val="both"/>
        <w:ind w:left="60"/>
        <w:spacing w:after="0" w:line="291"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The undersigned Participant acknowledges receipt of, and understands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Notice, the Agreement and the Plan. Participant further acknowledges that as of the Date of Grant, this Grant Notice, the Agreement and the Plan set forth the entire understanding between Participant and the Company regarding the Award and supersede all prior oral and written agreements on that subject, with the exception of: (i) any employment or severance arrangement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300"/>
          </w:cols>
          <w:pgMar w:left="260" w:top="121"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JAZZ PHARMACEUTICALS PLC</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4940" w:type="dxa"/>
            <w:vAlign w:val="bottom"/>
          </w:tcPr>
          <w:p>
            <w:pPr>
              <w:spacing w:after="0"/>
              <w:rPr>
                <w:sz w:val="24"/>
                <w:szCs w:val="24"/>
                <w:color w:val="auto"/>
              </w:rPr>
            </w:pPr>
          </w:p>
        </w:tc>
        <w:tc>
          <w:tcPr>
            <w:tcW w:w="4740" w:type="dxa"/>
            <w:vAlign w:val="bottom"/>
          </w:tcPr>
          <w:p>
            <w:pPr>
              <w:ind w:left="960"/>
              <w:spacing w:after="0"/>
              <w:rPr>
                <w:sz w:val="20"/>
                <w:szCs w:val="20"/>
                <w:color w:val="auto"/>
              </w:rPr>
            </w:pPr>
            <w:r>
              <w:rPr>
                <w:rFonts w:ascii="Arial" w:cs="Arial" w:eastAsia="Arial" w:hAnsi="Arial"/>
                <w:sz w:val="22"/>
                <w:szCs w:val="22"/>
                <w:b w:val="1"/>
                <w:bCs w:val="1"/>
                <w:color w:val="auto"/>
              </w:rPr>
              <w:t>PARTICIPANT</w:t>
            </w:r>
          </w:p>
        </w:tc>
      </w:tr>
      <w:tr>
        <w:trPr>
          <w:trHeight w:val="567"/>
        </w:trPr>
        <w:tc>
          <w:tcPr>
            <w:tcW w:w="4940" w:type="dxa"/>
            <w:vAlign w:val="bottom"/>
          </w:tcPr>
          <w:p>
            <w:pPr>
              <w:jc w:val="center"/>
              <w:ind w:right="832"/>
              <w:spacing w:after="0"/>
              <w:rPr>
                <w:sz w:val="20"/>
                <w:szCs w:val="20"/>
                <w:color w:val="auto"/>
              </w:rPr>
            </w:pPr>
            <w:r>
              <w:rPr>
                <w:rFonts w:ascii="Arial" w:cs="Arial" w:eastAsia="Arial" w:hAnsi="Arial"/>
                <w:sz w:val="22"/>
                <w:szCs w:val="22"/>
                <w:color w:val="auto"/>
                <w:w w:val="89"/>
              </w:rPr>
              <w:t>By:__________________________________</w:t>
            </w:r>
          </w:p>
        </w:tc>
        <w:tc>
          <w:tcPr>
            <w:tcW w:w="4740" w:type="dxa"/>
            <w:vAlign w:val="bottom"/>
          </w:tcPr>
          <w:p>
            <w:pPr>
              <w:ind w:left="960"/>
              <w:spacing w:after="0"/>
              <w:rPr>
                <w:sz w:val="20"/>
                <w:szCs w:val="20"/>
                <w:color w:val="auto"/>
              </w:rPr>
            </w:pPr>
            <w:r>
              <w:rPr>
                <w:rFonts w:ascii="Arial" w:cs="Arial" w:eastAsia="Arial" w:hAnsi="Arial"/>
                <w:sz w:val="22"/>
                <w:szCs w:val="22"/>
                <w:color w:val="auto"/>
                <w:w w:val="87"/>
              </w:rPr>
              <w:t>___________________________________</w:t>
            </w:r>
          </w:p>
        </w:tc>
      </w:tr>
      <w:tr>
        <w:trPr>
          <w:trHeight w:val="311"/>
        </w:trPr>
        <w:tc>
          <w:tcPr>
            <w:tcW w:w="4940" w:type="dxa"/>
            <w:vAlign w:val="bottom"/>
          </w:tcPr>
          <w:p>
            <w:pPr>
              <w:jc w:val="center"/>
              <w:ind w:right="852"/>
              <w:spacing w:after="0"/>
              <w:rPr>
                <w:sz w:val="20"/>
                <w:szCs w:val="20"/>
                <w:color w:val="auto"/>
              </w:rPr>
            </w:pPr>
            <w:r>
              <w:rPr>
                <w:rFonts w:ascii="Arial" w:cs="Arial" w:eastAsia="Arial" w:hAnsi="Arial"/>
                <w:sz w:val="22"/>
                <w:szCs w:val="22"/>
                <w:color w:val="auto"/>
                <w:w w:val="87"/>
              </w:rPr>
              <w:t>Signature</w:t>
            </w:r>
          </w:p>
        </w:tc>
        <w:tc>
          <w:tcPr>
            <w:tcW w:w="4740" w:type="dxa"/>
            <w:vAlign w:val="bottom"/>
          </w:tcPr>
          <w:p>
            <w:pPr>
              <w:ind w:left="2540"/>
              <w:spacing w:after="0"/>
              <w:rPr>
                <w:sz w:val="20"/>
                <w:szCs w:val="20"/>
                <w:color w:val="auto"/>
              </w:rPr>
            </w:pPr>
            <w:r>
              <w:rPr>
                <w:rFonts w:ascii="Arial" w:cs="Arial" w:eastAsia="Arial" w:hAnsi="Arial"/>
                <w:sz w:val="22"/>
                <w:szCs w:val="22"/>
                <w:color w:val="auto"/>
              </w:rPr>
              <w:t>Signature</w:t>
            </w:r>
          </w:p>
        </w:tc>
      </w:tr>
      <w:tr>
        <w:trPr>
          <w:trHeight w:val="418"/>
        </w:trPr>
        <w:tc>
          <w:tcPr>
            <w:tcW w:w="4940" w:type="dxa"/>
            <w:vAlign w:val="bottom"/>
          </w:tcPr>
          <w:p>
            <w:pPr>
              <w:jc w:val="center"/>
              <w:ind w:right="852"/>
              <w:spacing w:after="0"/>
              <w:rPr>
                <w:sz w:val="20"/>
                <w:szCs w:val="20"/>
                <w:color w:val="auto"/>
              </w:rPr>
            </w:pPr>
            <w:r>
              <w:rPr>
                <w:rFonts w:ascii="Arial" w:cs="Arial" w:eastAsia="Arial" w:hAnsi="Arial"/>
                <w:sz w:val="22"/>
                <w:szCs w:val="22"/>
                <w:color w:val="auto"/>
                <w:w w:val="89"/>
              </w:rPr>
              <w:t>Title: ________________________________</w:t>
            </w:r>
          </w:p>
        </w:tc>
        <w:tc>
          <w:tcPr>
            <w:tcW w:w="4740" w:type="dxa"/>
            <w:vAlign w:val="bottom"/>
          </w:tcPr>
          <w:p>
            <w:pPr>
              <w:ind w:left="960"/>
              <w:spacing w:after="0"/>
              <w:rPr>
                <w:sz w:val="20"/>
                <w:szCs w:val="20"/>
                <w:color w:val="auto"/>
              </w:rPr>
            </w:pPr>
            <w:r>
              <w:rPr>
                <w:rFonts w:ascii="Arial" w:cs="Arial" w:eastAsia="Arial" w:hAnsi="Arial"/>
                <w:sz w:val="22"/>
                <w:szCs w:val="22"/>
                <w:color w:val="auto"/>
                <w:w w:val="88"/>
              </w:rPr>
              <w:t>Date: ______________________________</w:t>
            </w:r>
          </w:p>
        </w:tc>
      </w:tr>
      <w:tr>
        <w:trPr>
          <w:trHeight w:val="634"/>
        </w:trPr>
        <w:tc>
          <w:tcPr>
            <w:tcW w:w="4940" w:type="dxa"/>
            <w:vAlign w:val="bottom"/>
          </w:tcPr>
          <w:p>
            <w:pPr>
              <w:jc w:val="center"/>
              <w:ind w:right="852"/>
              <w:spacing w:after="0"/>
              <w:rPr>
                <w:sz w:val="20"/>
                <w:szCs w:val="20"/>
                <w:color w:val="auto"/>
              </w:rPr>
            </w:pPr>
            <w:r>
              <w:rPr>
                <w:rFonts w:ascii="Arial" w:cs="Arial" w:eastAsia="Arial" w:hAnsi="Arial"/>
                <w:sz w:val="22"/>
                <w:szCs w:val="22"/>
                <w:color w:val="auto"/>
                <w:w w:val="88"/>
              </w:rPr>
              <w:t>Date: ________________________________</w:t>
            </w:r>
          </w:p>
        </w:tc>
        <w:tc>
          <w:tcPr>
            <w:tcW w:w="47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Attachments: </w:t>
      </w:r>
      <w:r>
        <w:rPr>
          <w:rFonts w:ascii="Arial" w:cs="Arial" w:eastAsia="Arial" w:hAnsi="Arial"/>
          <w:sz w:val="22"/>
          <w:szCs w:val="22"/>
          <w:color w:val="auto"/>
        </w:rPr>
        <w:t>Non-U.S. Restricted Stock Unit Award Agreement, 2011 Equity Incentive Plan</w:t>
      </w:r>
    </w:p>
    <w:p>
      <w:pPr>
        <w:spacing w:after="0" w:line="199"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22"/>
          <w:szCs w:val="22"/>
          <w:b w:val="1"/>
          <w:bCs w:val="1"/>
          <w:color w:val="auto"/>
        </w:rPr>
        <w:t>Attachment 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Restricted Stock Unit Award Agreement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2011 Equity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Restricted Stock Unit Award Agreement</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Pursuant to your Non-U.S. Restricted Stock Unit Award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Non-U.S. Restricted Stock Unit Award Agreement, including any country-specific Appendix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in consideration of your services,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a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under its 2011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indicated in your Grant Notice. The Award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Except as otherwise explicitly provided in the Grant Notice or this Agreement, in the event of any conflict between the terms in the Grant Notice or this Agreement and the Plan, the terms of the Plan shall control. Capitalized terms not explicitly defined in the Grant Notice or this Agreement but defined in the Plan shall have the same definitions as in the Plan.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Award, in addition to those set forth in the Grant Notice and the Plan, are as follows.</w:t>
      </w:r>
    </w:p>
    <w:p>
      <w:pPr>
        <w:spacing w:after="0" w:line="214" w:lineRule="exact"/>
        <w:rPr>
          <w:sz w:val="20"/>
          <w:szCs w:val="20"/>
          <w:color w:val="auto"/>
        </w:rPr>
      </w:pPr>
    </w:p>
    <w:p>
      <w:pPr>
        <w:jc w:val="both"/>
        <w:ind w:firstLine="656"/>
        <w:spacing w:after="0" w:line="259" w:lineRule="auto"/>
        <w:tabs>
          <w:tab w:leader="none" w:pos="1296" w:val="left"/>
        </w:tabs>
        <w:numPr>
          <w:ilvl w:val="0"/>
          <w:numId w:val="17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the Award. </w:t>
      </w:r>
      <w:r>
        <w:rPr>
          <w:rFonts w:ascii="Arial" w:cs="Arial" w:eastAsia="Arial" w:hAnsi="Arial"/>
          <w:sz w:val="21"/>
          <w:szCs w:val="21"/>
          <w:color w:val="auto"/>
        </w:rPr>
        <w:t>This Award represents your right to be issued on a future date the number of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that is equal to the number of RSUs indicated in the Grant Notice.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xml:space="preserve">”) the number of RSUs subject to the Award. This Award was granted in consideration of your services to the Company or one of its Affiliates. Except as otherwise provided herein, you will not be required to make any payment to the Company (other than services to the Company or its Affiliates) with respect to your receipt of the Award, the vesting of the RSUs or the delivery of the Ordinary Shares to be issued in respect of the Award; </w:t>
      </w:r>
      <w:r>
        <w:rPr>
          <w:rFonts w:ascii="Arial" w:cs="Arial" w:eastAsia="Arial" w:hAnsi="Arial"/>
          <w:sz w:val="21"/>
          <w:szCs w:val="21"/>
          <w:i w:val="1"/>
          <w:iCs w:val="1"/>
          <w:color w:val="auto"/>
        </w:rPr>
        <w:t>provided, however</w:t>
      </w:r>
      <w:r>
        <w:rPr>
          <w:rFonts w:ascii="Arial" w:cs="Arial" w:eastAsia="Arial" w:hAnsi="Arial"/>
          <w:sz w:val="21"/>
          <w:szCs w:val="21"/>
          <w:color w:val="auto"/>
        </w:rPr>
        <w:t>, that to the extent that any Ordinary Shares issued upon settlement of your Award are newly issued Ordinary Shares, a payment must be received by the Company of an amount equal to the par value of such number of newly issued Ordinary Shares (rounded up to the nearest whole cent) in cash, by check, bank draft or money order payable to the Company.</w:t>
      </w:r>
    </w:p>
    <w:p>
      <w:pPr>
        <w:spacing w:after="0" w:line="175" w:lineRule="exact"/>
        <w:rPr>
          <w:rFonts w:ascii="Arial" w:cs="Arial" w:eastAsia="Arial" w:hAnsi="Arial"/>
          <w:sz w:val="21"/>
          <w:szCs w:val="21"/>
          <w:b w:val="1"/>
          <w:bCs w:val="1"/>
          <w:color w:val="auto"/>
        </w:rPr>
      </w:pPr>
    </w:p>
    <w:p>
      <w:pPr>
        <w:jc w:val="both"/>
        <w:ind w:firstLine="656"/>
        <w:spacing w:after="0" w:line="264" w:lineRule="auto"/>
        <w:tabs>
          <w:tab w:leader="none" w:pos="1296" w:val="left"/>
        </w:tabs>
        <w:numPr>
          <w:ilvl w:val="0"/>
          <w:numId w:val="17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Subject to Section 11 and the limitations contained herein, your Award will vest, if at all,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vesting schedule provided in the Grant Notice, provided that vesting will cease upon the termination of your Continuous Service, except as otherwise set forth below in this Section 2. Upon such termination of your Continuous Service, the RSUs credited to the Account that were not vested on the date of such termination will be forfeited at no cost to the Company and you will have no further right, title or interest in such RSUs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395" w:right="339" w:bottom="1440" w:gutter="0" w:footer="0" w:header="0"/>
        </w:sectPr>
      </w:pPr>
    </w:p>
    <w:bookmarkStart w:id="221" w:name="page222"/>
    <w:bookmarkEnd w:id="221"/>
    <w:p>
      <w:pPr>
        <w:spacing w:after="0" w:line="263" w:lineRule="auto"/>
        <w:rPr>
          <w:sz w:val="20"/>
          <w:szCs w:val="20"/>
          <w:color w:val="auto"/>
        </w:rPr>
      </w:pPr>
      <w:r>
        <w:rPr>
          <w:rFonts w:ascii="Arial" w:cs="Arial" w:eastAsia="Arial" w:hAnsi="Arial"/>
          <w:sz w:val="22"/>
          <w:szCs w:val="22"/>
          <w:color w:val="auto"/>
        </w:rPr>
        <w:t xml:space="preserve">Ordinary Shares to be issued in respect of such portion of the Award, except as otherwise directed by the Committee;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75" w:lineRule="exact"/>
        <w:rPr>
          <w:sz w:val="20"/>
          <w:szCs w:val="20"/>
          <w:color w:val="auto"/>
        </w:rPr>
      </w:pPr>
    </w:p>
    <w:p>
      <w:pPr>
        <w:ind w:firstLine="1304"/>
        <w:spacing w:after="0" w:line="263" w:lineRule="auto"/>
        <w:tabs>
          <w:tab w:leader="none" w:pos="1939" w:val="left"/>
        </w:tabs>
        <w:numPr>
          <w:ilvl w:val="0"/>
          <w:numId w:val="177"/>
        </w:numPr>
        <w:rPr>
          <w:rFonts w:ascii="Arial" w:cs="Arial" w:eastAsia="Arial" w:hAnsi="Arial"/>
          <w:sz w:val="22"/>
          <w:szCs w:val="22"/>
          <w:b w:val="1"/>
          <w:bCs w:val="1"/>
          <w:color w:val="auto"/>
        </w:rPr>
      </w:pPr>
      <w:r>
        <w:rPr>
          <w:rFonts w:ascii="Arial" w:cs="Arial" w:eastAsia="Arial" w:hAnsi="Arial"/>
          <w:sz w:val="22"/>
          <w:szCs w:val="22"/>
          <w:u w:val="single" w:color="auto"/>
          <w:color w:val="auto"/>
        </w:rPr>
        <w:t>Termination of Continuous Service due to Death</w:t>
      </w:r>
      <w:r>
        <w:rPr>
          <w:rFonts w:ascii="Arial" w:cs="Arial" w:eastAsia="Arial" w:hAnsi="Arial"/>
          <w:sz w:val="22"/>
          <w:szCs w:val="22"/>
          <w:color w:val="auto"/>
        </w:rPr>
        <w:t>. If your Continuous Service terminates due to your death, the vesting of the RSUs subject to this Award shall be accelerated in full.</w:t>
      </w:r>
    </w:p>
    <w:p>
      <w:pPr>
        <w:spacing w:after="0" w:line="174" w:lineRule="exact"/>
        <w:rPr>
          <w:rFonts w:ascii="Arial" w:cs="Arial" w:eastAsia="Arial" w:hAnsi="Arial"/>
          <w:sz w:val="22"/>
          <w:szCs w:val="22"/>
          <w:b w:val="1"/>
          <w:bCs w:val="1"/>
          <w:color w:val="auto"/>
        </w:rPr>
      </w:pPr>
    </w:p>
    <w:p>
      <w:pPr>
        <w:ind w:firstLine="1304"/>
        <w:spacing w:after="0" w:line="343" w:lineRule="auto"/>
        <w:tabs>
          <w:tab w:leader="none" w:pos="1938" w:val="left"/>
        </w:tabs>
        <w:numPr>
          <w:ilvl w:val="0"/>
          <w:numId w:val="177"/>
        </w:numPr>
        <w:rPr>
          <w:rFonts w:ascii="Arial" w:cs="Arial" w:eastAsia="Arial" w:hAnsi="Arial"/>
          <w:sz w:val="19"/>
          <w:szCs w:val="19"/>
          <w:b w:val="1"/>
          <w:bCs w:val="1"/>
          <w:color w:val="auto"/>
        </w:rPr>
      </w:pPr>
      <w:r>
        <w:rPr>
          <w:rFonts w:ascii="Arial" w:cs="Arial" w:eastAsia="Arial" w:hAnsi="Arial"/>
          <w:sz w:val="19"/>
          <w:szCs w:val="19"/>
          <w:u w:val="single" w:color="auto"/>
          <w:color w:val="auto"/>
        </w:rPr>
        <w:t>Termination of Continuous Service due to Disability</w:t>
      </w:r>
      <w:r>
        <w:rPr>
          <w:rFonts w:ascii="Arial" w:cs="Arial" w:eastAsia="Arial" w:hAnsi="Arial"/>
          <w:sz w:val="19"/>
          <w:szCs w:val="19"/>
          <w:color w:val="auto"/>
        </w:rPr>
        <w:t>. If your Continuous Service terminates due to your Disability, your unvested RSUs will continue to vest pursuant to the original Vesting Schedule as provided in the Grant Notice.</w:t>
      </w:r>
    </w:p>
    <w:p>
      <w:pPr>
        <w:spacing w:after="0" w:line="104" w:lineRule="exact"/>
        <w:rPr>
          <w:rFonts w:ascii="Arial" w:cs="Arial" w:eastAsia="Arial" w:hAnsi="Arial"/>
          <w:sz w:val="19"/>
          <w:szCs w:val="19"/>
          <w:b w:val="1"/>
          <w:bCs w:val="1"/>
          <w:color w:val="auto"/>
        </w:rPr>
      </w:pPr>
    </w:p>
    <w:p>
      <w:pPr>
        <w:jc w:val="both"/>
        <w:ind w:firstLine="1304"/>
        <w:spacing w:after="0" w:line="247" w:lineRule="auto"/>
        <w:tabs>
          <w:tab w:leader="none" w:pos="1941" w:val="left"/>
        </w:tabs>
        <w:numPr>
          <w:ilvl w:val="0"/>
          <w:numId w:val="177"/>
        </w:numPr>
        <w:rPr>
          <w:rFonts w:ascii="Arial" w:cs="Arial" w:eastAsia="Arial" w:hAnsi="Arial"/>
          <w:sz w:val="22"/>
          <w:szCs w:val="22"/>
          <w:b w:val="1"/>
          <w:bCs w:val="1"/>
          <w:color w:val="auto"/>
        </w:rPr>
      </w:pPr>
      <w:r>
        <w:rPr>
          <w:rFonts w:ascii="Arial" w:cs="Arial" w:eastAsia="Arial" w:hAnsi="Arial"/>
          <w:sz w:val="22"/>
          <w:szCs w:val="22"/>
          <w:u w:val="single" w:color="auto"/>
          <w:color w:val="auto"/>
        </w:rPr>
        <w:t>Termination of Continuous Service due to Retirement</w:t>
      </w:r>
      <w:r>
        <w:rPr>
          <w:rFonts w:ascii="Arial" w:cs="Arial" w:eastAsia="Arial" w:hAnsi="Arial"/>
          <w:sz w:val="22"/>
          <w:szCs w:val="22"/>
          <w:color w:val="auto"/>
        </w:rPr>
        <w:t>. If, on or after the first anniversary of the Date of the Grant, your Continuous Service terminates due to your Regular Retirement or your Long-Service Retirement (each as defined below, and together, “</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then provided that (i) you have given the Company at least four months advance written notice of your intention to terminate your Continuous Service and (ii) you execute and deliver a non-solicitation agreement satisfactory to the Company that will apply for a period of 12 months after your termination date (the “</w:t>
      </w:r>
      <w:r>
        <w:rPr>
          <w:rFonts w:ascii="Arial" w:cs="Arial" w:eastAsia="Arial" w:hAnsi="Arial"/>
          <w:sz w:val="22"/>
          <w:szCs w:val="22"/>
          <w:b w:val="1"/>
          <w:bCs w:val="1"/>
          <w:i w:val="1"/>
          <w:iCs w:val="1"/>
          <w:color w:val="auto"/>
        </w:rPr>
        <w:t>Non-Solicitation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then the RSUs will be treated as follows:</w:t>
      </w:r>
    </w:p>
    <w:p>
      <w:pPr>
        <w:spacing w:after="0" w:line="192" w:lineRule="exact"/>
        <w:rPr>
          <w:rFonts w:ascii="Arial" w:cs="Arial" w:eastAsia="Arial" w:hAnsi="Arial"/>
          <w:sz w:val="22"/>
          <w:szCs w:val="22"/>
          <w:b w:val="1"/>
          <w:bCs w:val="1"/>
          <w:color w:val="auto"/>
        </w:rPr>
      </w:pPr>
    </w:p>
    <w:p>
      <w:pPr>
        <w:jc w:val="both"/>
        <w:ind w:firstLine="2600"/>
        <w:spacing w:after="0" w:line="290" w:lineRule="auto"/>
        <w:tabs>
          <w:tab w:leader="none" w:pos="3235" w:val="left"/>
        </w:tabs>
        <w:numPr>
          <w:ilvl w:val="1"/>
          <w:numId w:val="177"/>
        </w:numPr>
        <w:rPr>
          <w:rFonts w:ascii="Arial" w:cs="Arial" w:eastAsia="Arial" w:hAnsi="Arial"/>
          <w:sz w:val="19"/>
          <w:szCs w:val="19"/>
          <w:b w:val="1"/>
          <w:bCs w:val="1"/>
          <w:color w:val="auto"/>
        </w:rPr>
      </w:pPr>
      <w:r>
        <w:rPr>
          <w:rFonts w:ascii="Arial" w:cs="Arial" w:eastAsia="Arial" w:hAnsi="Arial"/>
          <w:sz w:val="19"/>
          <w:szCs w:val="19"/>
          <w:color w:val="auto"/>
        </w:rPr>
        <w:t>In the case of your Regular Retirement, a pro-rata portion of each unvested tranche of your RSUs will continue to vest pursuant to the original Vesting Schedule as provided in the Grant Notice. For each such unvested tranche of the RSUs, such pro-rata portion shall be determined by reference to the number of RSUs in such unvested tranche of the Award multiplied by the ratio of (x) the number of calendar days that have elapsed from the Vesting Commencement Date through the date of your termination of Continuous Service divided by (y) the total number of calendar days in such vesting tranche, and rounded down to the nearest whole RSU. For purposes of the foregoing, “</w:t>
      </w:r>
      <w:r>
        <w:rPr>
          <w:rFonts w:ascii="Arial" w:cs="Arial" w:eastAsia="Arial" w:hAnsi="Arial"/>
          <w:sz w:val="19"/>
          <w:szCs w:val="19"/>
          <w:b w:val="1"/>
          <w:bCs w:val="1"/>
          <w:i w:val="1"/>
          <w:iCs w:val="1"/>
          <w:color w:val="auto"/>
        </w:rPr>
        <w:t>Regular Retirement</w:t>
      </w:r>
      <w:r>
        <w:rPr>
          <w:rFonts w:ascii="Arial" w:cs="Arial" w:eastAsia="Arial" w:hAnsi="Arial"/>
          <w:sz w:val="19"/>
          <w:szCs w:val="19"/>
          <w:color w:val="auto"/>
        </w:rPr>
        <w:t>” means your voluntary termination of Continuous Service, unless circumstances exist at the time of such termination that would constitute Cause, following: (a) your completion of five years of Continuous Service and (b) attainment of age 55.</w:t>
      </w:r>
    </w:p>
    <w:p>
      <w:pPr>
        <w:spacing w:after="0" w:line="155" w:lineRule="exact"/>
        <w:rPr>
          <w:rFonts w:ascii="Arial" w:cs="Arial" w:eastAsia="Arial" w:hAnsi="Arial"/>
          <w:sz w:val="19"/>
          <w:szCs w:val="19"/>
          <w:b w:val="1"/>
          <w:bCs w:val="1"/>
          <w:color w:val="auto"/>
        </w:rPr>
      </w:pPr>
    </w:p>
    <w:p>
      <w:pPr>
        <w:jc w:val="both"/>
        <w:ind w:firstLine="2600"/>
        <w:spacing w:after="0" w:line="302" w:lineRule="auto"/>
        <w:tabs>
          <w:tab w:leader="none" w:pos="3235" w:val="left"/>
        </w:tabs>
        <w:numPr>
          <w:ilvl w:val="1"/>
          <w:numId w:val="177"/>
        </w:numPr>
        <w:rPr>
          <w:rFonts w:ascii="Arial" w:cs="Arial" w:eastAsia="Arial" w:hAnsi="Arial"/>
          <w:sz w:val="19"/>
          <w:szCs w:val="19"/>
          <w:b w:val="1"/>
          <w:bCs w:val="1"/>
          <w:color w:val="auto"/>
        </w:rPr>
      </w:pPr>
      <w:r>
        <w:rPr>
          <w:rFonts w:ascii="Arial" w:cs="Arial" w:eastAsia="Arial" w:hAnsi="Arial"/>
          <w:sz w:val="19"/>
          <w:szCs w:val="19"/>
          <w:color w:val="auto"/>
        </w:rPr>
        <w:t>In the case of your Long-Service Retirement, all of your unvested RSUs will continue to vest pursuant to the original Vesting Schedule as provided in the Grant Notice. For purposes of the Award “</w:t>
      </w:r>
      <w:r>
        <w:rPr>
          <w:rFonts w:ascii="Arial" w:cs="Arial" w:eastAsia="Arial" w:hAnsi="Arial"/>
          <w:sz w:val="19"/>
          <w:szCs w:val="19"/>
          <w:b w:val="1"/>
          <w:bCs w:val="1"/>
          <w:i w:val="1"/>
          <w:iCs w:val="1"/>
          <w:color w:val="auto"/>
        </w:rPr>
        <w:t>Long Service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Retirement</w:t>
      </w:r>
      <w:r>
        <w:rPr>
          <w:rFonts w:ascii="Arial" w:cs="Arial" w:eastAsia="Arial" w:hAnsi="Arial"/>
          <w:sz w:val="19"/>
          <w:szCs w:val="19"/>
          <w:color w:val="auto"/>
        </w:rPr>
        <w:t>” means your voluntary termination of Continuous Service, unless circumstances exist at the time of such termination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would constitute Cause, following: (a) your completion of 10 years of Continuous Service and (b) attainment of age 55.</w:t>
      </w:r>
    </w:p>
    <w:p>
      <w:pPr>
        <w:spacing w:after="0" w:line="142"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For avoidance of doubt, if you fail to comply with the conditions in this Section 2(c), including compliance with the Non-Solicitation Agreement for a period of 12 months after your termination date, you will forfeit all unvested RSUs.</w:t>
      </w:r>
    </w:p>
    <w:p>
      <w:pPr>
        <w:spacing w:after="0" w:line="145" w:lineRule="exact"/>
        <w:rPr>
          <w:sz w:val="20"/>
          <w:szCs w:val="20"/>
          <w:color w:val="auto"/>
        </w:rPr>
      </w:pPr>
    </w:p>
    <w:p>
      <w:pPr>
        <w:ind w:left="1300" w:hanging="644"/>
        <w:spacing w:after="0"/>
        <w:tabs>
          <w:tab w:leader="none" w:pos="130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RSUs and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22" w:name="page223"/>
    <w:bookmarkEnd w:id="222"/>
    <w:p>
      <w:pPr>
        <w:ind w:right="20" w:firstLine="1304"/>
        <w:spacing w:after="0" w:line="263" w:lineRule="auto"/>
        <w:tabs>
          <w:tab w:leader="none" w:pos="2042" w:val="left"/>
        </w:tabs>
        <w:numPr>
          <w:ilvl w:val="2"/>
          <w:numId w:val="179"/>
        </w:numPr>
        <w:rPr>
          <w:rFonts w:ascii="Arial" w:cs="Arial" w:eastAsia="Arial" w:hAnsi="Arial"/>
          <w:sz w:val="22"/>
          <w:szCs w:val="22"/>
          <w:b w:val="1"/>
          <w:bCs w:val="1"/>
          <w:color w:val="auto"/>
        </w:rPr>
      </w:pPr>
      <w:r>
        <w:rPr>
          <w:rFonts w:ascii="Arial" w:cs="Arial" w:eastAsia="Arial" w:hAnsi="Arial"/>
          <w:sz w:val="22"/>
          <w:szCs w:val="22"/>
          <w:color w:val="auto"/>
        </w:rPr>
        <w:t>The number of RSUs subject to your Award may be adjusted from time to time for Capitalization Adjustments, as provided in the Plan.</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38" w:val="left"/>
        </w:tabs>
        <w:numPr>
          <w:ilvl w:val="2"/>
          <w:numId w:val="179"/>
        </w:numPr>
        <w:rPr>
          <w:rFonts w:ascii="Arial" w:cs="Arial" w:eastAsia="Arial" w:hAnsi="Arial"/>
          <w:sz w:val="22"/>
          <w:szCs w:val="22"/>
          <w:b w:val="1"/>
          <w:bCs w:val="1"/>
          <w:color w:val="auto"/>
        </w:rPr>
      </w:pPr>
      <w:r>
        <w:rPr>
          <w:rFonts w:ascii="Arial" w:cs="Arial" w:eastAsia="Arial" w:hAnsi="Arial"/>
          <w:sz w:val="22"/>
          <w:szCs w:val="22"/>
          <w:color w:val="auto"/>
        </w:rPr>
        <w:t>Any additional RSUs that become subject to the Award pursuant to this Section 3 shall be subject, in a manner determined by the Board, to the same forfeiture restrictions, restrictions on transferability, and time and manner of delivery as applicable to the other RSUs covered by your Award.</w:t>
      </w:r>
    </w:p>
    <w:p>
      <w:pPr>
        <w:spacing w:after="0" w:line="185" w:lineRule="exact"/>
        <w:rPr>
          <w:rFonts w:ascii="Arial" w:cs="Arial" w:eastAsia="Arial" w:hAnsi="Arial"/>
          <w:sz w:val="22"/>
          <w:szCs w:val="22"/>
          <w:b w:val="1"/>
          <w:bCs w:val="1"/>
          <w:color w:val="auto"/>
        </w:rPr>
      </w:pPr>
    </w:p>
    <w:p>
      <w:pPr>
        <w:jc w:val="both"/>
        <w:ind w:firstLine="1304"/>
        <w:spacing w:after="0" w:line="250" w:lineRule="auto"/>
        <w:tabs>
          <w:tab w:leader="none" w:pos="1941" w:val="left"/>
        </w:tabs>
        <w:numPr>
          <w:ilvl w:val="2"/>
          <w:numId w:val="179"/>
        </w:numPr>
        <w:rPr>
          <w:rFonts w:ascii="Arial" w:cs="Arial" w:eastAsia="Arial" w:hAnsi="Arial"/>
          <w:sz w:val="22"/>
          <w:szCs w:val="22"/>
          <w:b w:val="1"/>
          <w:bCs w:val="1"/>
          <w:color w:val="auto"/>
        </w:rPr>
      </w:pPr>
      <w:r>
        <w:rPr>
          <w:rFonts w:ascii="Arial" w:cs="Arial" w:eastAsia="Arial" w:hAnsi="Arial"/>
          <w:sz w:val="22"/>
          <w:szCs w:val="22"/>
          <w:color w:val="auto"/>
        </w:rPr>
        <w:t>Notwithstanding the provisions of this Section 3, no fractional Ordinary Shares or rights for fractional Ordinary Shares shall be created pursuant to this Section 3. The Board shall, in its discretion, determine an equivalent benefit for any fractional Ordinary Shares or fractional Ordinary Shares that might be created by the adjustments referred to in this Section 3.</w:t>
      </w:r>
    </w:p>
    <w:p>
      <w:pPr>
        <w:spacing w:after="0" w:line="18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18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You may not be issued any Ordinary Shares in respect of your Award unless either</w:t>
      </w:r>
    </w:p>
    <w:p>
      <w:pPr>
        <w:spacing w:after="0" w:line="61" w:lineRule="exact"/>
        <w:rPr>
          <w:rFonts w:ascii="Arial" w:cs="Arial" w:eastAsia="Arial" w:hAnsi="Arial"/>
          <w:sz w:val="19"/>
          <w:szCs w:val="19"/>
          <w:b w:val="1"/>
          <w:bCs w:val="1"/>
          <w:color w:val="auto"/>
        </w:rPr>
      </w:pPr>
    </w:p>
    <w:p>
      <w:pPr>
        <w:jc w:val="both"/>
        <w:ind w:firstLine="8"/>
        <w:spacing w:after="0" w:line="257" w:lineRule="auto"/>
        <w:tabs>
          <w:tab w:leader="none" w:pos="304"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Ordinary Shares are registered under the Securities Act; or (b)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 The Company shall not be liable if Ordinary Shares cannot be issued to you as a consequence of the Company’s determination that the issuance of Ordinary Shares does not comply with applicable laws and regulations governing the Award.</w:t>
      </w:r>
    </w:p>
    <w:p>
      <w:pPr>
        <w:spacing w:after="0" w:line="179" w:lineRule="exact"/>
        <w:rPr>
          <w:rFonts w:ascii="Arial" w:cs="Arial" w:eastAsia="Arial" w:hAnsi="Arial"/>
          <w:sz w:val="21"/>
          <w:szCs w:val="21"/>
          <w:color w:val="auto"/>
        </w:rPr>
      </w:pPr>
    </w:p>
    <w:p>
      <w:pPr>
        <w:jc w:val="both"/>
        <w:ind w:firstLine="656"/>
        <w:spacing w:after="0" w:line="247" w:lineRule="auto"/>
        <w:tabs>
          <w:tab w:leader="none" w:pos="1296" w:val="left"/>
        </w:tabs>
        <w:numPr>
          <w:ilvl w:val="1"/>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Restrictions. </w:t>
      </w:r>
      <w:r>
        <w:rPr>
          <w:rFonts w:ascii="Arial" w:cs="Arial" w:eastAsia="Arial" w:hAnsi="Arial"/>
          <w:sz w:val="22"/>
          <w:szCs w:val="22"/>
          <w:color w:val="auto"/>
        </w:rPr>
        <w:t>Your Award is not transferable, except by will or by the laws of descent and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6 of this Agreement. After the Ordinary Shares have been issued to you, you are free to assign, hypothecate, donate, encumber or otherwise dispose of any interest in such Ordinary Shares provided that any such actions are in compliance with the provisions herein (including the country-specific Appendix hereto) and applicable securities laws.</w:t>
      </w:r>
    </w:p>
    <w:p>
      <w:pPr>
        <w:spacing w:after="0" w:line="189" w:lineRule="exact"/>
        <w:rPr>
          <w:rFonts w:ascii="Arial" w:cs="Arial" w:eastAsia="Arial" w:hAnsi="Arial"/>
          <w:sz w:val="22"/>
          <w:szCs w:val="22"/>
          <w:b w:val="1"/>
          <w:bCs w:val="1"/>
          <w:color w:val="auto"/>
        </w:rPr>
      </w:pPr>
    </w:p>
    <w:p>
      <w:pPr>
        <w:ind w:left="1300" w:hanging="644"/>
        <w:spacing w:after="0"/>
        <w:tabs>
          <w:tab w:leader="none" w:pos="1300" w:val="left"/>
        </w:tabs>
        <w:numPr>
          <w:ilvl w:val="1"/>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25" w:lineRule="exact"/>
        <w:rPr>
          <w:rFonts w:ascii="Arial" w:cs="Arial" w:eastAsia="Arial" w:hAnsi="Arial"/>
          <w:sz w:val="22"/>
          <w:szCs w:val="22"/>
          <w:b w:val="1"/>
          <w:bCs w:val="1"/>
          <w:color w:val="auto"/>
        </w:rPr>
      </w:pPr>
    </w:p>
    <w:p>
      <w:pPr>
        <w:jc w:val="both"/>
        <w:ind w:firstLine="1304"/>
        <w:spacing w:after="0" w:line="259" w:lineRule="auto"/>
        <w:tabs>
          <w:tab w:leader="none" w:pos="1939" w:val="left"/>
        </w:tabs>
        <w:numPr>
          <w:ilvl w:val="2"/>
          <w:numId w:val="181"/>
        </w:numPr>
        <w:rPr>
          <w:rFonts w:ascii="Arial" w:cs="Arial" w:eastAsia="Arial" w:hAnsi="Arial"/>
          <w:sz w:val="21"/>
          <w:szCs w:val="21"/>
          <w:b w:val="1"/>
          <w:bCs w:val="1"/>
          <w:color w:val="auto"/>
        </w:rPr>
      </w:pPr>
      <w:r>
        <w:rPr>
          <w:rFonts w:ascii="Arial" w:cs="Arial" w:eastAsia="Arial" w:hAnsi="Arial"/>
          <w:sz w:val="21"/>
          <w:szCs w:val="21"/>
          <w:color w:val="auto"/>
        </w:rPr>
        <w:t>To the extent your Award is exempt from application of Section 409A of the Code and any state or foreign law of similar effect (collectively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the Company will deliver to you a number of Ordinary Shares equal to the number of vested RSUs subject to your Award, including any additional RSUs received pursuant to Section 3 above that relate to those vested RSUs on the applicable vesting date(s) or event set forth in this Agreement. However, if a scheduled delivery date falls on a date that is not a U.S. business day, such delivery date shall instead fall on the next following U.S. business day. Notwithstanding the foregoing, in the event that (i) you are subject to the Company’s Policy Regarding Stock Trading by Executive Officers, Directors and Other Designated Employees (or any successor policy) (the “</w:t>
      </w:r>
      <w:r>
        <w:rPr>
          <w:rFonts w:ascii="Arial" w:cs="Arial" w:eastAsia="Arial" w:hAnsi="Arial"/>
          <w:sz w:val="21"/>
          <w:szCs w:val="21"/>
          <w:b w:val="1"/>
          <w:bCs w:val="1"/>
          <w:i w:val="1"/>
          <w:iCs w:val="1"/>
          <w:color w:val="auto"/>
        </w:rPr>
        <w:t>Policy</w:t>
      </w:r>
      <w:r>
        <w:rPr>
          <w:rFonts w:ascii="Arial" w:cs="Arial" w:eastAsia="Arial" w:hAnsi="Arial"/>
          <w:sz w:val="21"/>
          <w:szCs w:val="21"/>
          <w:color w:val="auto"/>
        </w:rPr>
        <w:t>”), the Company’s Policy Against Trading on the Basis of Inside Information, or you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23" w:name="page224"/>
    <w:bookmarkEnd w:id="223"/>
    <w:p>
      <w:pPr>
        <w:jc w:val="both"/>
        <w:spacing w:after="0" w:line="285" w:lineRule="auto"/>
        <w:rPr>
          <w:sz w:val="20"/>
          <w:szCs w:val="20"/>
          <w:color w:val="auto"/>
        </w:rPr>
      </w:pPr>
      <w:r>
        <w:rPr>
          <w:rFonts w:ascii="Arial" w:cs="Arial" w:eastAsia="Arial" w:hAnsi="Arial"/>
          <w:sz w:val="19"/>
          <w:szCs w:val="19"/>
          <w:color w:val="auto"/>
        </w:rPr>
        <w:t>otherwise prohibited from selling Ordinary Shares in the open market and any Ordinary Shares covered by your Award are scheduled to be delivered on a day (the “</w:t>
      </w:r>
      <w:r>
        <w:rPr>
          <w:rFonts w:ascii="Arial" w:cs="Arial" w:eastAsia="Arial" w:hAnsi="Arial"/>
          <w:sz w:val="19"/>
          <w:szCs w:val="19"/>
          <w:b w:val="1"/>
          <w:bCs w:val="1"/>
          <w:i w:val="1"/>
          <w:iCs w:val="1"/>
          <w:color w:val="auto"/>
        </w:rPr>
        <w:t>Original Distribution Date</w:t>
      </w:r>
      <w:r>
        <w:rPr>
          <w:rFonts w:ascii="Arial" w:cs="Arial" w:eastAsia="Arial" w:hAnsi="Arial"/>
          <w:sz w:val="19"/>
          <w:szCs w:val="19"/>
          <w:color w:val="auto"/>
        </w:rPr>
        <w:t>”) that does not occur during an open “window period” applicable to you or a day on which you are permitted to sell Ordinary 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any Tax-Related Items (defined below) by withholding Ordinary Shares from your distribution, then such Ordinary Shares shall not be delivered on such Original Distribution Date and shall instead be delivered on the first U.S. business day of the next occurring open “window period” applicable to you pursuant to the Policy (regardless of whether you are still providing Continuous Service at such time) or the next U.S. business day when you are not prohibited from selling Ordinary Shares in the open market, but in no event later than the fifteenth (15th) day of the third calendar month of the calendar year following the calendar year in which the Ordinary Shares covered by the Award vest. Delivery of the Ordinary Shares pursuant to the provisions of this Section 6(a) is intended to comply with the requirements for the short-term deferral exemption available under Treasury Regulations Section 1.409A-1(b)(4) and shall be construed and administered in such manner. Notwithstanding the foregoing, if vesting of your Award accelerates upon your termination of Continuous Service due to death under Section 2(a) of this Agreement, then the Ordinary Shares will be issued in respect of your Award to your beneficiary (if any) or to the personal representative of your estate no later than December 31 of the year following the year of your death, to the extent such payment timing is permissible under Section 409A. The form of such delivery of the Ordinary Shares (</w:t>
      </w:r>
      <w:r>
        <w:rPr>
          <w:rFonts w:ascii="Arial" w:cs="Arial" w:eastAsia="Arial" w:hAnsi="Arial"/>
          <w:sz w:val="19"/>
          <w:szCs w:val="19"/>
          <w:i w:val="1"/>
          <w:iCs w:val="1"/>
          <w:color w:val="auto"/>
        </w:rPr>
        <w:t>e.g.</w:t>
      </w:r>
      <w:r>
        <w:rPr>
          <w:rFonts w:ascii="Arial" w:cs="Arial" w:eastAsia="Arial" w:hAnsi="Arial"/>
          <w:sz w:val="19"/>
          <w:szCs w:val="19"/>
          <w:color w:val="auto"/>
        </w:rPr>
        <w:t>, a share certificate or electronic entry evidencing such Ordinary Shares) shall be determined by the Company.</w:t>
      </w:r>
    </w:p>
    <w:p>
      <w:pPr>
        <w:spacing w:after="0" w:line="200" w:lineRule="exact"/>
        <w:rPr>
          <w:sz w:val="20"/>
          <w:szCs w:val="20"/>
          <w:color w:val="auto"/>
        </w:rPr>
      </w:pPr>
    </w:p>
    <w:p>
      <w:pPr>
        <w:spacing w:after="0" w:line="222" w:lineRule="exact"/>
        <w:rPr>
          <w:sz w:val="20"/>
          <w:szCs w:val="20"/>
          <w:color w:val="auto"/>
        </w:rPr>
      </w:pPr>
    </w:p>
    <w:p>
      <w:pPr>
        <w:jc w:val="both"/>
        <w:ind w:firstLine="1304"/>
        <w:spacing w:after="0" w:line="288" w:lineRule="auto"/>
        <w:tabs>
          <w:tab w:leader="none" w:pos="1938" w:val="left"/>
        </w:tabs>
        <w:numPr>
          <w:ilvl w:val="0"/>
          <w:numId w:val="182"/>
        </w:numPr>
        <w:rPr>
          <w:rFonts w:ascii="Arial" w:cs="Arial" w:eastAsia="Arial" w:hAnsi="Arial"/>
          <w:sz w:val="19"/>
          <w:szCs w:val="19"/>
          <w:b w:val="1"/>
          <w:bCs w:val="1"/>
          <w:color w:val="auto"/>
        </w:rPr>
      </w:pPr>
      <w:r>
        <w:rPr>
          <w:rFonts w:ascii="Arial" w:cs="Arial" w:eastAsia="Arial" w:hAnsi="Arial"/>
          <w:sz w:val="19"/>
          <w:szCs w:val="19"/>
          <w:color w:val="auto"/>
        </w:rPr>
        <w:t>The provisions of this Section 6(b) are intended to apply to the extent you are a U.S. taxpayer and your Award is subject to Section 409A either because you are, or will become, eligible for Retirement during the term of the Award, or because your RSUs continue to vest following your termination due to Disability, or in the event that you are party to a severance arrangement or other agreement between you and the Company, if any, that provides for acceleration of vesting of your Award upon your termination of employment or separation from service (as such term is defined in Section 409A(a)(2)(A)(i) of the Code (and without regard to any alternative definition thereunder))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severance benefit does not satisfy the requirements for an exemption from application of Section 409A provided under Treasury Regulations Section 1.409A-1(b)(4) or 1.409A-1(b)(9) (“</w:t>
      </w:r>
      <w:r>
        <w:rPr>
          <w:rFonts w:ascii="Arial" w:cs="Arial" w:eastAsia="Arial" w:hAnsi="Arial"/>
          <w:sz w:val="19"/>
          <w:szCs w:val="19"/>
          <w:b w:val="1"/>
          <w:bCs w:val="1"/>
          <w:i w:val="1"/>
          <w:iCs w:val="1"/>
          <w:color w:val="auto"/>
        </w:rPr>
        <w:t>Non-Exempt Severance Arrangement</w:t>
      </w:r>
      <w:r>
        <w:rPr>
          <w:rFonts w:ascii="Arial" w:cs="Arial" w:eastAsia="Arial" w:hAnsi="Arial"/>
          <w:sz w:val="19"/>
          <w:szCs w:val="19"/>
          <w:color w:val="auto"/>
        </w:rPr>
        <w:t>”). If you are not a U.S. taxpayer, this Section 6(b) shall not apply to you. To the extent your Award is subject to and not exempt from application of Section 409A, the following provisions in this Section 6(b) shall supersede anything to the contrary in Section 6(a).</w:t>
      </w:r>
    </w:p>
    <w:p>
      <w:pPr>
        <w:spacing w:after="0" w:line="159" w:lineRule="exact"/>
        <w:rPr>
          <w:rFonts w:ascii="Arial" w:cs="Arial" w:eastAsia="Arial" w:hAnsi="Arial"/>
          <w:sz w:val="19"/>
          <w:szCs w:val="19"/>
          <w:b w:val="1"/>
          <w:bCs w:val="1"/>
          <w:color w:val="auto"/>
        </w:rPr>
      </w:pPr>
    </w:p>
    <w:p>
      <w:pPr>
        <w:jc w:val="both"/>
        <w:ind w:right="20" w:firstLine="1952"/>
        <w:spacing w:after="0" w:line="291" w:lineRule="auto"/>
        <w:tabs>
          <w:tab w:leader="none" w:pos="2580" w:val="left"/>
        </w:tabs>
        <w:numPr>
          <w:ilvl w:val="1"/>
          <w:numId w:val="182"/>
        </w:numPr>
        <w:rPr>
          <w:rFonts w:ascii="Arial" w:cs="Arial" w:eastAsia="Arial" w:hAnsi="Arial"/>
          <w:sz w:val="20"/>
          <w:szCs w:val="20"/>
          <w:b w:val="1"/>
          <w:bCs w:val="1"/>
          <w:color w:val="auto"/>
        </w:rPr>
      </w:pPr>
      <w:r>
        <w:rPr>
          <w:rFonts w:ascii="Arial" w:cs="Arial" w:eastAsia="Arial" w:hAnsi="Arial"/>
          <w:sz w:val="20"/>
          <w:szCs w:val="20"/>
          <w:color w:val="auto"/>
        </w:rPr>
        <w:t>If your Award vests in the ordinary course during your Continuous Service, without accelerating vesting under the terms of a Non-Exempt Severance Arrangement or pursuant to Section 2(a) of this Agreement, in no event will the Ordinary Shares be issued in respect of your Award any later than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24" w:name="page225"/>
    <w:bookmarkEnd w:id="224"/>
    <w:p>
      <w:pPr>
        <w:jc w:val="both"/>
        <w:ind w:firstLine="1952"/>
        <w:spacing w:after="0" w:line="263" w:lineRule="auto"/>
        <w:tabs>
          <w:tab w:leader="none" w:pos="2586" w:val="left"/>
        </w:tabs>
        <w:numPr>
          <w:ilvl w:val="1"/>
          <w:numId w:val="183"/>
        </w:numPr>
        <w:rPr>
          <w:rFonts w:ascii="Arial" w:cs="Arial" w:eastAsia="Arial" w:hAnsi="Arial"/>
          <w:sz w:val="20"/>
          <w:szCs w:val="20"/>
          <w:b w:val="1"/>
          <w:bCs w:val="1"/>
          <w:color w:val="auto"/>
        </w:rPr>
      </w:pPr>
      <w:r>
        <w:rPr>
          <w:rFonts w:ascii="Arial" w:cs="Arial" w:eastAsia="Arial" w:hAnsi="Arial"/>
          <w:sz w:val="20"/>
          <w:szCs w:val="20"/>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earlier issued in respect of your Award upon your Separation from Service in accordance with the terms of the Non-Exempt Severance Arrangement, but in no event later than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date of your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80" w:lineRule="exact"/>
        <w:rPr>
          <w:rFonts w:ascii="Arial" w:cs="Arial" w:eastAsia="Arial" w:hAnsi="Arial"/>
          <w:sz w:val="20"/>
          <w:szCs w:val="20"/>
          <w:b w:val="1"/>
          <w:bCs w:val="1"/>
          <w:color w:val="auto"/>
        </w:rPr>
      </w:pPr>
    </w:p>
    <w:p>
      <w:pPr>
        <w:jc w:val="both"/>
        <w:ind w:firstLine="1952"/>
        <w:spacing w:after="0" w:line="233" w:lineRule="auto"/>
        <w:tabs>
          <w:tab w:leader="none" w:pos="2592" w:val="left"/>
        </w:tabs>
        <w:numPr>
          <w:ilvl w:val="1"/>
          <w:numId w:val="183"/>
        </w:numPr>
        <w:rPr>
          <w:rFonts w:ascii="Arial" w:cs="Arial" w:eastAsia="Arial" w:hAnsi="Arial"/>
          <w:sz w:val="22"/>
          <w:szCs w:val="22"/>
          <w:b w:val="1"/>
          <w:bCs w:val="1"/>
          <w:color w:val="auto"/>
        </w:rPr>
      </w:pPr>
      <w:r>
        <w:rPr>
          <w:rFonts w:ascii="Arial" w:cs="Arial" w:eastAsia="Arial" w:hAnsi="Arial"/>
          <w:sz w:val="22"/>
          <w:szCs w:val="22"/>
          <w:color w:val="auto"/>
        </w:rPr>
        <w:t>If vesting of your Award accelerates upon your termination of Continuous Service due to death under Section 2(a) of this Agreement, then the Ordinary Shares will be issued in respect of your Award to your beneficiary (if any) or to the personal representative of your estate by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that follows the date of your death, but in any case no later than December 31 of the year following the year of your death, to the extent such payment timing is permissible under Section 409A.</w:t>
      </w:r>
    </w:p>
    <w:p>
      <w:pPr>
        <w:spacing w:after="0" w:line="203" w:lineRule="exact"/>
        <w:rPr>
          <w:rFonts w:ascii="Arial" w:cs="Arial" w:eastAsia="Arial" w:hAnsi="Arial"/>
          <w:sz w:val="22"/>
          <w:szCs w:val="22"/>
          <w:b w:val="1"/>
          <w:bCs w:val="1"/>
          <w:color w:val="auto"/>
        </w:rPr>
      </w:pPr>
    </w:p>
    <w:p>
      <w:pPr>
        <w:jc w:val="both"/>
        <w:ind w:firstLine="1952"/>
        <w:spacing w:after="0" w:line="250" w:lineRule="auto"/>
        <w:tabs>
          <w:tab w:leader="none" w:pos="2580" w:val="left"/>
        </w:tabs>
        <w:numPr>
          <w:ilvl w:val="1"/>
          <w:numId w:val="183"/>
        </w:numPr>
        <w:rPr>
          <w:rFonts w:ascii="Arial" w:cs="Arial" w:eastAsia="Arial" w:hAnsi="Arial"/>
          <w:sz w:val="22"/>
          <w:szCs w:val="22"/>
          <w:b w:val="1"/>
          <w:bCs w:val="1"/>
          <w:color w:val="auto"/>
        </w:rPr>
      </w:pPr>
      <w:r>
        <w:rPr>
          <w:rFonts w:ascii="Arial" w:cs="Arial" w:eastAsia="Arial" w:hAnsi="Arial"/>
          <w:sz w:val="22"/>
          <w:szCs w:val="22"/>
          <w:color w:val="auto"/>
        </w:rPr>
        <w:t>If your Award continues to vest pursuant to the original Vesting Schedule as provided in the Grant Notice upon your termination of Continuous Service due to Disability under Section 2(b) or Retirement under Section 2(c) of this Agreement, then the Ordinary Shares will be issued to you in respect of your Award in accordance with the vesting schedule provided in the Grant Notice and Section 6(b)(i) above.</w:t>
      </w:r>
    </w:p>
    <w:p>
      <w:pPr>
        <w:spacing w:after="0" w:line="187" w:lineRule="exact"/>
        <w:rPr>
          <w:rFonts w:ascii="Arial" w:cs="Arial" w:eastAsia="Arial" w:hAnsi="Arial"/>
          <w:sz w:val="22"/>
          <w:szCs w:val="22"/>
          <w:b w:val="1"/>
          <w:bCs w:val="1"/>
          <w:color w:val="auto"/>
        </w:rPr>
      </w:pPr>
    </w:p>
    <w:p>
      <w:pPr>
        <w:jc w:val="both"/>
        <w:ind w:firstLine="1952"/>
        <w:spacing w:after="0" w:line="292" w:lineRule="auto"/>
        <w:tabs>
          <w:tab w:leader="none" w:pos="2587" w:val="left"/>
        </w:tabs>
        <w:numPr>
          <w:ilvl w:val="1"/>
          <w:numId w:val="183"/>
        </w:numPr>
        <w:rPr>
          <w:rFonts w:ascii="Arial" w:cs="Arial" w:eastAsia="Arial" w:hAnsi="Arial"/>
          <w:sz w:val="19"/>
          <w:szCs w:val="19"/>
          <w:b w:val="1"/>
          <w:bCs w:val="1"/>
          <w:color w:val="auto"/>
        </w:rPr>
      </w:pPr>
      <w:r>
        <w:rPr>
          <w:rFonts w:ascii="Arial" w:cs="Arial" w:eastAsia="Arial" w:hAnsi="Arial"/>
          <w:sz w:val="19"/>
          <w:szCs w:val="19"/>
          <w:color w:val="auto"/>
        </w:rPr>
        <w:t>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but the Ordinary Shares shall instead be issued on the same schedule as set forth in the Grant Notice as if they had vested in the ordinary course during your Continuous Service, notwithstanding the vesting acceleration of the Award. Such issuance schedule is intended to satisfy the requirements of payment on a specified date or pursuant to a fixed schedule, as provided under Treasury Regulations Section 1.409A-3(a)(4).</w:t>
      </w:r>
    </w:p>
    <w:p>
      <w:pPr>
        <w:spacing w:after="0" w:line="150" w:lineRule="exact"/>
        <w:rPr>
          <w:rFonts w:ascii="Arial" w:cs="Arial" w:eastAsia="Arial" w:hAnsi="Arial"/>
          <w:sz w:val="19"/>
          <w:szCs w:val="19"/>
          <w:b w:val="1"/>
          <w:bCs w:val="1"/>
          <w:color w:val="auto"/>
        </w:rPr>
      </w:pPr>
    </w:p>
    <w:p>
      <w:pPr>
        <w:jc w:val="both"/>
        <w:ind w:firstLine="1304"/>
        <w:spacing w:after="0" w:line="250" w:lineRule="auto"/>
        <w:tabs>
          <w:tab w:leader="none" w:pos="1941" w:val="left"/>
        </w:tabs>
        <w:numPr>
          <w:ilvl w:val="0"/>
          <w:numId w:val="184"/>
        </w:numPr>
        <w:rPr>
          <w:rFonts w:ascii="Arial" w:cs="Arial" w:eastAsia="Arial" w:hAnsi="Arial"/>
          <w:sz w:val="22"/>
          <w:szCs w:val="22"/>
          <w:b w:val="1"/>
          <w:bCs w:val="1"/>
          <w:color w:val="auto"/>
        </w:rPr>
      </w:pPr>
      <w:r>
        <w:rPr>
          <w:rFonts w:ascii="Arial" w:cs="Arial" w:eastAsia="Arial" w:hAnsi="Arial"/>
          <w:sz w:val="22"/>
          <w:szCs w:val="22"/>
          <w:color w:val="auto"/>
        </w:rPr>
        <w:t>If you are a U.S. taxpayer and your Award is subject to and not exempt from Section 409A (a “</w:t>
      </w:r>
      <w:r>
        <w:rPr>
          <w:rFonts w:ascii="Arial" w:cs="Arial" w:eastAsia="Arial" w:hAnsi="Arial"/>
          <w:sz w:val="22"/>
          <w:szCs w:val="22"/>
          <w:b w:val="1"/>
          <w:bCs w:val="1"/>
          <w:i w:val="1"/>
          <w:iCs w:val="1"/>
          <w:color w:val="auto"/>
        </w:rPr>
        <w:t>Non-Exempt Award</w:t>
      </w:r>
      <w:r>
        <w:rPr>
          <w:rFonts w:ascii="Arial" w:cs="Arial" w:eastAsia="Arial" w:hAnsi="Arial"/>
          <w:sz w:val="22"/>
          <w:szCs w:val="22"/>
          <w:color w:val="auto"/>
        </w:rPr>
        <w:t>”), then the provisions in this Section 6(c) shall apply and supersede anything to the contrary that may be set forth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the Plan, the Grant Notice or in any other section of this Agreement with respect to the permitted treatment of your Non-Exempt Award:</w:t>
      </w:r>
    </w:p>
    <w:p>
      <w:pPr>
        <w:spacing w:after="0" w:line="187" w:lineRule="exact"/>
        <w:rPr>
          <w:rFonts w:ascii="Arial" w:cs="Arial" w:eastAsia="Arial" w:hAnsi="Arial"/>
          <w:sz w:val="22"/>
          <w:szCs w:val="22"/>
          <w:b w:val="1"/>
          <w:bCs w:val="1"/>
          <w:color w:val="auto"/>
        </w:rPr>
      </w:pPr>
    </w:p>
    <w:p>
      <w:pPr>
        <w:jc w:val="both"/>
        <w:ind w:firstLine="1952"/>
        <w:spacing w:after="0" w:line="253" w:lineRule="auto"/>
        <w:tabs>
          <w:tab w:leader="none" w:pos="2580" w:val="left"/>
        </w:tabs>
        <w:numPr>
          <w:ilvl w:val="1"/>
          <w:numId w:val="184"/>
        </w:numPr>
        <w:rPr>
          <w:rFonts w:ascii="Arial" w:cs="Arial" w:eastAsia="Arial" w:hAnsi="Arial"/>
          <w:sz w:val="22"/>
          <w:szCs w:val="22"/>
          <w:b w:val="1"/>
          <w:bCs w:val="1"/>
          <w:color w:val="auto"/>
        </w:rPr>
      </w:pPr>
      <w:r>
        <w:rPr>
          <w:rFonts w:ascii="Arial" w:cs="Arial" w:eastAsia="Arial" w:hAnsi="Arial"/>
          <w:sz w:val="22"/>
          <w:szCs w:val="22"/>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Shares upon the applicable vesting dates would be in compliance with the requirements of Section 409A.</w:t>
      </w:r>
    </w:p>
    <w:p>
      <w:pPr>
        <w:spacing w:after="0" w:line="220" w:lineRule="exact"/>
        <w:rPr>
          <w:sz w:val="20"/>
          <w:szCs w:val="20"/>
          <w:color w:val="auto"/>
        </w:rPr>
      </w:pPr>
    </w:p>
    <w:p>
      <w:pPr>
        <w:jc w:val="both"/>
        <w:ind w:firstLine="1952"/>
        <w:spacing w:after="0" w:line="248" w:lineRule="auto"/>
        <w:tabs>
          <w:tab w:leader="none" w:pos="2586" w:val="left"/>
        </w:tabs>
        <w:numPr>
          <w:ilvl w:val="2"/>
          <w:numId w:val="185"/>
        </w:numPr>
        <w:rPr>
          <w:rFonts w:ascii="Arial" w:cs="Arial" w:eastAsia="Arial" w:hAnsi="Arial"/>
          <w:sz w:val="22"/>
          <w:szCs w:val="22"/>
          <w:b w:val="1"/>
          <w:bCs w:val="1"/>
          <w:color w:val="auto"/>
        </w:rPr>
      </w:pPr>
      <w:r>
        <w:rPr>
          <w:rFonts w:ascii="Arial" w:cs="Arial" w:eastAsia="Arial" w:hAnsi="Arial"/>
          <w:sz w:val="22"/>
          <w:szCs w:val="22"/>
          <w:color w:val="auto"/>
        </w:rPr>
        <w:t>The Company explicitly reserves the right to (A) earlier settle your Non-Exempt Award to the extent permitted and in compliance with the requirements of Section 409A, including pursuant to any of the exemptions available in Treasury Regulations Section 1.409A-3(j)(4)(i) and (B) provide that you will receive a cash settlement equal to the Fair Market Value of the Ordinary Shares that would otherwise be issued to you, if applicable and in compliance with the requirements of Section 409A.</w:t>
      </w:r>
    </w:p>
    <w:p>
      <w:pPr>
        <w:spacing w:after="0" w:line="191" w:lineRule="exact"/>
        <w:rPr>
          <w:rFonts w:ascii="Arial" w:cs="Arial" w:eastAsia="Arial" w:hAnsi="Arial"/>
          <w:sz w:val="22"/>
          <w:szCs w:val="22"/>
          <w:b w:val="1"/>
          <w:bCs w:val="1"/>
          <w:color w:val="auto"/>
        </w:rPr>
      </w:pPr>
    </w:p>
    <w:p>
      <w:pPr>
        <w:jc w:val="both"/>
        <w:ind w:firstLine="1952"/>
        <w:spacing w:after="0" w:line="287" w:lineRule="auto"/>
        <w:tabs>
          <w:tab w:leader="none" w:pos="2592" w:val="left"/>
        </w:tabs>
        <w:numPr>
          <w:ilvl w:val="2"/>
          <w:numId w:val="185"/>
        </w:numPr>
        <w:rPr>
          <w:rFonts w:ascii="Arial" w:cs="Arial" w:eastAsia="Arial" w:hAnsi="Arial"/>
          <w:sz w:val="19"/>
          <w:szCs w:val="19"/>
          <w:b w:val="1"/>
          <w:bCs w:val="1"/>
          <w:color w:val="auto"/>
        </w:rPr>
      </w:pPr>
      <w:r>
        <w:rPr>
          <w:rFonts w:ascii="Arial" w:cs="Arial" w:eastAsia="Arial" w:hAnsi="Arial"/>
          <w:sz w:val="19"/>
          <w:szCs w:val="19"/>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Section 409A(a)(2)(A)(v) of the Code and Treasury Regulations Section 1.409A-3(i)(5) (a “</w:t>
      </w:r>
      <w:r>
        <w:rPr>
          <w:rFonts w:ascii="Arial" w:cs="Arial" w:eastAsia="Arial" w:hAnsi="Arial"/>
          <w:sz w:val="19"/>
          <w:szCs w:val="19"/>
          <w:b w:val="1"/>
          <w:bCs w:val="1"/>
          <w:i w:val="1"/>
          <w:iCs w:val="1"/>
          <w:color w:val="auto"/>
        </w:rPr>
        <w:t>409A Change of Control</w:t>
      </w:r>
      <w:r>
        <w:rPr>
          <w:rFonts w:ascii="Arial" w:cs="Arial" w:eastAsia="Arial" w:hAnsi="Arial"/>
          <w:sz w:val="19"/>
          <w:szCs w:val="19"/>
          <w:color w:val="auto"/>
        </w:rPr>
        <w:t>”). To the extent the terms of your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952"/>
        <w:spacing w:after="0" w:line="250" w:lineRule="auto"/>
        <w:tabs>
          <w:tab w:leader="none" w:pos="2580" w:val="left"/>
        </w:tabs>
        <w:numPr>
          <w:ilvl w:val="2"/>
          <w:numId w:val="185"/>
        </w:numPr>
        <w:rPr>
          <w:rFonts w:ascii="Arial" w:cs="Arial" w:eastAsia="Arial" w:hAnsi="Arial"/>
          <w:sz w:val="22"/>
          <w:szCs w:val="22"/>
          <w:b w:val="1"/>
          <w:bCs w:val="1"/>
          <w:color w:val="auto"/>
        </w:rPr>
      </w:pPr>
      <w:r>
        <w:rPr>
          <w:rFonts w:ascii="Arial" w:cs="Arial" w:eastAsia="Arial" w:hAnsi="Arial"/>
          <w:sz w:val="22"/>
          <w:szCs w:val="22"/>
          <w:color w:val="auto"/>
        </w:rPr>
        <w:t>The provisions in this Agreement for delivery of the Ordinary Shares in respect of the Non-Exempt Award are intended to comply with the requirements of Section 409A so that the delivery of the Ordinary Shares to you in respect of your Non-Exempt Award will not trigger the additional tax imposed under Section 409A, and any ambiguities herein will be so interpreted.</w:t>
      </w:r>
    </w:p>
    <w:p>
      <w:pPr>
        <w:spacing w:after="0" w:line="181"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Award with respect to any cash dividend, share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or other distribution that does not result from a Capitalization Adjustment as provided in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sentence shall not apply with respect to any Ordinary Shares that are delivered to you in connection with your Award after such Ordinary Shares have been delivered to you.</w:t>
      </w:r>
    </w:p>
    <w:p>
      <w:pPr>
        <w:spacing w:after="0" w:line="179"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Legends. </w:t>
      </w:r>
      <w:r>
        <w:rPr>
          <w:rFonts w:ascii="Arial" w:cs="Arial" w:eastAsia="Arial" w:hAnsi="Arial"/>
          <w:sz w:val="22"/>
          <w:szCs w:val="22"/>
          <w:color w:val="auto"/>
        </w:rPr>
        <w:t>The Ordinary Shares issued in respect of your Award shall be endorsed with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legends determined by the Company.</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p>
    <w:p>
      <w:pPr>
        <w:spacing w:after="0" w:line="225" w:lineRule="exact"/>
        <w:rPr>
          <w:rFonts w:ascii="Arial" w:cs="Arial" w:eastAsia="Arial" w:hAnsi="Arial"/>
          <w:sz w:val="22"/>
          <w:szCs w:val="22"/>
          <w:b w:val="1"/>
          <w:bCs w:val="1"/>
          <w:color w:val="auto"/>
        </w:rPr>
      </w:pPr>
    </w:p>
    <w:p>
      <w:pPr>
        <w:jc w:val="both"/>
        <w:ind w:firstLine="1304"/>
        <w:spacing w:after="0" w:line="253" w:lineRule="auto"/>
        <w:tabs>
          <w:tab w:leader="none" w:pos="1939" w:val="left"/>
        </w:tabs>
        <w:numPr>
          <w:ilvl w:val="1"/>
          <w:numId w:val="186"/>
        </w:numPr>
        <w:rPr>
          <w:rFonts w:ascii="Arial" w:cs="Arial" w:eastAsia="Arial" w:hAnsi="Arial"/>
          <w:sz w:val="22"/>
          <w:szCs w:val="22"/>
          <w:b w:val="1"/>
          <w:bCs w:val="1"/>
          <w:color w:val="auto"/>
        </w:rPr>
      </w:pPr>
      <w:r>
        <w:rPr>
          <w:rFonts w:ascii="Arial" w:cs="Arial" w:eastAsia="Arial" w:hAnsi="Arial"/>
          <w:sz w:val="22"/>
          <w:szCs w:val="22"/>
          <w:color w:val="auto"/>
        </w:rPr>
        <w:t>Nothing in this Agreement (including, but not limited to, the vesting of your Award pursuant to the schedule set forth in Section 2 herein or the issuance of the Ordinary Shares in respect of your Award), the Plan or any covenant of good faith and fair dealing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26" w:name="page227"/>
    <w:bookmarkEnd w:id="226"/>
    <w:p>
      <w:pPr>
        <w:jc w:val="both"/>
        <w:spacing w:after="0" w:line="261" w:lineRule="auto"/>
        <w:rPr>
          <w:sz w:val="20"/>
          <w:szCs w:val="20"/>
          <w:color w:val="auto"/>
        </w:rPr>
      </w:pPr>
      <w:r>
        <w:rPr>
          <w:rFonts w:ascii="Arial" w:cs="Arial" w:eastAsia="Arial" w:hAnsi="Arial"/>
          <w:sz w:val="21"/>
          <w:szCs w:val="21"/>
          <w:color w:val="auto"/>
        </w:rPr>
        <w:t>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its Affiliates, as applicable, of the right to terminate you without regard to any future vesting opportunity that you may have.</w:t>
      </w:r>
    </w:p>
    <w:p>
      <w:pPr>
        <w:spacing w:after="0" w:line="179" w:lineRule="exact"/>
        <w:rPr>
          <w:sz w:val="20"/>
          <w:szCs w:val="20"/>
          <w:color w:val="auto"/>
        </w:rPr>
      </w:pPr>
    </w:p>
    <w:p>
      <w:pPr>
        <w:jc w:val="both"/>
        <w:ind w:firstLine="1304"/>
        <w:spacing w:after="0" w:line="257" w:lineRule="auto"/>
        <w:tabs>
          <w:tab w:leader="none" w:pos="1938" w:val="left"/>
        </w:tabs>
        <w:numPr>
          <w:ilvl w:val="1"/>
          <w:numId w:val="187"/>
        </w:numPr>
        <w:rPr>
          <w:rFonts w:ascii="Arial" w:cs="Arial" w:eastAsia="Arial" w:hAnsi="Arial"/>
          <w:sz w:val="21"/>
          <w:szCs w:val="21"/>
          <w:b w:val="1"/>
          <w:bCs w:val="1"/>
          <w:color w:val="auto"/>
        </w:rPr>
      </w:pPr>
      <w:r>
        <w:rPr>
          <w:rFonts w:ascii="Arial" w:cs="Arial" w:eastAsia="Arial" w:hAnsi="Arial"/>
          <w:sz w:val="21"/>
          <w:szCs w:val="21"/>
          <w:color w:val="auto"/>
        </w:rPr>
        <w:t>By accepting this Award, you acknowledge and agree that the right to continue vesting in the Award pursuant to the schedule set forth in Section 2 is earned only by providing Continuous Service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right of the Company or its Affiliate, as applicable, to terminate your Continuous Service at any time.</w:t>
      </w:r>
    </w:p>
    <w:p>
      <w:pPr>
        <w:spacing w:after="0" w:line="184" w:lineRule="exact"/>
        <w:rPr>
          <w:rFonts w:ascii="Arial" w:cs="Arial" w:eastAsia="Arial" w:hAnsi="Arial"/>
          <w:sz w:val="21"/>
          <w:szCs w:val="21"/>
          <w:b w:val="1"/>
          <w:bCs w:val="1"/>
          <w:color w:val="auto"/>
        </w:rPr>
      </w:pPr>
    </w:p>
    <w:p>
      <w:pPr>
        <w:ind w:left="1300" w:hanging="644"/>
        <w:spacing w:after="0"/>
        <w:tabs>
          <w:tab w:leader="none" w:pos="130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25" w:lineRule="exact"/>
        <w:rPr>
          <w:rFonts w:ascii="Arial" w:cs="Arial" w:eastAsia="Arial" w:hAnsi="Arial"/>
          <w:sz w:val="22"/>
          <w:szCs w:val="22"/>
          <w:b w:val="1"/>
          <w:bCs w:val="1"/>
          <w:color w:val="auto"/>
        </w:rPr>
      </w:pPr>
    </w:p>
    <w:p>
      <w:pPr>
        <w:jc w:val="both"/>
        <w:ind w:firstLine="1304"/>
        <w:spacing w:after="0" w:line="287" w:lineRule="auto"/>
        <w:tabs>
          <w:tab w:leader="none" w:pos="1939" w:val="left"/>
        </w:tabs>
        <w:numPr>
          <w:ilvl w:val="1"/>
          <w:numId w:val="188"/>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9"/>
          <w:szCs w:val="19"/>
          <w:b w:val="1"/>
          <w:bCs w:val="1"/>
          <w:i w:val="1"/>
          <w:iCs w:val="1"/>
          <w:color w:val="auto"/>
        </w:rPr>
        <w:t>Tax-Related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Items</w:t>
      </w:r>
      <w:r>
        <w:rPr>
          <w:rFonts w:ascii="Arial" w:cs="Arial" w:eastAsia="Arial" w:hAnsi="Arial"/>
          <w:sz w:val="19"/>
          <w:szCs w:val="19"/>
          <w:color w:val="auto"/>
        </w:rPr>
        <w:t>”), where the Fair Market Value of the Ordinary Shares is measured as of the date the Ordinary Shares are issued pursuant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Section 6. Further, to the extent that any obligation to withhold Tax-Related Items arises prior to distribution of the Ordinary Shares, the Company may cause the RSUs to vest and be deemed payable for the purpose of satisfying such obligation by withholding of Ordinary Shares as provided for above, where the Fair Market Value of the Ordinary Shares is measured as of such deemed RSU payment date, provided that (i) to avoid a prohibited acceleration under Section 409A, the number of RSUs so vested and deemed payable will not exceed the number necessary to satisfy the liability for Tax-Related Items; and (ii) if you are subject to Section 16 of the Exchange Act, withholding in Ordinary Shares pursuant to the foregoing will either be approved in advance by the Compensation Committee of the Board or solely at your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27" w:name="page228"/>
    <w:bookmarkEnd w:id="227"/>
    <w:p>
      <w:pPr>
        <w:jc w:val="both"/>
        <w:ind w:firstLine="1304"/>
        <w:spacing w:after="0" w:line="258" w:lineRule="auto"/>
        <w:tabs>
          <w:tab w:leader="none" w:pos="1938" w:val="left"/>
        </w:tabs>
        <w:numPr>
          <w:ilvl w:val="1"/>
          <w:numId w:val="189"/>
        </w:numPr>
        <w:rPr>
          <w:rFonts w:ascii="Arial" w:cs="Arial" w:eastAsia="Arial" w:hAnsi="Arial"/>
          <w:sz w:val="21"/>
          <w:szCs w:val="21"/>
          <w:b w:val="1"/>
          <w:bCs w:val="1"/>
          <w:color w:val="auto"/>
        </w:rPr>
      </w:pPr>
      <w:r>
        <w:rPr>
          <w:rFonts w:ascii="Arial" w:cs="Arial" w:eastAsia="Arial" w:hAnsi="Arial"/>
          <w:sz w:val="21"/>
          <w:szCs w:val="21"/>
          <w:color w:val="auto"/>
        </w:rPr>
        <w:t>Additionally, the Company or the Employer may, in its sole discretion, satisfy all or any portion of the Tax-Related 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21"/>
          <w:szCs w:val="21"/>
          <w:b w:val="1"/>
          <w:bCs w:val="1"/>
          <w:i w:val="1"/>
          <w:iCs w:val="1"/>
          <w:color w:val="auto"/>
        </w:rPr>
        <w:t>FINRA Dealer</w:t>
      </w:r>
      <w:r>
        <w:rPr>
          <w:rFonts w:ascii="Arial" w:cs="Arial" w:eastAsia="Arial" w:hAnsi="Arial"/>
          <w:sz w:val="21"/>
          <w:szCs w:val="21"/>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Notwithstanding the foregoing, if you are subject to Section 16 of the Exchange Act, the alternative withholding methods set forth in this Section 10(b) shall not apply to you other than with respect to any withholding obligation for Tax-Related Items that arises prior to the distribution of the Ordinary Shares.</w:t>
      </w:r>
    </w:p>
    <w:p>
      <w:pPr>
        <w:spacing w:after="0" w:line="185" w:lineRule="exact"/>
        <w:rPr>
          <w:rFonts w:ascii="Arial" w:cs="Arial" w:eastAsia="Arial" w:hAnsi="Arial"/>
          <w:sz w:val="21"/>
          <w:szCs w:val="21"/>
          <w:b w:val="1"/>
          <w:bCs w:val="1"/>
          <w:color w:val="auto"/>
        </w:rPr>
      </w:pPr>
    </w:p>
    <w:p>
      <w:pPr>
        <w:jc w:val="both"/>
        <w:ind w:firstLine="1304"/>
        <w:spacing w:after="0" w:line="286" w:lineRule="auto"/>
        <w:tabs>
          <w:tab w:leader="none" w:pos="1941" w:val="left"/>
        </w:tabs>
        <w:numPr>
          <w:ilvl w:val="1"/>
          <w:numId w:val="189"/>
        </w:numPr>
        <w:rPr>
          <w:rFonts w:ascii="Arial" w:cs="Arial" w:eastAsia="Arial" w:hAnsi="Arial"/>
          <w:sz w:val="19"/>
          <w:szCs w:val="19"/>
          <w:b w:val="1"/>
          <w:bCs w:val="1"/>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 issued the full number of Ordinary Shares subject to the vested RSUs, notwithstanding that a number of the Ordinary Shares is held back solely for the purpose of paying the Tax-Related Items. Furthermore, you acknowledge that the Company and/or your Employer make no representations or undertakings regarding the treatment of any Tax-Related Items in connection with any aspect of the Award grant, including, but not limited to, the grant or 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200" w:lineRule="exact"/>
        <w:rPr>
          <w:rFonts w:ascii="Arial" w:cs="Arial" w:eastAsia="Arial" w:hAnsi="Arial"/>
          <w:sz w:val="19"/>
          <w:szCs w:val="19"/>
          <w:b w:val="1"/>
          <w:bCs w:val="1"/>
          <w:color w:val="auto"/>
        </w:rPr>
      </w:pPr>
    </w:p>
    <w:p>
      <w:pPr>
        <w:spacing w:after="0" w:line="222" w:lineRule="exact"/>
        <w:rPr>
          <w:rFonts w:ascii="Arial" w:cs="Arial" w:eastAsia="Arial" w:hAnsi="Arial"/>
          <w:sz w:val="19"/>
          <w:szCs w:val="19"/>
          <w:b w:val="1"/>
          <w:bCs w:val="1"/>
          <w:color w:val="auto"/>
        </w:rPr>
      </w:pPr>
    </w:p>
    <w:p>
      <w:pPr>
        <w:ind w:right="20" w:firstLine="1304"/>
        <w:spacing w:after="0" w:line="263" w:lineRule="auto"/>
        <w:tabs>
          <w:tab w:leader="none" w:pos="1938" w:val="left"/>
        </w:tabs>
        <w:numPr>
          <w:ilvl w:val="1"/>
          <w:numId w:val="189"/>
        </w:numPr>
        <w:rPr>
          <w:rFonts w:ascii="Arial" w:cs="Arial" w:eastAsia="Arial" w:hAnsi="Arial"/>
          <w:sz w:val="22"/>
          <w:szCs w:val="22"/>
          <w:b w:val="1"/>
          <w:bCs w:val="1"/>
          <w:color w:val="auto"/>
        </w:rPr>
      </w:pPr>
      <w:r>
        <w:rPr>
          <w:rFonts w:ascii="Arial" w:cs="Arial" w:eastAsia="Arial" w:hAnsi="Arial"/>
          <w:sz w:val="22"/>
          <w:szCs w:val="22"/>
          <w:color w:val="auto"/>
        </w:rPr>
        <w:t>Unless the Tax-Related Items withholding obligations of the Company and/or the Employer are satisfied, the Company and/or the Employer shall have no obligation to deliver to you any Ordinary Shares.</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41" w:val="left"/>
        </w:tabs>
        <w:numPr>
          <w:ilvl w:val="1"/>
          <w:numId w:val="189"/>
        </w:numPr>
        <w:rPr>
          <w:rFonts w:ascii="Arial" w:cs="Arial" w:eastAsia="Arial" w:hAnsi="Arial"/>
          <w:sz w:val="22"/>
          <w:szCs w:val="22"/>
          <w:b w:val="1"/>
          <w:bCs w:val="1"/>
          <w:color w:val="auto"/>
        </w:rPr>
      </w:pPr>
      <w:r>
        <w:rPr>
          <w:rFonts w:ascii="Arial" w:cs="Arial" w:eastAsia="Arial" w:hAnsi="Arial"/>
          <w:sz w:val="22"/>
          <w:szCs w:val="22"/>
          <w:color w:val="auto"/>
        </w:rPr>
        <w:t>In the event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17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25" w:lineRule="exact"/>
        <w:rPr>
          <w:rFonts w:ascii="Arial" w:cs="Arial" w:eastAsia="Arial" w:hAnsi="Arial"/>
          <w:sz w:val="22"/>
          <w:szCs w:val="22"/>
          <w:b w:val="1"/>
          <w:bCs w:val="1"/>
          <w:color w:val="auto"/>
        </w:rPr>
      </w:pPr>
    </w:p>
    <w:p>
      <w:pPr>
        <w:ind w:firstLine="1304"/>
        <w:spacing w:after="0" w:line="263" w:lineRule="auto"/>
        <w:tabs>
          <w:tab w:leader="none" w:pos="1939" w:val="left"/>
        </w:tabs>
        <w:numPr>
          <w:ilvl w:val="1"/>
          <w:numId w:val="190"/>
        </w:numPr>
        <w:rPr>
          <w:rFonts w:ascii="Arial" w:cs="Arial" w:eastAsia="Arial" w:hAnsi="Arial"/>
          <w:sz w:val="22"/>
          <w:szCs w:val="22"/>
          <w:b w:val="1"/>
          <w:bCs w:val="1"/>
          <w:color w:val="auto"/>
        </w:rPr>
      </w:pPr>
      <w:r>
        <w:rPr>
          <w:rFonts w:ascii="Arial" w:cs="Arial" w:eastAsia="Arial" w:hAnsi="Arial"/>
          <w:sz w:val="22"/>
          <w:szCs w:val="22"/>
          <w:color w:val="auto"/>
        </w:rPr>
        <w:t>If your Continuous Service terminates either within twelve (12) months following or one (1) month prior to the effective date of a Change in Control due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28" w:name="page229"/>
    <w:bookmarkEnd w:id="228"/>
    <w:p>
      <w:pPr>
        <w:jc w:val="both"/>
        <w:spacing w:after="0" w:line="250" w:lineRule="auto"/>
        <w:rPr>
          <w:sz w:val="20"/>
          <w:szCs w:val="20"/>
          <w:color w:val="auto"/>
        </w:rPr>
      </w:pPr>
      <w:r>
        <w:rPr>
          <w:rFonts w:ascii="Arial" w:cs="Arial" w:eastAsia="Arial" w:hAnsi="Arial"/>
          <w:sz w:val="22"/>
          <w:szCs w:val="22"/>
          <w:color w:val="auto"/>
        </w:rPr>
        <w:t>Involuntary Termination Without Cause, the vesting of the RSUs subject to this Award shall be accelerated in full. In order to give effect to the intent of this provision, in the event of your Involuntary Termination Without Cause, notwithstanding anything to the contrary set forth in the Plan or Section 2 of this Agreement, in no event will any portion of this Award be forfeited or terminate any earlier than one (1) month following such termination date.</w:t>
      </w:r>
    </w:p>
    <w:p>
      <w:pPr>
        <w:spacing w:after="0" w:line="188" w:lineRule="exact"/>
        <w:rPr>
          <w:sz w:val="20"/>
          <w:szCs w:val="20"/>
          <w:color w:val="auto"/>
        </w:rPr>
      </w:pPr>
    </w:p>
    <w:p>
      <w:pPr>
        <w:jc w:val="both"/>
        <w:ind w:firstLine="1304"/>
        <w:spacing w:after="0" w:line="287" w:lineRule="auto"/>
        <w:tabs>
          <w:tab w:leader="none" w:pos="1938" w:val="left"/>
        </w:tabs>
        <w:numPr>
          <w:ilvl w:val="1"/>
          <w:numId w:val="191"/>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means the involuntary termination of your Continuous Service for reasons other than death, Disability, or Cause. For this purpose, “Cause” means the occurrence of any of the following events that has a material negative impact on the business or reputation of the Company or an Affiliate: (i) your conviction for any criminal offence (other than an offence under any road traffic legislation for which a fine or non-custodial penalty is imposed) or any offence under any regulation or legislation relating to insider dealing, fraud or dishonesty; (ii) your attempted commission of, or participation in, a fraud or act of dishonesty against the Company or an Affiliate; (iii) your intentional, material violation of any contract or agreement between you and the Company or an Affiliate, or of any statutory duty owed to the Company or an Affiliate; (iv) your unauthorized use or disclosure of the Company’s or an Affiliate’s confidential information or trade secrets; or (v) your gross misconduct. The determination that a termination of your Continuous Service is either for Cause or without Cause shall be made by the Company in its sole discretion. Any determination by the Company that your Continuous Service was terminated with or without Cause for the purposes of this Agreement shall have no effect upon any determination of the rights or obligations of the Company or an Affiliate or you for any other purpose.</w:t>
      </w:r>
    </w:p>
    <w:p>
      <w:pPr>
        <w:spacing w:after="0" w:line="152" w:lineRule="exact"/>
        <w:rPr>
          <w:rFonts w:ascii="Arial" w:cs="Arial" w:eastAsia="Arial" w:hAnsi="Arial"/>
          <w:sz w:val="19"/>
          <w:szCs w:val="19"/>
          <w:b w:val="1"/>
          <w:bCs w:val="1"/>
          <w:color w:val="auto"/>
        </w:rPr>
      </w:pPr>
    </w:p>
    <w:p>
      <w:pPr>
        <w:ind w:left="1300" w:hanging="644"/>
        <w:spacing w:after="0"/>
        <w:tabs>
          <w:tab w:leader="none" w:pos="130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25" w:lineRule="exact"/>
        <w:rPr>
          <w:rFonts w:ascii="Arial" w:cs="Arial" w:eastAsia="Arial" w:hAnsi="Arial"/>
          <w:sz w:val="22"/>
          <w:szCs w:val="22"/>
          <w:b w:val="1"/>
          <w:bCs w:val="1"/>
          <w:color w:val="auto"/>
        </w:rPr>
      </w:pPr>
    </w:p>
    <w:p>
      <w:pPr>
        <w:jc w:val="both"/>
        <w:ind w:firstLine="1304"/>
        <w:spacing w:after="0" w:line="287" w:lineRule="auto"/>
        <w:tabs>
          <w:tab w:leader="none" w:pos="1939"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If you are a U.S. taxpayer and any payment or benefit you would receive from the Company or otherwise in connection with a Change in Control or other similar transaction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((x) or (y)), after taking into account all applicable federal, state, foreign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63" w:lineRule="exact"/>
        <w:rPr>
          <w:rFonts w:ascii="Arial" w:cs="Arial" w:eastAsia="Arial" w:hAnsi="Arial"/>
          <w:sz w:val="19"/>
          <w:szCs w:val="19"/>
          <w:b w:val="1"/>
          <w:bCs w:val="1"/>
          <w:color w:val="auto"/>
        </w:rPr>
      </w:pPr>
    </w:p>
    <w:p>
      <w:pPr>
        <w:jc w:val="both"/>
        <w:ind w:firstLine="1304"/>
        <w:spacing w:after="0" w:line="312" w:lineRule="auto"/>
        <w:tabs>
          <w:tab w:leader="none" w:pos="1938"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29" w:name="page230"/>
    <w:bookmarkEnd w:id="229"/>
    <w:p>
      <w:pPr>
        <w:jc w:val="both"/>
        <w:spacing w:after="0" w:line="250" w:lineRule="auto"/>
        <w:rPr>
          <w:sz w:val="20"/>
          <w:szCs w:val="20"/>
          <w:color w:val="auto"/>
        </w:rPr>
      </w:pPr>
      <w:r>
        <w:rPr>
          <w:rFonts w:ascii="Arial" w:cs="Arial" w:eastAsia="Arial" w:hAnsi="Arial"/>
          <w:sz w:val="22"/>
          <w:szCs w:val="22"/>
          <w:color w:val="auto"/>
        </w:rPr>
        <w:t>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88" w:lineRule="exact"/>
        <w:rPr>
          <w:sz w:val="20"/>
          <w:szCs w:val="20"/>
          <w:color w:val="auto"/>
        </w:rPr>
      </w:pPr>
    </w:p>
    <w:p>
      <w:pPr>
        <w:jc w:val="both"/>
        <w:ind w:firstLine="1304"/>
        <w:spacing w:after="0" w:line="297" w:lineRule="auto"/>
        <w:tabs>
          <w:tab w:leader="none" w:pos="1941" w:val="left"/>
        </w:tabs>
        <w:numPr>
          <w:ilvl w:val="1"/>
          <w:numId w:val="193"/>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140" w:lineRule="exact"/>
        <w:rPr>
          <w:rFonts w:ascii="Arial" w:cs="Arial" w:eastAsia="Arial" w:hAnsi="Arial"/>
          <w:sz w:val="19"/>
          <w:szCs w:val="19"/>
          <w:b w:val="1"/>
          <w:bCs w:val="1"/>
          <w:color w:val="auto"/>
        </w:rPr>
      </w:pPr>
    </w:p>
    <w:p>
      <w:pPr>
        <w:jc w:val="both"/>
        <w:ind w:firstLine="656"/>
        <w:spacing w:after="0" w:line="261" w:lineRule="auto"/>
        <w:tabs>
          <w:tab w:leader="none" w:pos="1296" w:val="left"/>
        </w:tabs>
        <w:numPr>
          <w:ilvl w:val="0"/>
          <w:numId w:val="19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Unsecured Obligation. </w:t>
      </w:r>
      <w:r>
        <w:rPr>
          <w:rFonts w:ascii="Arial" w:cs="Arial" w:eastAsia="Arial" w:hAnsi="Arial"/>
          <w:sz w:val="21"/>
          <w:szCs w:val="21"/>
          <w:color w:val="auto"/>
        </w:rPr>
        <w:t>Your Award is unfunded, and as a holder of a vested Award, you shall be considered an</w:t>
      </w:r>
      <w:r>
        <w:rPr>
          <w:rFonts w:ascii="Arial" w:cs="Arial" w:eastAsia="Arial" w:hAnsi="Arial"/>
          <w:sz w:val="21"/>
          <w:szCs w:val="21"/>
          <w:b w:val="1"/>
          <w:bCs w:val="1"/>
          <w:color w:val="auto"/>
        </w:rPr>
        <w:t xml:space="preserve"> </w:t>
      </w:r>
      <w:r>
        <w:rPr>
          <w:rFonts w:ascii="Arial" w:cs="Arial" w:eastAsia="Arial" w:hAnsi="Arial"/>
          <w:sz w:val="21"/>
          <w:szCs w:val="21"/>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3" w:lineRule="exact"/>
        <w:rPr>
          <w:rFonts w:ascii="Arial" w:cs="Arial" w:eastAsia="Arial" w:hAnsi="Arial"/>
          <w:sz w:val="21"/>
          <w:szCs w:val="21"/>
          <w:b w:val="1"/>
          <w:bCs w:val="1"/>
          <w:color w:val="auto"/>
        </w:rPr>
      </w:pPr>
    </w:p>
    <w:p>
      <w:pPr>
        <w:jc w:val="both"/>
        <w:ind w:firstLine="656"/>
        <w:spacing w:after="0" w:line="252" w:lineRule="auto"/>
        <w:tabs>
          <w:tab w:leader="none" w:pos="1296"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or the right to receive a document providing the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Rule 428(b)(1) promulgated under the Securities Act, which includes the Plan prospectus. In addition, you acknowledge receipt of the Company’s policy permitting officers and directors to sell Ordinary Shares only during certain “window” periods and the Company’s insider trading policy, in effect from time to time.</w:t>
      </w:r>
    </w:p>
    <w:p>
      <w:pPr>
        <w:spacing w:after="0" w:line="17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In accepting the grant, you acknowledge, understand and agree that:</w:t>
      </w:r>
    </w:p>
    <w:p>
      <w:pPr>
        <w:spacing w:after="0" w:line="225" w:lineRule="exact"/>
        <w:rPr>
          <w:rFonts w:ascii="Arial" w:cs="Arial" w:eastAsia="Arial" w:hAnsi="Arial"/>
          <w:sz w:val="22"/>
          <w:szCs w:val="22"/>
          <w:b w:val="1"/>
          <w:bCs w:val="1"/>
          <w:color w:val="auto"/>
        </w:rPr>
      </w:pPr>
    </w:p>
    <w:p>
      <w:pPr>
        <w:ind w:firstLine="1304"/>
        <w:spacing w:after="0" w:line="263" w:lineRule="auto"/>
        <w:tabs>
          <w:tab w:leader="none" w:pos="1939" w:val="left"/>
        </w:tabs>
        <w:numPr>
          <w:ilvl w:val="1"/>
          <w:numId w:val="194"/>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1"/>
          <w:numId w:val="194"/>
        </w:numPr>
        <w:rPr>
          <w:rFonts w:ascii="Arial" w:cs="Arial" w:eastAsia="Arial" w:hAnsi="Arial"/>
          <w:sz w:val="22"/>
          <w:szCs w:val="22"/>
          <w:b w:val="1"/>
          <w:bCs w:val="1"/>
          <w:color w:val="auto"/>
        </w:rPr>
      </w:pPr>
      <w:r>
        <w:rPr>
          <w:rFonts w:ascii="Arial" w:cs="Arial" w:eastAsia="Arial" w:hAnsi="Arial"/>
          <w:sz w:val="22"/>
          <w:szCs w:val="22"/>
          <w:color w:val="auto"/>
        </w:rPr>
        <w:t>the Award grant is voluntary and occasional and does not create any contractual or other right to receive future grants of RSUs, or benefits in lieu of RSUs, even if RSUs have been granted in the past;</w:t>
      </w:r>
    </w:p>
    <w:p>
      <w:pPr>
        <w:spacing w:after="0" w:line="174" w:lineRule="exact"/>
        <w:rPr>
          <w:rFonts w:ascii="Arial" w:cs="Arial" w:eastAsia="Arial" w:hAnsi="Arial"/>
          <w:sz w:val="22"/>
          <w:szCs w:val="22"/>
          <w:b w:val="1"/>
          <w:bCs w:val="1"/>
          <w:color w:val="auto"/>
        </w:rPr>
      </w:pPr>
    </w:p>
    <w:p>
      <w:pPr>
        <w:ind w:left="1940" w:hanging="636"/>
        <w:spacing w:after="0"/>
        <w:tabs>
          <w:tab w:leader="none" w:pos="1940" w:val="left"/>
        </w:tabs>
        <w:numPr>
          <w:ilvl w:val="1"/>
          <w:numId w:val="194"/>
        </w:numPr>
        <w:rPr>
          <w:rFonts w:ascii="Arial" w:cs="Arial" w:eastAsia="Arial" w:hAnsi="Arial"/>
          <w:sz w:val="19"/>
          <w:szCs w:val="19"/>
          <w:b w:val="1"/>
          <w:bCs w:val="1"/>
          <w:color w:val="auto"/>
        </w:rPr>
      </w:pPr>
      <w:r>
        <w:rPr>
          <w:rFonts w:ascii="Arial" w:cs="Arial" w:eastAsia="Arial" w:hAnsi="Arial"/>
          <w:sz w:val="19"/>
          <w:szCs w:val="19"/>
          <w:color w:val="auto"/>
        </w:rPr>
        <w:t>all decisions with respect to future grants of RSUs or other grants, if any, will be at the sole discretion of</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Company;</w:t>
      </w:r>
    </w:p>
    <w:p>
      <w:pPr>
        <w:spacing w:after="0" w:line="201" w:lineRule="exact"/>
        <w:rPr>
          <w:rFonts w:ascii="Arial" w:cs="Arial" w:eastAsia="Arial" w:hAnsi="Arial"/>
          <w:sz w:val="19"/>
          <w:szCs w:val="19"/>
          <w:b w:val="1"/>
          <w:bCs w:val="1"/>
          <w:color w:val="auto"/>
        </w:rPr>
      </w:pPr>
    </w:p>
    <w:p>
      <w:pPr>
        <w:ind w:left="1940" w:hanging="636"/>
        <w:spacing w:after="0"/>
        <w:tabs>
          <w:tab w:leader="none" w:pos="1940" w:val="left"/>
        </w:tabs>
        <w:numPr>
          <w:ilvl w:val="1"/>
          <w:numId w:val="194"/>
        </w:numPr>
        <w:rPr>
          <w:rFonts w:ascii="Arial" w:cs="Arial" w:eastAsia="Arial" w:hAnsi="Arial"/>
          <w:sz w:val="22"/>
          <w:szCs w:val="22"/>
          <w:b w:val="1"/>
          <w:bCs w:val="1"/>
          <w:color w:val="auto"/>
        </w:rPr>
      </w:pPr>
      <w:r>
        <w:rPr>
          <w:rFonts w:ascii="Arial" w:cs="Arial" w:eastAsia="Arial" w:hAnsi="Arial"/>
          <w:sz w:val="22"/>
          <w:szCs w:val="22"/>
          <w:color w:val="auto"/>
        </w:rPr>
        <w:t>you are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30" w:name="page231"/>
    <w:bookmarkEnd w:id="230"/>
    <w:p>
      <w:pPr>
        <w:ind w:right="20" w:firstLine="1304"/>
        <w:spacing w:after="0" w:line="263" w:lineRule="auto"/>
        <w:tabs>
          <w:tab w:leader="none" w:pos="1941" w:val="left"/>
        </w:tabs>
        <w:numPr>
          <w:ilvl w:val="1"/>
          <w:numId w:val="195"/>
        </w:numPr>
        <w:rPr>
          <w:rFonts w:ascii="Arial" w:cs="Arial" w:eastAsia="Arial" w:hAnsi="Arial"/>
          <w:sz w:val="22"/>
          <w:szCs w:val="22"/>
          <w:b w:val="1"/>
          <w:bCs w:val="1"/>
          <w:color w:val="auto"/>
        </w:rPr>
      </w:pPr>
      <w:r>
        <w:rPr>
          <w:rFonts w:ascii="Arial" w:cs="Arial" w:eastAsia="Arial" w:hAnsi="Arial"/>
          <w:sz w:val="22"/>
          <w:szCs w:val="22"/>
          <w:color w:val="auto"/>
        </w:rPr>
        <w:t>the RSUs and the Ordinary Shares subject to the RSUs, and the income and value of same, are not intended to replace any pension rights or compensation;</w:t>
      </w:r>
    </w:p>
    <w:p>
      <w:pPr>
        <w:spacing w:after="0" w:line="174" w:lineRule="exact"/>
        <w:rPr>
          <w:rFonts w:ascii="Arial" w:cs="Arial" w:eastAsia="Arial" w:hAnsi="Arial"/>
          <w:sz w:val="22"/>
          <w:szCs w:val="22"/>
          <w:b w:val="1"/>
          <w:bCs w:val="1"/>
          <w:color w:val="auto"/>
        </w:rPr>
      </w:pPr>
    </w:p>
    <w:p>
      <w:pPr>
        <w:jc w:val="both"/>
        <w:ind w:firstLine="1304"/>
        <w:spacing w:after="0" w:line="250" w:lineRule="auto"/>
        <w:tabs>
          <w:tab w:leader="none" w:pos="1944" w:val="left"/>
        </w:tabs>
        <w:numPr>
          <w:ilvl w:val="1"/>
          <w:numId w:val="195"/>
        </w:numPr>
        <w:rPr>
          <w:rFonts w:ascii="Arial" w:cs="Arial" w:eastAsia="Arial" w:hAnsi="Arial"/>
          <w:sz w:val="22"/>
          <w:szCs w:val="22"/>
          <w:b w:val="1"/>
          <w:bCs w:val="1"/>
          <w:color w:val="auto"/>
        </w:rPr>
      </w:pPr>
      <w:r>
        <w:rPr>
          <w:rFonts w:ascii="Arial" w:cs="Arial" w:eastAsia="Arial" w:hAnsi="Arial"/>
          <w:sz w:val="22"/>
          <w:szCs w:val="22"/>
          <w:color w:val="auto"/>
        </w:rPr>
        <w:t>the RSUs and the Ordinary Shares subject to the RSUs,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87" w:lineRule="exact"/>
        <w:rPr>
          <w:rFonts w:ascii="Arial" w:cs="Arial" w:eastAsia="Arial" w:hAnsi="Arial"/>
          <w:sz w:val="22"/>
          <w:szCs w:val="22"/>
          <w:b w:val="1"/>
          <w:bCs w:val="1"/>
          <w:color w:val="auto"/>
        </w:rPr>
      </w:pPr>
    </w:p>
    <w:p>
      <w:pPr>
        <w:ind w:left="1940" w:hanging="636"/>
        <w:spacing w:after="0"/>
        <w:tabs>
          <w:tab w:leader="none" w:pos="1940" w:val="left"/>
        </w:tabs>
        <w:numPr>
          <w:ilvl w:val="1"/>
          <w:numId w:val="195"/>
        </w:numPr>
        <w:rPr>
          <w:rFonts w:ascii="Arial" w:cs="Arial" w:eastAsia="Arial" w:hAnsi="Arial"/>
          <w:sz w:val="19"/>
          <w:szCs w:val="19"/>
          <w:b w:val="1"/>
          <w:bCs w:val="1"/>
          <w:color w:val="auto"/>
        </w:rPr>
      </w:pPr>
      <w:r>
        <w:rPr>
          <w:rFonts w:ascii="Arial" w:cs="Arial" w:eastAsia="Arial" w:hAnsi="Arial"/>
          <w:sz w:val="19"/>
          <w:szCs w:val="19"/>
          <w:color w:val="auto"/>
        </w:rPr>
        <w:t>the future value of the underlying Ordinary Shares is unknown, indeterminable and cannot be predicted</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with certainty;</w:t>
      </w:r>
    </w:p>
    <w:p>
      <w:pPr>
        <w:spacing w:after="0" w:line="201" w:lineRule="exact"/>
        <w:rPr>
          <w:rFonts w:ascii="Arial" w:cs="Arial" w:eastAsia="Arial" w:hAnsi="Arial"/>
          <w:sz w:val="19"/>
          <w:szCs w:val="19"/>
          <w:b w:val="1"/>
          <w:bCs w:val="1"/>
          <w:color w:val="auto"/>
        </w:rPr>
      </w:pPr>
    </w:p>
    <w:p>
      <w:pPr>
        <w:jc w:val="both"/>
        <w:ind w:firstLine="1304"/>
        <w:spacing w:after="0" w:line="302" w:lineRule="auto"/>
        <w:tabs>
          <w:tab w:leader="none" w:pos="1938" w:val="left"/>
        </w:tabs>
        <w:numPr>
          <w:ilvl w:val="1"/>
          <w:numId w:val="195"/>
        </w:numPr>
        <w:rPr>
          <w:rFonts w:ascii="Arial" w:cs="Arial" w:eastAsia="Arial" w:hAnsi="Arial"/>
          <w:sz w:val="19"/>
          <w:szCs w:val="19"/>
          <w:b w:val="1"/>
          <w:bCs w:val="1"/>
          <w:color w:val="auto"/>
        </w:rPr>
      </w:pPr>
      <w:r>
        <w:rPr>
          <w:rFonts w:ascii="Arial" w:cs="Arial" w:eastAsia="Arial" w:hAnsi="Arial"/>
          <w:sz w:val="19"/>
          <w:szCs w:val="19"/>
          <w:color w:val="auto"/>
        </w:rPr>
        <w:t>no claim or entitlement to compensation or damages shall arise from forfeiture of the Award resulting from the termination of your Continuous Service (for any reason whatsoever, whether or not later found to be invalid or in breach of employment laws in the jurisdiction where you are providing Continuous Service or the terms of your employment agreement, if any), and in consideration of the Award, you agree not to institute any claim against the Company, any Affiliate or the Employer;</w:t>
      </w:r>
    </w:p>
    <w:p>
      <w:pPr>
        <w:spacing w:after="0" w:line="142" w:lineRule="exact"/>
        <w:rPr>
          <w:rFonts w:ascii="Arial" w:cs="Arial" w:eastAsia="Arial" w:hAnsi="Arial"/>
          <w:sz w:val="19"/>
          <w:szCs w:val="19"/>
          <w:b w:val="1"/>
          <w:bCs w:val="1"/>
          <w:color w:val="auto"/>
        </w:rPr>
      </w:pPr>
    </w:p>
    <w:p>
      <w:pPr>
        <w:jc w:val="both"/>
        <w:ind w:firstLine="1304"/>
        <w:spacing w:after="0" w:line="253" w:lineRule="auto"/>
        <w:tabs>
          <w:tab w:leader="none" w:pos="1932" w:val="left"/>
        </w:tabs>
        <w:numPr>
          <w:ilvl w:val="1"/>
          <w:numId w:val="195"/>
        </w:numPr>
        <w:rPr>
          <w:rFonts w:ascii="Arial" w:cs="Arial" w:eastAsia="Arial" w:hAnsi="Arial"/>
          <w:sz w:val="22"/>
          <w:szCs w:val="22"/>
          <w:b w:val="1"/>
          <w:bCs w:val="1"/>
          <w:color w:val="auto"/>
        </w:rPr>
      </w:pPr>
      <w:r>
        <w:rPr>
          <w:rFonts w:ascii="Arial" w:cs="Arial" w:eastAsia="Arial" w:hAnsi="Arial"/>
          <w:sz w:val="22"/>
          <w:szCs w:val="22"/>
          <w:color w:val="auto"/>
        </w:rPr>
        <w:t>unless otherwise agreed with the Company, the RSUs and the Ordinary Shares subject to the RSUs, and the income and value of same, are not granted as consideration for, or in connection with, the service you may provide as a director of the Company or any Affiliate;</w:t>
      </w:r>
    </w:p>
    <w:p>
      <w:pPr>
        <w:spacing w:after="0" w:line="185" w:lineRule="exact"/>
        <w:rPr>
          <w:rFonts w:ascii="Arial" w:cs="Arial" w:eastAsia="Arial" w:hAnsi="Arial"/>
          <w:sz w:val="22"/>
          <w:szCs w:val="22"/>
          <w:b w:val="1"/>
          <w:bCs w:val="1"/>
          <w:color w:val="auto"/>
        </w:rPr>
      </w:pPr>
    </w:p>
    <w:p>
      <w:pPr>
        <w:jc w:val="both"/>
        <w:ind w:firstLine="1304"/>
        <w:spacing w:after="0" w:line="250" w:lineRule="auto"/>
        <w:tabs>
          <w:tab w:leader="none" w:pos="1944" w:val="left"/>
        </w:tabs>
        <w:numPr>
          <w:ilvl w:val="1"/>
          <w:numId w:val="195"/>
        </w:numPr>
        <w:rPr>
          <w:rFonts w:ascii="Arial" w:cs="Arial" w:eastAsia="Arial" w:hAnsi="Arial"/>
          <w:sz w:val="22"/>
          <w:szCs w:val="22"/>
          <w:b w:val="1"/>
          <w:bCs w:val="1"/>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Ordinary Shares; and</w:t>
      </w:r>
    </w:p>
    <w:p>
      <w:pPr>
        <w:spacing w:after="0" w:line="187" w:lineRule="exact"/>
        <w:rPr>
          <w:rFonts w:ascii="Arial" w:cs="Arial" w:eastAsia="Arial" w:hAnsi="Arial"/>
          <w:sz w:val="22"/>
          <w:szCs w:val="22"/>
          <w:b w:val="1"/>
          <w:bCs w:val="1"/>
          <w:color w:val="auto"/>
        </w:rPr>
      </w:pPr>
    </w:p>
    <w:p>
      <w:pPr>
        <w:jc w:val="both"/>
        <w:ind w:firstLine="1304"/>
        <w:spacing w:after="0" w:line="312" w:lineRule="auto"/>
        <w:tabs>
          <w:tab w:leader="none" w:pos="1938" w:val="left"/>
        </w:tabs>
        <w:numPr>
          <w:ilvl w:val="1"/>
          <w:numId w:val="195"/>
        </w:numPr>
        <w:rPr>
          <w:rFonts w:ascii="Arial" w:cs="Arial" w:eastAsia="Arial" w:hAnsi="Arial"/>
          <w:sz w:val="19"/>
          <w:szCs w:val="19"/>
          <w:b w:val="1"/>
          <w:bCs w:val="1"/>
          <w:color w:val="auto"/>
        </w:rPr>
      </w:pPr>
      <w:r>
        <w:rPr>
          <w:rFonts w:ascii="Arial" w:cs="Arial" w:eastAsia="Arial" w:hAnsi="Arial"/>
          <w:sz w:val="19"/>
          <w:szCs w:val="19"/>
          <w:color w:val="auto"/>
        </w:rPr>
        <w:t>neither the Company, the Employer nor any Affiliate shall be liable for any foreign exchange rate fluctuation between your local currency and the United States Dollar that may affect the value of the Award or of any amounts due to you pursuant to the settlement of the Award or the subsequent sale of any Ordinary Shares acquired upon settlement.</w:t>
      </w:r>
    </w:p>
    <w:p>
      <w:pPr>
        <w:spacing w:after="0" w:line="127" w:lineRule="exact"/>
        <w:rPr>
          <w:rFonts w:ascii="Arial" w:cs="Arial" w:eastAsia="Arial" w:hAnsi="Arial"/>
          <w:sz w:val="19"/>
          <w:szCs w:val="19"/>
          <w:b w:val="1"/>
          <w:bCs w:val="1"/>
          <w:color w:val="auto"/>
        </w:rPr>
      </w:pPr>
    </w:p>
    <w:p>
      <w:pPr>
        <w:jc w:val="both"/>
        <w:ind w:firstLine="656"/>
        <w:spacing w:after="0" w:line="252" w:lineRule="auto"/>
        <w:tabs>
          <w:tab w:leader="none" w:pos="1296"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Advice Regarding Grant. </w:t>
      </w:r>
      <w:r>
        <w:rPr>
          <w:rFonts w:ascii="Arial" w:cs="Arial" w:eastAsia="Arial" w:hAnsi="Arial"/>
          <w:sz w:val="22"/>
          <w:szCs w:val="22"/>
          <w:color w:val="auto"/>
        </w:rPr>
        <w:t>The Company is not providing any tax, legal or financial advice, nor is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making any recommendations regarding your participation in the Plan, or your acquisition or sale of the underlying Ordinary Shares. You are hereby advised to consult with your own personal tax, legal and financial advisors regarding your participation in the Plan before taking any action related to the Plan.</w:t>
      </w:r>
    </w:p>
    <w:p>
      <w:pPr>
        <w:spacing w:after="0" w:line="179" w:lineRule="exact"/>
        <w:rPr>
          <w:rFonts w:ascii="Arial" w:cs="Arial" w:eastAsia="Arial" w:hAnsi="Arial"/>
          <w:sz w:val="22"/>
          <w:szCs w:val="22"/>
          <w:b w:val="1"/>
          <w:bCs w:val="1"/>
          <w:color w:val="auto"/>
        </w:rPr>
      </w:pPr>
    </w:p>
    <w:p>
      <w:pPr>
        <w:jc w:val="both"/>
        <w:ind w:firstLine="656"/>
        <w:spacing w:after="0" w:line="267" w:lineRule="auto"/>
        <w:tabs>
          <w:tab w:leader="none" w:pos="1296" w:val="left"/>
        </w:tabs>
        <w:numPr>
          <w:ilvl w:val="0"/>
          <w:numId w:val="1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Data Privacy. </w:t>
      </w:r>
      <w:r>
        <w:rPr>
          <w:rFonts w:ascii="Arial" w:cs="Arial" w:eastAsia="Arial" w:hAnsi="Arial"/>
          <w:sz w:val="21"/>
          <w:szCs w:val="21"/>
          <w:color w:val="auto"/>
        </w:rPr>
        <w:t>The Employer, the Company and any Affiliate may collect, use, process, transfer or disclose your</w:t>
      </w:r>
      <w:r>
        <w:rPr>
          <w:rFonts w:ascii="Arial" w:cs="Arial" w:eastAsia="Arial" w:hAnsi="Arial"/>
          <w:sz w:val="21"/>
          <w:szCs w:val="21"/>
          <w:b w:val="1"/>
          <w:bCs w:val="1"/>
          <w:color w:val="auto"/>
        </w:rPr>
        <w:t xml:space="preserve"> </w:t>
      </w:r>
      <w:r>
        <w:rPr>
          <w:rFonts w:ascii="Arial" w:cs="Arial" w:eastAsia="Arial" w:hAnsi="Arial"/>
          <w:sz w:val="21"/>
          <w:szCs w:val="21"/>
          <w:color w:val="auto"/>
        </w:rPr>
        <w:t>Personal Information for the purpose of implementing, administering and managing your participation in the Plan, in accordance with the Jazz Pharmaceuticals Employee Data Privacy Notice you have previously received. (Please contact Human Resources if you would like to receive another copy of this notice.) For example,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31" w:name="page232"/>
    <w:bookmarkEnd w:id="231"/>
    <w:p>
      <w:pPr>
        <w:jc w:val="both"/>
        <w:spacing w:after="0" w:line="253" w:lineRule="auto"/>
        <w:rPr>
          <w:sz w:val="20"/>
          <w:szCs w:val="20"/>
          <w:color w:val="auto"/>
        </w:rPr>
      </w:pPr>
      <w:r>
        <w:rPr>
          <w:rFonts w:ascii="Arial" w:cs="Arial" w:eastAsia="Arial" w:hAnsi="Arial"/>
          <w:sz w:val="22"/>
          <w:szCs w:val="22"/>
          <w:color w:val="auto"/>
        </w:rPr>
        <w:t>Personal Information may be directly or indirectly transferred to E*TRADE or any other third party stock plan service provider as may be selected by the Company, and any other third parties assisting the Company with the implementation, administration and management of the Plan.</w:t>
      </w:r>
    </w:p>
    <w:p>
      <w:pPr>
        <w:spacing w:after="0" w:line="179" w:lineRule="exact"/>
        <w:rPr>
          <w:sz w:val="20"/>
          <w:szCs w:val="20"/>
          <w:color w:val="auto"/>
        </w:rPr>
      </w:pPr>
    </w:p>
    <w:p>
      <w:pPr>
        <w:ind w:right="20" w:firstLine="656"/>
        <w:spacing w:after="0" w:line="269" w:lineRule="auto"/>
        <w:tabs>
          <w:tab w:leader="none" w:pos="1296"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The Award and the provisions of this Agreement are governed by,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without regard to the conflict of law provisions.</w:t>
      </w:r>
    </w:p>
    <w:p>
      <w:pPr>
        <w:spacing w:after="0" w:line="16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82" w:lineRule="exact"/>
        <w:rPr>
          <w:sz w:val="20"/>
          <w:szCs w:val="20"/>
          <w:color w:val="auto"/>
        </w:rPr>
      </w:pPr>
    </w:p>
    <w:p>
      <w:pPr>
        <w:jc w:val="both"/>
        <w:ind w:firstLine="656"/>
        <w:spacing w:after="0" w:line="256" w:lineRule="auto"/>
        <w:tabs>
          <w:tab w:leader="none" w:pos="1296"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Language. </w:t>
      </w:r>
      <w:r>
        <w:rPr>
          <w:rFonts w:ascii="Arial" w:cs="Arial" w:eastAsia="Arial" w:hAnsi="Arial"/>
          <w:sz w:val="22"/>
          <w:szCs w:val="22"/>
          <w:color w:val="auto"/>
        </w:rPr>
        <w:t>If you have received this Agreement or any other document related to the Plan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b w:val="1"/>
          <w:bCs w:val="1"/>
          <w:color w:val="auto"/>
        </w:rPr>
      </w:pPr>
    </w:p>
    <w:p>
      <w:pPr>
        <w:jc w:val="both"/>
        <w:ind w:firstLine="656"/>
        <w:spacing w:after="0" w:line="249" w:lineRule="auto"/>
        <w:tabs>
          <w:tab w:leader="none" w:pos="1296"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Appendix. </w:t>
      </w:r>
      <w:r>
        <w:rPr>
          <w:rFonts w:ascii="Arial" w:cs="Arial" w:eastAsia="Arial" w:hAnsi="Arial"/>
          <w:sz w:val="22"/>
          <w:szCs w:val="22"/>
          <w:color w:val="auto"/>
        </w:rPr>
        <w:t>Notwithstanding any provisions in this Agreement, the Award shall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86" w:lineRule="exact"/>
        <w:rPr>
          <w:rFonts w:ascii="Arial" w:cs="Arial" w:eastAsia="Arial" w:hAnsi="Arial"/>
          <w:sz w:val="22"/>
          <w:szCs w:val="22"/>
          <w:b w:val="1"/>
          <w:bCs w:val="1"/>
          <w:color w:val="auto"/>
        </w:rPr>
      </w:pPr>
    </w:p>
    <w:p>
      <w:pPr>
        <w:jc w:val="both"/>
        <w:ind w:firstLine="656"/>
        <w:spacing w:after="0" w:line="260" w:lineRule="auto"/>
        <w:tabs>
          <w:tab w:leader="none" w:pos="1296" w:val="left"/>
        </w:tabs>
        <w:numPr>
          <w:ilvl w:val="0"/>
          <w:numId w:val="19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Notices; Electronic Delivery. </w:t>
      </w:r>
      <w:r>
        <w:rPr>
          <w:rFonts w:ascii="Arial" w:cs="Arial" w:eastAsia="Arial" w:hAnsi="Arial"/>
          <w:sz w:val="21"/>
          <w:szCs w:val="21"/>
          <w:color w:val="auto"/>
        </w:rPr>
        <w:t>Any notices provided for in your Award or the Plan shall be given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electronically) and shall be deemed effectively given upon receipt or, in the case of notices delivered by the Company to you, fourteen (14)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5" w:lineRule="exact"/>
        <w:rPr>
          <w:rFonts w:ascii="Arial" w:cs="Arial" w:eastAsia="Arial" w:hAnsi="Arial"/>
          <w:sz w:val="21"/>
          <w:szCs w:val="21"/>
          <w:b w:val="1"/>
          <w:bCs w:val="1"/>
          <w:color w:val="auto"/>
        </w:rPr>
      </w:pPr>
    </w:p>
    <w:p>
      <w:pPr>
        <w:ind w:left="1300" w:hanging="644"/>
        <w:spacing w:after="0"/>
        <w:tabs>
          <w:tab w:leader="none" w:pos="1300" w:val="left"/>
        </w:tabs>
        <w:numPr>
          <w:ilvl w:val="0"/>
          <w:numId w:val="198"/>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jc w:val="both"/>
        <w:ind w:firstLine="1304"/>
        <w:spacing w:after="0" w:line="253" w:lineRule="auto"/>
        <w:tabs>
          <w:tab w:leader="none" w:pos="1939" w:val="left"/>
        </w:tabs>
        <w:numPr>
          <w:ilvl w:val="1"/>
          <w:numId w:val="198"/>
        </w:numPr>
        <w:rPr>
          <w:rFonts w:ascii="Arial" w:cs="Arial" w:eastAsia="Arial" w:hAnsi="Arial"/>
          <w:sz w:val="22"/>
          <w:szCs w:val="22"/>
          <w:b w:val="1"/>
          <w:bCs w:val="1"/>
          <w:color w:val="auto"/>
        </w:rPr>
      </w:pPr>
      <w:r>
        <w:rPr>
          <w:rFonts w:ascii="Arial" w:cs="Arial" w:eastAsia="Arial" w:hAnsi="Arial"/>
          <w:sz w:val="22"/>
          <w:szCs w:val="22"/>
          <w:color w:val="auto"/>
        </w:rPr>
        <w:t>All covenants and agreements hereunder shall inure to the benefit of, and be enforceable by the Company’s successors and assigns, if any. Your rights and obligations under your Award may only be assigned with the prior written consent of the Company.</w:t>
      </w:r>
    </w:p>
    <w:p>
      <w:pPr>
        <w:spacing w:after="0" w:line="185"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1"/>
          <w:numId w:val="198"/>
        </w:numPr>
        <w:rPr>
          <w:rFonts w:ascii="Arial" w:cs="Arial" w:eastAsia="Arial" w:hAnsi="Arial"/>
          <w:sz w:val="22"/>
          <w:szCs w:val="22"/>
          <w:b w:val="1"/>
          <w:bCs w:val="1"/>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32" w:name="page233"/>
    <w:bookmarkEnd w:id="232"/>
    <w:p>
      <w:pPr>
        <w:ind w:firstLine="1304"/>
        <w:spacing w:after="0" w:line="343" w:lineRule="auto"/>
        <w:tabs>
          <w:tab w:leader="none" w:pos="1941" w:val="left"/>
        </w:tabs>
        <w:numPr>
          <w:ilvl w:val="1"/>
          <w:numId w:val="199"/>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04" w:lineRule="exact"/>
        <w:rPr>
          <w:rFonts w:ascii="Arial" w:cs="Arial" w:eastAsia="Arial" w:hAnsi="Arial"/>
          <w:sz w:val="19"/>
          <w:szCs w:val="19"/>
          <w:b w:val="1"/>
          <w:bCs w:val="1"/>
          <w:color w:val="auto"/>
        </w:rPr>
      </w:pPr>
    </w:p>
    <w:p>
      <w:pPr>
        <w:jc w:val="both"/>
        <w:ind w:firstLine="1304"/>
        <w:spacing w:after="0" w:line="253" w:lineRule="auto"/>
        <w:tabs>
          <w:tab w:leader="none" w:pos="1938" w:val="left"/>
        </w:tabs>
        <w:numPr>
          <w:ilvl w:val="1"/>
          <w:numId w:val="199"/>
        </w:numPr>
        <w:rPr>
          <w:rFonts w:ascii="Arial" w:cs="Arial" w:eastAsia="Arial" w:hAnsi="Arial"/>
          <w:sz w:val="22"/>
          <w:szCs w:val="22"/>
          <w:b w:val="1"/>
          <w:bCs w:val="1"/>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9" w:lineRule="exact"/>
        <w:rPr>
          <w:rFonts w:ascii="Arial" w:cs="Arial" w:eastAsia="Arial" w:hAnsi="Arial"/>
          <w:sz w:val="22"/>
          <w:szCs w:val="22"/>
          <w:b w:val="1"/>
          <w:bCs w:val="1"/>
          <w:color w:val="auto"/>
        </w:rPr>
      </w:pPr>
    </w:p>
    <w:p>
      <w:pPr>
        <w:jc w:val="both"/>
        <w:ind w:firstLine="656"/>
        <w:spacing w:after="0" w:line="288" w:lineRule="auto"/>
        <w:tabs>
          <w:tab w:leader="none" w:pos="1296" w:val="left"/>
        </w:tabs>
        <w:numPr>
          <w:ilvl w:val="0"/>
          <w:numId w:val="20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Insider Trading / Market Abuse Laws. </w:t>
      </w:r>
      <w:r>
        <w:rPr>
          <w:rFonts w:ascii="Arial" w:cs="Arial" w:eastAsia="Arial" w:hAnsi="Arial"/>
          <w:sz w:val="19"/>
          <w:szCs w:val="19"/>
          <w:color w:val="auto"/>
        </w:rPr>
        <w:t>You may be subject to insider trading restrictions and/or market abuse</w:t>
      </w:r>
      <w:r>
        <w:rPr>
          <w:rFonts w:ascii="Arial" w:cs="Arial" w:eastAsia="Arial" w:hAnsi="Arial"/>
          <w:sz w:val="19"/>
          <w:szCs w:val="19"/>
          <w:b w:val="1"/>
          <w:bCs w:val="1"/>
          <w:color w:val="auto"/>
        </w:rPr>
        <w:t xml:space="preserve"> </w:t>
      </w:r>
      <w:r>
        <w:rPr>
          <w:rFonts w:ascii="Arial" w:cs="Arial" w:eastAsia="Arial" w:hAnsi="Arial"/>
          <w:sz w:val="19"/>
          <w:szCs w:val="19"/>
          <w:color w:val="auto"/>
        </w:rPr>
        <w:t>laws based on the exchange on which the Ordinary Shares are listed and in applicable jurisdictions including the United States and your country or your broker’s country, if different, which may affect your ability to accept, acquire, sell or otherwise dispose of Ordinary Shares, rights to Ordinary Shares (e.g., RSUs) or rights linked to the value of Ordinary Shares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(a) disclosing the inside information to any third party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153" w:lineRule="exact"/>
        <w:rPr>
          <w:rFonts w:ascii="Arial" w:cs="Arial" w:eastAsia="Arial" w:hAnsi="Arial"/>
          <w:sz w:val="19"/>
          <w:szCs w:val="19"/>
          <w:b w:val="1"/>
          <w:bCs w:val="1"/>
          <w:color w:val="auto"/>
        </w:rPr>
      </w:pPr>
    </w:p>
    <w:p>
      <w:pPr>
        <w:jc w:val="both"/>
        <w:ind w:firstLine="656"/>
        <w:spacing w:after="0" w:line="247" w:lineRule="auto"/>
        <w:tabs>
          <w:tab w:leader="none" w:pos="1296" w:val="left"/>
        </w:tabs>
        <w:numPr>
          <w:ilvl w:val="0"/>
          <w:numId w:val="20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Foreign Asset/Account, Exchange Control and Tax Reporting. </w:t>
      </w:r>
      <w:r>
        <w:rPr>
          <w:rFonts w:ascii="Arial" w:cs="Arial" w:eastAsia="Arial" w:hAnsi="Arial"/>
          <w:sz w:val="22"/>
          <w:szCs w:val="22"/>
          <w:color w:val="auto"/>
        </w:rPr>
        <w:t>You may be subject to foreign asset/account,</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control and/or tax reporting requirements as a result of the acquisition, holding and/or transfer of Ordinary Shares or cash (including dividends and the proceeds arising from the sale of Ordinary Shares) derived from your participation in the Plan, to and/or from a brokerage/bank account or legal entity located outside your country. The applicable laws of your country may require that you report such accounts, assets, the balances therein, the value thereof and/or the transactions related thereto to the applicable authorities in such country. You acknowledge that you are responsible for ensuring compliance with any applicable foreign asset/account, exchange control and tax reporting requirements and should consult your personal legal advisor on this matter.</w:t>
      </w:r>
    </w:p>
    <w:p>
      <w:pPr>
        <w:spacing w:after="0" w:line="185" w:lineRule="exact"/>
        <w:rPr>
          <w:rFonts w:ascii="Arial" w:cs="Arial" w:eastAsia="Arial" w:hAnsi="Arial"/>
          <w:sz w:val="22"/>
          <w:szCs w:val="22"/>
          <w:b w:val="1"/>
          <w:bCs w:val="1"/>
          <w:color w:val="auto"/>
        </w:rPr>
      </w:pPr>
    </w:p>
    <w:p>
      <w:pPr>
        <w:jc w:val="both"/>
        <w:ind w:firstLine="656"/>
        <w:spacing w:after="0" w:line="295" w:lineRule="auto"/>
        <w:tabs>
          <w:tab w:leader="none" w:pos="1296" w:val="left"/>
        </w:tabs>
        <w:numPr>
          <w:ilvl w:val="0"/>
          <w:numId w:val="20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Your Award is subject to all the provisions of the Plan, the provisions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33" w:name="page234"/>
    <w:bookmarkEnd w:id="233"/>
    <w:p>
      <w:pPr>
        <w:spacing w:after="0"/>
        <w:rPr>
          <w:sz w:val="20"/>
          <w:szCs w:val="20"/>
          <w:color w:val="auto"/>
        </w:rPr>
      </w:pPr>
      <w:r>
        <w:rPr>
          <w:rFonts w:ascii="Arial" w:cs="Arial" w:eastAsia="Arial" w:hAnsi="Arial"/>
          <w:sz w:val="21"/>
          <w:szCs w:val="21"/>
          <w:color w:val="auto"/>
        </w:rPr>
        <w:t>clawback policy adopted by the Company and any compensation recovery policy otherwise required by applicable law.</w:t>
      </w:r>
    </w:p>
    <w:p>
      <w:pPr>
        <w:spacing w:after="0" w:line="225" w:lineRule="exact"/>
        <w:rPr>
          <w:sz w:val="20"/>
          <w:szCs w:val="20"/>
          <w:color w:val="auto"/>
        </w:rPr>
      </w:pPr>
    </w:p>
    <w:p>
      <w:pPr>
        <w:jc w:val="both"/>
        <w:ind w:firstLine="656"/>
        <w:spacing w:after="0" w:line="249" w:lineRule="auto"/>
        <w:tabs>
          <w:tab w:leader="none" w:pos="1296"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Agreement or the Plan is declared by any court or governmental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6" w:lineRule="exact"/>
        <w:rPr>
          <w:rFonts w:ascii="Arial" w:cs="Arial" w:eastAsia="Arial" w:hAnsi="Arial"/>
          <w:sz w:val="22"/>
          <w:szCs w:val="22"/>
          <w:b w:val="1"/>
          <w:bCs w:val="1"/>
          <w:color w:val="auto"/>
        </w:rPr>
      </w:pPr>
    </w:p>
    <w:p>
      <w:pPr>
        <w:jc w:val="both"/>
        <w:ind w:firstLine="656"/>
        <w:spacing w:after="0" w:line="315" w:lineRule="auto"/>
        <w:tabs>
          <w:tab w:leader="none" w:pos="1296" w:val="left"/>
        </w:tabs>
        <w:numPr>
          <w:ilvl w:val="0"/>
          <w:numId w:val="2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you, the provisions of this Agreement in any way it may deem necessary or advisable for legal or administrative reasons, and to require you to sign any additional agreements or undertakings that may be necessary to accomplish the foregoing.</w:t>
      </w:r>
    </w:p>
    <w:p>
      <w:pPr>
        <w:spacing w:after="0" w:line="125" w:lineRule="exact"/>
        <w:rPr>
          <w:rFonts w:ascii="Arial" w:cs="Arial" w:eastAsia="Arial" w:hAnsi="Arial"/>
          <w:sz w:val="19"/>
          <w:szCs w:val="19"/>
          <w:b w:val="1"/>
          <w:bCs w:val="1"/>
          <w:color w:val="auto"/>
        </w:rPr>
      </w:pPr>
    </w:p>
    <w:p>
      <w:pPr>
        <w:ind w:firstLine="656"/>
        <w:spacing w:after="0" w:line="269" w:lineRule="auto"/>
        <w:tabs>
          <w:tab w:leader="none" w:pos="1296"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Sections in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a part of this Agreement or to affect the meaning of this Agreement.</w:t>
      </w:r>
    </w:p>
    <w:p>
      <w:pPr>
        <w:spacing w:after="0" w:line="161"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any other provision of this Agreement, or of any subsequent breach by you or any other Participant.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By signing the Non-U.S. Restricted Stock Unit Award Grant Notice to which this Non-U.S. Restricted Stock Unit Award Agreement is attached, you shall be deemed to have signed and agreed to the terms and conditions of this Non-U.S. Restricted Stock Unit Award Agreement.</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2"/>
          <w:szCs w:val="22"/>
          <w:b w:val="1"/>
          <w:bCs w:val="1"/>
          <w:color w:val="auto"/>
        </w:rPr>
        <w:t>APPENDIX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RESTRICTED STOCK UNIT AWARD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Appendix contains additional terms and conditions that govern the Award granted under the Plan to you if you reside and/or work in one of the countries listed below. Certain capitalized terms used but not defined in this Appendix have the meanings set forth in the Plan and/or the Agreement.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you are a citizen or resident of a country other than the one in which you are currently working, transfer employment and/or residency after the RSUs are granted, or are considered a resident of another country for local law purposes, the information contained herein may not be applicable to you, and the Company shall, in its discretion, determine to what extent the terms and conditions contained herein shall apply to you.</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Appendix contains information regarding exchange controls and certain other issues of which you should be aware with respect to participation in the Plan. The information is based on the securities, exchange control, and other laws in effect in the respective countries as of January 2021.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vest in the RSUs or sell Ordinary Shares acquired pursuant thereto.</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AUSTRALIA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Australia Offer Document. </w:t>
      </w:r>
      <w:r>
        <w:rPr>
          <w:rFonts w:ascii="Arial" w:cs="Arial" w:eastAsia="Arial" w:hAnsi="Arial"/>
          <w:sz w:val="22"/>
          <w:szCs w:val="22"/>
          <w:color w:val="auto"/>
        </w:rPr>
        <w:t>The RSUs are intended to comply with the provisions of the Corporations Act 2001, Australia</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and Investments Commission (“</w:t>
      </w:r>
      <w:r>
        <w:rPr>
          <w:rFonts w:ascii="Arial" w:cs="Arial" w:eastAsia="Arial" w:hAnsi="Arial"/>
          <w:sz w:val="22"/>
          <w:szCs w:val="22"/>
          <w:b w:val="1"/>
          <w:bCs w:val="1"/>
          <w:i w:val="1"/>
          <w:iCs w:val="1"/>
          <w:color w:val="auto"/>
        </w:rPr>
        <w:t>ASIC</w:t>
      </w:r>
      <w:r>
        <w:rPr>
          <w:rFonts w:ascii="Arial" w:cs="Arial" w:eastAsia="Arial" w:hAnsi="Arial"/>
          <w:sz w:val="22"/>
          <w:szCs w:val="22"/>
          <w:color w:val="auto"/>
        </w:rPr>
        <w:t>”) Regulatory Guide 49 and ASIC Class Order 14/1000. Additional details are set forth in the Offer Document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Subdivision 83A-C of the Income Tax Assessment Act 1997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applies to the RSUs granted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terms and conditions of the Grant Notice, the Plan and the Agreement (subject to the requirements of the Act).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Exchange control reporting is required for cash transactions exceeding AUD 10,000 and</w:t>
      </w:r>
      <w:r>
        <w:rPr>
          <w:rFonts w:ascii="Arial" w:cs="Arial" w:eastAsia="Arial" w:hAnsi="Arial"/>
          <w:sz w:val="21"/>
          <w:szCs w:val="21"/>
          <w:b w:val="1"/>
          <w:bCs w:val="1"/>
          <w:color w:val="auto"/>
        </w:rPr>
        <w:t xml:space="preserve"> </w:t>
      </w:r>
      <w:r>
        <w:rPr>
          <w:rFonts w:ascii="Arial" w:cs="Arial" w:eastAsia="Arial" w:hAnsi="Arial"/>
          <w:sz w:val="21"/>
          <w:szCs w:val="21"/>
          <w:color w:val="auto"/>
        </w:rPr>
        <w:t>international fund transfers. If an Australian bank is assisting you with the transaction, the bank will file the report on your behalf. If there is no Australian bank involved with the transfer, you will be required to file the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OF RESTRICTED STOCK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AUSTRALIAN RESIDENT EMPLOYEES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Jazz Pharmaceuticals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Equity Incentive Plan</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Offer</w:t>
      </w:r>
      <w:r>
        <w:rPr>
          <w:rFonts w:ascii="Arial" w:cs="Arial" w:eastAsia="Arial" w:hAnsi="Arial"/>
          <w:sz w:val="21"/>
          <w:szCs w:val="21"/>
          <w:color w:val="auto"/>
        </w:rPr>
        <w:t>. We are pleased to provide you with this offer to participate in the Plan. This offer sets out information regarding the grant</w:t>
      </w:r>
      <w:r>
        <w:rPr>
          <w:rFonts w:ascii="Arial" w:cs="Arial" w:eastAsia="Arial" w:hAnsi="Arial"/>
          <w:sz w:val="21"/>
          <w:szCs w:val="21"/>
          <w:b w:val="1"/>
          <w:bCs w:val="1"/>
          <w:color w:val="auto"/>
        </w:rPr>
        <w:t xml:space="preserve"> </w:t>
      </w:r>
      <w:r>
        <w:rPr>
          <w:rFonts w:ascii="Arial" w:cs="Arial" w:eastAsia="Arial" w:hAnsi="Arial"/>
          <w:sz w:val="21"/>
          <w:szCs w:val="21"/>
          <w:color w:val="auto"/>
        </w:rPr>
        <w:t>of RSUs to Australian resident employees of the Company and its Affiliates (“</w:t>
      </w:r>
      <w:r>
        <w:rPr>
          <w:rFonts w:ascii="Arial" w:cs="Arial" w:eastAsia="Arial" w:hAnsi="Arial"/>
          <w:sz w:val="21"/>
          <w:szCs w:val="21"/>
          <w:b w:val="1"/>
          <w:bCs w:val="1"/>
          <w:i w:val="1"/>
          <w:iCs w:val="1"/>
          <w:color w:val="auto"/>
        </w:rPr>
        <w:t>Australian Participants</w:t>
      </w:r>
      <w:r>
        <w:rPr>
          <w:rFonts w:ascii="Arial" w:cs="Arial" w:eastAsia="Arial" w:hAnsi="Arial"/>
          <w:sz w:val="21"/>
          <w:szCs w:val="21"/>
          <w:color w:val="auto"/>
        </w:rPr>
        <w:t>”). This information is provided by the Company to ensure compliance with the Australian Securities and Investments Commission (“</w:t>
      </w:r>
      <w:r>
        <w:rPr>
          <w:rFonts w:ascii="Arial" w:cs="Arial" w:eastAsia="Arial" w:hAnsi="Arial"/>
          <w:sz w:val="21"/>
          <w:szCs w:val="21"/>
          <w:b w:val="1"/>
          <w:bCs w:val="1"/>
          <w:i w:val="1"/>
          <w:iCs w:val="1"/>
          <w:color w:val="auto"/>
        </w:rPr>
        <w:t>ASIC</w:t>
      </w:r>
      <w:r>
        <w:rPr>
          <w:rFonts w:ascii="Arial" w:cs="Arial" w:eastAsia="Arial" w:hAnsi="Arial"/>
          <w:sz w:val="21"/>
          <w:szCs w:val="21"/>
          <w:color w:val="auto"/>
        </w:rPr>
        <w:t xml:space="preserve">”) Class Order 14/1000 and the relevant provisions of the </w:t>
      </w:r>
      <w:r>
        <w:rPr>
          <w:rFonts w:ascii="Arial" w:cs="Arial" w:eastAsia="Arial" w:hAnsi="Arial"/>
          <w:sz w:val="21"/>
          <w:szCs w:val="21"/>
          <w:i w:val="1"/>
          <w:iCs w:val="1"/>
          <w:color w:val="auto"/>
        </w:rPr>
        <w:t>Corporations Act 2001</w:t>
      </w:r>
      <w:r>
        <w:rPr>
          <w:rFonts w:ascii="Arial" w:cs="Arial" w:eastAsia="Arial" w:hAnsi="Arial"/>
          <w:sz w:val="21"/>
          <w:szCs w:val="2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In addition to the information set out in the Agreement, Australian Participants are also being provided with copies of the</w:t>
      </w:r>
    </w:p>
    <w:p>
      <w:pPr>
        <w:spacing w:after="0" w:line="223" w:lineRule="auto"/>
        <w:rPr>
          <w:sz w:val="20"/>
          <w:szCs w:val="20"/>
          <w:color w:val="auto"/>
        </w:rPr>
      </w:pPr>
      <w:r>
        <w:rPr>
          <w:rFonts w:ascii="Arial" w:cs="Arial" w:eastAsia="Arial" w:hAnsi="Arial"/>
          <w:sz w:val="22"/>
          <w:szCs w:val="22"/>
          <w:color w:val="auto"/>
        </w:rPr>
        <w:t>following documents, which are available on the Company’s internal website</w:t>
      </w: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0000FF"/>
        </w:rPr>
        <w:t>https://jazzpharma.sharepoint.com/sites/EmployeeResources/SitePages/Stock-Plan-Services-Australia.aspx</w:t>
      </w:r>
      <w:r>
        <w:rPr>
          <w:rFonts w:ascii="Arial" w:cs="Arial" w:eastAsia="Arial" w:hAnsi="Arial"/>
          <w:sz w:val="22"/>
          <w:szCs w:val="22"/>
          <w:color w:val="auto"/>
        </w:rPr>
        <w:t>):</w:t>
      </w:r>
    </w:p>
    <w:p>
      <w:pPr>
        <w:spacing w:after="0" w:line="215" w:lineRule="exact"/>
        <w:rPr>
          <w:sz w:val="20"/>
          <w:szCs w:val="20"/>
          <w:color w:val="auto"/>
        </w:rPr>
      </w:pPr>
    </w:p>
    <w:p>
      <w:pPr>
        <w:ind w:left="1300" w:hanging="644"/>
        <w:spacing w:after="0"/>
        <w:tabs>
          <w:tab w:leader="none" w:pos="13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Plan;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Plan Prospectus; and</w:t>
      </w:r>
    </w:p>
    <w:p>
      <w:pPr>
        <w:spacing w:after="0" w:line="219" w:lineRule="exact"/>
        <w:rPr>
          <w:rFonts w:ascii="Arial" w:cs="Arial" w:eastAsia="Arial" w:hAnsi="Arial"/>
          <w:sz w:val="22"/>
          <w:szCs w:val="22"/>
          <w:color w:val="auto"/>
        </w:rPr>
      </w:pPr>
    </w:p>
    <w:p>
      <w:pPr>
        <w:ind w:left="660" w:right="6400" w:hanging="4"/>
        <w:spacing w:after="0" w:line="519" w:lineRule="auto"/>
        <w:tabs>
          <w:tab w:leader="none" w:pos="130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Employee Tax Supplement for Australia. (collectively, the “</w:t>
      </w:r>
      <w:r>
        <w:rPr>
          <w:rFonts w:ascii="Arial" w:cs="Arial" w:eastAsia="Arial" w:hAnsi="Arial"/>
          <w:sz w:val="19"/>
          <w:szCs w:val="19"/>
          <w:b w:val="1"/>
          <w:bCs w:val="1"/>
          <w:i w:val="1"/>
          <w:iCs w:val="1"/>
          <w:color w:val="auto"/>
        </w:rPr>
        <w:t>Additional Documents</w:t>
      </w:r>
      <w:r>
        <w:rPr>
          <w:rFonts w:ascii="Arial" w:cs="Arial" w:eastAsia="Arial" w:hAnsi="Arial"/>
          <w:sz w:val="19"/>
          <w:szCs w:val="19"/>
          <w:color w:val="auto"/>
        </w:rPr>
        <w:t>”).</w:t>
      </w:r>
    </w:p>
    <w:p>
      <w:pPr>
        <w:jc w:val="both"/>
        <w:spacing w:after="0" w:line="253" w:lineRule="auto"/>
        <w:rPr>
          <w:sz w:val="20"/>
          <w:szCs w:val="20"/>
          <w:color w:val="auto"/>
        </w:rPr>
      </w:pPr>
      <w:r>
        <w:rPr>
          <w:rFonts w:ascii="Arial" w:cs="Arial" w:eastAsia="Arial" w:hAnsi="Arial"/>
          <w:sz w:val="22"/>
          <w:szCs w:val="22"/>
          <w:color w:val="auto"/>
        </w:rPr>
        <w:t xml:space="preserve">The Additional Documents provide further information to help Australian Participants make an informed investment decision about participating in the Plan. Neither the Plan nor the Plan Prospectus is a prospectus for purposes of the </w:t>
      </w:r>
      <w:r>
        <w:rPr>
          <w:rFonts w:ascii="Arial" w:cs="Arial" w:eastAsia="Arial" w:hAnsi="Arial"/>
          <w:sz w:val="22"/>
          <w:szCs w:val="22"/>
          <w:i w:val="1"/>
          <w:iCs w:val="1"/>
          <w:color w:val="auto"/>
        </w:rPr>
        <w:t>Corporations Act</w:t>
      </w:r>
      <w:r>
        <w:rPr>
          <w:rFonts w:ascii="Arial" w:cs="Arial" w:eastAsia="Arial" w:hAnsi="Arial"/>
          <w:sz w:val="22"/>
          <w:szCs w:val="22"/>
          <w:color w:val="auto"/>
        </w:rPr>
        <w:t xml:space="preserve"> </w:t>
      </w:r>
      <w:r>
        <w:rPr>
          <w:rFonts w:ascii="Arial" w:cs="Arial" w:eastAsia="Arial" w:hAnsi="Arial"/>
          <w:sz w:val="22"/>
          <w:szCs w:val="22"/>
          <w:i w:val="1"/>
          <w:iCs w:val="1"/>
          <w:color w:val="auto"/>
        </w:rPr>
        <w:t>2001</w:t>
      </w:r>
      <w:r>
        <w:rPr>
          <w:rFonts w:ascii="Arial" w:cs="Arial" w:eastAsia="Arial" w:hAnsi="Arial"/>
          <w:sz w:val="22"/>
          <w:szCs w:val="22"/>
          <w:color w:val="auto"/>
        </w:rPr>
        <w:t>.</w:t>
      </w:r>
    </w:p>
    <w:p>
      <w:pPr>
        <w:spacing w:after="0" w:line="18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Australian Participants should not rely upon any oral statements made in relation to this offer. Australian Participants should rely only upon the statements contained in the Agreement and the Additional Documents when considering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36" w:name="page237"/>
    <w:bookmarkEnd w:id="236"/>
    <w:p>
      <w:pPr>
        <w:jc w:val="both"/>
        <w:spacing w:after="0" w:line="256" w:lineRule="auto"/>
        <w:rPr>
          <w:sz w:val="20"/>
          <w:szCs w:val="20"/>
          <w:color w:val="auto"/>
        </w:rPr>
      </w:pPr>
      <w:r>
        <w:rPr>
          <w:rFonts w:ascii="Arial" w:cs="Arial" w:eastAsia="Arial" w:hAnsi="Arial"/>
          <w:sz w:val="22"/>
          <w:szCs w:val="22"/>
          <w:b w:val="1"/>
          <w:bCs w:val="1"/>
          <w:color w:val="auto"/>
        </w:rPr>
        <w:t>Securities Law Notification</w:t>
      </w:r>
      <w:r>
        <w:rPr>
          <w:rFonts w:ascii="Arial" w:cs="Arial" w:eastAsia="Arial" w:hAnsi="Arial"/>
          <w:sz w:val="22"/>
          <w:szCs w:val="22"/>
          <w:color w:val="auto"/>
        </w:rPr>
        <w:t>. Investment in Ordinary Shares involves a degree of risk. Australian Participants should monitor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participation and consider all risk factors relevant to the acquisition of Ordinary Shares under the Plan as set forth below and in the Additional Documents.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information herein is general information only. It is not advice or information that takes into account Australian Participants’ objectives, financial situations or needs.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Australian Participants should consider obtaining their own financial product advice from a person who is licensed by ASIC to give such advice.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Additional Risk Factors for Australian Participants. </w:t>
      </w:r>
      <w:r>
        <w:rPr>
          <w:rFonts w:ascii="Arial" w:cs="Arial" w:eastAsia="Arial" w:hAnsi="Arial"/>
          <w:sz w:val="21"/>
          <w:szCs w:val="21"/>
          <w:color w:val="auto"/>
        </w:rPr>
        <w:t>Australian Participants should have regard to risk factors relevant to</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in securities generally and, in particular, to the holding of Ordinary Shares. For example, the price at which Ordinary Shares are quoted on the Nasdaq may increase or decrease due to a number of factors. There is no guarantee that the price of the Ordinary Shares will increase. Factors which may affect the price of Ordinary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More information about potential factors that could affect the Company’s business and financial results are included in the Company’s most recent Annual Report on Form 10-K and the Company’s Quarterly Report on Form 10-Q, available upon request. In addition, Australian Participants should be aware that the Australian dollar equivalent of the value of Ordinary Shares acquired at vesting/settlement will be affected by the US$/A$ exchange rate. Participation in the Plan involves certain risks related to fluctuations in this rate of exchange.</w:t>
      </w:r>
    </w:p>
    <w:p>
      <w:pPr>
        <w:spacing w:after="0" w:line="186"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Common Stock in a U.S. Corporation</w:t>
      </w:r>
      <w:r>
        <w:rPr>
          <w:rFonts w:ascii="Arial" w:cs="Arial" w:eastAsia="Arial" w:hAnsi="Arial"/>
          <w:sz w:val="19"/>
          <w:szCs w:val="19"/>
          <w:color w:val="auto"/>
        </w:rPr>
        <w:t>. Common stock of a U.S. corporation is analogous to ordinary shares of an Australian</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Each holder of common stock is entitled to one vote for every Ordinary Share held in the Company.</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Dividends may be paid on the Ordinary Shares out of any funds of the Company legally available for dividends at the discretion of the Board.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Ordinary Shares are currently traded on the Nasdaq Global Select Market (the “</w:t>
      </w:r>
      <w:r>
        <w:rPr>
          <w:rFonts w:ascii="Arial" w:cs="Arial" w:eastAsia="Arial" w:hAnsi="Arial"/>
          <w:sz w:val="22"/>
          <w:szCs w:val="22"/>
          <w:b w:val="1"/>
          <w:bCs w:val="1"/>
          <w:i w:val="1"/>
          <w:iCs w:val="1"/>
          <w:color w:val="auto"/>
        </w:rPr>
        <w:t>Nasdaq</w:t>
      </w:r>
      <w:r>
        <w:rPr>
          <w:rFonts w:ascii="Arial" w:cs="Arial" w:eastAsia="Arial" w:hAnsi="Arial"/>
          <w:sz w:val="22"/>
          <w:szCs w:val="22"/>
          <w:color w:val="auto"/>
        </w:rPr>
        <w:t>”) in the United States of America under the symbol “JAZZ.”</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Ordinary Shares are not liable to any further calls for payment of capital or for other assessment by the Company and have no sinking fund provisions, pre-emptive rights, conversion rights or redemption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37" w:name="page238"/>
    <w:bookmarkEnd w:id="237"/>
    <w:p>
      <w:pPr>
        <w:jc w:val="both"/>
        <w:spacing w:after="0" w:line="274" w:lineRule="auto"/>
        <w:rPr>
          <w:sz w:val="20"/>
          <w:szCs w:val="20"/>
          <w:color w:val="auto"/>
        </w:rPr>
      </w:pPr>
      <w:r>
        <w:rPr>
          <w:rFonts w:ascii="Arial" w:cs="Arial" w:eastAsia="Arial" w:hAnsi="Arial"/>
          <w:sz w:val="21"/>
          <w:szCs w:val="21"/>
          <w:b w:val="1"/>
          <w:bCs w:val="1"/>
          <w:color w:val="auto"/>
        </w:rPr>
        <w:t xml:space="preserve">Ascertaining the Market Price of Shares. </w:t>
      </w:r>
      <w:r>
        <w:rPr>
          <w:rFonts w:ascii="Arial" w:cs="Arial" w:eastAsia="Arial" w:hAnsi="Arial"/>
          <w:sz w:val="21"/>
          <w:szCs w:val="21"/>
          <w:color w:val="auto"/>
        </w:rPr>
        <w:t>Australian Participants may ascertain the current or historical market price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Ordinary Shares as traded on the Nasdaq at </w:t>
      </w:r>
      <w:r>
        <w:rPr>
          <w:rFonts w:ascii="Arial" w:cs="Arial" w:eastAsia="Arial" w:hAnsi="Arial"/>
          <w:sz w:val="21"/>
          <w:szCs w:val="21"/>
          <w:u w:val="single" w:color="auto"/>
          <w:color w:val="0000FF"/>
        </w:rPr>
        <w:t>http://www.nasdaq.com</w:t>
      </w:r>
      <w:r>
        <w:rPr>
          <w:rFonts w:ascii="Arial" w:cs="Arial" w:eastAsia="Arial" w:hAnsi="Arial"/>
          <w:sz w:val="21"/>
          <w:szCs w:val="21"/>
          <w:color w:val="auto"/>
        </w:rPr>
        <w:t xml:space="preserve"> under the symbol “JAZZ.” The Australian dollar equivalent of that price can be obtained at: </w:t>
      </w:r>
      <w:r>
        <w:rPr>
          <w:rFonts w:ascii="Arial" w:cs="Arial" w:eastAsia="Arial" w:hAnsi="Arial"/>
          <w:sz w:val="21"/>
          <w:szCs w:val="21"/>
          <w:u w:val="single" w:color="auto"/>
          <w:color w:val="0000FF"/>
        </w:rPr>
        <w:t>http://www.rba.gov.au/statistics/frequency/exchange-rates.html.</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This will not be a prediction of what the market price per Ordinary Share will be when the RSUs vest or settle or of the applicable exchange rate on the actual date of vesting or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b w:val="1"/>
          <w:bCs w:val="1"/>
          <w:color w:val="auto"/>
        </w:rPr>
        <w:t>AUSTRIA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If you hold Ordinary Shares acquired under the Plan outside of Austria, you must submit a</w:t>
      </w:r>
      <w:r>
        <w:rPr>
          <w:rFonts w:ascii="Arial" w:cs="Arial" w:eastAsia="Arial" w:hAnsi="Arial"/>
          <w:sz w:val="22"/>
          <w:szCs w:val="22"/>
          <w:b w:val="1"/>
          <w:bCs w:val="1"/>
          <w:color w:val="auto"/>
        </w:rPr>
        <w:t xml:space="preserve"> </w:t>
      </w:r>
      <w:r>
        <w:rPr>
          <w:rFonts w:ascii="Arial" w:cs="Arial" w:eastAsia="Arial" w:hAnsi="Arial"/>
          <w:sz w:val="22"/>
          <w:szCs w:val="22"/>
          <w:color w:val="auto"/>
        </w:rPr>
        <w:t>report to the Austrian National Bank. An exemption applies if the value of the Ordinary Shares as of any given quarter does not meet or exceed €30,000,000 or if the value of the Ordinary Shares in any given year as of December 31 does not meet or exceed €5,000,000. If the former threshold is exceeded, quarterly obligations are imposed, whereas if the latter threshold is exceeded, annual reports must be given. The annual reporting date is December 31 and the deadline for filing the annual report is March 31 of the following year.</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separate reporting requirement applies when you sell Ordinary Shares acquired under the Plan or receive a dividend. In that case, there may be exchange control obligations if the cash proceeds are held outside of Austria. If the transaction volume of all accounts abroad meets or exceeds €10,000,000, the movements and balances of all accounts must be reported monthly, as of the last day of the month, on or before the 15th day of the following month, on the prescribed form (</w:t>
      </w:r>
      <w:r>
        <w:rPr>
          <w:rFonts w:ascii="Arial" w:cs="Arial" w:eastAsia="Arial" w:hAnsi="Arial"/>
          <w:sz w:val="22"/>
          <w:szCs w:val="22"/>
          <w:i w:val="1"/>
          <w:iCs w:val="1"/>
          <w:color w:val="auto"/>
        </w:rPr>
        <w:t>Meldungen SI-Forderungen</w:t>
      </w:r>
      <w:r>
        <w:rPr>
          <w:rFonts w:ascii="Arial" w:cs="Arial" w:eastAsia="Arial" w:hAnsi="Arial"/>
          <w:sz w:val="22"/>
          <w:szCs w:val="22"/>
          <w:color w:val="auto"/>
        </w:rPr>
        <w:t xml:space="preserve"> </w:t>
      </w:r>
      <w:r>
        <w:rPr>
          <w:rFonts w:ascii="Arial" w:cs="Arial" w:eastAsia="Arial" w:hAnsi="Arial"/>
          <w:sz w:val="22"/>
          <w:szCs w:val="22"/>
          <w:i w:val="1"/>
          <w:iCs w:val="1"/>
          <w:color w:val="auto"/>
        </w:rPr>
        <w:t>und/oder SI-Verpflichtungen</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BELGIUM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Belgian residents are required to report any securities held (</w:t>
      </w:r>
      <w:r>
        <w:rPr>
          <w:rFonts w:ascii="Arial" w:cs="Arial" w:eastAsia="Arial" w:hAnsi="Arial"/>
          <w:sz w:val="19"/>
          <w:szCs w:val="19"/>
          <w:i w:val="1"/>
          <w:iCs w:val="1"/>
          <w:color w:val="auto"/>
        </w:rPr>
        <w:t>e.g.,</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or bank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accounts (including brokerage accounts) opened and maintained outside of Belgium on their annual tax returns. Belgian residents are also required to complete a separate report, providing the Central Contact Point of the National Bank of Belgium with details regarding any such account, including the account number, the name of the bank in which such account is held and the country in which such account is located the first time they report the foreign security and/or bank account on their annual tax returns. The forms to complete this report are available on the website of the National Bank of Belgium, </w:t>
      </w:r>
      <w:r>
        <w:rPr>
          <w:rFonts w:ascii="Arial" w:cs="Arial" w:eastAsia="Arial" w:hAnsi="Arial"/>
          <w:sz w:val="19"/>
          <w:szCs w:val="19"/>
          <w:u w:val="single" w:color="auto"/>
          <w:color w:val="0000FF"/>
        </w:rPr>
        <w:t>www.nbb.be</w:t>
      </w:r>
      <w:r>
        <w:rPr>
          <w:rFonts w:ascii="Arial" w:cs="Arial" w:eastAsia="Arial" w:hAnsi="Arial"/>
          <w:sz w:val="19"/>
          <w:szCs w:val="19"/>
          <w:color w:val="auto"/>
        </w:rPr>
        <w:t xml:space="preserve">, under </w:t>
      </w:r>
      <w:r>
        <w:rPr>
          <w:rFonts w:ascii="Arial" w:cs="Arial" w:eastAsia="Arial" w:hAnsi="Arial"/>
          <w:sz w:val="19"/>
          <w:szCs w:val="19"/>
          <w:i w:val="1"/>
          <w:iCs w:val="1"/>
          <w:color w:val="auto"/>
        </w:rPr>
        <w:t>Kredietcentrales</w:t>
      </w:r>
    </w:p>
    <w:p>
      <w:pPr>
        <w:spacing w:after="0" w:line="1" w:lineRule="exact"/>
        <w:rPr>
          <w:sz w:val="20"/>
          <w:szCs w:val="20"/>
          <w:color w:val="auto"/>
        </w:rPr>
      </w:pPr>
    </w:p>
    <w:p>
      <w:pPr>
        <w:ind w:firstLine="8"/>
        <w:spacing w:after="0" w:line="246" w:lineRule="auto"/>
        <w:tabs>
          <w:tab w:leader="none" w:pos="141" w:val="left"/>
        </w:tabs>
        <w:numPr>
          <w:ilvl w:val="0"/>
          <w:numId w:val="20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Centrales des crédits </w:t>
      </w:r>
      <w:r>
        <w:rPr>
          <w:rFonts w:ascii="Arial" w:cs="Arial" w:eastAsia="Arial" w:hAnsi="Arial"/>
          <w:sz w:val="22"/>
          <w:szCs w:val="22"/>
          <w:color w:val="auto"/>
        </w:rPr>
        <w:t>caption. You should consult your personal tax advisor to ensure compliance with applicable reporting</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Settlement of RSUs. </w:t>
      </w:r>
      <w:r>
        <w:rPr>
          <w:rFonts w:ascii="Arial" w:cs="Arial" w:eastAsia="Arial" w:hAnsi="Arial"/>
          <w:sz w:val="22"/>
          <w:szCs w:val="22"/>
          <w:color w:val="auto"/>
        </w:rPr>
        <w:t>Notwithstanding any discretion contained in Section 6(b)(iii) of the Plan, the grant of RSUs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any right for you to receive a cash payment; the RSUs are payable in Ordinary Shares only.</w:t>
      </w:r>
    </w:p>
    <w:p>
      <w:pPr>
        <w:spacing w:after="0" w:line="16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Involuntary Termination Terms. </w:t>
      </w:r>
      <w:r>
        <w:rPr>
          <w:rFonts w:ascii="Arial" w:cs="Arial" w:eastAsia="Arial" w:hAnsi="Arial"/>
          <w:sz w:val="19"/>
          <w:szCs w:val="19"/>
          <w:color w:val="auto"/>
        </w:rPr>
        <w:t>Except as otherwise provided in the Agreement, in the event of involuntary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Continuous Service (regardless of the reason for such termination and whether or not later found to be invalid, unlawful or in breach of employment laws in the jurisdiction where you are providing Continuous Service or the terms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39" w:name="page240"/>
    <w:bookmarkEnd w:id="239"/>
    <w:p>
      <w:pPr>
        <w:jc w:val="both"/>
        <w:spacing w:after="0" w:line="288" w:lineRule="auto"/>
        <w:rPr>
          <w:sz w:val="20"/>
          <w:szCs w:val="20"/>
          <w:color w:val="auto"/>
        </w:rPr>
      </w:pPr>
      <w:r>
        <w:rPr>
          <w:rFonts w:ascii="Arial" w:cs="Arial" w:eastAsia="Arial" w:hAnsi="Arial"/>
          <w:sz w:val="19"/>
          <w:szCs w:val="19"/>
          <w:color w:val="auto"/>
        </w:rPr>
        <w:t>employment agreement, if any), except as otherwise set forth in the Agreement, vesting will terminate as of the date that is the earlier of: (1) the date you receive notice of termination of employment from the Employer, or (2) the date you are no longer actively rendering services, regardless of any notice period or period of pay in lieu of such notice required under local law (including, but not limited to, statutory law, regulatory law, and/or common law); the Board or the chief executive officer of the Company or an Affiliate, as applicable, shall have the exclusive discretion to determine when you are no longer actively employed or rendering services for purposes of the RSUs (including whether you may still be considered to be providing services while on a leave of absence). If, notwithstanding the foregoing, applicable employment legislation explicitly requires continued vesting during a statutory notice period, your right to vest in the RSUs, if any, will terminate effective as of the last date of the minimum statutory notice period, but you will not earn or be entitled to pro-rated vesting if the vesting date falls after the end of your statutory notice period, nor will you be entitled to any compensation for lost vesting.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provisions apply if Participant resides in Quebec:</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The parties acknowledge that it is their express wish that the Agreement, as well as</w:t>
      </w:r>
      <w:r>
        <w:rPr>
          <w:rFonts w:ascii="Arial" w:cs="Arial" w:eastAsia="Arial" w:hAnsi="Arial"/>
          <w:sz w:val="22"/>
          <w:szCs w:val="22"/>
          <w:b w:val="1"/>
          <w:bCs w:val="1"/>
          <w:color w:val="auto"/>
        </w:rPr>
        <w:t xml:space="preserve"> </w:t>
      </w:r>
      <w:r>
        <w:rPr>
          <w:rFonts w:ascii="Arial" w:cs="Arial" w:eastAsia="Arial" w:hAnsi="Arial"/>
          <w:sz w:val="22"/>
          <w:szCs w:val="22"/>
          <w:color w:val="auto"/>
        </w:rPr>
        <w:t>all documents, notices and legal proceedings entered into, given or instituted pursuant hereto or relating directly or indirectly hereto, be drawn up in English.</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 xml:space="preserve">Consentement Pour Recevoir Des Informations en Anglais. </w:t>
      </w:r>
      <w:r>
        <w:rPr>
          <w:rFonts w:ascii="Arial" w:cs="Arial" w:eastAsia="Arial" w:hAnsi="Arial"/>
          <w:sz w:val="22"/>
          <w:szCs w:val="22"/>
          <w:i w:val="1"/>
          <w:iCs w:val="1"/>
          <w:color w:val="auto"/>
        </w:rPr>
        <w:t>Les parties reconnaissent avoir exigé la rédaction en anglais de la</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convention, ainsi que de tous documents, avis et procédures judiciaires, exécutés, donnés ou intentés en vertu de, ou liés directement ou indirectement à, la présente convention.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You will not be permitted to sell or otherwise dispose of the Ordinary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within Canada. You will be permitted to sell or dispose of any Ordinary Shares only if such sale or disposal takes place outside of Canada through the facilities of the stock exchange on which the Ordinary Shares are traded (</w:t>
      </w:r>
      <w:r>
        <w:rPr>
          <w:rFonts w:ascii="Arial" w:cs="Arial" w:eastAsia="Arial" w:hAnsi="Arial"/>
          <w:sz w:val="19"/>
          <w:szCs w:val="19"/>
          <w:i w:val="1"/>
          <w:iCs w:val="1"/>
          <w:color w:val="auto"/>
        </w:rPr>
        <w:t>i.e.,</w:t>
      </w:r>
      <w:r>
        <w:rPr>
          <w:rFonts w:ascii="Arial" w:cs="Arial" w:eastAsia="Arial" w:hAnsi="Arial"/>
          <w:sz w:val="19"/>
          <w:szCs w:val="19"/>
          <w:color w:val="auto"/>
        </w:rPr>
        <w:t xml:space="preserve"> Nasdaq).</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Foreign Asset / Account Reporting. </w:t>
      </w:r>
      <w:r>
        <w:rPr>
          <w:rFonts w:ascii="Arial" w:cs="Arial" w:eastAsia="Arial" w:hAnsi="Arial"/>
          <w:sz w:val="21"/>
          <w:szCs w:val="21"/>
          <w:color w:val="auto"/>
        </w:rPr>
        <w:t>Canadian residents are required to report any foreign specified property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unvested RSUs and Ordinary Shares) annually on Form T1135 (Foreign Income Verification Statement) if the total cost of the foreign specified property exceeds C$100,000 at any time during the year. The form must be filed by April 30th of the following year. RSUs must be reported - generally at a nil cost - if the C$100,000 cost threshold is exceeded because of other foreign specified property. When Ordinary Shares are acquired, their cost generally is the adjusted cost base (“</w:t>
      </w:r>
      <w:r>
        <w:rPr>
          <w:rFonts w:ascii="Arial" w:cs="Arial" w:eastAsia="Arial" w:hAnsi="Arial"/>
          <w:sz w:val="21"/>
          <w:szCs w:val="21"/>
          <w:b w:val="1"/>
          <w:bCs w:val="1"/>
          <w:i w:val="1"/>
          <w:iCs w:val="1"/>
          <w:color w:val="auto"/>
        </w:rPr>
        <w:t>ACB</w:t>
      </w:r>
      <w:r>
        <w:rPr>
          <w:rFonts w:ascii="Arial" w:cs="Arial" w:eastAsia="Arial" w:hAnsi="Arial"/>
          <w:sz w:val="21"/>
          <w:szCs w:val="21"/>
          <w:color w:val="auto"/>
        </w:rPr>
        <w:t>”) of the Ordinary Shares. The ACB would ordinarily equal the fair market value of the Ordinary Shares at the time of acquisition, but if other shares are also owned, this ACB may have to be averaged with the ACB of the other shares. You should consult your personal tax advisor to ensure compliance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b w:val="1"/>
          <w:bCs w:val="1"/>
          <w:color w:val="auto"/>
        </w:rPr>
        <w:t>DENMARK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ind w:right="20"/>
        <w:spacing w:after="0" w:line="349" w:lineRule="auto"/>
        <w:rPr>
          <w:sz w:val="20"/>
          <w:szCs w:val="20"/>
          <w:color w:val="auto"/>
        </w:rPr>
      </w:pPr>
      <w:r>
        <w:rPr>
          <w:rFonts w:ascii="Arial" w:cs="Arial" w:eastAsia="Arial" w:hAnsi="Arial"/>
          <w:sz w:val="19"/>
          <w:szCs w:val="19"/>
          <w:b w:val="1"/>
          <w:bCs w:val="1"/>
          <w:color w:val="auto"/>
        </w:rPr>
        <w:t>Special Notice for Employees in Denmark</w:t>
      </w:r>
      <w:r>
        <w:rPr>
          <w:rFonts w:ascii="Arial" w:cs="Arial" w:eastAsia="Arial" w:hAnsi="Arial"/>
          <w:sz w:val="19"/>
          <w:szCs w:val="19"/>
          <w:color w:val="auto"/>
        </w:rPr>
        <w:t>. A Special Notice for Employees in Denmark, Employer Statement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Danish Act on Stock Options, as amended effective January 1, 2019, will be provided to you under separate cover.</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FRANCE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grant, you confirm that you have read and understood the documents relating to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the Agreement, including this Appendix) which were provided in the English language. You accept the terms of these documents accordingly.</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les documents relatifs</w:t>
      </w:r>
    </w:p>
    <w:p>
      <w:pPr>
        <w:spacing w:after="0" w:line="56" w:lineRule="exact"/>
        <w:rPr>
          <w:sz w:val="20"/>
          <w:szCs w:val="20"/>
          <w:color w:val="auto"/>
        </w:rPr>
      </w:pPr>
    </w:p>
    <w:p>
      <w:pPr>
        <w:ind w:firstLine="8"/>
        <w:spacing w:after="0" w:line="246" w:lineRule="auto"/>
        <w:tabs>
          <w:tab w:leader="none" w:pos="181" w:val="left"/>
        </w:tabs>
        <w:numPr>
          <w:ilvl w:val="0"/>
          <w:numId w:val="204"/>
        </w:numPr>
        <w:rPr>
          <w:rFonts w:ascii="Arial" w:cs="Arial" w:eastAsia="Arial" w:hAnsi="Arial"/>
          <w:sz w:val="22"/>
          <w:szCs w:val="22"/>
          <w:i w:val="1"/>
          <w:iCs w:val="1"/>
          <w:color w:val="auto"/>
        </w:rPr>
      </w:pPr>
      <w:r>
        <w:rPr>
          <w:rFonts w:ascii="Arial" w:cs="Arial" w:eastAsia="Arial" w:hAnsi="Arial"/>
          <w:sz w:val="22"/>
          <w:szCs w:val="22"/>
          <w:i w:val="1"/>
          <w:iCs w:val="1"/>
          <w:color w:val="auto"/>
        </w:rPr>
        <w:t>l’attribution (le Plan et le Contrat, y compris cette Annexe) qui ont été communiqués en langue anglaise. Vous acceptez les termes de ces documents en connaissance de cause.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Foreign Asset / Account Reporting. </w:t>
      </w:r>
      <w:r>
        <w:rPr>
          <w:rFonts w:ascii="Arial" w:cs="Arial" w:eastAsia="Arial" w:hAnsi="Arial"/>
          <w:sz w:val="22"/>
          <w:szCs w:val="22"/>
          <w:color w:val="auto"/>
        </w:rPr>
        <w:t>If you hold Ordinary Shares outside of France or maintain a foreign bank account, you are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report such to the French tax authorities when filing your annual tax return.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GERMANY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Effective from September 2013, the report must be filed electronically. The form of report (</w:t>
      </w:r>
      <w:r>
        <w:rPr>
          <w:rFonts w:ascii="Arial" w:cs="Arial" w:eastAsia="Arial" w:hAnsi="Arial"/>
          <w:sz w:val="21"/>
          <w:szCs w:val="21"/>
          <w:i w:val="1"/>
          <w:iCs w:val="1"/>
          <w:color w:val="auto"/>
        </w:rPr>
        <w:t>Allgemeines</w:t>
      </w:r>
      <w:r>
        <w:rPr>
          <w:rFonts w:ascii="Arial" w:cs="Arial" w:eastAsia="Arial" w:hAnsi="Arial"/>
          <w:sz w:val="21"/>
          <w:szCs w:val="21"/>
          <w:color w:val="auto"/>
        </w:rPr>
        <w:t xml:space="preserve"> </w:t>
      </w:r>
      <w:r>
        <w:rPr>
          <w:rFonts w:ascii="Arial" w:cs="Arial" w:eastAsia="Arial" w:hAnsi="Arial"/>
          <w:sz w:val="21"/>
          <w:szCs w:val="21"/>
          <w:i w:val="1"/>
          <w:iCs w:val="1"/>
          <w:color w:val="auto"/>
        </w:rPr>
        <w:t>Meldeportal Statistik</w:t>
      </w:r>
      <w:r>
        <w:rPr>
          <w:rFonts w:ascii="Arial" w:cs="Arial" w:eastAsia="Arial" w:hAnsi="Arial"/>
          <w:sz w:val="21"/>
          <w:szCs w:val="21"/>
          <w:color w:val="auto"/>
        </w:rPr>
        <w:t>) can be accessed via the</w:t>
      </w:r>
      <w:r>
        <w:rPr>
          <w:rFonts w:ascii="Arial" w:cs="Arial" w:eastAsia="Arial" w:hAnsi="Arial"/>
          <w:sz w:val="21"/>
          <w:szCs w:val="21"/>
          <w:i w:val="1"/>
          <w:iCs w:val="1"/>
          <w:color w:val="auto"/>
        </w:rPr>
        <w:t xml:space="preserve"> Bundesbank’s </w:t>
      </w:r>
      <w:r>
        <w:rPr>
          <w:rFonts w:ascii="Arial" w:cs="Arial" w:eastAsia="Arial" w:hAnsi="Arial"/>
          <w:sz w:val="21"/>
          <w:szCs w:val="21"/>
          <w:color w:val="auto"/>
        </w:rPr>
        <w:t>website (</w:t>
      </w:r>
      <w:r>
        <w:rPr>
          <w:rFonts w:ascii="Arial" w:cs="Arial" w:eastAsia="Arial" w:hAnsi="Arial"/>
          <w:sz w:val="21"/>
          <w:szCs w:val="21"/>
          <w:u w:val="single" w:color="auto"/>
          <w:color w:val="0000FF"/>
        </w:rPr>
        <w:t>www.bundesbank.de</w:t>
      </w:r>
      <w:r>
        <w:rPr>
          <w:rFonts w:ascii="Arial" w:cs="Arial" w:eastAsia="Arial" w:hAnsi="Arial"/>
          <w:sz w:val="21"/>
          <w:szCs w:val="21"/>
          <w:color w:val="auto"/>
        </w:rPr>
        <w:t>) and is available in both German and</w:t>
      </w:r>
      <w:r>
        <w:rPr>
          <w:rFonts w:ascii="Arial" w:cs="Arial" w:eastAsia="Arial" w:hAnsi="Arial"/>
          <w:sz w:val="21"/>
          <w:szCs w:val="21"/>
          <w:i w:val="1"/>
          <w:iCs w:val="1"/>
          <w:color w:val="auto"/>
        </w:rPr>
        <w:t xml:space="preserve"> </w:t>
      </w:r>
      <w:r>
        <w:rPr>
          <w:rFonts w:ascii="Arial" w:cs="Arial" w:eastAsia="Arial" w:hAnsi="Arial"/>
          <w:sz w:val="21"/>
          <w:szCs w:val="21"/>
          <w:color w:val="auto"/>
        </w:rPr>
        <w:t>English. You are responsible for satisfying the reporting obligations.</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If your acquisition of Ordinary Shares leads to a so-called qualified participation at any</w:t>
      </w:r>
      <w:r>
        <w:rPr>
          <w:rFonts w:ascii="Arial" w:cs="Arial" w:eastAsia="Arial" w:hAnsi="Arial"/>
          <w:sz w:val="19"/>
          <w:szCs w:val="19"/>
          <w:b w:val="1"/>
          <w:bCs w:val="1"/>
          <w:color w:val="auto"/>
        </w:rPr>
        <w:t xml:space="preserve"> </w:t>
      </w:r>
      <w:r>
        <w:rPr>
          <w:rFonts w:ascii="Arial" w:cs="Arial" w:eastAsia="Arial" w:hAnsi="Arial"/>
          <w:sz w:val="19"/>
          <w:szCs w:val="19"/>
          <w:color w:val="auto"/>
        </w:rPr>
        <w:t>point during the calendar year, you may need to report the acquisition when you file your tax return for the relevant year. A qualified participation is attained if (i) you own 1% or more of the Company and the value of Ordinary Shares acquired exceeds €150,000 or (ii) you hold Company common stock exceeding 10% of the Company’s total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b w:val="1"/>
          <w:bCs w:val="1"/>
          <w:color w:val="auto"/>
        </w:rPr>
        <w:t>IRELAND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Vesting and Issuance. </w:t>
      </w:r>
      <w:r>
        <w:rPr>
          <w:rFonts w:ascii="Arial" w:cs="Arial" w:eastAsia="Arial" w:hAnsi="Arial"/>
          <w:sz w:val="19"/>
          <w:szCs w:val="19"/>
          <w:color w:val="auto"/>
        </w:rPr>
        <w:t>The following supplements Sections 2 and 6 of the Agreement, provided you are not a U.S. taxpayer:</w:t>
      </w:r>
    </w:p>
    <w:p>
      <w:pPr>
        <w:spacing w:after="0" w:line="28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vesting schedule provided in the Grant Notice and Section 6 (a) of the Agreement, (i) if any vesting date set forth in the Grant Notice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falls on a date when the Company determines that you are not permitted to sell Ordinary Shares in the open market for any reason, including under the Company’s Policy Regarding Stock Trading by Executive Officers, Directors and Other Designated Employees (or any successor policy) or the Company’s Policy Against Trading on the Basis of Inside Information (or any successor policy), and (ii) the Company elects not to satisfy any Tax-Related Items (defined in Section 10) by withholding Ordinary Shares, then such Vesting Date shall instead be the later of the next U.S. business day of the next occurring open “window period” applicable to you or the next U.S. business day when the Company determines that you are not prohibited from selling Ordinary Shares in the open market (such later date, the “</w:t>
      </w:r>
      <w:r>
        <w:rPr>
          <w:rFonts w:ascii="Arial" w:cs="Arial" w:eastAsia="Arial" w:hAnsi="Arial"/>
          <w:sz w:val="19"/>
          <w:szCs w:val="19"/>
          <w:b w:val="1"/>
          <w:bCs w:val="1"/>
          <w:i w:val="1"/>
          <w:iCs w:val="1"/>
          <w:color w:val="auto"/>
        </w:rPr>
        <w:t>Actual Vesting Date</w:t>
      </w:r>
      <w:r>
        <w:rPr>
          <w:rFonts w:ascii="Arial" w:cs="Arial" w:eastAsia="Arial" w:hAnsi="Arial"/>
          <w:sz w:val="19"/>
          <w:szCs w:val="19"/>
          <w:color w:val="auto"/>
        </w:rPr>
        <w:t>”).</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and Section 2 of the Agreement, if your Continuous Service terminates between the Vesting Date and the Actual Vesting Date, then the vesting of the Ordinary Shares subject to the Award originally scheduled to vest on the Vesting Date will cease and not vest upon termination of your Continuous Service, unless your Continuous Service terminates for a reason other than Cause, in which case they will instead vest in full on the first U.S. business day following the termination of your Continuous Service.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Director Notification Obligation. </w:t>
      </w:r>
      <w:r>
        <w:rPr>
          <w:rFonts w:ascii="Arial" w:cs="Arial" w:eastAsia="Arial" w:hAnsi="Arial"/>
          <w:sz w:val="22"/>
          <w:szCs w:val="22"/>
          <w:color w:val="auto"/>
        </w:rPr>
        <w:t>If you are a director, shadow director or secretary of the Company or an Irish Affiliate, you</w:t>
      </w:r>
      <w:r>
        <w:rPr>
          <w:rFonts w:ascii="Arial" w:cs="Arial" w:eastAsia="Arial" w:hAnsi="Arial"/>
          <w:sz w:val="22"/>
          <w:szCs w:val="22"/>
          <w:b w:val="1"/>
          <w:bCs w:val="1"/>
          <w:color w:val="auto"/>
        </w:rPr>
        <w:t xml:space="preserve"> </w:t>
      </w:r>
      <w:r>
        <w:rPr>
          <w:rFonts w:ascii="Arial" w:cs="Arial" w:eastAsia="Arial" w:hAnsi="Arial"/>
          <w:sz w:val="22"/>
          <w:szCs w:val="22"/>
          <w:color w:val="auto"/>
        </w:rPr>
        <w:t>must notify the Company or the Irish Affiliate in writing if you receive or dispose of an interest exceeding 1% of the Company (</w:t>
      </w:r>
      <w:r>
        <w:rPr>
          <w:rFonts w:ascii="Arial" w:cs="Arial" w:eastAsia="Arial" w:hAnsi="Arial"/>
          <w:sz w:val="22"/>
          <w:szCs w:val="22"/>
          <w:i w:val="1"/>
          <w:iCs w:val="1"/>
          <w:color w:val="auto"/>
        </w:rPr>
        <w:t>e.g.,</w:t>
      </w:r>
      <w:r>
        <w:rPr>
          <w:rFonts w:ascii="Arial" w:cs="Arial" w:eastAsia="Arial" w:hAnsi="Arial"/>
          <w:sz w:val="22"/>
          <w:szCs w:val="22"/>
          <w:color w:val="auto"/>
        </w:rPr>
        <w:t xml:space="preserve"> RSUs, Ordinary Shares), or become aware of the event giving rise to the notification requirement, or if you become a director or secretary if such an interest exceeding 1% of the Company exists at the time. This notification requirement also applies with respect to the interests of a spouse or minor children (whose interests will be attributed to the director, shadow director or secretary, as applicable).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ITALY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Withholding Obligations. </w:t>
      </w:r>
      <w:r>
        <w:rPr>
          <w:rFonts w:ascii="Arial" w:cs="Arial" w:eastAsia="Arial" w:hAnsi="Arial"/>
          <w:sz w:val="20"/>
          <w:szCs w:val="20"/>
          <w:color w:val="auto"/>
        </w:rPr>
        <w:t>The following provisions replace Section 10 of the Agreement:</w:t>
      </w:r>
    </w:p>
    <w:p>
      <w:pPr>
        <w:spacing w:after="0" w:line="224"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42" w:name="page243"/>
    <w:bookmarkEnd w:id="242"/>
    <w:p>
      <w:pPr>
        <w:jc w:val="both"/>
        <w:ind w:firstLine="1304"/>
        <w:spacing w:after="0" w:line="284" w:lineRule="auto"/>
        <w:tabs>
          <w:tab w:leader="none" w:pos="1939" w:val="left"/>
        </w:tabs>
        <w:numPr>
          <w:ilvl w:val="0"/>
          <w:numId w:val="206"/>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9"/>
          <w:szCs w:val="19"/>
          <w:b w:val="1"/>
          <w:bCs w:val="1"/>
          <w:i w:val="1"/>
          <w:iCs w:val="1"/>
          <w:color w:val="auto"/>
        </w:rPr>
        <w:t>Tax-Related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Items</w:t>
      </w:r>
      <w:r>
        <w:rPr>
          <w:rFonts w:ascii="Arial" w:cs="Arial" w:eastAsia="Arial" w:hAnsi="Arial"/>
          <w:sz w:val="19"/>
          <w:szCs w:val="19"/>
          <w:color w:val="auto"/>
        </w:rPr>
        <w:t>”). Additionally, the Company or the Employer may, in its sole discretion, satisfy all or any portion of the Tax-Related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 issued the full number of Ordinary Shares subject to the vested RSUs, notwithstanding that a number of the Ordinary Shares are held back solely for the purpose of paying the Tax-Related Items. Furthermore, you acknowledge that the Company and/or your Employer make no representations or undertakings regarding the treatment of any Tax-Related Items in connection with any aspect of the Award grant, including, but not limited to, the grant or 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66" w:lineRule="exact"/>
        <w:rPr>
          <w:rFonts w:ascii="Arial" w:cs="Arial" w:eastAsia="Arial" w:hAnsi="Arial"/>
          <w:sz w:val="19"/>
          <w:szCs w:val="19"/>
          <w:b w:val="1"/>
          <w:bCs w:val="1"/>
          <w:color w:val="auto"/>
        </w:rPr>
      </w:pPr>
    </w:p>
    <w:p>
      <w:pPr>
        <w:ind w:firstLine="1304"/>
        <w:spacing w:after="0" w:line="263" w:lineRule="auto"/>
        <w:tabs>
          <w:tab w:leader="none" w:pos="1938" w:val="left"/>
        </w:tabs>
        <w:numPr>
          <w:ilvl w:val="0"/>
          <w:numId w:val="206"/>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the Employer are satisfied, the Company and/or the Employer shall have no obligation to deliver to you any Ordinary Shares.</w:t>
      </w:r>
    </w:p>
    <w:p>
      <w:pPr>
        <w:spacing w:after="0" w:line="174" w:lineRule="exact"/>
        <w:rPr>
          <w:rFonts w:ascii="Arial" w:cs="Arial" w:eastAsia="Arial" w:hAnsi="Arial"/>
          <w:sz w:val="22"/>
          <w:szCs w:val="22"/>
          <w:b w:val="1"/>
          <w:bCs w:val="1"/>
          <w:color w:val="auto"/>
        </w:rPr>
      </w:pPr>
    </w:p>
    <w:p>
      <w:pPr>
        <w:jc w:val="both"/>
        <w:ind w:firstLine="1304"/>
        <w:spacing w:after="0" w:line="302" w:lineRule="auto"/>
        <w:tabs>
          <w:tab w:leader="none" w:pos="1941" w:val="left"/>
        </w:tabs>
        <w:numPr>
          <w:ilvl w:val="0"/>
          <w:numId w:val="206"/>
        </w:numPr>
        <w:rPr>
          <w:rFonts w:ascii="Arial" w:cs="Arial" w:eastAsia="Arial" w:hAnsi="Arial"/>
          <w:sz w:val="19"/>
          <w:szCs w:val="19"/>
          <w:b w:val="1"/>
          <w:bCs w:val="1"/>
          <w:color w:val="auto"/>
        </w:rPr>
      </w:pPr>
      <w:r>
        <w:rPr>
          <w:rFonts w:ascii="Arial" w:cs="Arial" w:eastAsia="Arial" w:hAnsi="Arial"/>
          <w:sz w:val="19"/>
          <w:szCs w:val="19"/>
          <w:color w:val="auto"/>
        </w:rPr>
        <w:t>In the event the Company’s and/or the Employer’s obligation to withhold arises prior to the delivery to you of Ordinary Shares or it is determined after the delivery of Ordinary Shares to you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43" w:name="page244"/>
    <w:bookmarkEnd w:id="243"/>
    <w:p>
      <w:pPr>
        <w:jc w:val="both"/>
        <w:spacing w:after="0" w:line="315" w:lineRule="auto"/>
        <w:rPr>
          <w:sz w:val="20"/>
          <w:szCs w:val="20"/>
          <w:color w:val="auto"/>
        </w:rPr>
      </w:pPr>
      <w:r>
        <w:rPr>
          <w:rFonts w:ascii="Arial" w:cs="Arial" w:eastAsia="Arial" w:hAnsi="Arial"/>
          <w:sz w:val="19"/>
          <w:szCs w:val="19"/>
          <w:b w:val="1"/>
          <w:bCs w:val="1"/>
          <w:color w:val="auto"/>
        </w:rPr>
        <w:t xml:space="preserve">Acknowledgement. </w:t>
      </w:r>
      <w:r>
        <w:rPr>
          <w:rFonts w:ascii="Arial" w:cs="Arial" w:eastAsia="Arial" w:hAnsi="Arial"/>
          <w:sz w:val="19"/>
          <w:szCs w:val="19"/>
          <w:color w:val="auto"/>
        </w:rPr>
        <w:t>You acknowledge that you have read and specifically and expressly approve the following sections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Section 10 - Tax Withholding Obligations; Section 15 - Nature of Grant; Section 17 - Data Privacy; Section 18 - Governing Law and Venue; Section 19 - Language; Section 21- Notices; Electronic Delivery; and Section 26 - Severability.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Foreign Asset / Account Reporting. </w:t>
      </w:r>
      <w:r>
        <w:rPr>
          <w:rFonts w:ascii="Arial" w:cs="Arial" w:eastAsia="Arial" w:hAnsi="Arial"/>
          <w:sz w:val="22"/>
          <w:szCs w:val="22"/>
          <w:color w:val="auto"/>
        </w:rPr>
        <w:t>Italian residents who, at any time during the fiscal year, hold foreign financial assets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Ordinary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You are responsible for complying with this reporting obligation and should speak with your personal legal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NORWAY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Exchange Control Notification. Polish residents are required to file quarterly reports to the National Bank of Poland with information on transactions and balances regarding their rights to Ordinary Shares (such as RSUs) and Ordinary Shares if the total value (calculated individually or together with other assets and liabilities possessed abroad) exceeds PLN 7 million.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Polish residents also are required to transfer funds through a bank account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documents connected with foreign exchange transactions for a period of five years from the date the exchange transaction was made.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PORTUGAL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You hereby expressly declare that you have full knowledge of the English language and have read,</w:t>
      </w:r>
      <w:r>
        <w:rPr>
          <w:rFonts w:ascii="Arial" w:cs="Arial" w:eastAsia="Arial" w:hAnsi="Arial"/>
          <w:sz w:val="21"/>
          <w:szCs w:val="21"/>
          <w:b w:val="1"/>
          <w:bCs w:val="1"/>
          <w:color w:val="auto"/>
        </w:rPr>
        <w:t xml:space="preserve"> </w:t>
      </w:r>
      <w:r>
        <w:rPr>
          <w:rFonts w:ascii="Arial" w:cs="Arial" w:eastAsia="Arial" w:hAnsi="Arial"/>
          <w:sz w:val="21"/>
          <w:szCs w:val="21"/>
          <w:color w:val="auto"/>
        </w:rPr>
        <w:t>understood and fully accepted and agreed with the terms and conditions established in the Plan and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44" w:name="page245"/>
    <w:bookmarkEnd w:id="244"/>
    <w:p>
      <w:pPr>
        <w:jc w:val="both"/>
        <w:spacing w:after="0" w:line="349" w:lineRule="auto"/>
        <w:rPr>
          <w:sz w:val="20"/>
          <w:szCs w:val="20"/>
          <w:color w:val="auto"/>
        </w:rPr>
      </w:pPr>
      <w:r>
        <w:rPr>
          <w:rFonts w:ascii="Arial" w:cs="Arial" w:eastAsia="Arial" w:hAnsi="Arial"/>
          <w:sz w:val="19"/>
          <w:szCs w:val="19"/>
          <w:b w:val="1"/>
          <w:bCs w:val="1"/>
          <w:color w:val="auto"/>
        </w:rPr>
        <w:t>Conhecimento da Lingua. Por meio do presente, eu declaro expressamente que tem pleno conhecimento da língua inglesa e que li, compreendi e livremente aceitei e concordei com os termos e condições estabelecidas no Plano e no Acordo.</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If you acquire Ordinary Shares under the Plan and hold the Ordinary Shares with a U.S. broker</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not a Portuguese financial intermediary, you may need to file a report with the Portuguese Central Bank. If the Ordinary Shares are held by a Portuguese financial intermediary, it will file the report for you.</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SPAIN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Withholding Obligations. </w:t>
      </w:r>
      <w:r>
        <w:rPr>
          <w:rFonts w:ascii="Arial" w:cs="Arial" w:eastAsia="Arial" w:hAnsi="Arial"/>
          <w:sz w:val="20"/>
          <w:szCs w:val="20"/>
          <w:color w:val="auto"/>
        </w:rPr>
        <w:t>The following provisions replace Section 10 of the Agreement:</w:t>
      </w:r>
    </w:p>
    <w:p>
      <w:pPr>
        <w:spacing w:after="0" w:line="224"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25" w:lineRule="exact"/>
        <w:rPr>
          <w:rFonts w:ascii="Arial" w:cs="Arial" w:eastAsia="Arial" w:hAnsi="Arial"/>
          <w:sz w:val="22"/>
          <w:szCs w:val="22"/>
          <w:b w:val="1"/>
          <w:bCs w:val="1"/>
          <w:color w:val="auto"/>
        </w:rPr>
      </w:pPr>
    </w:p>
    <w:p>
      <w:pPr>
        <w:jc w:val="both"/>
        <w:ind w:firstLine="1304"/>
        <w:spacing w:after="0" w:line="284" w:lineRule="auto"/>
        <w:tabs>
          <w:tab w:leader="none" w:pos="1939" w:val="left"/>
        </w:tabs>
        <w:numPr>
          <w:ilvl w:val="1"/>
          <w:numId w:val="207"/>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9"/>
          <w:szCs w:val="19"/>
          <w:b w:val="1"/>
          <w:bCs w:val="1"/>
          <w:i w:val="1"/>
          <w:iCs w:val="1"/>
          <w:color w:val="auto"/>
        </w:rPr>
        <w:t>Tax-Related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Items</w:t>
      </w:r>
      <w:r>
        <w:rPr>
          <w:rFonts w:ascii="Arial" w:cs="Arial" w:eastAsia="Arial" w:hAnsi="Arial"/>
          <w:sz w:val="19"/>
          <w:szCs w:val="19"/>
          <w:color w:val="auto"/>
        </w:rPr>
        <w:t>”), where the Fair Market Value of the Ordinary Shares is measured as of the date the Ordinary Shares are issued pursuant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Section 6. Additionally, the Company or the Employer may, in its sole discretion, satisfy all or any portion of the Tax-Related 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 issued a cash bonus in the amount of the Ordinary Shares that are held back for the purpose of paying the Tax-Related Items and compensation in kind corresponding to the number of Ordinary Shares issued to you. Furthermore, you acknowledge that the Company and/or your Employer make no representations or undertakings regarding the treatment of any Tax-Related Items in connection with any aspect of the Award grant, including, but not limited to, the grant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45" w:name="page246"/>
    <w:bookmarkEnd w:id="245"/>
    <w:p>
      <w:pPr>
        <w:jc w:val="both"/>
        <w:spacing w:after="0" w:line="247" w:lineRule="auto"/>
        <w:rPr>
          <w:sz w:val="20"/>
          <w:szCs w:val="20"/>
          <w:color w:val="auto"/>
        </w:rPr>
      </w:pPr>
      <w:r>
        <w:rPr>
          <w:rFonts w:ascii="Arial" w:cs="Arial" w:eastAsia="Arial" w:hAnsi="Arial"/>
          <w:sz w:val="22"/>
          <w:szCs w:val="22"/>
          <w:color w:val="auto"/>
        </w:rPr>
        <w:t>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93" w:lineRule="exact"/>
        <w:rPr>
          <w:sz w:val="20"/>
          <w:szCs w:val="20"/>
          <w:color w:val="auto"/>
        </w:rPr>
      </w:pPr>
    </w:p>
    <w:p>
      <w:pPr>
        <w:ind w:firstLine="1304"/>
        <w:spacing w:after="0" w:line="263" w:lineRule="auto"/>
        <w:tabs>
          <w:tab w:leader="none" w:pos="1938" w:val="left"/>
        </w:tabs>
        <w:numPr>
          <w:ilvl w:val="0"/>
          <w:numId w:val="208"/>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the Employer are satisfied, the Company and/or the Employer shall have no obligation to deliver to you any Ordinary Shares.</w:t>
      </w:r>
    </w:p>
    <w:p>
      <w:pPr>
        <w:spacing w:after="0" w:line="201" w:lineRule="exact"/>
        <w:rPr>
          <w:rFonts w:ascii="Arial" w:cs="Arial" w:eastAsia="Arial" w:hAnsi="Arial"/>
          <w:sz w:val="22"/>
          <w:szCs w:val="22"/>
          <w:b w:val="1"/>
          <w:bCs w:val="1"/>
          <w:color w:val="auto"/>
        </w:rPr>
      </w:pPr>
    </w:p>
    <w:p>
      <w:pPr>
        <w:jc w:val="both"/>
        <w:ind w:firstLine="1304"/>
        <w:spacing w:after="0" w:line="263" w:lineRule="auto"/>
        <w:tabs>
          <w:tab w:leader="none" w:pos="1941" w:val="left"/>
        </w:tabs>
        <w:numPr>
          <w:ilvl w:val="0"/>
          <w:numId w:val="208"/>
        </w:numPr>
        <w:rPr>
          <w:rFonts w:ascii="Arial" w:cs="Arial" w:eastAsia="Arial" w:hAnsi="Arial"/>
          <w:sz w:val="21"/>
          <w:szCs w:val="21"/>
          <w:b w:val="1"/>
          <w:bCs w:val="1"/>
          <w:color w:val="auto"/>
        </w:rPr>
      </w:pPr>
      <w:r>
        <w:rPr>
          <w:rFonts w:ascii="Arial" w:cs="Arial" w:eastAsia="Arial" w:hAnsi="Arial"/>
          <w:sz w:val="21"/>
          <w:szCs w:val="21"/>
          <w:color w:val="auto"/>
        </w:rPr>
        <w:t xml:space="preserve">In the event the Company’s and/or the Employer’s obligation to withhold arises prior to the delivery to you of Ordinary Shares or it is determined after the delivery of Ordinary Shares to you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 </w:t>
      </w:r>
      <w:r>
        <w:rPr>
          <w:rFonts w:ascii="Arial" w:cs="Arial" w:eastAsia="Arial" w:hAnsi="Arial"/>
          <w:sz w:val="21"/>
          <w:szCs w:val="21"/>
          <w:b w:val="1"/>
          <w:bCs w:val="1"/>
          <w:color w:val="auto"/>
        </w:rPr>
        <w:t xml:space="preserve">Nature of Grant. </w:t>
      </w:r>
      <w:r>
        <w:rPr>
          <w:rFonts w:ascii="Arial" w:cs="Arial" w:eastAsia="Arial" w:hAnsi="Arial"/>
          <w:sz w:val="21"/>
          <w:szCs w:val="21"/>
          <w:color w:val="auto"/>
        </w:rPr>
        <w:t>This provision supplements Section 15 of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RSUs, you consent to participate in the Plan and acknowledge having received and read a copy of the Plan.</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You understand that the Company has unilaterally, gratuitously and discretionally decided to grant the RSUs under the Plan to individuals who may be employees of the Employer, the Company or any Affiliate throughout the world. The decision is a limited decision that is entered into upon the express assumption and condition that any grant will not bind the Company or any Affiliate except as set forth in the Plan or Agreement. Consequently, you understand that the RSUs are granted on the assumption and condition that such RSUs and any Ordinary Shares acquired upon vesting of the RSUs shall not become a part of any employment contract (either with the Employer or the Company or any Affiliate) and shall not be considered a mandatory benefit, salary for any purpose (including severance compensation) or any other right whatsoever. In addition, you understand that the RSUs would not be granted but for the assumptions and conditions referred to above; thus, you acknowledge and freely accept that should any or all of the assumptions be mistaken or should any of the conditions not be met for any reason, then the grant of the RSUs shall be null and void.</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Further, the vesting of the RSUs is expressly conditioned on your Continuous Service, such that if your service or employment terminates for any reason whatsoever, the RSUs will cease to vest immediately effective on the date of termination of your service or employment unless otherwise expressly set forth in the Agreement. This will be the case, for example, even if you</w:t>
      </w:r>
    </w:p>
    <w:p>
      <w:pPr>
        <w:spacing w:after="0" w:line="1" w:lineRule="exact"/>
        <w:rPr>
          <w:sz w:val="20"/>
          <w:szCs w:val="20"/>
          <w:color w:val="auto"/>
        </w:rPr>
      </w:pPr>
    </w:p>
    <w:p>
      <w:pPr>
        <w:jc w:val="both"/>
        <w:ind w:firstLine="8"/>
        <w:spacing w:after="0" w:line="244" w:lineRule="auto"/>
        <w:tabs>
          <w:tab w:leader="none" w:pos="31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are considered to be unfairly dismissed without good cause; (2) are dismissed for disciplinary or objective reasons or due to a collective dismissal; (3) terminate service or employment due to a change of work location, duties or any other employment or contractual condition; (4) terminate service or employment due to the Company’s or any Affiliate’s unilateral breach of contract;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46" w:name="page247"/>
    <w:bookmarkEnd w:id="246"/>
    <w:p>
      <w:pPr>
        <w:jc w:val="both"/>
        <w:ind w:firstLine="8"/>
        <w:spacing w:after="0" w:line="253" w:lineRule="auto"/>
        <w:tabs>
          <w:tab w:leader="none" w:pos="314"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are terminated from service or employment for any other reason whatsoever. Consequently, upon your termination of service or employment for any of the above reasons, you will automatically lose any rights to the RSUs that were unvested on the date of termination.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RSUs described in the Plan and the Agreement, including this Appendix, do not qualify under</w:t>
      </w:r>
      <w:r>
        <w:rPr>
          <w:rFonts w:ascii="Arial" w:cs="Arial" w:eastAsia="Arial" w:hAnsi="Arial"/>
          <w:sz w:val="22"/>
          <w:szCs w:val="22"/>
          <w:b w:val="1"/>
          <w:bCs w:val="1"/>
          <w:color w:val="auto"/>
        </w:rPr>
        <w:t xml:space="preserve"> </w:t>
      </w:r>
      <w:r>
        <w:rPr>
          <w:rFonts w:ascii="Arial" w:cs="Arial" w:eastAsia="Arial" w:hAnsi="Arial"/>
          <w:sz w:val="22"/>
          <w:szCs w:val="22"/>
          <w:color w:val="auto"/>
        </w:rPr>
        <w:t>Spanish regulations as securities. No “offer of securities to the public,” as defined under Spanish law, has taken place or will take place in the Spanish territory. The Plan and the Agreement, including this Appendix, have not been nor will they be registered with the Comisión Nacional del Mercado de Valores (Spanish Securities Exchange Commission), and they do not constitute a public offering prospectus.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The acquisition, ownership and sale of Ordinary Shares under the Plan must be declared for</w:t>
      </w:r>
      <w:r>
        <w:rPr>
          <w:rFonts w:ascii="Arial" w:cs="Arial" w:eastAsia="Arial" w:hAnsi="Arial"/>
          <w:sz w:val="22"/>
          <w:szCs w:val="22"/>
          <w:b w:val="1"/>
          <w:bCs w:val="1"/>
          <w:color w:val="auto"/>
        </w:rPr>
        <w:t xml:space="preserve"> </w:t>
      </w:r>
      <w:r>
        <w:rPr>
          <w:rFonts w:ascii="Arial" w:cs="Arial" w:eastAsia="Arial" w:hAnsi="Arial"/>
          <w:sz w:val="22"/>
          <w:szCs w:val="22"/>
          <w:color w:val="auto"/>
        </w:rPr>
        <w:t>statistical purposes to the Spanish Dirección General de Comercio e Inversiones (the “</w:t>
      </w:r>
      <w:r>
        <w:rPr>
          <w:rFonts w:ascii="Arial" w:cs="Arial" w:eastAsia="Arial" w:hAnsi="Arial"/>
          <w:sz w:val="22"/>
          <w:szCs w:val="22"/>
          <w:b w:val="1"/>
          <w:bCs w:val="1"/>
          <w:i w:val="1"/>
          <w:iCs w:val="1"/>
          <w:color w:val="auto"/>
        </w:rPr>
        <w:t>DGCI</w:t>
      </w:r>
      <w:r>
        <w:rPr>
          <w:rFonts w:ascii="Arial" w:cs="Arial" w:eastAsia="Arial" w:hAnsi="Arial"/>
          <w:sz w:val="22"/>
          <w:szCs w:val="22"/>
          <w:color w:val="auto"/>
        </w:rPr>
        <w:t>”), the Bureau for Commerce and Investments, which is a department of the Ministry of Economy and Competitiveness. Generally, the declaration must be made each January for Ordinary Shares owned as of December 31 of the prior year; however, if the amount of Ordinary Shares acquired or sold exceeds a specific threshold or if you hold 10% or more of the share capital of the Company or such other amount that would entitle you to join the Company’s board of directors, the declaration must be filed also within one month of the acquisition or sale, as applicable.</w:t>
      </w:r>
    </w:p>
    <w:p>
      <w:pPr>
        <w:spacing w:after="0" w:line="18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Spanish residents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Ordinary Shares held in such accounts if the value of the transactions during the prior tax year or the balances in such accounts as of December 31 of the prior tax year exceed €1,000,000. More frequent reporting is required if such transaction value or account balance exceeds €100,000,000.</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addition, you may be subject to certain tax reporting requirements with respect to assets or rights that you hold outside of Spain, including bank accounts, securities and real estate if the aggregate value for particular category of assets exceeds €50,000 as of December 31 each year. Ordinary Shares acquired under the Plan or other equity programs offered by the Company constitute securities for purposes of this requirement, but unvested awards (</w:t>
      </w:r>
      <w:r>
        <w:rPr>
          <w:rFonts w:ascii="Arial" w:cs="Arial" w:eastAsia="Arial" w:hAnsi="Arial"/>
          <w:sz w:val="21"/>
          <w:szCs w:val="21"/>
          <w:i w:val="1"/>
          <w:iCs w:val="1"/>
          <w:color w:val="auto"/>
        </w:rPr>
        <w:t>e.g</w:t>
      </w:r>
      <w:r>
        <w:rPr>
          <w:rFonts w:ascii="Arial" w:cs="Arial" w:eastAsia="Arial" w:hAnsi="Arial"/>
          <w:sz w:val="21"/>
          <w:szCs w:val="21"/>
          <w:color w:val="auto"/>
        </w:rPr>
        <w:t>., RSUs, etc.) are not considered assets or rights for purposes of this reporting requirement. If applicable, you must report the assets on Form 720 by no later than March 31 following the end of the relevant year. After the rights and/or assets are initially reported, the reporting obligation will apply only if the value of previously-reported rights or assets increases by more than €20,000 as of each subsequent December 31 or if you sell or otherwise dispose of previously-reported rights or assets. You should consult with your personal advisor to determine your obligations in this respect.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SWEDEN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b w:val="1"/>
          <w:bCs w:val="1"/>
          <w:color w:val="auto"/>
        </w:rPr>
        <w:t xml:space="preserve">Tax Withholding Obligations. </w:t>
      </w:r>
      <w:r>
        <w:rPr>
          <w:rFonts w:ascii="Arial" w:cs="Arial" w:eastAsia="Arial" w:hAnsi="Arial"/>
          <w:sz w:val="22"/>
          <w:szCs w:val="22"/>
          <w:color w:val="auto"/>
        </w:rPr>
        <w:t>The following provisions supplements Section 10 of the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Tax-Related Items as set forth in Section 10 of the Agreement, in accepting the RSUs, you authorize the Company and/or the Employer to sell or withhold Ordinary Shares otherwise deliverable to you upon vesting to satisfy Tax-Related Items, regardless of whether the Company and/or the Employer have an obligation to withhold such Tax-Related Items.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SWITZERLAND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this document nor any other materials relating to the RSUs (i) constitutes a prospectus</w:t>
      </w:r>
      <w:r>
        <w:rPr>
          <w:rFonts w:ascii="Arial" w:cs="Arial" w:eastAsia="Arial" w:hAnsi="Arial"/>
          <w:sz w:val="21"/>
          <w:szCs w:val="21"/>
          <w:b w:val="1"/>
          <w:bCs w:val="1"/>
          <w:color w:val="auto"/>
        </w:rPr>
        <w:t xml:space="preserve"> </w:t>
      </w:r>
      <w:r>
        <w:rPr>
          <w:rFonts w:ascii="Arial" w:cs="Arial" w:eastAsia="Arial" w:hAnsi="Arial"/>
          <w:sz w:val="21"/>
          <w:szCs w:val="21"/>
          <w:color w:val="auto"/>
        </w:rPr>
        <w:t>according to articles 35 et seq. of the Swiss Federal Act on Financial Services (“</w:t>
      </w:r>
      <w:r>
        <w:rPr>
          <w:rFonts w:ascii="Arial" w:cs="Arial" w:eastAsia="Arial" w:hAnsi="Arial"/>
          <w:sz w:val="21"/>
          <w:szCs w:val="21"/>
          <w:b w:val="1"/>
          <w:bCs w:val="1"/>
          <w:i w:val="1"/>
          <w:iCs w:val="1"/>
          <w:color w:val="auto"/>
        </w:rPr>
        <w:t>FinSA</w:t>
      </w:r>
      <w:r>
        <w:rPr>
          <w:rFonts w:ascii="Arial" w:cs="Arial" w:eastAsia="Arial" w:hAnsi="Arial"/>
          <w:sz w:val="21"/>
          <w:szCs w:val="21"/>
          <w:color w:val="auto"/>
        </w:rPr>
        <w:t>”), (ii) may be publicly distributed or otherwise made available in Switzerland to any person other than an employee of the Company, or (iii) has been or will be filed with, approved or supervised by any Swiss reviewing body according to article 51 of FinSA or any Swiss regulatory authority (in particular, the Swiss Financial Market Supervisory Authority (FINMA)).</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Obligations. </w:t>
      </w:r>
      <w:r>
        <w:rPr>
          <w:rFonts w:ascii="Arial" w:cs="Arial" w:eastAsia="Arial" w:hAnsi="Arial"/>
          <w:sz w:val="22"/>
          <w:szCs w:val="22"/>
          <w:color w:val="auto"/>
        </w:rPr>
        <w:t>This provision supplements Section 10 of the Agreement: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Without limitation to Section 10 of the Agreement, you agree that you are liable for all Tax-Related Items and hereby covenant to pay all such Tax-Related Items as and when requested by the Company or the Employer or by Her Majesty’s Revenue and Customs (“</w:t>
      </w:r>
      <w:r>
        <w:rPr>
          <w:rFonts w:ascii="Arial" w:cs="Arial" w:eastAsia="Arial" w:hAnsi="Arial"/>
          <w:sz w:val="21"/>
          <w:szCs w:val="21"/>
          <w:b w:val="1"/>
          <w:bCs w:val="1"/>
          <w:i w:val="1"/>
          <w:iCs w:val="1"/>
          <w:color w:val="auto"/>
        </w:rPr>
        <w:t>HMRC</w:t>
      </w:r>
      <w:r>
        <w:rPr>
          <w:rFonts w:ascii="Arial" w:cs="Arial" w:eastAsia="Arial" w:hAnsi="Arial"/>
          <w:sz w:val="21"/>
          <w:szCs w:val="21"/>
          <w:color w:val="auto"/>
        </w:rPr>
        <w:t>” ) (or any other tax authority or any other relevant authority). You also agree to indemnify and keep indemnified the Company and the Employer against any taxes that they are required to pay or withhold or have paid or will pay on your behalf to HMRC (or any other tax authority or any other relevant authority).</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if you are a director or executive officer of the Company (within the meaning of Section 13(k) of the Exchange Act), the terms of the immediately foregoing provision will not apply. In such case, if the amount of any income tax due is not collected from or paid by you within 90 days of the end of the UK tax year in which an event giving rise to the indemnification described above occurs, the amount of any uncollected income tax may constitute a benefit to you on which additional income tax and national insurance contributions (“</w:t>
      </w:r>
      <w:r>
        <w:rPr>
          <w:rFonts w:ascii="Arial" w:cs="Arial" w:eastAsia="Arial" w:hAnsi="Arial"/>
          <w:sz w:val="19"/>
          <w:szCs w:val="19"/>
          <w:b w:val="1"/>
          <w:bCs w:val="1"/>
          <w:i w:val="1"/>
          <w:iCs w:val="1"/>
          <w:color w:val="auto"/>
        </w:rPr>
        <w:t>NICs</w:t>
      </w:r>
      <w:r>
        <w:rPr>
          <w:rFonts w:ascii="Arial" w:cs="Arial" w:eastAsia="Arial" w:hAnsi="Arial"/>
          <w:sz w:val="19"/>
          <w:szCs w:val="19"/>
          <w:color w:val="auto"/>
        </w:rPr>
        <w:t>”) may be payable. You will be responsible for reporting and paying any income tax due on this additional benefit directly to HMRC under the self-assessment regime and for reimbursing the Employer for the value of any employee NICs due on this additional benefit, which the Company or the Employer may recover from you at any time thereafter by any of the means referred to in Section 10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48" w:name="page249"/>
    <w:bookmarkEnd w:id="248"/>
    <w:p>
      <w:pPr>
        <w:jc w:val="both"/>
        <w:spacing w:after="0" w:line="291" w:lineRule="auto"/>
        <w:rPr>
          <w:sz w:val="20"/>
          <w:szCs w:val="20"/>
          <w:color w:val="auto"/>
        </w:rPr>
      </w:pPr>
      <w:r>
        <w:rPr>
          <w:rFonts w:ascii="Arial" w:cs="Arial" w:eastAsia="Arial" w:hAnsi="Arial"/>
          <w:sz w:val="19"/>
          <w:szCs w:val="19"/>
          <w:b w:val="1"/>
          <w:bCs w:val="1"/>
          <w:color w:val="auto"/>
        </w:rPr>
        <w:t xml:space="preserve">Joint Election for Transfer of Liability for Employer National Insurance Contributions. </w:t>
      </w:r>
      <w:r>
        <w:rPr>
          <w:rFonts w:ascii="Arial" w:cs="Arial" w:eastAsia="Arial" w:hAnsi="Arial"/>
          <w:sz w:val="19"/>
          <w:szCs w:val="19"/>
          <w:color w:val="auto"/>
        </w:rPr>
        <w:t>As a condition of participation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and the vesting of the RSUs, you agree to accept any liability for secondary Class 1 NICs that may be payable by the Company, the Employer or any Affiliate in connection with the RSUs and any event giving rise to Tax-Related Items (the “</w:t>
      </w:r>
      <w:r>
        <w:rPr>
          <w:rFonts w:ascii="Arial" w:cs="Arial" w:eastAsia="Arial" w:hAnsi="Arial"/>
          <w:sz w:val="19"/>
          <w:szCs w:val="19"/>
          <w:b w:val="1"/>
          <w:bCs w:val="1"/>
          <w:i w:val="1"/>
          <w:iCs w:val="1"/>
          <w:color w:val="auto"/>
        </w:rPr>
        <w:t>Employer NICs</w:t>
      </w:r>
      <w:r>
        <w:rPr>
          <w:rFonts w:ascii="Arial" w:cs="Arial" w:eastAsia="Arial" w:hAnsi="Arial"/>
          <w:sz w:val="19"/>
          <w:szCs w:val="19"/>
          <w:color w:val="auto"/>
        </w:rPr>
        <w:t>”). Without prejudice to the foregoing, you agree to execute a joint election with the Company, the form of such joint election (the “Joint Election”) having been approved formally by HMRC, and any other required consent or election prior to vesting of the RSUs. You further agree to execute such other joint elections as may be required between you and any successor to the Company, the Employer or any Affiliate. You further agree that the Company, the Employer or any Affiliate may collect the Employer NICs from you by any of the means set forth in Section 10 of the Agreement.</w:t>
      </w:r>
    </w:p>
    <w:p>
      <w:pPr>
        <w:spacing w:after="0" w:line="15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you do not enter into a Joint Election prior to the vesting of the RSUs, you will not be entitled to vest in the RSUs without any liability to the Company, the Employer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49" w:name="page250"/>
    <w:bookmarkEnd w:id="249"/>
    <w:p>
      <w:pPr>
        <w:ind w:left="3960"/>
        <w:spacing w:after="0"/>
        <w:rPr>
          <w:sz w:val="20"/>
          <w:szCs w:val="20"/>
          <w:color w:val="auto"/>
        </w:rPr>
      </w:pPr>
      <w:r>
        <w:rPr>
          <w:rFonts w:ascii="Arial" w:cs="Arial" w:eastAsia="Arial" w:hAnsi="Arial"/>
          <w:sz w:val="22"/>
          <w:szCs w:val="22"/>
          <w:b w:val="1"/>
          <w:bCs w:val="1"/>
          <w:color w:val="auto"/>
        </w:rPr>
        <w:t>JAZZ PHARMACEUTICALS PLC</w:t>
      </w:r>
    </w:p>
    <w:p>
      <w:pPr>
        <w:spacing w:after="0" w:line="220"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2011 EQUITY INCENTIVE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ELECTION TO TRANSFER THE EMPLOYER’S SECONDARY CLASS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NATIONAL INSURANCE LIABILITY TO THE EMPLOYEE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This Election is between:</w:t>
      </w:r>
    </w:p>
    <w:p>
      <w:pPr>
        <w:spacing w:after="0" w:line="241" w:lineRule="exact"/>
        <w:rPr>
          <w:sz w:val="20"/>
          <w:szCs w:val="20"/>
          <w:color w:val="auto"/>
        </w:rPr>
      </w:pPr>
    </w:p>
    <w:p>
      <w:pPr>
        <w:ind w:left="660" w:hanging="652"/>
        <w:spacing w:after="0" w:line="315" w:lineRule="auto"/>
        <w:tabs>
          <w:tab w:leader="none" w:pos="532"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individual who has received this Election (the “</w:t>
      </w:r>
      <w:r>
        <w:rPr>
          <w:rFonts w:ascii="Arial" w:cs="Arial" w:eastAsia="Arial" w:hAnsi="Arial"/>
          <w:sz w:val="19"/>
          <w:szCs w:val="19"/>
          <w:b w:val="1"/>
          <w:bCs w:val="1"/>
          <w:color w:val="auto"/>
        </w:rPr>
        <w:t>Employee</w:t>
      </w:r>
      <w:r>
        <w:rPr>
          <w:rFonts w:ascii="Arial" w:cs="Arial" w:eastAsia="Arial" w:hAnsi="Arial"/>
          <w:sz w:val="19"/>
          <w:szCs w:val="19"/>
          <w:color w:val="auto"/>
        </w:rPr>
        <w:t>”), who is employed by one of the employing companies listed in the attached schedule (the “</w:t>
      </w:r>
      <w:r>
        <w:rPr>
          <w:rFonts w:ascii="Arial" w:cs="Arial" w:eastAsia="Arial" w:hAnsi="Arial"/>
          <w:sz w:val="19"/>
          <w:szCs w:val="19"/>
          <w:b w:val="1"/>
          <w:bCs w:val="1"/>
          <w:color w:val="auto"/>
        </w:rPr>
        <w:t>Employer</w:t>
      </w:r>
      <w:r>
        <w:rPr>
          <w:rFonts w:ascii="Arial" w:cs="Arial" w:eastAsia="Arial" w:hAnsi="Arial"/>
          <w:sz w:val="19"/>
          <w:szCs w:val="19"/>
          <w:color w:val="auto"/>
        </w:rPr>
        <w:t>”) and who is eligible to receive stock options and/or restricted stock units (together, the “</w:t>
      </w:r>
      <w:r>
        <w:rPr>
          <w:rFonts w:ascii="Arial" w:cs="Arial" w:eastAsia="Arial" w:hAnsi="Arial"/>
          <w:sz w:val="19"/>
          <w:szCs w:val="19"/>
          <w:b w:val="1"/>
          <w:bCs w:val="1"/>
          <w:color w:val="auto"/>
        </w:rPr>
        <w:t>Awards</w:t>
      </w:r>
      <w:r>
        <w:rPr>
          <w:rFonts w:ascii="Arial" w:cs="Arial" w:eastAsia="Arial" w:hAnsi="Arial"/>
          <w:sz w:val="19"/>
          <w:szCs w:val="19"/>
          <w:color w:val="auto"/>
        </w:rPr>
        <w:t>”) pursuant to the Jazz Pharmaceuticals plc 2011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ind w:left="660" w:hanging="652"/>
        <w:spacing w:after="0" w:line="293" w:lineRule="auto"/>
        <w:tabs>
          <w:tab w:leader="none" w:pos="477" w:val="left"/>
        </w:tabs>
        <w:numPr>
          <w:ilvl w:val="0"/>
          <w:numId w:val="211"/>
        </w:numPr>
        <w:rPr>
          <w:rFonts w:ascii="Arial" w:cs="Arial" w:eastAsia="Arial" w:hAnsi="Arial"/>
          <w:sz w:val="21"/>
          <w:szCs w:val="21"/>
          <w:color w:val="auto"/>
        </w:rPr>
      </w:pPr>
      <w:r>
        <w:rPr>
          <w:rFonts w:ascii="Arial" w:cs="Arial" w:eastAsia="Arial" w:hAnsi="Arial"/>
          <w:sz w:val="21"/>
          <w:szCs w:val="21"/>
          <w:color w:val="auto"/>
        </w:rPr>
        <w:t>Jazz Pharmaceuticals plc, Fourth Floor, Connaught House, 1 Burlington Road, Dublin 4, Ireland (the “</w:t>
      </w:r>
      <w:r>
        <w:rPr>
          <w:rFonts w:ascii="Arial" w:cs="Arial" w:eastAsia="Arial" w:hAnsi="Arial"/>
          <w:sz w:val="21"/>
          <w:szCs w:val="21"/>
          <w:b w:val="1"/>
          <w:bCs w:val="1"/>
          <w:color w:val="auto"/>
        </w:rPr>
        <w:t>Company</w:t>
      </w:r>
      <w:r>
        <w:rPr>
          <w:rFonts w:ascii="Arial" w:cs="Arial" w:eastAsia="Arial" w:hAnsi="Arial"/>
          <w:sz w:val="21"/>
          <w:szCs w:val="21"/>
          <w:color w:val="auto"/>
        </w:rPr>
        <w:t>”), which may grant Awards under the Plan and is entering into this Election on behalf of the Employer.</w:t>
      </w:r>
    </w:p>
    <w:p>
      <w:pPr>
        <w:spacing w:after="0" w:line="166" w:lineRule="exact"/>
        <w:rPr>
          <w:sz w:val="20"/>
          <w:szCs w:val="20"/>
          <w:color w:val="auto"/>
        </w:rPr>
      </w:pPr>
    </w:p>
    <w:p>
      <w:pPr>
        <w:ind w:left="660" w:hanging="652"/>
        <w:spacing w:after="0"/>
        <w:tabs>
          <w:tab w:leader="none" w:pos="660" w:val="left"/>
        </w:tabs>
        <w:numPr>
          <w:ilvl w:val="0"/>
          <w:numId w:val="212"/>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53"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This Election relates to all Awards granted to the Employee under the Plan on or after January 18, 2012 up to the termination date of the Plan.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In this Election the following words and phrases have the following meanings:</w:t>
      </w:r>
    </w:p>
    <w:p>
      <w:pPr>
        <w:spacing w:after="0" w:line="241"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Chargeable Event</w:t>
      </w:r>
      <w:r>
        <w:rPr>
          <w:rFonts w:ascii="Arial" w:cs="Arial" w:eastAsia="Arial" w:hAnsi="Arial"/>
          <w:sz w:val="22"/>
          <w:szCs w:val="22"/>
          <w:color w:val="auto"/>
        </w:rPr>
        <w:t>” means, in relation to the Awards:</w:t>
      </w:r>
    </w:p>
    <w:p>
      <w:pPr>
        <w:spacing w:after="0" w:line="252" w:lineRule="exact"/>
        <w:rPr>
          <w:rFonts w:ascii="Arial" w:cs="Arial" w:eastAsia="Arial" w:hAnsi="Arial"/>
          <w:sz w:val="22"/>
          <w:szCs w:val="22"/>
          <w:color w:val="auto"/>
        </w:rPr>
      </w:pPr>
    </w:p>
    <w:p>
      <w:pPr>
        <w:ind w:left="1940" w:hanging="636"/>
        <w:spacing w:after="0"/>
        <w:tabs>
          <w:tab w:leader="none" w:pos="194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the acquisition of securities pursuant to the Awards (within section 477(3)(a) of ITEPA);</w:t>
      </w:r>
    </w:p>
    <w:p>
      <w:pPr>
        <w:spacing w:after="0" w:line="246" w:lineRule="exact"/>
        <w:rPr>
          <w:rFonts w:ascii="Arial" w:cs="Arial" w:eastAsia="Arial" w:hAnsi="Arial"/>
          <w:sz w:val="22"/>
          <w:szCs w:val="22"/>
          <w:color w:val="auto"/>
        </w:rPr>
      </w:pPr>
    </w:p>
    <w:p>
      <w:pPr>
        <w:ind w:left="1960" w:hanging="656"/>
        <w:spacing w:after="0" w:line="263" w:lineRule="auto"/>
        <w:tabs>
          <w:tab w:leader="none" w:pos="1954"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the assignment (if applicable) or release of the Awards in return for consideration (within section 477(3)(b) of ITEPA);</w:t>
      </w:r>
    </w:p>
    <w:p>
      <w:pPr>
        <w:spacing w:after="0" w:line="201" w:lineRule="exact"/>
        <w:rPr>
          <w:rFonts w:ascii="Arial" w:cs="Arial" w:eastAsia="Arial" w:hAnsi="Arial"/>
          <w:sz w:val="22"/>
          <w:szCs w:val="22"/>
          <w:color w:val="auto"/>
        </w:rPr>
      </w:pPr>
    </w:p>
    <w:p>
      <w:pPr>
        <w:ind w:left="1960" w:right="20" w:hanging="656"/>
        <w:spacing w:after="0" w:line="263" w:lineRule="auto"/>
        <w:tabs>
          <w:tab w:leader="none" w:pos="196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the receipt of a benefit in connection with the Awards, other than a benefit within (i) or (ii) above (within section 477(3)(c) of ITEPA);</w:t>
      </w:r>
    </w:p>
    <w:p>
      <w:pPr>
        <w:spacing w:after="0" w:line="201" w:lineRule="exact"/>
        <w:rPr>
          <w:rFonts w:ascii="Arial" w:cs="Arial" w:eastAsia="Arial" w:hAnsi="Arial"/>
          <w:sz w:val="22"/>
          <w:szCs w:val="22"/>
          <w:color w:val="auto"/>
        </w:rPr>
      </w:pPr>
    </w:p>
    <w:p>
      <w:pPr>
        <w:ind w:left="1960" w:hanging="656"/>
        <w:spacing w:after="0" w:line="263" w:lineRule="auto"/>
        <w:tabs>
          <w:tab w:leader="none" w:pos="1948" w:val="left"/>
        </w:tabs>
        <w:numPr>
          <w:ilvl w:val="1"/>
          <w:numId w:val="213"/>
        </w:numPr>
        <w:rPr>
          <w:rFonts w:ascii="Arial" w:cs="Arial" w:eastAsia="Arial" w:hAnsi="Arial"/>
          <w:sz w:val="22"/>
          <w:szCs w:val="22"/>
          <w:color w:val="auto"/>
        </w:rPr>
      </w:pPr>
      <w:r>
        <w:rPr>
          <w:rFonts w:ascii="Arial" w:cs="Arial" w:eastAsia="Arial" w:hAnsi="Arial"/>
          <w:sz w:val="22"/>
          <w:szCs w:val="22"/>
          <w:color w:val="auto"/>
        </w:rPr>
        <w:t>post-acquisition charges relating to the Awards and/or ordinary shares of the Company acquired pursuant to the Awards (within section 427 of ITEPA); and/or</w:t>
      </w:r>
    </w:p>
    <w:p>
      <w:pPr>
        <w:spacing w:after="0" w:line="201" w:lineRule="exact"/>
        <w:rPr>
          <w:rFonts w:ascii="Arial" w:cs="Arial" w:eastAsia="Arial" w:hAnsi="Arial"/>
          <w:sz w:val="22"/>
          <w:szCs w:val="22"/>
          <w:color w:val="auto"/>
        </w:rPr>
      </w:pPr>
    </w:p>
    <w:p>
      <w:pPr>
        <w:ind w:left="1960" w:hanging="656"/>
        <w:spacing w:after="0" w:line="263" w:lineRule="auto"/>
        <w:tabs>
          <w:tab w:leader="none" w:pos="1955" w:val="left"/>
        </w:tabs>
        <w:numPr>
          <w:ilvl w:val="1"/>
          <w:numId w:val="213"/>
        </w:numPr>
        <w:rPr>
          <w:rFonts w:ascii="Arial" w:cs="Arial" w:eastAsia="Arial" w:hAnsi="Arial"/>
          <w:sz w:val="22"/>
          <w:szCs w:val="22"/>
          <w:color w:val="auto"/>
        </w:rPr>
      </w:pPr>
      <w:r>
        <w:rPr>
          <w:rFonts w:ascii="Arial" w:cs="Arial" w:eastAsia="Arial" w:hAnsi="Arial"/>
          <w:sz w:val="22"/>
          <w:szCs w:val="22"/>
          <w:color w:val="auto"/>
        </w:rPr>
        <w:t>post-acquisition charges relating to the Awards and/or ordinary shares of the Company acquired pursuant to the Awards (within section 439 of ITEPA).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50" w:name="page251"/>
    <w:bookmarkEnd w:id="250"/>
    <w:p>
      <w:pPr>
        <w:ind w:left="1300" w:hanging="644"/>
        <w:spacing w:after="0"/>
        <w:tabs>
          <w:tab w:leader="none" w:pos="130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ITEPA</w:t>
      </w:r>
      <w:r>
        <w:rPr>
          <w:rFonts w:ascii="Arial" w:cs="Arial" w:eastAsia="Arial" w:hAnsi="Arial"/>
          <w:sz w:val="22"/>
          <w:szCs w:val="22"/>
          <w:color w:val="auto"/>
        </w:rPr>
        <w:t>” means the Income Tax (Earnings and Pensions) Act 2003.</w:t>
      </w:r>
    </w:p>
    <w:p>
      <w:pPr>
        <w:spacing w:after="0" w:line="246" w:lineRule="exact"/>
        <w:rPr>
          <w:rFonts w:ascii="Arial" w:cs="Arial" w:eastAsia="Arial" w:hAnsi="Arial"/>
          <w:sz w:val="22"/>
          <w:szCs w:val="22"/>
          <w:color w:val="auto"/>
        </w:rPr>
      </w:pPr>
    </w:p>
    <w:p>
      <w:pPr>
        <w:ind w:left="1300" w:hanging="644"/>
        <w:spacing w:after="0"/>
        <w:tabs>
          <w:tab w:leader="none" w:pos="130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SSCBA</w:t>
      </w:r>
      <w:r>
        <w:rPr>
          <w:rFonts w:ascii="Arial" w:cs="Arial" w:eastAsia="Arial" w:hAnsi="Arial"/>
          <w:sz w:val="22"/>
          <w:szCs w:val="22"/>
          <w:color w:val="auto"/>
        </w:rPr>
        <w:t>” means the Social Security Contributions and Benefits Act 1992.</w:t>
      </w:r>
    </w:p>
    <w:p>
      <w:pPr>
        <w:spacing w:after="0" w:line="24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This Election relates to the Employer’s secondary Class 1 National Insurance Contributions (the “</w:t>
      </w:r>
      <w:r>
        <w:rPr>
          <w:rFonts w:ascii="Arial" w:cs="Arial" w:eastAsia="Arial" w:hAnsi="Arial"/>
          <w:sz w:val="22"/>
          <w:szCs w:val="22"/>
          <w:b w:val="1"/>
          <w:bCs w:val="1"/>
          <w:color w:val="auto"/>
        </w:rPr>
        <w:t>Employer’s Liability</w:t>
      </w:r>
      <w:r>
        <w:rPr>
          <w:rFonts w:ascii="Arial" w:cs="Arial" w:eastAsia="Arial" w:hAnsi="Arial"/>
          <w:sz w:val="22"/>
          <w:szCs w:val="22"/>
          <w:color w:val="auto"/>
        </w:rPr>
        <w:t>”) which may arise on the occurrence of a Chargeable Event in respect of the Awards pursuant to section 4(4)(a) and/or paragraph 3B(1A) of Schedule 1 of the SSCBA.</w:t>
      </w:r>
    </w:p>
    <w:p>
      <w:pPr>
        <w:spacing w:after="0" w:line="20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1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206" w:lineRule="exact"/>
        <w:rPr>
          <w:sz w:val="20"/>
          <w:szCs w:val="20"/>
          <w:color w:val="auto"/>
        </w:rPr>
      </w:pPr>
    </w:p>
    <w:p>
      <w:pPr>
        <w:ind w:left="660" w:hanging="652"/>
        <w:spacing w:after="0"/>
        <w:tabs>
          <w:tab w:leader="none" w:pos="660"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The Election</w:t>
      </w:r>
    </w:p>
    <w:p>
      <w:pPr>
        <w:spacing w:after="0" w:line="252" w:lineRule="exact"/>
        <w:rPr>
          <w:rFonts w:ascii="Arial" w:cs="Arial" w:eastAsia="Arial" w:hAnsi="Arial"/>
          <w:sz w:val="22"/>
          <w:szCs w:val="22"/>
          <w:b w:val="1"/>
          <w:bCs w:val="1"/>
          <w:color w:val="auto"/>
        </w:rPr>
      </w:pPr>
    </w:p>
    <w:p>
      <w:pPr>
        <w:jc w:val="both"/>
        <w:ind w:left="66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The Employee and the Company jointly elect that the entire liability of the Employer to pay the Employer’s Liability on the Chargeable Event is hereby transferred to the Employee. The Employee understands that, by signing the award grant notice, he or she will become personally liable for the Employer’s Liability covered by this Election. This Election is made in accordance with paragraph 3B(1) of Schedule 1 of the SSCBA.</w:t>
      </w:r>
    </w:p>
    <w:p>
      <w:pPr>
        <w:spacing w:after="0" w:line="208" w:lineRule="exact"/>
        <w:rPr>
          <w:rFonts w:ascii="Arial" w:cs="Arial" w:eastAsia="Arial" w:hAnsi="Arial"/>
          <w:sz w:val="22"/>
          <w:szCs w:val="22"/>
          <w:b w:val="1"/>
          <w:bCs w:val="1"/>
          <w:color w:val="auto"/>
        </w:rPr>
      </w:pPr>
    </w:p>
    <w:p>
      <w:pPr>
        <w:ind w:left="660" w:hanging="652"/>
        <w:spacing w:after="0"/>
        <w:tabs>
          <w:tab w:leader="none" w:pos="660"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the Employer’s Liability</w:t>
      </w:r>
    </w:p>
    <w:p>
      <w:pPr>
        <w:spacing w:after="0" w:line="25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The Employee hereby authorises the Company and/or the Employer to collect the Employer’s Liability from the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Employee at any time after the Chargeable Event:</w:t>
      </w:r>
    </w:p>
    <w:p>
      <w:pPr>
        <w:spacing w:after="0" w:line="229" w:lineRule="exact"/>
        <w:rPr>
          <w:sz w:val="20"/>
          <w:szCs w:val="20"/>
          <w:color w:val="auto"/>
        </w:rPr>
      </w:pPr>
    </w:p>
    <w:p>
      <w:pPr>
        <w:ind w:left="1300" w:hanging="644"/>
        <w:spacing w:after="0" w:line="263" w:lineRule="auto"/>
        <w:tabs>
          <w:tab w:leader="none" w:pos="117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by deduction from salary or any other payment payable to the Employee at any time on or after the date of the Chargeable Event; and/or</w:t>
      </w:r>
    </w:p>
    <w:p>
      <w:pPr>
        <w:spacing w:after="0" w:line="201" w:lineRule="exact"/>
        <w:rPr>
          <w:rFonts w:ascii="Arial" w:cs="Arial" w:eastAsia="Arial" w:hAnsi="Arial"/>
          <w:sz w:val="22"/>
          <w:szCs w:val="22"/>
          <w:color w:val="auto"/>
        </w:rPr>
      </w:pPr>
    </w:p>
    <w:p>
      <w:pPr>
        <w:ind w:left="1140" w:hanging="484"/>
        <w:spacing w:after="0"/>
        <w:tabs>
          <w:tab w:leader="none" w:pos="114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directly from the Employee by payment in cash or cleared funds; and/or</w:t>
      </w:r>
    </w:p>
    <w:p>
      <w:pPr>
        <w:spacing w:after="0" w:line="246" w:lineRule="exact"/>
        <w:rPr>
          <w:rFonts w:ascii="Arial" w:cs="Arial" w:eastAsia="Arial" w:hAnsi="Arial"/>
          <w:sz w:val="22"/>
          <w:szCs w:val="22"/>
          <w:color w:val="auto"/>
        </w:rPr>
      </w:pPr>
    </w:p>
    <w:p>
      <w:pPr>
        <w:jc w:val="both"/>
        <w:ind w:left="1300" w:right="20" w:hanging="644"/>
        <w:spacing w:after="0" w:line="312" w:lineRule="auto"/>
        <w:tabs>
          <w:tab w:leader="none" w:pos="125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w:t>
      </w:r>
      <w:r>
        <w:rPr>
          <w:rFonts w:ascii="Arial" w:cs="Arial" w:eastAsia="Arial" w:hAnsi="Arial"/>
          <w:sz w:val="19"/>
          <w:szCs w:val="19"/>
          <w:b w:val="1"/>
          <w:bCs w:val="1"/>
          <w:color w:val="auto"/>
        </w:rPr>
        <w:t>HMRC</w:t>
      </w:r>
      <w:r>
        <w:rPr>
          <w:rFonts w:ascii="Arial" w:cs="Arial" w:eastAsia="Arial" w:hAnsi="Arial"/>
          <w:sz w:val="19"/>
          <w:szCs w:val="19"/>
          <w:color w:val="auto"/>
        </w:rPr>
        <w:t>”) by the due date; and/or</w:t>
      </w:r>
    </w:p>
    <w:p>
      <w:pPr>
        <w:spacing w:after="0" w:line="160" w:lineRule="exact"/>
        <w:rPr>
          <w:rFonts w:ascii="Arial" w:cs="Arial" w:eastAsia="Arial" w:hAnsi="Arial"/>
          <w:sz w:val="19"/>
          <w:szCs w:val="19"/>
          <w:color w:val="auto"/>
        </w:rPr>
      </w:pPr>
    </w:p>
    <w:p>
      <w:pPr>
        <w:jc w:val="both"/>
        <w:ind w:left="1300" w:hanging="644"/>
        <w:spacing w:after="0" w:line="253" w:lineRule="auto"/>
        <w:tabs>
          <w:tab w:leader="none" w:pos="1283" w:val="left"/>
        </w:tabs>
        <w:numPr>
          <w:ilvl w:val="0"/>
          <w:numId w:val="216"/>
        </w:numPr>
        <w:rPr>
          <w:rFonts w:ascii="Arial" w:cs="Arial" w:eastAsia="Arial" w:hAnsi="Arial"/>
          <w:sz w:val="22"/>
          <w:szCs w:val="22"/>
          <w:color w:val="auto"/>
        </w:rPr>
      </w:pPr>
      <w:r>
        <w:rPr>
          <w:rFonts w:ascii="Arial" w:cs="Arial" w:eastAsia="Arial" w:hAnsi="Arial"/>
          <w:sz w:val="22"/>
          <w:szCs w:val="22"/>
          <w:color w:val="auto"/>
        </w:rPr>
        <w:t>where the proceeds of the gain are to be made through a third party, the Employee will authorize that party to withhold an amount from the payment or to sell some of the securities which the Employee is entitled to receive in respect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2" w:right="339" w:bottom="1440" w:gutter="0" w:footer="0" w:header="0"/>
        </w:sectPr>
      </w:pPr>
    </w:p>
    <w:bookmarkStart w:id="251" w:name="page252"/>
    <w:bookmarkEnd w:id="251"/>
    <w:p>
      <w:pPr>
        <w:ind w:left="1300"/>
        <w:spacing w:after="0" w:line="263" w:lineRule="auto"/>
        <w:rPr>
          <w:sz w:val="20"/>
          <w:szCs w:val="20"/>
          <w:color w:val="auto"/>
        </w:rPr>
      </w:pPr>
      <w:r>
        <w:rPr>
          <w:rFonts w:ascii="Arial" w:cs="Arial" w:eastAsia="Arial" w:hAnsi="Arial"/>
          <w:sz w:val="22"/>
          <w:szCs w:val="22"/>
          <w:color w:val="auto"/>
        </w:rPr>
        <w:t>such amount to be paid in sufficient time to enable the Company and/or the Employer to make payment to HMRC by the due date; and/or</w:t>
      </w:r>
    </w:p>
    <w:p>
      <w:pPr>
        <w:spacing w:after="0" w:line="202" w:lineRule="exact"/>
        <w:rPr>
          <w:sz w:val="20"/>
          <w:szCs w:val="20"/>
          <w:color w:val="auto"/>
        </w:rPr>
      </w:pPr>
    </w:p>
    <w:p>
      <w:pPr>
        <w:ind w:left="1300" w:right="20" w:hanging="644"/>
        <w:spacing w:after="0" w:line="263" w:lineRule="auto"/>
        <w:tabs>
          <w:tab w:leader="none" w:pos="126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by any other means specified in the applicable Award agreement entered into between the Employee and the Company.</w:t>
      </w:r>
    </w:p>
    <w:p>
      <w:pPr>
        <w:spacing w:after="0" w:line="20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The Company hereby reserves for itself and the Employer the right to withhold the transfer of any securities to the Employee in respect of the Awards until full payment of the Employer’s Liability is received.</w:t>
      </w:r>
    </w:p>
    <w:p>
      <w:pPr>
        <w:spacing w:after="0" w:line="202"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54"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22"/>
          <w:szCs w:val="22"/>
          <w:b w:val="1"/>
          <w:bCs w:val="1"/>
          <w:color w:val="auto"/>
        </w:rPr>
      </w:pPr>
      <w:r>
        <w:rPr>
          <w:rFonts w:ascii="Arial" w:cs="Arial" w:eastAsia="Arial" w:hAnsi="Arial"/>
          <w:sz w:val="22"/>
          <w:szCs w:val="22"/>
          <w:b w:val="1"/>
          <w:bCs w:val="1"/>
          <w:color w:val="auto"/>
        </w:rPr>
        <w:t>Duration of Election</w:t>
      </w:r>
    </w:p>
    <w:p>
      <w:pPr>
        <w:spacing w:after="0" w:line="253"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31"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This Election will continue in effect until the earliest of the following:</w:t>
      </w:r>
    </w:p>
    <w:p>
      <w:pPr>
        <w:spacing w:after="0" w:line="247" w:lineRule="exact"/>
        <w:rPr>
          <w:sz w:val="20"/>
          <w:szCs w:val="20"/>
          <w:color w:val="auto"/>
        </w:rPr>
      </w:pPr>
    </w:p>
    <w:p>
      <w:pPr>
        <w:ind w:left="1140" w:hanging="484"/>
        <w:spacing w:after="0"/>
        <w:tabs>
          <w:tab w:leader="none" w:pos="114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date on which the Employee and the Company agree in writing that it should cease to have effect;</w:t>
      </w:r>
    </w:p>
    <w:p>
      <w:pPr>
        <w:spacing w:after="0" w:line="246" w:lineRule="exact"/>
        <w:rPr>
          <w:rFonts w:ascii="Arial" w:cs="Arial" w:eastAsia="Arial" w:hAnsi="Arial"/>
          <w:sz w:val="22"/>
          <w:szCs w:val="22"/>
          <w:color w:val="auto"/>
        </w:rPr>
      </w:pPr>
    </w:p>
    <w:p>
      <w:pPr>
        <w:ind w:left="1200" w:hanging="544"/>
        <w:spacing w:after="0"/>
        <w:tabs>
          <w:tab w:leader="none" w:pos="120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date on which the Company serves written notice on the Employee terminating its effect;</w:t>
      </w:r>
    </w:p>
    <w:p>
      <w:pPr>
        <w:spacing w:after="0" w:line="246" w:lineRule="exact"/>
        <w:rPr>
          <w:rFonts w:ascii="Arial" w:cs="Arial" w:eastAsia="Arial" w:hAnsi="Arial"/>
          <w:sz w:val="22"/>
          <w:szCs w:val="22"/>
          <w:color w:val="auto"/>
        </w:rPr>
      </w:pPr>
    </w:p>
    <w:p>
      <w:pPr>
        <w:ind w:left="1260" w:hanging="604"/>
        <w:spacing w:after="0"/>
        <w:tabs>
          <w:tab w:leader="none" w:pos="12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date on which HMRC withdraws approval of this Election; or</w:t>
      </w:r>
    </w:p>
    <w:p>
      <w:pPr>
        <w:spacing w:after="0" w:line="246" w:lineRule="exact"/>
        <w:rPr>
          <w:rFonts w:ascii="Arial" w:cs="Arial" w:eastAsia="Arial" w:hAnsi="Arial"/>
          <w:sz w:val="22"/>
          <w:szCs w:val="22"/>
          <w:color w:val="auto"/>
        </w:rPr>
      </w:pPr>
    </w:p>
    <w:p>
      <w:pPr>
        <w:ind w:left="1300" w:hanging="644"/>
        <w:spacing w:after="0" w:line="343" w:lineRule="auto"/>
        <w:tabs>
          <w:tab w:leader="none" w:pos="126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1240"/>
          </w:cols>
          <w:pgMar w:left="320" w:top="1428" w:right="3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b w:val="1"/>
          <w:bCs w:val="1"/>
          <w:color w:val="auto"/>
        </w:rPr>
        <w:t>SCHEDULE OF EMPLOYER COMPANIES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are employer companies to which this Election may apply: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2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Employer Company:</w:t>
            </w:r>
          </w:p>
        </w:tc>
        <w:tc>
          <w:tcPr>
            <w:tcW w:w="5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Jazz Pharmaceuticals UK Limited</w:t>
            </w:r>
          </w:p>
        </w:tc>
      </w:tr>
      <w:tr>
        <w:trPr>
          <w:trHeight w:val="276"/>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53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Wing B, Building 5700 Spires House</w:t>
            </w:r>
          </w:p>
        </w:tc>
      </w:tr>
      <w:tr>
        <w:trPr>
          <w:trHeight w:val="257"/>
        </w:trPr>
        <w:tc>
          <w:tcPr>
            <w:tcW w:w="5240" w:type="dxa"/>
            <w:vAlign w:val="bottom"/>
            <w:tcBorders>
              <w:left w:val="single" w:sz="8" w:color="auto"/>
              <w:right w:val="single" w:sz="8" w:color="auto"/>
            </w:tcBorders>
          </w:tcPr>
          <w:p>
            <w:pPr>
              <w:spacing w:after="0"/>
              <w:rPr>
                <w:sz w:val="22"/>
                <w:szCs w:val="22"/>
                <w:color w:val="auto"/>
              </w:rPr>
            </w:pPr>
          </w:p>
        </w:tc>
        <w:tc>
          <w:tcPr>
            <w:tcW w:w="53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6"/>
              </w:rPr>
              <w:t>John Smith Drive - Oxford Business Park South, Oxford</w:t>
            </w:r>
          </w:p>
        </w:tc>
      </w:tr>
      <w:tr>
        <w:trPr>
          <w:trHeight w:val="285"/>
        </w:trPr>
        <w:tc>
          <w:tcPr>
            <w:tcW w:w="524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OX4 2RW, United Kingdom</w:t>
            </w:r>
          </w:p>
        </w:tc>
      </w:tr>
      <w:tr>
        <w:trPr>
          <w:trHeight w:val="304"/>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Registration Number:</w:t>
            </w:r>
          </w:p>
        </w:tc>
        <w:tc>
          <w:tcPr>
            <w:tcW w:w="5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4555273</w:t>
            </w:r>
          </w:p>
        </w:tc>
      </w:tr>
      <w:tr>
        <w:trPr>
          <w:trHeight w:val="304"/>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Corporation Tax Reference:</w:t>
            </w:r>
          </w:p>
        </w:tc>
        <w:tc>
          <w:tcPr>
            <w:tcW w:w="5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452/76424 00934</w:t>
            </w:r>
          </w:p>
        </w:tc>
      </w:tr>
      <w:tr>
        <w:trPr>
          <w:trHeight w:val="276"/>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Corporation Tax Address:</w:t>
            </w:r>
          </w:p>
        </w:tc>
        <w:tc>
          <w:tcPr>
            <w:tcW w:w="53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HM Revenue &amp; Customs</w:t>
            </w:r>
          </w:p>
        </w:tc>
      </w:tr>
      <w:tr>
        <w:trPr>
          <w:trHeight w:val="257"/>
        </w:trPr>
        <w:tc>
          <w:tcPr>
            <w:tcW w:w="5240" w:type="dxa"/>
            <w:vAlign w:val="bottom"/>
            <w:tcBorders>
              <w:left w:val="single" w:sz="8" w:color="auto"/>
              <w:right w:val="single" w:sz="8" w:color="auto"/>
            </w:tcBorders>
          </w:tcPr>
          <w:p>
            <w:pPr>
              <w:spacing w:after="0"/>
              <w:rPr>
                <w:sz w:val="22"/>
                <w:szCs w:val="22"/>
                <w:color w:val="auto"/>
              </w:rPr>
            </w:pPr>
          </w:p>
        </w:tc>
        <w:tc>
          <w:tcPr>
            <w:tcW w:w="53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CT Operations (Large &amp; Complex Specialist)</w:t>
            </w:r>
          </w:p>
        </w:tc>
      </w:tr>
      <w:tr>
        <w:trPr>
          <w:trHeight w:val="257"/>
        </w:trPr>
        <w:tc>
          <w:tcPr>
            <w:tcW w:w="5240" w:type="dxa"/>
            <w:vAlign w:val="bottom"/>
            <w:tcBorders>
              <w:left w:val="single" w:sz="8" w:color="auto"/>
              <w:right w:val="single" w:sz="8" w:color="auto"/>
            </w:tcBorders>
          </w:tcPr>
          <w:p>
            <w:pPr>
              <w:spacing w:after="0"/>
              <w:rPr>
                <w:sz w:val="22"/>
                <w:szCs w:val="22"/>
                <w:color w:val="auto"/>
              </w:rPr>
            </w:pPr>
          </w:p>
        </w:tc>
        <w:tc>
          <w:tcPr>
            <w:tcW w:w="53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16 North</w:t>
            </w:r>
          </w:p>
        </w:tc>
      </w:tr>
      <w:tr>
        <w:trPr>
          <w:trHeight w:val="257"/>
        </w:trPr>
        <w:tc>
          <w:tcPr>
            <w:tcW w:w="5240" w:type="dxa"/>
            <w:vAlign w:val="bottom"/>
            <w:tcBorders>
              <w:left w:val="single" w:sz="8" w:color="auto"/>
              <w:right w:val="single" w:sz="8" w:color="auto"/>
            </w:tcBorders>
          </w:tcPr>
          <w:p>
            <w:pPr>
              <w:spacing w:after="0"/>
              <w:rPr>
                <w:sz w:val="22"/>
                <w:szCs w:val="22"/>
                <w:color w:val="auto"/>
              </w:rPr>
            </w:pPr>
          </w:p>
        </w:tc>
        <w:tc>
          <w:tcPr>
            <w:tcW w:w="53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Government Buildings</w:t>
            </w:r>
          </w:p>
        </w:tc>
      </w:tr>
      <w:tr>
        <w:trPr>
          <w:trHeight w:val="256"/>
        </w:trPr>
        <w:tc>
          <w:tcPr>
            <w:tcW w:w="5240" w:type="dxa"/>
            <w:vAlign w:val="bottom"/>
            <w:tcBorders>
              <w:left w:val="single" w:sz="8" w:color="auto"/>
              <w:right w:val="single" w:sz="8" w:color="auto"/>
            </w:tcBorders>
          </w:tcPr>
          <w:p>
            <w:pPr>
              <w:spacing w:after="0"/>
              <w:rPr>
                <w:sz w:val="22"/>
                <w:szCs w:val="22"/>
                <w:color w:val="auto"/>
              </w:rPr>
            </w:pPr>
          </w:p>
        </w:tc>
        <w:tc>
          <w:tcPr>
            <w:tcW w:w="53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Ty Glas, Llanishen</w:t>
            </w:r>
          </w:p>
        </w:tc>
      </w:tr>
      <w:tr>
        <w:trPr>
          <w:trHeight w:val="285"/>
        </w:trPr>
        <w:tc>
          <w:tcPr>
            <w:tcW w:w="5240" w:type="dxa"/>
            <w:vAlign w:val="bottom"/>
            <w:tcBorders>
              <w:left w:val="single" w:sz="8" w:color="auto"/>
              <w:bottom w:val="single" w:sz="8" w:color="auto"/>
              <w:right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Cardiff, CF14 5 FP</w:t>
            </w:r>
          </w:p>
        </w:tc>
      </w:tr>
      <w:tr>
        <w:trPr>
          <w:trHeight w:val="304"/>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PAYE Reference:</w:t>
            </w:r>
          </w:p>
        </w:tc>
        <w:tc>
          <w:tcPr>
            <w:tcW w:w="5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120/WZ72892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0560"/>
          </w:cols>
          <w:pgMar w:left="320" w:top="1422" w:right="1019" w:bottom="1440" w:gutter="0" w:footer="0" w:header="0"/>
        </w:sectPr>
      </w:pPr>
    </w:p>
    <w:bookmarkStart w:id="253" w:name="page254"/>
    <w:bookmarkEnd w:id="253"/>
    <w:p>
      <w:pPr>
        <w:jc w:val="center"/>
        <w:ind w:right="-1100"/>
        <w:spacing w:after="0"/>
        <w:rPr>
          <w:sz w:val="20"/>
          <w:szCs w:val="20"/>
          <w:color w:val="auto"/>
        </w:rPr>
      </w:pPr>
      <w:r>
        <w:rPr>
          <w:rFonts w:ascii="Arial" w:cs="Arial" w:eastAsia="Arial" w:hAnsi="Arial"/>
          <w:sz w:val="22"/>
          <w:szCs w:val="22"/>
          <w:b w:val="1"/>
          <w:bCs w:val="1"/>
          <w:color w:val="auto"/>
        </w:rPr>
        <w:t>Attachment II</w:t>
      </w:r>
    </w:p>
    <w:p>
      <w:pPr>
        <w:spacing w:after="0" w:line="150" w:lineRule="exact"/>
        <w:rPr>
          <w:sz w:val="20"/>
          <w:szCs w:val="20"/>
          <w:color w:val="auto"/>
        </w:rPr>
      </w:pPr>
    </w:p>
    <w:p>
      <w:pPr>
        <w:jc w:val="center"/>
        <w:ind w:right="-1100"/>
        <w:spacing w:after="0"/>
        <w:rPr>
          <w:sz w:val="20"/>
          <w:szCs w:val="20"/>
          <w:color w:val="auto"/>
        </w:rPr>
      </w:pPr>
      <w:r>
        <w:rPr>
          <w:rFonts w:ascii="Arial" w:cs="Arial" w:eastAsia="Arial" w:hAnsi="Arial"/>
          <w:sz w:val="23"/>
          <w:szCs w:val="23"/>
          <w:b w:val="1"/>
          <w:bCs w:val="1"/>
          <w:color w:val="auto"/>
        </w:rPr>
        <w:t>Jazz Pharmaceuticals plc</w:t>
      </w:r>
    </w:p>
    <w:p>
      <w:pPr>
        <w:jc w:val="center"/>
        <w:ind w:right="-1100"/>
        <w:spacing w:after="0"/>
        <w:rPr>
          <w:sz w:val="20"/>
          <w:szCs w:val="20"/>
          <w:color w:val="auto"/>
        </w:rPr>
      </w:pPr>
      <w:r>
        <w:rPr>
          <w:rFonts w:ascii="Arial" w:cs="Arial" w:eastAsia="Arial" w:hAnsi="Arial"/>
          <w:sz w:val="22"/>
          <w:szCs w:val="22"/>
          <w:b w:val="1"/>
          <w:bCs w:val="1"/>
          <w:color w:val="auto"/>
        </w:rPr>
        <w:t>2011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170794056-v8\NA_DMS</w:t>
      </w:r>
    </w:p>
    <w:p>
      <w:pPr>
        <w:sectPr>
          <w:pgSz w:w="11900" w:h="16838" w:orient="portrait"/>
          <w:cols w:equalWidth="0" w:num="1">
            <w:col w:w="10139"/>
          </w:cols>
          <w:pgMar w:left="320" w:top="1395" w:right="1440" w:bottom="1440" w:gutter="0" w:footer="0" w:header="0"/>
        </w:sectPr>
      </w:pPr>
    </w:p>
    <w:bookmarkStart w:id="254" w:name="page255"/>
    <w:bookmarkEnd w:id="254"/>
    <w:p>
      <w:pPr>
        <w:jc w:val="right"/>
        <w:spacing w:after="0"/>
        <w:rPr>
          <w:sz w:val="20"/>
          <w:szCs w:val="20"/>
          <w:color w:val="auto"/>
        </w:rPr>
      </w:pPr>
      <w:r>
        <w:rPr>
          <w:rFonts w:ascii="Arial" w:cs="Arial" w:eastAsia="Arial" w:hAnsi="Arial"/>
          <w:sz w:val="20"/>
          <w:szCs w:val="20"/>
          <w:b w:val="1"/>
          <w:bCs w:val="1"/>
          <w:color w:val="auto"/>
        </w:rPr>
        <w:t>Exhibit 10.10B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JAZZ PHARMACEUTICALS PLC</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GW PHARMACEUTICALS PLC 2020 LONG-TERM INCENTIVE PLAN RESTRICTED</w:t>
      </w:r>
    </w:p>
    <w:p>
      <w:pPr>
        <w:spacing w:after="0" w:line="206"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STOCK UNIT AWARD AGREEMENT</w:t>
      </w:r>
    </w:p>
    <w:p>
      <w:pPr>
        <w:spacing w:after="0" w:line="118"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9"/>
          <w:szCs w:val="19"/>
          <w:color w:val="auto"/>
        </w:rPr>
        <w:t>Pursuant to the Grant Terms and Conditions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Restricted Stock Units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pursuant to the terms of the GW Pharmaceuticals plc 2020 Long-Term Incentive Plan, as amended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Shares indicated in the Grant Notice. For the purposes of the Plan, the term ‘Company’ shall be taken to mean Jazz Pharmaceuticals plc, ‘Committee’ shall be taken to mean the remuneration committee of the Board of Jazz Pharmaceuticals plc, and ‘Shares’ and ‘Ordinary Shares’ shall be taken to mean ordinary shares in the capital of Jazz Pharmaceuticals plc. The Grant Notice, this Agreement and the Plan together constitute the full terms and conditions of your Award (the “</w:t>
      </w:r>
      <w:r>
        <w:rPr>
          <w:rFonts w:ascii="Arial" w:cs="Arial" w:eastAsia="Arial" w:hAnsi="Arial"/>
          <w:sz w:val="19"/>
          <w:szCs w:val="19"/>
          <w:b w:val="1"/>
          <w:bCs w:val="1"/>
          <w:i w:val="1"/>
          <w:iCs w:val="1"/>
          <w:color w:val="auto"/>
        </w:rPr>
        <w:t>Award Documents</w:t>
      </w:r>
      <w:r>
        <w:rPr>
          <w:rFonts w:ascii="Arial" w:cs="Arial" w:eastAsia="Arial" w:hAnsi="Arial"/>
          <w:sz w:val="19"/>
          <w:szCs w:val="19"/>
          <w:color w:val="auto"/>
        </w:rPr>
        <w:t>”), and, upon your written or electronic execution, constitute the deed of acceptance for the Award. The Award Documents must be accepted by you no later than thirty days after the Date of Grant referenced in the Grant Notice. This Award was granted in consideration of your services to the Company. Capitalized terms not explicitly defined in this Agreement or the Grant Notice shall have the same meanings given to them in the Plan.</w:t>
      </w:r>
    </w:p>
    <w:p>
      <w:pPr>
        <w:spacing w:after="0" w:line="184" w:lineRule="exact"/>
        <w:rPr>
          <w:sz w:val="20"/>
          <w:szCs w:val="20"/>
          <w:color w:val="auto"/>
        </w:rPr>
      </w:pPr>
    </w:p>
    <w:p>
      <w:pPr>
        <w:ind w:left="1300" w:hanging="646"/>
        <w:spacing w:after="0"/>
        <w:tabs>
          <w:tab w:leader="none" w:pos="1300" w:val="left"/>
        </w:tabs>
        <w:numPr>
          <w:ilvl w:val="0"/>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FORM OF THE AWARD.</w:t>
      </w:r>
    </w:p>
    <w:p>
      <w:pPr>
        <w:spacing w:after="0" w:line="266" w:lineRule="exact"/>
        <w:rPr>
          <w:sz w:val="20"/>
          <w:szCs w:val="20"/>
          <w:color w:val="auto"/>
        </w:rPr>
      </w:pPr>
    </w:p>
    <w:p>
      <w:pPr>
        <w:jc w:val="both"/>
        <w:ind w:right="140" w:firstLine="1296"/>
        <w:spacing w:after="0" w:line="294" w:lineRule="auto"/>
        <w:rPr>
          <w:sz w:val="20"/>
          <w:szCs w:val="20"/>
          <w:color w:val="auto"/>
        </w:rPr>
      </w:pPr>
      <w:r>
        <w:rPr>
          <w:rFonts w:ascii="Arial" w:cs="Arial" w:eastAsia="Arial" w:hAnsi="Arial"/>
          <w:sz w:val="19"/>
          <w:szCs w:val="19"/>
          <w:color w:val="auto"/>
        </w:rPr>
        <w:t>Each Restricted Stock Unit (“RSU”) represents the right to be issued one Share.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the number of RSUs subject to the Award. Notwithstanding the foregoing, the Company reserves the right to issue you the cash equivalent of Shares, in part or in full satisfaction of the delivery of Shares in connection with the vesting of the RSUs, and, to the extent applicable, references in the Grant Notice and Award Agreement to Shares issuable in connection with your RSUs will include the potential issuance of its cash equivalent pursuant to such right.</w:t>
      </w:r>
    </w:p>
    <w:p>
      <w:pPr>
        <w:spacing w:after="0" w:line="184" w:lineRule="exact"/>
        <w:rPr>
          <w:sz w:val="20"/>
          <w:szCs w:val="20"/>
          <w:color w:val="auto"/>
        </w:rPr>
      </w:pPr>
    </w:p>
    <w:p>
      <w:pPr>
        <w:ind w:left="1300" w:hanging="646"/>
        <w:spacing w:after="0"/>
        <w:tabs>
          <w:tab w:leader="none" w:pos="1300"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53" w:lineRule="exact"/>
        <w:rPr>
          <w:sz w:val="20"/>
          <w:szCs w:val="20"/>
          <w:color w:val="auto"/>
        </w:rPr>
      </w:pPr>
    </w:p>
    <w:p>
      <w:pPr>
        <w:jc w:val="both"/>
        <w:ind w:right="140" w:firstLine="1296"/>
        <w:spacing w:after="0" w:line="247" w:lineRule="auto"/>
        <w:rPr>
          <w:sz w:val="20"/>
          <w:szCs w:val="20"/>
          <w:color w:val="auto"/>
        </w:rPr>
      </w:pPr>
      <w:r>
        <w:rPr>
          <w:rFonts w:ascii="Arial" w:cs="Arial" w:eastAsia="Arial" w:hAnsi="Arial"/>
          <w:sz w:val="22"/>
          <w:szCs w:val="22"/>
          <w:color w:val="auto"/>
        </w:rPr>
        <w:t>Subject to the limitations contained herein, your Award will vest, if at all, in accordance with the vesting schedule provided in the Grant Notice or such earlier date provided by the terms of the Plan. Except as otherwise provided in the Plan or by the Committee, vesting will cease upon your ceasing to be a Connected Person and any portion of the Award that was not vested on the date of such cessation as a Connected Person will lapse and be forfeited at no cost to the Company and you will have no further right, title or interest in or to such Award or the Shares to be issued in respect of such portion of the Award.</w:t>
      </w:r>
    </w:p>
    <w:p>
      <w:pPr>
        <w:sectPr>
          <w:pgSz w:w="11900" w:h="16838" w:orient="portrait"/>
          <w:cols w:equalWidth="0" w:num="1">
            <w:col w:w="10820"/>
          </w:cols>
          <w:pgMar w:left="740" w:top="603" w:right="339" w:bottom="1440" w:gutter="0" w:footer="0" w:header="0"/>
        </w:sectPr>
      </w:pPr>
    </w:p>
    <w:bookmarkStart w:id="255" w:name="page256"/>
    <w:bookmarkEnd w:id="255"/>
    <w:p>
      <w:pPr>
        <w:spacing w:after="0" w:line="36" w:lineRule="exact"/>
        <w:rPr>
          <w:sz w:val="20"/>
          <w:szCs w:val="20"/>
          <w:color w:val="auto"/>
        </w:rPr>
      </w:pPr>
    </w:p>
    <w:p>
      <w:pPr>
        <w:ind w:left="1300" w:hanging="646"/>
        <w:spacing w:after="0"/>
        <w:tabs>
          <w:tab w:leader="none" w:pos="1300" w:val="left"/>
        </w:tabs>
        <w:numPr>
          <w:ilvl w:val="0"/>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Award shall lapse and terminate in its entirety to the extent it does not vest under Section 2 above.</w:t>
      </w:r>
    </w:p>
    <w:p>
      <w:pPr>
        <w:spacing w:after="0" w:line="308" w:lineRule="exact"/>
        <w:rPr>
          <w:sz w:val="20"/>
          <w:szCs w:val="20"/>
          <w:color w:val="auto"/>
        </w:rPr>
      </w:pPr>
    </w:p>
    <w:p>
      <w:pPr>
        <w:ind w:left="1300" w:hanging="646"/>
        <w:spacing w:after="0"/>
        <w:tabs>
          <w:tab w:leader="none" w:pos="1300"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You may not be issued any Shares under your Award unless the Shares underlying the RSUs are either (i) then registered under the US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or (ii) the Company has determined that such issuance would be exempt from the registration requirements of the Securities Act and, to the extent other securities laws apply, in compliance with or exempt from such laws. Your Award must also comply with other applicable laws and regulations governing the Award, and you shall not receive such Shares if the Company determines that such receipt would not be in material compliance with such laws and regulations.</w:t>
      </w:r>
    </w:p>
    <w:p>
      <w:pPr>
        <w:spacing w:after="0" w:line="200" w:lineRule="exact"/>
        <w:rPr>
          <w:sz w:val="20"/>
          <w:szCs w:val="20"/>
          <w:color w:val="auto"/>
        </w:rPr>
      </w:pPr>
    </w:p>
    <w:p>
      <w:pPr>
        <w:ind w:left="1300" w:hanging="646"/>
        <w:spacing w:after="0"/>
        <w:tabs>
          <w:tab w:leader="none" w:pos="130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5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Prior to the time that Shares have been delivered to you, you may not transfer, pledge, sell or otherwise dispose of this Award or the Shares issuable in respect of your Award, except as expressly provided in this Section. For example, you may not use Shares that may be issued in respect of your Award as security for a loan. The restrictions on transfer set forth herein will lapse upon delivery to you of Shares in respect of your Award.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Your Award is transferable by will and by the laws of descent and distribution. At your death, your executor or administrator of your estate shall be entitled to receive, on behalf of your estate, any Shares or other consideration that vested (including any portion of your Award that becomes vested as a result of your death) but was not issued before your death.</w:t>
      </w:r>
    </w:p>
    <w:p>
      <w:pPr>
        <w:spacing w:after="0" w:line="209" w:lineRule="exact"/>
        <w:rPr>
          <w:sz w:val="20"/>
          <w:szCs w:val="20"/>
          <w:color w:val="auto"/>
        </w:rPr>
      </w:pPr>
    </w:p>
    <w:p>
      <w:pPr>
        <w:ind w:left="1300" w:hanging="646"/>
        <w:spacing w:after="0"/>
        <w:tabs>
          <w:tab w:leader="none" w:pos="130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53" w:lineRule="exact"/>
        <w:rPr>
          <w:sz w:val="20"/>
          <w:szCs w:val="20"/>
          <w:color w:val="auto"/>
        </w:rPr>
      </w:pPr>
    </w:p>
    <w:p>
      <w:pPr>
        <w:jc w:val="both"/>
        <w:ind w:firstLine="730"/>
        <w:spacing w:after="0" w:line="263" w:lineRule="auto"/>
        <w:rPr>
          <w:sz w:val="20"/>
          <w:szCs w:val="20"/>
          <w:color w:val="auto"/>
        </w:rPr>
      </w:pPr>
      <w:r>
        <w:rPr>
          <w:rFonts w:ascii="Arial" w:cs="Arial" w:eastAsia="Arial" w:hAnsi="Arial"/>
          <w:sz w:val="22"/>
          <w:szCs w:val="22"/>
          <w:color w:val="auto"/>
        </w:rPr>
        <w:t>The issuance of Shares in respect of the RSUs is intended to comply with Treasury Regulations Section 1.409A-1(b)(4) and will be construed and administered in such a manner.</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Subject to the satisfaction of Withholding Taxes as set forth in Section 10 of this Agreement, to the extent one or more RSUs vest, the Company shall issue to you, on the applicable vesting date, one Share for each RSU that vests and such issuance date is referred to as an “</w:t>
      </w:r>
      <w:r>
        <w:rPr>
          <w:rFonts w:ascii="Arial" w:cs="Arial" w:eastAsia="Arial" w:hAnsi="Arial"/>
          <w:sz w:val="21"/>
          <w:szCs w:val="21"/>
          <w:b w:val="1"/>
          <w:bCs w:val="1"/>
          <w:i w:val="1"/>
          <w:iCs w:val="1"/>
          <w:color w:val="auto"/>
        </w:rPr>
        <w:t>Original Issuance Date</w:t>
      </w:r>
      <w:r>
        <w:rPr>
          <w:rFonts w:ascii="Arial" w:cs="Arial" w:eastAsia="Arial" w:hAnsi="Arial"/>
          <w:sz w:val="21"/>
          <w:szCs w:val="21"/>
          <w:color w:val="auto"/>
        </w:rPr>
        <w:t>”. If the Original Issuance Date falls on a date that is not a business day, delivery shall instead occur on the next following business day. The form of delivery (</w:t>
      </w:r>
      <w:r>
        <w:rPr>
          <w:rFonts w:ascii="Arial" w:cs="Arial" w:eastAsia="Arial" w:hAnsi="Arial"/>
          <w:sz w:val="21"/>
          <w:szCs w:val="21"/>
          <w:i w:val="1"/>
          <w:iCs w:val="1"/>
          <w:color w:val="auto"/>
        </w:rPr>
        <w:t>e.g</w:t>
      </w:r>
      <w:r>
        <w:rPr>
          <w:rFonts w:ascii="Arial" w:cs="Arial" w:eastAsia="Arial" w:hAnsi="Arial"/>
          <w:sz w:val="21"/>
          <w:szCs w:val="21"/>
          <w:color w:val="auto"/>
        </w:rPr>
        <w:t>., a stock certificate or electronic entry evidencing such Shares) shall be determined by the Company.</w:t>
      </w:r>
    </w:p>
    <w:p>
      <w:pPr>
        <w:spacing w:after="0" w:line="213" w:lineRule="exact"/>
        <w:rPr>
          <w:sz w:val="20"/>
          <w:szCs w:val="20"/>
          <w:color w:val="auto"/>
        </w:rPr>
      </w:pPr>
    </w:p>
    <w:p>
      <w:pPr>
        <w:ind w:left="1300" w:hanging="646"/>
        <w:spacing w:after="0"/>
        <w:tabs>
          <w:tab w:leader="none" w:pos="130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DIVIDENDS.</w:t>
      </w:r>
    </w:p>
    <w:p>
      <w:pPr>
        <w:spacing w:after="0" w:line="266" w:lineRule="exact"/>
        <w:rPr>
          <w:sz w:val="20"/>
          <w:szCs w:val="20"/>
          <w:color w:val="auto"/>
        </w:rPr>
      </w:pPr>
    </w:p>
    <w:p>
      <w:pPr>
        <w:jc w:val="both"/>
        <w:ind w:left="80" w:firstLine="1231"/>
        <w:spacing w:after="0" w:line="250" w:lineRule="auto"/>
        <w:rPr>
          <w:sz w:val="20"/>
          <w:szCs w:val="20"/>
          <w:color w:val="auto"/>
        </w:rPr>
      </w:pPr>
      <w:r>
        <w:rPr>
          <w:rFonts w:ascii="Arial" w:cs="Arial" w:eastAsia="Arial" w:hAnsi="Arial"/>
          <w:sz w:val="22"/>
          <w:szCs w:val="22"/>
          <w:color w:val="auto"/>
        </w:rPr>
        <w:t xml:space="preserve">You shall receive no benefit, accrual or adjustment to your Award with respect to any cash dividend, stock dividend or other distribution unless otherwise required by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sentence will not apply with respect to any Shares that are delivered to you in connection with your Award after such Shares have been delivered to you.</w:t>
      </w:r>
    </w:p>
    <w:p>
      <w:pPr>
        <w:sectPr>
          <w:pgSz w:w="11900" w:h="16838" w:orient="portrait"/>
          <w:cols w:equalWidth="0" w:num="1">
            <w:col w:w="10680"/>
          </w:cols>
          <w:pgMar w:left="740" w:top="1440" w:right="479" w:bottom="1440" w:gutter="0" w:footer="0" w:header="0"/>
        </w:sectPr>
      </w:pPr>
    </w:p>
    <w:bookmarkStart w:id="256" w:name="page257"/>
    <w:bookmarkEnd w:id="256"/>
    <w:p>
      <w:pPr>
        <w:spacing w:after="0" w:line="36" w:lineRule="exact"/>
        <w:rPr>
          <w:sz w:val="20"/>
          <w:szCs w:val="20"/>
          <w:color w:val="auto"/>
        </w:rPr>
      </w:pPr>
    </w:p>
    <w:p>
      <w:pPr>
        <w:ind w:left="1220" w:hanging="646"/>
        <w:spacing w:after="0"/>
        <w:tabs>
          <w:tab w:leader="none" w:pos="1220" w:val="left"/>
        </w:tabs>
        <w:numPr>
          <w:ilvl w:val="0"/>
          <w:numId w:val="227"/>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LEGENDS.</w:t>
      </w:r>
    </w:p>
    <w:p>
      <w:pPr>
        <w:spacing w:after="0" w:line="253"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The Shares issued in respect of your Award may be endorsed with appropriate legends as determined 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23" w:lineRule="exact"/>
        <w:rPr>
          <w:sz w:val="20"/>
          <w:szCs w:val="20"/>
          <w:color w:val="auto"/>
        </w:rPr>
      </w:pPr>
    </w:p>
    <w:p>
      <w:pPr>
        <w:ind w:left="1220" w:hanging="646"/>
        <w:spacing w:after="0"/>
        <w:tabs>
          <w:tab w:leader="none" w:pos="122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p>
    <w:p>
      <w:pPr>
        <w:spacing w:after="0" w:line="90" w:lineRule="exact"/>
        <w:rPr>
          <w:rFonts w:ascii="Arial" w:cs="Arial" w:eastAsia="Arial" w:hAnsi="Arial"/>
          <w:sz w:val="22"/>
          <w:szCs w:val="22"/>
          <w:b w:val="1"/>
          <w:bCs w:val="1"/>
          <w:color w:val="auto"/>
        </w:rPr>
      </w:pPr>
    </w:p>
    <w:p>
      <w:pPr>
        <w:jc w:val="both"/>
        <w:ind w:firstLine="1222"/>
        <w:spacing w:after="0" w:line="245" w:lineRule="auto"/>
        <w:tabs>
          <w:tab w:leader="none" w:pos="2105" w:val="left"/>
        </w:tabs>
        <w:numPr>
          <w:ilvl w:val="1"/>
          <w:numId w:val="228"/>
        </w:numPr>
        <w:rPr>
          <w:rFonts w:ascii="Arial" w:cs="Arial" w:eastAsia="Arial" w:hAnsi="Arial"/>
          <w:sz w:val="22"/>
          <w:szCs w:val="22"/>
          <w:color w:val="auto"/>
        </w:rPr>
      </w:pPr>
      <w:r>
        <w:rPr>
          <w:rFonts w:ascii="Arial" w:cs="Arial" w:eastAsia="Arial" w:hAnsi="Arial"/>
          <w:sz w:val="22"/>
          <w:szCs w:val="22"/>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any Group Member; (ii) constitute any promise or commitment by the Company or any Group Member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any Group Member of any right to terminate you at will and without regard to any future vesting opportunity that you may have.</w:t>
      </w:r>
    </w:p>
    <w:p>
      <w:pPr>
        <w:spacing w:after="0" w:line="227" w:lineRule="exact"/>
        <w:rPr>
          <w:rFonts w:ascii="Arial" w:cs="Arial" w:eastAsia="Arial" w:hAnsi="Arial"/>
          <w:sz w:val="22"/>
          <w:szCs w:val="22"/>
          <w:color w:val="auto"/>
        </w:rPr>
      </w:pPr>
    </w:p>
    <w:p>
      <w:pPr>
        <w:jc w:val="both"/>
        <w:ind w:firstLine="1222"/>
        <w:spacing w:after="0" w:line="286" w:lineRule="auto"/>
        <w:tabs>
          <w:tab w:leader="none" w:pos="2104" w:val="left"/>
        </w:tabs>
        <w:numPr>
          <w:ilvl w:val="1"/>
          <w:numId w:val="228"/>
        </w:numPr>
        <w:rPr>
          <w:rFonts w:ascii="Arial" w:cs="Arial" w:eastAsia="Arial" w:hAnsi="Arial"/>
          <w:sz w:val="19"/>
          <w:szCs w:val="19"/>
          <w:color w:val="auto"/>
        </w:rPr>
      </w:pPr>
      <w:r>
        <w:rPr>
          <w:rFonts w:ascii="Arial" w:cs="Arial" w:eastAsia="Arial" w:hAnsi="Arial"/>
          <w:sz w:val="19"/>
          <w:szCs w:val="19"/>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 Connected Person at the will of the Company and any Group Member, as applicable (not through the act of being hired, being granted this Award or any other award or benefit) and that the Company and any Group Member has the right to reorganize, sell, spin-out or otherwise restructure one or more of its businesses or Group Members at any time or from time to time, as it deems appropriate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You acknowledge and agree that such a reorganization could result in the cessation of you being considered a Connected Person, or the termination of Group Member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(or applicable Group Member’s) right to terminate your service and Connected Person status at any time, with or without your cause or notice, or to conduct a reorganization.</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220" w:hanging="646"/>
        <w:spacing w:after="0"/>
        <w:tabs>
          <w:tab w:leader="none" w:pos="122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TAXES.</w:t>
      </w:r>
    </w:p>
    <w:p>
      <w:pPr>
        <w:spacing w:after="0" w:line="252" w:lineRule="exact"/>
        <w:rPr>
          <w:rFonts w:ascii="Arial" w:cs="Arial" w:eastAsia="Arial" w:hAnsi="Arial"/>
          <w:sz w:val="22"/>
          <w:szCs w:val="22"/>
          <w:b w:val="1"/>
          <w:bCs w:val="1"/>
          <w:color w:val="auto"/>
        </w:rPr>
      </w:pPr>
    </w:p>
    <w:p>
      <w:pPr>
        <w:jc w:val="both"/>
        <w:ind w:left="-80" w:firstLine="1302"/>
        <w:spacing w:after="0" w:line="261" w:lineRule="auto"/>
        <w:tabs>
          <w:tab w:leader="none" w:pos="2090" w:val="left"/>
        </w:tabs>
        <w:numPr>
          <w:ilvl w:val="1"/>
          <w:numId w:val="228"/>
        </w:numPr>
        <w:rPr>
          <w:rFonts w:ascii="Arial" w:cs="Arial" w:eastAsia="Arial" w:hAnsi="Arial"/>
          <w:sz w:val="21"/>
          <w:szCs w:val="21"/>
          <w:color w:val="auto"/>
        </w:rPr>
      </w:pPr>
      <w:r>
        <w:rPr>
          <w:rFonts w:ascii="Arial" w:cs="Arial" w:eastAsia="Arial" w:hAnsi="Arial"/>
          <w:sz w:val="21"/>
          <w:szCs w:val="21"/>
          <w:color w:val="auto"/>
        </w:rPr>
        <w:t>On each vesting date, and on or before the time you receive a distribution of the Shares, cash or other property in respect of your Award, and at any other time as reasonably requested by the Company (or applicable Group Member) in accordance with applicable tax laws, you hereby authorize any required payment of the withholding from the Shares issuable to you and/or otherwise agree to make adequate provision, including in cash, for any sums required to satisfy the federal, state, local and foreign tax withholding obligations of the Company or any Group Member (including any Tax Liability as described in the Plan) that arise</w:t>
      </w:r>
    </w:p>
    <w:p>
      <w:pPr>
        <w:sectPr>
          <w:pgSz w:w="11900" w:h="16838" w:orient="portrait"/>
          <w:cols w:equalWidth="0" w:num="1">
            <w:col w:w="10600"/>
          </w:cols>
          <w:pgMar w:left="820" w:top="1440" w:right="479" w:bottom="1440" w:gutter="0" w:footer="0" w:header="0"/>
        </w:sectPr>
      </w:pPr>
    </w:p>
    <w:bookmarkStart w:id="257" w:name="page258"/>
    <w:bookmarkEnd w:id="257"/>
    <w:p>
      <w:pPr>
        <w:spacing w:after="0" w:line="4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connection with your Award (the “</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Additionally, the Company or any applicable Group Member may, in its sole discretion, satisfy the payment of the Withholding Taxes obligation relating to your Award by any of the following means or by a combination of such means (and by accepting this Award you hereby authorize any of the following methods of satisfying the Withholding Taxes): (i) withholding from any compensation otherwise payable to you by the Company or a Group Member; (ii) causing you to tender a cash payment; (iii) permitting or requiring you to enter into a “</w:t>
      </w:r>
      <w:r>
        <w:rPr>
          <w:rFonts w:ascii="Arial" w:cs="Arial" w:eastAsia="Arial" w:hAnsi="Arial"/>
          <w:sz w:val="19"/>
          <w:szCs w:val="19"/>
          <w:b w:val="1"/>
          <w:bCs w:val="1"/>
          <w:i w:val="1"/>
          <w:iCs w:val="1"/>
          <w:color w:val="auto"/>
        </w:rPr>
        <w:t>sell to cover</w:t>
      </w:r>
      <w:r>
        <w:rPr>
          <w:rFonts w:ascii="Arial" w:cs="Arial" w:eastAsia="Arial" w:hAnsi="Arial"/>
          <w:sz w:val="19"/>
          <w:szCs w:val="19"/>
          <w:color w:val="auto"/>
        </w:rPr>
        <w:t>” commitment, if applicable,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Shares to be delivered in connection with your Award to satisfy all Withholding Taxes and whereby the FINRA Dealer</w:t>
      </w:r>
    </w:p>
    <w:p>
      <w:pPr>
        <w:spacing w:after="0" w:line="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irrevocably commits to forward the proceeds necessary to satisfy the Withholding Taxes directly to the Company and/or the applicable Group Member; or (iv) withholding Shares from the Shares issued or otherwise issuable to you in connection with the Award with a Fair Market Value (measured as of the date Shares are issued pursuant to Section 6) equal to the amount of such Withholding Taxes;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number of such Shares so withheld will not exceed the sum of the maximum permitted statutory rate for Withholding Taxes including withholding rates for federal, state, local and foreign tax purposes, including payroll taxes, that are applicable to supplemental taxable income; and </w:t>
      </w:r>
      <w:r>
        <w:rPr>
          <w:rFonts w:ascii="Arial" w:cs="Arial" w:eastAsia="Arial" w:hAnsi="Arial"/>
          <w:sz w:val="22"/>
          <w:szCs w:val="22"/>
          <w:i w:val="1"/>
          <w:iCs w:val="1"/>
          <w:color w:val="auto"/>
        </w:rPr>
        <w:t>provided</w:t>
      </w:r>
      <w:r>
        <w:rPr>
          <w:rFonts w:ascii="Arial" w:cs="Arial" w:eastAsia="Arial" w:hAnsi="Arial"/>
          <w:sz w:val="22"/>
          <w:szCs w:val="22"/>
          <w:color w:val="auto"/>
        </w:rPr>
        <w:t>, further, that to the extent necessary to qualify for an exemption from application of Section 16(b) of the</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 Act, if applicable, such share withholding procedure will be subject to the express prior approval of the Board or the Committee.</w:t>
      </w:r>
    </w:p>
    <w:p>
      <w:pPr>
        <w:spacing w:after="0" w:line="241" w:lineRule="exact"/>
        <w:rPr>
          <w:sz w:val="20"/>
          <w:szCs w:val="20"/>
          <w:color w:val="auto"/>
        </w:rPr>
      </w:pPr>
    </w:p>
    <w:p>
      <w:pPr>
        <w:ind w:firstLine="1302"/>
        <w:spacing w:after="0" w:line="263" w:lineRule="auto"/>
        <w:tabs>
          <w:tab w:leader="none" w:pos="2169" w:val="left"/>
        </w:tabs>
        <w:numPr>
          <w:ilvl w:val="1"/>
          <w:numId w:val="229"/>
        </w:numPr>
        <w:rPr>
          <w:rFonts w:ascii="Arial" w:cs="Arial" w:eastAsia="Arial" w:hAnsi="Arial"/>
          <w:sz w:val="22"/>
          <w:szCs w:val="22"/>
          <w:color w:val="auto"/>
        </w:rPr>
      </w:pPr>
      <w:r>
        <w:rPr>
          <w:rFonts w:ascii="Arial" w:cs="Arial" w:eastAsia="Arial" w:hAnsi="Arial"/>
          <w:sz w:val="22"/>
          <w:szCs w:val="22"/>
          <w:color w:val="auto"/>
        </w:rPr>
        <w:t>Unless the Withholding Taxes are satisfied, the Company shall have no obligation to deliver to you any Shares or any other consideration pursuant to this Award.</w:t>
      </w:r>
    </w:p>
    <w:p>
      <w:pPr>
        <w:spacing w:after="0" w:line="201" w:lineRule="exact"/>
        <w:rPr>
          <w:rFonts w:ascii="Arial" w:cs="Arial" w:eastAsia="Arial" w:hAnsi="Arial"/>
          <w:sz w:val="22"/>
          <w:szCs w:val="22"/>
          <w:color w:val="auto"/>
        </w:rPr>
      </w:pPr>
    </w:p>
    <w:p>
      <w:pPr>
        <w:jc w:val="both"/>
        <w:ind w:firstLine="1302"/>
        <w:spacing w:after="0" w:line="250" w:lineRule="auto"/>
        <w:tabs>
          <w:tab w:leader="none" w:pos="217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In the event the Withholding Taxes arise prior to the delivery to you of Shares or it is determined after the delivery of Shares to you that the amount of the Withholding Taxes was greater than the amount withheld by the Company or Group Member, you agree to indemnify and hold the Company and all Group Members harmless from any failure to withhold the proper amount.</w:t>
      </w:r>
    </w:p>
    <w:p>
      <w:pPr>
        <w:spacing w:after="0" w:line="208" w:lineRule="exact"/>
        <w:rPr>
          <w:rFonts w:ascii="Arial" w:cs="Arial" w:eastAsia="Arial" w:hAnsi="Arial"/>
          <w:sz w:val="22"/>
          <w:szCs w:val="22"/>
          <w:color w:val="auto"/>
        </w:rPr>
      </w:pPr>
    </w:p>
    <w:p>
      <w:pPr>
        <w:ind w:left="1280" w:hanging="626"/>
        <w:spacing w:after="0"/>
        <w:tabs>
          <w:tab w:leader="none" w:pos="128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color w:val="auto"/>
        </w:rPr>
        <w:t>TAX CONSEQUENCES.</w:t>
      </w:r>
    </w:p>
    <w:p>
      <w:pPr>
        <w:spacing w:after="0" w:line="266" w:lineRule="exact"/>
        <w:rPr>
          <w:sz w:val="20"/>
          <w:szCs w:val="20"/>
          <w:color w:val="auto"/>
        </w:rPr>
      </w:pPr>
    </w:p>
    <w:p>
      <w:pPr>
        <w:jc w:val="both"/>
        <w:ind w:left="80" w:firstLine="1231"/>
        <w:spacing w:after="0" w:line="253" w:lineRule="auto"/>
        <w:rPr>
          <w:sz w:val="20"/>
          <w:szCs w:val="20"/>
          <w:color w:val="auto"/>
        </w:rPr>
      </w:pPr>
      <w:r>
        <w:rPr>
          <w:rFonts w:ascii="Arial" w:cs="Arial" w:eastAsia="Arial" w:hAnsi="Arial"/>
          <w:sz w:val="22"/>
          <w:szCs w:val="22"/>
          <w:color w:val="auto"/>
        </w:rPr>
        <w:t>Neither the Company nor any Group Member has a duty or obligation to minimize the tax consequences to you of this Award and neither the Company nor any Group Member shall be liable to you for any adverse tax consequences to you arising in connection with this Award.</w:t>
      </w:r>
    </w:p>
    <w:p>
      <w:pPr>
        <w:spacing w:after="0" w:line="226" w:lineRule="exact"/>
        <w:rPr>
          <w:sz w:val="20"/>
          <w:szCs w:val="20"/>
          <w:color w:val="auto"/>
        </w:rPr>
      </w:pPr>
    </w:p>
    <w:p>
      <w:pPr>
        <w:jc w:val="both"/>
        <w:ind w:left="80" w:firstLine="1231"/>
        <w:spacing w:after="0" w:line="302" w:lineRule="auto"/>
        <w:rPr>
          <w:sz w:val="20"/>
          <w:szCs w:val="20"/>
          <w:color w:val="auto"/>
        </w:rPr>
      </w:pPr>
      <w:r>
        <w:rPr>
          <w:rFonts w:ascii="Arial" w:cs="Arial" w:eastAsia="Arial" w:hAnsi="Arial"/>
          <w:sz w:val="19"/>
          <w:szCs w:val="19"/>
          <w:color w:val="auto"/>
        </w:rPr>
        <w:t>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or any Group Member) shall be responsible for your own tax liability that may arise as a result of this investment or the transactions contemplated by this Agreement.</w:t>
      </w:r>
    </w:p>
    <w:p>
      <w:pPr>
        <w:sectPr>
          <w:pgSz w:w="11900" w:h="16838" w:orient="portrait"/>
          <w:cols w:equalWidth="0" w:num="1">
            <w:col w:w="10680"/>
          </w:cols>
          <w:pgMar w:left="740" w:top="1440" w:right="479" w:bottom="1440" w:gutter="0" w:footer="0" w:header="0"/>
        </w:sectPr>
      </w:pPr>
    </w:p>
    <w:bookmarkStart w:id="258" w:name="page259"/>
    <w:bookmarkEnd w:id="258"/>
    <w:p>
      <w:pPr>
        <w:spacing w:after="0" w:line="36" w:lineRule="exact"/>
        <w:rPr>
          <w:sz w:val="20"/>
          <w:szCs w:val="20"/>
          <w:color w:val="auto"/>
        </w:rPr>
      </w:pPr>
    </w:p>
    <w:p>
      <w:pPr>
        <w:ind w:left="1300" w:hanging="646"/>
        <w:spacing w:after="0"/>
        <w:tabs>
          <w:tab w:leader="none" w:pos="1300"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color w:val="auto"/>
        </w:rPr>
        <w:t>UNSECURED OBLIGATION.</w:t>
      </w:r>
    </w:p>
    <w:p>
      <w:pPr>
        <w:spacing w:after="0" w:line="25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Your Award is unfunded, and as a holder of a vested Award, you shall be considered an unsecured creditor of the Company with respect to the Company’s obligation, if any, to issue Shares or other property pursuant to this Agreement. You shall not have voting or any other rights as a shareholder of the Company with respect to the Shares to be issued pursuant to this Agreement until such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any Group Member or any other person.</w:t>
      </w:r>
    </w:p>
    <w:p>
      <w:pPr>
        <w:spacing w:after="0" w:line="185" w:lineRule="exact"/>
        <w:rPr>
          <w:sz w:val="20"/>
          <w:szCs w:val="20"/>
          <w:color w:val="auto"/>
        </w:rPr>
      </w:pPr>
    </w:p>
    <w:p>
      <w:pPr>
        <w:ind w:left="1300" w:hanging="646"/>
        <w:spacing w:after="0"/>
        <w:tabs>
          <w:tab w:leader="none" w:pos="1300" w:val="left"/>
        </w:tabs>
        <w:numPr>
          <w:ilvl w:val="0"/>
          <w:numId w:val="232"/>
        </w:numPr>
        <w:rPr>
          <w:rFonts w:ascii="Arial" w:cs="Arial" w:eastAsia="Arial" w:hAnsi="Arial"/>
          <w:sz w:val="22"/>
          <w:szCs w:val="22"/>
          <w:b w:val="1"/>
          <w:bCs w:val="1"/>
          <w:color w:val="auto"/>
        </w:rPr>
      </w:pPr>
      <w:r>
        <w:rPr>
          <w:rFonts w:ascii="Arial" w:cs="Arial" w:eastAsia="Arial" w:hAnsi="Arial"/>
          <w:sz w:val="22"/>
          <w:szCs w:val="22"/>
          <w:b w:val="1"/>
          <w:bCs w:val="1"/>
          <w:color w:val="auto"/>
        </w:rPr>
        <w:t>NOTICES; ELECTRONIC DELIVERY.</w:t>
      </w:r>
    </w:p>
    <w:p>
      <w:pPr>
        <w:spacing w:after="0" w:line="25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Any notice or request provided for in your Award shall be given in writing (including electronically) and may be personally served, or sent by United States mail or pre-paid</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courier service, and will be deemed effective upon receipt (when delivered in person or by courier service during normal business hours (or after normal business hours, the following day))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 from time to time.</w:t>
      </w:r>
    </w:p>
    <w:p>
      <w:pPr>
        <w:spacing w:after="0" w:line="177" w:lineRule="exact"/>
        <w:rPr>
          <w:sz w:val="20"/>
          <w:szCs w:val="20"/>
          <w:color w:val="auto"/>
        </w:rPr>
      </w:pPr>
    </w:p>
    <w:p>
      <w:pPr>
        <w:ind w:left="1300" w:hanging="646"/>
        <w:spacing w:after="0"/>
        <w:tabs>
          <w:tab w:leader="none" w:pos="130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252" w:lineRule="exact"/>
        <w:rPr>
          <w:rFonts w:ascii="Arial" w:cs="Arial" w:eastAsia="Arial" w:hAnsi="Arial"/>
          <w:sz w:val="22"/>
          <w:szCs w:val="22"/>
          <w:b w:val="1"/>
          <w:bCs w:val="1"/>
          <w:color w:val="auto"/>
        </w:rPr>
      </w:pPr>
    </w:p>
    <w:p>
      <w:pPr>
        <w:jc w:val="both"/>
        <w:ind w:firstLine="1302"/>
        <w:spacing w:after="0" w:line="260" w:lineRule="auto"/>
        <w:tabs>
          <w:tab w:leader="none" w:pos="2170" w:val="left"/>
        </w:tabs>
        <w:numPr>
          <w:ilvl w:val="1"/>
          <w:numId w:val="233"/>
        </w:numPr>
        <w:rPr>
          <w:rFonts w:ascii="Arial" w:cs="Arial" w:eastAsia="Arial" w:hAnsi="Arial"/>
          <w:sz w:val="21"/>
          <w:szCs w:val="21"/>
          <w:color w:val="auto"/>
        </w:rPr>
      </w:pPr>
      <w:r>
        <w:rPr>
          <w:rFonts w:ascii="Arial" w:cs="Arial" w:eastAsia="Arial" w:hAnsi="Arial"/>
          <w:sz w:val="21"/>
          <w:szCs w:val="21"/>
          <w:color w:val="auto"/>
        </w:rPr>
        <w:t>By accepting the Award, you consent to the collection, processing, transmission and storage in any form whatsoever by the Company or any Group Member of any data of a professional or personal nature which is necessary for the purpose of introducing and sustaining the Plan. This may include providing information to trustees of an employee benefit trust, or to registrars, or brokers, or third party administrators of the Plan, or to future purchasers of the company or the business in which you work. By participating in the Plan, you also consent to the transfer of personal data to countries or territories outside your home country even where the country to which data is transferred does not provide the same protections as your home country.</w:t>
      </w:r>
    </w:p>
    <w:p>
      <w:pPr>
        <w:spacing w:after="0" w:line="220" w:lineRule="exact"/>
        <w:rPr>
          <w:rFonts w:ascii="Arial" w:cs="Arial" w:eastAsia="Arial" w:hAnsi="Arial"/>
          <w:sz w:val="21"/>
          <w:szCs w:val="21"/>
          <w:color w:val="auto"/>
        </w:rPr>
      </w:pPr>
    </w:p>
    <w:p>
      <w:pPr>
        <w:jc w:val="both"/>
        <w:ind w:firstLine="1302"/>
        <w:spacing w:after="0" w:line="297" w:lineRule="auto"/>
        <w:tabs>
          <w:tab w:leader="none" w:pos="2169" w:val="left"/>
        </w:tabs>
        <w:numPr>
          <w:ilvl w:val="1"/>
          <w:numId w:val="233"/>
        </w:numPr>
        <w:rPr>
          <w:rFonts w:ascii="Arial" w:cs="Arial" w:eastAsia="Arial" w:hAnsi="Arial"/>
          <w:sz w:val="19"/>
          <w:szCs w:val="19"/>
          <w:color w:val="auto"/>
        </w:rPr>
      </w:pPr>
      <w:r>
        <w:rPr>
          <w:rFonts w:ascii="Arial" w:cs="Arial" w:eastAsia="Arial" w:hAnsi="Arial"/>
          <w:sz w:val="19"/>
          <w:szCs w:val="19"/>
          <w:color w:val="auto"/>
        </w:rPr>
        <w:t>The basis for any collection, processing, transmission or storage of your personal data under the EU’s General Data Protection Regulation (2016/679), the UK Data Protection Act 2018 and any successor laws is set out in the Company’s Data Privacy Notice which can be obtained from the HR Department and is not the consent given under Section 15(a). The Data Privacy Notice also contains details about how your personal data is processed and your rights in relation to that data. You have a right to review the Data Privacy Notice.</w:t>
      </w:r>
    </w:p>
    <w:p>
      <w:pPr>
        <w:sectPr>
          <w:pgSz w:w="11900" w:h="16838" w:orient="portrait"/>
          <w:cols w:equalWidth="0" w:num="1">
            <w:col w:w="10680"/>
          </w:cols>
          <w:pgMar w:left="740" w:top="1440" w:right="479" w:bottom="1440" w:gutter="0" w:footer="0" w:header="0"/>
        </w:sectPr>
      </w:pPr>
    </w:p>
    <w:bookmarkStart w:id="259" w:name="page260"/>
    <w:bookmarkEnd w:id="259"/>
    <w:p>
      <w:pPr>
        <w:spacing w:after="0" w:line="36" w:lineRule="exact"/>
        <w:rPr>
          <w:sz w:val="20"/>
          <w:szCs w:val="20"/>
          <w:color w:val="auto"/>
        </w:rPr>
      </w:pPr>
    </w:p>
    <w:p>
      <w:pPr>
        <w:ind w:left="1300" w:hanging="646"/>
        <w:spacing w:after="0"/>
        <w:tabs>
          <w:tab w:leader="none" w:pos="1300"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INSIDER TRADING / MARKET ABUSE LAWS.</w:t>
      </w:r>
    </w:p>
    <w:p>
      <w:pPr>
        <w:spacing w:after="0" w:line="25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You may be subject to insider trading restrictions and/or market abuse laws, which may affect your ability to acquire or sell Shares under the Plan during such times as you are considered to have “</w:t>
      </w:r>
      <w:r>
        <w:rPr>
          <w:rFonts w:ascii="Arial" w:cs="Arial" w:eastAsia="Arial" w:hAnsi="Arial"/>
          <w:sz w:val="22"/>
          <w:szCs w:val="22"/>
          <w:i w:val="1"/>
          <w:iCs w:val="1"/>
          <w:color w:val="auto"/>
        </w:rPr>
        <w:t>inside information</w:t>
      </w:r>
      <w:r>
        <w:rPr>
          <w:rFonts w:ascii="Arial" w:cs="Arial" w:eastAsia="Arial" w:hAnsi="Arial"/>
          <w:sz w:val="22"/>
          <w:szCs w:val="22"/>
          <w:color w:val="auto"/>
        </w:rPr>
        <w:t>” regarding the Company (as defined by applicable laws).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187" w:lineRule="exact"/>
        <w:rPr>
          <w:sz w:val="20"/>
          <w:szCs w:val="20"/>
          <w:color w:val="auto"/>
        </w:rPr>
      </w:pPr>
    </w:p>
    <w:p>
      <w:pPr>
        <w:ind w:left="1300" w:hanging="646"/>
        <w:spacing w:after="0"/>
        <w:tabs>
          <w:tab w:leader="none" w:pos="1300" w:val="left"/>
        </w:tabs>
        <w:numPr>
          <w:ilvl w:val="0"/>
          <w:numId w:val="235"/>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253" w:lineRule="exact"/>
        <w:rPr>
          <w:sz w:val="20"/>
          <w:szCs w:val="20"/>
          <w:color w:val="auto"/>
        </w:rPr>
      </w:pPr>
    </w:p>
    <w:p>
      <w:pPr>
        <w:ind w:left="80" w:firstLine="1231"/>
        <w:spacing w:after="0" w:line="263" w:lineRule="auto"/>
        <w:rPr>
          <w:sz w:val="20"/>
          <w:szCs w:val="20"/>
          <w:color w:val="auto"/>
        </w:rPr>
      </w:pPr>
      <w:r>
        <w:rPr>
          <w:rFonts w:ascii="Arial" w:cs="Arial" w:eastAsia="Arial" w:hAnsi="Arial"/>
          <w:sz w:val="22"/>
          <w:szCs w:val="22"/>
          <w:color w:val="auto"/>
        </w:rPr>
        <w:t>The headings of the Sections in this Agreement are inserted for convenience only and shall not be deemed to constitute a part of this Agreement or to affect the meaning of this Agreement.</w:t>
      </w:r>
    </w:p>
    <w:p>
      <w:pPr>
        <w:spacing w:after="0" w:line="209" w:lineRule="exact"/>
        <w:rPr>
          <w:sz w:val="20"/>
          <w:szCs w:val="20"/>
          <w:color w:val="auto"/>
        </w:rPr>
      </w:pPr>
    </w:p>
    <w:p>
      <w:pPr>
        <w:ind w:left="1300" w:hanging="646"/>
        <w:spacing w:after="0"/>
        <w:tabs>
          <w:tab w:leader="none" w:pos="1300" w:val="left"/>
        </w:tabs>
        <w:numPr>
          <w:ilvl w:val="0"/>
          <w:numId w:val="23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52" w:lineRule="exact"/>
        <w:rPr>
          <w:rFonts w:ascii="Arial" w:cs="Arial" w:eastAsia="Arial" w:hAnsi="Arial"/>
          <w:sz w:val="22"/>
          <w:szCs w:val="22"/>
          <w:b w:val="1"/>
          <w:bCs w:val="1"/>
          <w:color w:val="auto"/>
        </w:rPr>
      </w:pPr>
    </w:p>
    <w:p>
      <w:pPr>
        <w:ind w:firstLine="1302"/>
        <w:spacing w:after="0" w:line="263" w:lineRule="auto"/>
        <w:tabs>
          <w:tab w:leader="none" w:pos="217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The rights and obligations of the Company under your Award shall be transferable by the Company to any one or more persons or entities, and all covenants and</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agreements hereunder shall inure to the benefit of, and be enforceable by, the Company’s successors and assigns.</w:t>
      </w:r>
    </w:p>
    <w:p>
      <w:pPr>
        <w:spacing w:after="0" w:line="295" w:lineRule="exact"/>
        <w:rPr>
          <w:sz w:val="20"/>
          <w:szCs w:val="20"/>
          <w:color w:val="auto"/>
        </w:rPr>
      </w:pPr>
    </w:p>
    <w:p>
      <w:pPr>
        <w:ind w:firstLine="1302"/>
        <w:spacing w:after="0" w:line="263" w:lineRule="auto"/>
        <w:tabs>
          <w:tab w:leader="none" w:pos="2169" w:val="left"/>
        </w:tabs>
        <w:numPr>
          <w:ilvl w:val="1"/>
          <w:numId w:val="237"/>
        </w:numPr>
        <w:rPr>
          <w:rFonts w:ascii="Arial" w:cs="Arial" w:eastAsia="Arial" w:hAnsi="Arial"/>
          <w:sz w:val="22"/>
          <w:szCs w:val="22"/>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201" w:lineRule="exact"/>
        <w:rPr>
          <w:rFonts w:ascii="Arial" w:cs="Arial" w:eastAsia="Arial" w:hAnsi="Arial"/>
          <w:sz w:val="22"/>
          <w:szCs w:val="22"/>
          <w:color w:val="auto"/>
        </w:rPr>
      </w:pPr>
    </w:p>
    <w:p>
      <w:pPr>
        <w:jc w:val="both"/>
        <w:ind w:firstLine="1302"/>
        <w:spacing w:after="0" w:line="253" w:lineRule="auto"/>
        <w:tabs>
          <w:tab w:leader="none" w:pos="217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212" w:lineRule="exact"/>
        <w:rPr>
          <w:rFonts w:ascii="Arial" w:cs="Arial" w:eastAsia="Arial" w:hAnsi="Arial"/>
          <w:sz w:val="22"/>
          <w:szCs w:val="22"/>
          <w:color w:val="auto"/>
        </w:rPr>
      </w:pPr>
    </w:p>
    <w:p>
      <w:pPr>
        <w:ind w:firstLine="1302"/>
        <w:spacing w:after="0" w:line="263" w:lineRule="auto"/>
        <w:tabs>
          <w:tab w:leader="none" w:pos="2169" w:val="left"/>
        </w:tabs>
        <w:numPr>
          <w:ilvl w:val="1"/>
          <w:numId w:val="237"/>
        </w:numPr>
        <w:rPr>
          <w:rFonts w:ascii="Arial" w:cs="Arial" w:eastAsia="Arial" w:hAnsi="Arial"/>
          <w:sz w:val="22"/>
          <w:szCs w:val="22"/>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pacing w:after="0" w:line="215" w:lineRule="exact"/>
        <w:rPr>
          <w:rFonts w:ascii="Arial" w:cs="Arial" w:eastAsia="Arial" w:hAnsi="Arial"/>
          <w:sz w:val="22"/>
          <w:szCs w:val="22"/>
          <w:color w:val="auto"/>
        </w:rPr>
      </w:pPr>
    </w:p>
    <w:p>
      <w:pPr>
        <w:jc w:val="both"/>
        <w:ind w:firstLine="1302"/>
        <w:spacing w:after="0" w:line="271" w:lineRule="auto"/>
        <w:tabs>
          <w:tab w:leader="none" w:pos="2170" w:val="left"/>
        </w:tabs>
        <w:numPr>
          <w:ilvl w:val="1"/>
          <w:numId w:val="237"/>
        </w:numPr>
        <w:rPr>
          <w:rFonts w:ascii="Arial" w:cs="Arial" w:eastAsia="Arial" w:hAnsi="Arial"/>
          <w:sz w:val="21"/>
          <w:szCs w:val="21"/>
          <w:color w:val="auto"/>
        </w:rPr>
      </w:pPr>
      <w:r>
        <w:rPr>
          <w:rFonts w:ascii="Arial" w:cs="Arial" w:eastAsia="Arial" w:hAnsi="Arial"/>
          <w:sz w:val="21"/>
          <w:szCs w:val="21"/>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8" w:lineRule="exact"/>
        <w:rPr>
          <w:rFonts w:ascii="Arial" w:cs="Arial" w:eastAsia="Arial" w:hAnsi="Arial"/>
          <w:sz w:val="21"/>
          <w:szCs w:val="21"/>
          <w:color w:val="auto"/>
        </w:rPr>
      </w:pPr>
    </w:p>
    <w:p>
      <w:pPr>
        <w:ind w:left="1300" w:hanging="646"/>
        <w:spacing w:after="0"/>
        <w:tabs>
          <w:tab w:leader="none" w:pos="1300" w:val="left"/>
        </w:tabs>
        <w:numPr>
          <w:ilvl w:val="0"/>
          <w:numId w:val="238"/>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PLAN DOCUMENT.</w:t>
      </w:r>
    </w:p>
    <w:p>
      <w:pPr>
        <w:spacing w:after="0" w:line="266" w:lineRule="exact"/>
        <w:rPr>
          <w:sz w:val="20"/>
          <w:szCs w:val="20"/>
          <w:color w:val="auto"/>
        </w:rPr>
      </w:pPr>
    </w:p>
    <w:p>
      <w:pPr>
        <w:jc w:val="both"/>
        <w:ind w:left="80" w:firstLine="1231"/>
        <w:spacing w:after="0" w:line="302" w:lineRule="auto"/>
        <w:rPr>
          <w:sz w:val="20"/>
          <w:szCs w:val="20"/>
          <w:color w:val="auto"/>
        </w:rPr>
      </w:pPr>
      <w:r>
        <w:rPr>
          <w:rFonts w:ascii="Arial" w:cs="Arial" w:eastAsia="Arial" w:hAnsi="Arial"/>
          <w:sz w:val="19"/>
          <w:szCs w:val="19"/>
          <w:color w:val="auto"/>
        </w:rPr>
        <w:t>Except as set forth herein,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w:t>
      </w:r>
    </w:p>
    <w:p>
      <w:pPr>
        <w:sectPr>
          <w:pgSz w:w="11900" w:h="16838" w:orient="portrait"/>
          <w:cols w:equalWidth="0" w:num="1">
            <w:col w:w="10680"/>
          </w:cols>
          <w:pgMar w:left="740" w:top="1440" w:right="479" w:bottom="1440" w:gutter="0" w:footer="0" w:header="0"/>
        </w:sectPr>
      </w:pPr>
    </w:p>
    <w:bookmarkStart w:id="260" w:name="page261"/>
    <w:bookmarkEnd w:id="260"/>
    <w:p>
      <w:pPr>
        <w:spacing w:after="0" w:line="42" w:lineRule="exact"/>
        <w:rPr>
          <w:sz w:val="20"/>
          <w:szCs w:val="20"/>
          <w:color w:val="auto"/>
        </w:rPr>
      </w:pPr>
    </w:p>
    <w:p>
      <w:pPr>
        <w:jc w:val="both"/>
        <w:ind w:left="80"/>
        <w:spacing w:after="0" w:line="248" w:lineRule="auto"/>
        <w:rPr>
          <w:sz w:val="20"/>
          <w:szCs w:val="20"/>
          <w:color w:val="auto"/>
        </w:rPr>
      </w:pPr>
      <w:r>
        <w:rPr>
          <w:rFonts w:ascii="Arial" w:cs="Arial" w:eastAsia="Arial" w:hAnsi="Arial"/>
          <w:sz w:val="22"/>
          <w:szCs w:val="22"/>
          <w:color w:val="auto"/>
        </w:rPr>
        <w:t>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213" w:lineRule="exact"/>
        <w:rPr>
          <w:sz w:val="20"/>
          <w:szCs w:val="20"/>
          <w:color w:val="auto"/>
        </w:rPr>
      </w:pPr>
    </w:p>
    <w:p>
      <w:pPr>
        <w:ind w:left="1300" w:hanging="646"/>
        <w:spacing w:after="0"/>
        <w:tabs>
          <w:tab w:leader="none" w:pos="1300"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EFFECT ON OTHER EMPLOYEE BENEFIT PLANS.</w:t>
      </w:r>
    </w:p>
    <w:p>
      <w:pPr>
        <w:spacing w:after="0" w:line="266" w:lineRule="exact"/>
        <w:rPr>
          <w:sz w:val="20"/>
          <w:szCs w:val="20"/>
          <w:color w:val="auto"/>
        </w:rPr>
      </w:pPr>
    </w:p>
    <w:p>
      <w:pPr>
        <w:jc w:val="both"/>
        <w:ind w:left="80" w:firstLine="1231"/>
        <w:spacing w:after="0" w:line="248" w:lineRule="auto"/>
        <w:rPr>
          <w:sz w:val="20"/>
          <w:szCs w:val="20"/>
          <w:color w:val="auto"/>
        </w:rPr>
      </w:pPr>
      <w:r>
        <w:rPr>
          <w:rFonts w:ascii="Arial" w:cs="Arial" w:eastAsia="Arial" w:hAnsi="Arial"/>
          <w:sz w:val="22"/>
          <w:szCs w:val="22"/>
          <w:color w:val="auto"/>
        </w:rPr>
        <w:t>The value of the Award subject to this Agreement shall not be included as compensation, earnings, salaries, or other similar terms used when calculating benefits under any employee benefit plan (other than the Plan) sponsored by the Company or any Affiliate except as such plan otherwise expressly provides or as is required by applicable law. The Company expressly reserves its rights to amend, modify, or terminate any or all of the employee benefit plans of the Company or any Affiliate, subject to applicable law.</w:t>
      </w:r>
    </w:p>
    <w:p>
      <w:pPr>
        <w:spacing w:after="0" w:line="213" w:lineRule="exact"/>
        <w:rPr>
          <w:sz w:val="20"/>
          <w:szCs w:val="20"/>
          <w:color w:val="auto"/>
        </w:rPr>
      </w:pPr>
    </w:p>
    <w:p>
      <w:pPr>
        <w:ind w:left="1300" w:hanging="646"/>
        <w:spacing w:after="0"/>
        <w:tabs>
          <w:tab w:leader="none" w:pos="1300" w:val="left"/>
        </w:tabs>
        <w:numPr>
          <w:ilvl w:val="0"/>
          <w:numId w:val="240"/>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If all or any part of this Agreement or the Plan is declared by any court or governmental authority to 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80" w:lineRule="exact"/>
        <w:rPr>
          <w:sz w:val="20"/>
          <w:szCs w:val="20"/>
          <w:color w:val="auto"/>
        </w:rPr>
      </w:pPr>
    </w:p>
    <w:p>
      <w:pPr>
        <w:ind w:left="1300" w:hanging="646"/>
        <w:spacing w:after="0"/>
        <w:tabs>
          <w:tab w:leader="none" w:pos="1300" w:val="left"/>
        </w:tabs>
        <w:numPr>
          <w:ilvl w:val="0"/>
          <w:numId w:val="241"/>
        </w:numPr>
        <w:rPr>
          <w:rFonts w:ascii="Arial" w:cs="Arial" w:eastAsia="Arial" w:hAnsi="Arial"/>
          <w:sz w:val="22"/>
          <w:szCs w:val="22"/>
          <w:b w:val="1"/>
          <w:bCs w:val="1"/>
          <w:color w:val="auto"/>
        </w:rPr>
      </w:pPr>
      <w:r>
        <w:rPr>
          <w:rFonts w:ascii="Arial" w:cs="Arial" w:eastAsia="Arial" w:hAnsi="Arial"/>
          <w:sz w:val="22"/>
          <w:szCs w:val="22"/>
          <w:b w:val="1"/>
          <w:bCs w:val="1"/>
          <w:color w:val="auto"/>
        </w:rPr>
        <w:t>OTHER DOCUMENTS.</w:t>
      </w:r>
    </w:p>
    <w:p>
      <w:pPr>
        <w:spacing w:after="0" w:line="25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You hereby acknowledge receipt or the right to receive a document providing the information required by Rule 428(b)(1) promulgated under the Securities Act. In addition, you acknowledge receipt of the Company’s insider trading policy, in effect from time to time.</w:t>
      </w:r>
    </w:p>
    <w:p>
      <w:pPr>
        <w:spacing w:after="0" w:line="220" w:lineRule="exact"/>
        <w:rPr>
          <w:sz w:val="20"/>
          <w:szCs w:val="20"/>
          <w:color w:val="auto"/>
        </w:rPr>
      </w:pPr>
    </w:p>
    <w:p>
      <w:pPr>
        <w:ind w:left="1300" w:hanging="646"/>
        <w:spacing w:after="0"/>
        <w:tabs>
          <w:tab w:leader="none" w:pos="1300" w:val="left"/>
        </w:tabs>
        <w:numPr>
          <w:ilvl w:val="0"/>
          <w:numId w:val="242"/>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253"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This Agreement may not be modified, amended, or terminated except by an instrument in writing, signed by you and by a duly authorized representative of the Company, in accordance with the terms of the Plan. Without limiting the foregoing, the Company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ectPr>
          <w:pgSz w:w="11900" w:h="16838" w:orient="portrait"/>
          <w:cols w:equalWidth="0" w:num="1">
            <w:col w:w="10680"/>
          </w:cols>
          <w:pgMar w:left="740" w:top="1440" w:right="479" w:bottom="1440" w:gutter="0" w:footer="0" w:header="0"/>
        </w:sectPr>
      </w:pPr>
    </w:p>
    <w:bookmarkStart w:id="261" w:name="page262"/>
    <w:bookmarkEnd w:id="261"/>
    <w:p>
      <w:pPr>
        <w:spacing w:after="0" w:line="36" w:lineRule="exact"/>
        <w:rPr>
          <w:sz w:val="20"/>
          <w:szCs w:val="20"/>
          <w:color w:val="auto"/>
        </w:rPr>
      </w:pPr>
    </w:p>
    <w:p>
      <w:pPr>
        <w:ind w:left="1300" w:hanging="646"/>
        <w:spacing w:after="0"/>
        <w:tabs>
          <w:tab w:leader="none" w:pos="1300" w:val="left"/>
        </w:tabs>
        <w:numPr>
          <w:ilvl w:val="0"/>
          <w:numId w:val="243"/>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SECTION 409A OF THE CODE.</w:t>
      </w:r>
    </w:p>
    <w:p>
      <w:pPr>
        <w:spacing w:after="0" w:line="26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This Award is intended to be exempt from the application of Section 409A of the Code, including but not limited to by reason of complying with the “short-term deferral” rule set forth in Treasury Regulation Section 1.409A-1(b)</w:t>
      </w:r>
    </w:p>
    <w:p>
      <w:pPr>
        <w:spacing w:after="0" w:line="1" w:lineRule="exact"/>
        <w:rPr>
          <w:sz w:val="20"/>
          <w:szCs w:val="20"/>
          <w:color w:val="auto"/>
        </w:rPr>
      </w:pPr>
    </w:p>
    <w:p>
      <w:pPr>
        <w:jc w:val="both"/>
        <w:ind w:firstLine="6"/>
        <w:spacing w:after="0" w:line="281" w:lineRule="auto"/>
        <w:tabs>
          <w:tab w:leader="none" w:pos="316" w:val="left"/>
        </w:tabs>
        <w:numPr>
          <w:ilvl w:val="0"/>
          <w:numId w:val="244"/>
        </w:numPr>
        <w:rPr>
          <w:rFonts w:ascii="Arial" w:cs="Arial" w:eastAsia="Arial" w:hAnsi="Arial"/>
          <w:sz w:val="19"/>
          <w:szCs w:val="19"/>
          <w:color w:val="auto"/>
        </w:rPr>
      </w:pPr>
      <w:r>
        <w:rPr>
          <w:rFonts w:ascii="Arial" w:cs="Arial" w:eastAsia="Arial" w:hAnsi="Arial"/>
          <w:sz w:val="19"/>
          <w:szCs w:val="19"/>
          <w:color w:val="auto"/>
        </w:rPr>
        <w:t>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your Separation from Service or within the first six</w:t>
      </w:r>
    </w:p>
    <w:p>
      <w:pPr>
        <w:spacing w:after="0" w:line="5" w:lineRule="exact"/>
        <w:rPr>
          <w:rFonts w:ascii="Arial" w:cs="Arial" w:eastAsia="Arial" w:hAnsi="Arial"/>
          <w:sz w:val="19"/>
          <w:szCs w:val="19"/>
          <w:color w:val="auto"/>
        </w:rPr>
      </w:pPr>
    </w:p>
    <w:p>
      <w:pPr>
        <w:jc w:val="both"/>
        <w:ind w:firstLine="6"/>
        <w:spacing w:after="0" w:line="257" w:lineRule="auto"/>
        <w:tabs>
          <w:tab w:leader="none" w:pos="313" w:val="left"/>
        </w:tabs>
        <w:numPr>
          <w:ilvl w:val="0"/>
          <w:numId w:val="245"/>
        </w:numPr>
        <w:rPr>
          <w:rFonts w:ascii="Arial" w:cs="Arial" w:eastAsia="Arial" w:hAnsi="Arial"/>
          <w:sz w:val="21"/>
          <w:szCs w:val="21"/>
          <w:color w:val="auto"/>
        </w:rPr>
      </w:pPr>
      <w:r>
        <w:rPr>
          <w:rFonts w:ascii="Arial" w:cs="Arial" w:eastAsia="Arial" w:hAnsi="Arial"/>
          <w:sz w:val="21"/>
          <w:szCs w:val="21"/>
          <w:color w:val="auto"/>
        </w:rPr>
        <w:t>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 (2).</w:t>
      </w:r>
    </w:p>
    <w:p>
      <w:pPr>
        <w:spacing w:after="0" w:line="293" w:lineRule="exact"/>
        <w:rPr>
          <w:rFonts w:ascii="Arial" w:cs="Arial" w:eastAsia="Arial" w:hAnsi="Arial"/>
          <w:sz w:val="21"/>
          <w:szCs w:val="21"/>
          <w:color w:val="auto"/>
        </w:rPr>
      </w:pPr>
    </w:p>
    <w:p>
      <w:pPr>
        <w:ind w:left="4820"/>
        <w:spacing w:after="0"/>
        <w:rPr>
          <w:rFonts w:ascii="Arial" w:cs="Arial" w:eastAsia="Arial" w:hAnsi="Arial"/>
          <w:sz w:val="21"/>
          <w:szCs w:val="21"/>
          <w:color w:val="auto"/>
        </w:rPr>
      </w:pPr>
      <w:r>
        <w:rPr>
          <w:rFonts w:ascii="Arial" w:cs="Arial" w:eastAsia="Arial" w:hAnsi="Arial"/>
          <w:sz w:val="22"/>
          <w:szCs w:val="22"/>
          <w:color w:val="auto"/>
        </w:rPr>
        <w:t>* * * * *</w:t>
      </w:r>
    </w:p>
    <w:p>
      <w:pPr>
        <w:sectPr>
          <w:pgSz w:w="11900" w:h="16838" w:orient="portrait"/>
          <w:cols w:equalWidth="0" w:num="1">
            <w:col w:w="10680"/>
          </w:cols>
          <w:pgMar w:left="740" w:top="1440" w:right="479" w:bottom="1440" w:gutter="0" w:footer="0" w:header="0"/>
        </w:sectPr>
      </w:pPr>
    </w:p>
    <w:bookmarkStart w:id="262" w:name="page263"/>
    <w:bookmarkEnd w:id="262"/>
    <w:p>
      <w:pPr>
        <w:jc w:val="center"/>
        <w:spacing w:after="0"/>
        <w:rPr>
          <w:sz w:val="20"/>
          <w:szCs w:val="20"/>
          <w:color w:val="auto"/>
        </w:rPr>
      </w:pPr>
      <w:r>
        <w:rPr>
          <w:rFonts w:ascii="Arial" w:cs="Arial" w:eastAsia="Arial" w:hAnsi="Arial"/>
          <w:sz w:val="22"/>
          <w:szCs w:val="22"/>
          <w:b w:val="1"/>
          <w:bCs w:val="1"/>
          <w:color w:val="auto"/>
        </w:rPr>
        <w:t>DECLARATION</w:t>
      </w:r>
    </w:p>
    <w:p>
      <w:pPr>
        <w:spacing w:after="0" w:line="158" w:lineRule="exact"/>
        <w:rPr>
          <w:sz w:val="20"/>
          <w:szCs w:val="20"/>
          <w:color w:val="auto"/>
        </w:rPr>
      </w:pPr>
    </w:p>
    <w:p>
      <w:pPr>
        <w:spacing w:after="0" w:line="355" w:lineRule="auto"/>
        <w:rPr>
          <w:sz w:val="20"/>
          <w:szCs w:val="20"/>
          <w:color w:val="auto"/>
        </w:rPr>
      </w:pPr>
      <w:r>
        <w:rPr>
          <w:rFonts w:ascii="Arial" w:cs="Arial" w:eastAsia="Arial" w:hAnsi="Arial"/>
          <w:sz w:val="22"/>
          <w:szCs w:val="22"/>
          <w:color w:val="auto"/>
        </w:rPr>
        <w:t xml:space="preserve">I have received and understand the attached award documentation and accept the Award granted to me by the Company under the Plan on </w:t>
      </w:r>
      <w:r>
        <w:rPr>
          <w:rFonts w:ascii="Arial" w:cs="Arial" w:eastAsia="Arial" w:hAnsi="Arial"/>
          <w:sz w:val="23"/>
          <w:szCs w:val="23"/>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Signed: _________________________</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Full Name:</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000"/>
          </w:cols>
          <w:pgMar w:left="440" w:top="1422" w:right="45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JAZZ PHARMACEUTICALS PLC</w:t>
      </w:r>
    </w:p>
    <w:p>
      <w:pPr>
        <w:spacing w:after="0" w:line="355" w:lineRule="exact"/>
        <w:rPr>
          <w:sz w:val="20"/>
          <w:szCs w:val="20"/>
          <w:color w:val="auto"/>
        </w:rPr>
      </w:pPr>
    </w:p>
    <w:p>
      <w:pPr>
        <w:jc w:val="center"/>
        <w:ind w:right="120"/>
        <w:spacing w:after="0" w:line="393" w:lineRule="auto"/>
        <w:rPr>
          <w:sz w:val="20"/>
          <w:szCs w:val="20"/>
          <w:color w:val="auto"/>
        </w:rPr>
      </w:pPr>
      <w:r>
        <w:rPr>
          <w:rFonts w:ascii="Arial" w:cs="Arial" w:eastAsia="Arial" w:hAnsi="Arial"/>
          <w:sz w:val="22"/>
          <w:szCs w:val="22"/>
          <w:b w:val="1"/>
          <w:bCs w:val="1"/>
          <w:color w:val="auto"/>
        </w:rPr>
        <w:t>GW PHARMACEUTICALS PLC 2020 LONG-TERM INCENTIVE PLAN REPLACEMENT STOCK OPTION AWARD AGREEMENT</w:t>
      </w:r>
    </w:p>
    <w:p>
      <w:pPr>
        <w:spacing w:after="0" w:line="1"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9"/>
          <w:szCs w:val="19"/>
          <w:color w:val="auto"/>
        </w:rPr>
        <w:t>Pursuant to the Grant Terms and Conditions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a Stock Option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pursuant to the terms of the GW Pharmaceuticals plc 2020 Long- Term Incentive Plan, as amended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Shares indicated in the Grant Notice. For the purposes of the Plan, the term ‘Company’ shall be taken to mean Jazz Pharmaceuticals plc, ‘Committee’ shall be taken to mean the remuneration committee of the Board of Jazz Pharmaceuticals plc, and ‘Shares’ and ‘Ordinary Shares’ shall be taken to mean ordinary shares in the capital of Jazz Pharmaceuticals plc. The Grant Notice, this Agreement and the Plan together constitute the full terms and conditions of your Award (the “</w:t>
      </w:r>
      <w:r>
        <w:rPr>
          <w:rFonts w:ascii="Arial" w:cs="Arial" w:eastAsia="Arial" w:hAnsi="Arial"/>
          <w:sz w:val="19"/>
          <w:szCs w:val="19"/>
          <w:b w:val="1"/>
          <w:bCs w:val="1"/>
          <w:i w:val="1"/>
          <w:iCs w:val="1"/>
          <w:color w:val="auto"/>
        </w:rPr>
        <w:t>Award Documents</w:t>
      </w:r>
      <w:r>
        <w:rPr>
          <w:rFonts w:ascii="Arial" w:cs="Arial" w:eastAsia="Arial" w:hAnsi="Arial"/>
          <w:sz w:val="19"/>
          <w:szCs w:val="19"/>
          <w:color w:val="auto"/>
        </w:rPr>
        <w:t>”), and, upon your written or electronic execution, constitute the deed of acceptance for the Award. The Award Documents must be accepted by you no later than thirty days after the Date of Grant referenced in the Grant Notice. This Award was granted in consideration of your services to the Company. Capitalized terms not explicitly defined in this Agreement or the Grant Notice shall have the same meanings given to them in the Plan.</w:t>
      </w:r>
    </w:p>
    <w:p>
      <w:pPr>
        <w:spacing w:after="0" w:line="184" w:lineRule="exact"/>
        <w:rPr>
          <w:sz w:val="20"/>
          <w:szCs w:val="20"/>
          <w:color w:val="auto"/>
        </w:rPr>
      </w:pPr>
    </w:p>
    <w:p>
      <w:pPr>
        <w:ind w:left="1300" w:hanging="654"/>
        <w:spacing w:after="0"/>
        <w:tabs>
          <w:tab w:leader="none" w:pos="1300" w:val="left"/>
        </w:tabs>
        <w:numPr>
          <w:ilvl w:val="0"/>
          <w:numId w:val="246"/>
        </w:numPr>
        <w:rPr>
          <w:rFonts w:ascii="Arial" w:cs="Arial" w:eastAsia="Arial" w:hAnsi="Arial"/>
          <w:sz w:val="22"/>
          <w:szCs w:val="22"/>
          <w:b w:val="1"/>
          <w:bCs w:val="1"/>
          <w:color w:val="auto"/>
        </w:rPr>
      </w:pPr>
      <w:r>
        <w:rPr>
          <w:rFonts w:ascii="Arial" w:cs="Arial" w:eastAsia="Arial" w:hAnsi="Arial"/>
          <w:sz w:val="22"/>
          <w:szCs w:val="22"/>
          <w:b w:val="1"/>
          <w:bCs w:val="1"/>
          <w:color w:val="auto"/>
        </w:rPr>
        <w:t>FORM OF THE AWARD.</w:t>
      </w:r>
    </w:p>
    <w:p>
      <w:pPr>
        <w:spacing w:after="0" w:line="266" w:lineRule="exact"/>
        <w:rPr>
          <w:sz w:val="20"/>
          <w:szCs w:val="20"/>
          <w:color w:val="auto"/>
        </w:rPr>
      </w:pPr>
    </w:p>
    <w:p>
      <w:pPr>
        <w:jc w:val="both"/>
        <w:ind w:right="100" w:firstLine="1296"/>
        <w:spacing w:after="0" w:line="259" w:lineRule="auto"/>
        <w:rPr>
          <w:sz w:val="20"/>
          <w:szCs w:val="20"/>
          <w:color w:val="auto"/>
        </w:rPr>
      </w:pPr>
      <w:r>
        <w:rPr>
          <w:rFonts w:ascii="Arial" w:cs="Arial" w:eastAsia="Arial" w:hAnsi="Arial"/>
          <w:sz w:val="21"/>
          <w:szCs w:val="21"/>
          <w:color w:val="auto"/>
        </w:rPr>
        <w:t>The Award is granted in the form of a Regular Option (as defined in the Plan) to purchase Shares that will become exercisable on the applicable vesting date(s) . The Shares subject to the Award is set out in the Grant Notice.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the number of Shares subject to the Award. Notwithstanding the foregoing, the Company reserves the right to issue you the cash equivalent of Shares, in part or in full satisfaction of the delivery of Shares in connection with the vesting and exercise of the Regular Option (or part of it) and, to the extent applicable, references in the Grant Notice and Award Agreement to Shares issuable in connection with your Regular Option will include the potential issuance of its cash equivalent pursuant to such right.</w:t>
      </w:r>
    </w:p>
    <w:p>
      <w:pPr>
        <w:spacing w:after="0" w:line="204" w:lineRule="exact"/>
        <w:rPr>
          <w:sz w:val="20"/>
          <w:szCs w:val="20"/>
          <w:color w:val="auto"/>
        </w:rPr>
      </w:pPr>
    </w:p>
    <w:p>
      <w:pPr>
        <w:ind w:left="1300" w:hanging="654"/>
        <w:spacing w:after="0"/>
        <w:tabs>
          <w:tab w:leader="none" w:pos="130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53" w:lineRule="exact"/>
        <w:rPr>
          <w:sz w:val="20"/>
          <w:szCs w:val="20"/>
          <w:color w:val="auto"/>
        </w:rPr>
      </w:pPr>
    </w:p>
    <w:p>
      <w:pPr>
        <w:jc w:val="both"/>
        <w:ind w:right="100" w:firstLine="1296"/>
        <w:spacing w:after="0" w:line="290" w:lineRule="auto"/>
        <w:rPr>
          <w:sz w:val="20"/>
          <w:szCs w:val="20"/>
          <w:color w:val="auto"/>
        </w:rPr>
      </w:pPr>
      <w:r>
        <w:rPr>
          <w:rFonts w:ascii="Arial" w:cs="Arial" w:eastAsia="Arial" w:hAnsi="Arial"/>
          <w:sz w:val="19"/>
          <w:szCs w:val="19"/>
          <w:color w:val="auto"/>
        </w:rPr>
        <w:t>Subject to the limitations contained herein, your Award will vest, if at all, in accordance with the vesting schedule provided in the Grant Notice or such earlier date provided by the terms of the Plan. Except as otherwise provided in the Plan or by the Committee, vesting will cease upon your ceasing to be a Connected Person and any portion of the Award that was not vested on the date of such cessation as a Connected Person will lapse and be forfeited at no cost to the Company and you will have no further right, title or interest in or to such Award or the Shares to be issued in respect of such portion of the Award. Notwithstanding the foregoing, your Award is subject to additional vesting acceleration under the terms of any Change in Control and Severance Benefit Plan applicable to you, as amended from time to time (the “</w:t>
      </w:r>
      <w:r>
        <w:rPr>
          <w:rFonts w:ascii="Arial" w:cs="Arial" w:eastAsia="Arial" w:hAnsi="Arial"/>
          <w:sz w:val="19"/>
          <w:szCs w:val="19"/>
          <w:b w:val="1"/>
          <w:bCs w:val="1"/>
          <w:i w:val="1"/>
          <w:iCs w:val="1"/>
          <w:color w:val="auto"/>
        </w:rPr>
        <w:t>CIC Plan</w:t>
      </w:r>
      <w:r>
        <w:rPr>
          <w:rFonts w:ascii="Arial" w:cs="Arial" w:eastAsia="Arial" w:hAnsi="Arial"/>
          <w:sz w:val="19"/>
          <w:szCs w:val="19"/>
          <w:color w:val="auto"/>
        </w:rPr>
        <w:t>”) and any other written plan or agreement between you and the Company (or a Group Member)</w:t>
      </w:r>
    </w:p>
    <w:p>
      <w:pPr>
        <w:sectPr>
          <w:pgSz w:w="11900" w:h="16838" w:orient="portrait"/>
          <w:cols w:equalWidth="0" w:num="1">
            <w:col w:w="11120"/>
          </w:cols>
          <w:pgMar w:left="440" w:top="121" w:right="339" w:bottom="1440" w:gutter="0" w:footer="0" w:header="0"/>
        </w:sectPr>
      </w:pPr>
    </w:p>
    <w:bookmarkStart w:id="264" w:name="page265"/>
    <w:bookmarkEnd w:id="264"/>
    <w:p>
      <w:pPr>
        <w:ind w:left="40"/>
        <w:spacing w:after="0"/>
        <w:rPr>
          <w:sz w:val="20"/>
          <w:szCs w:val="20"/>
          <w:color w:val="auto"/>
        </w:rPr>
      </w:pPr>
      <w:r>
        <w:rPr>
          <w:rFonts w:ascii="Arial" w:cs="Arial" w:eastAsia="Arial" w:hAnsi="Arial"/>
          <w:sz w:val="22"/>
          <w:szCs w:val="22"/>
          <w:color w:val="auto"/>
        </w:rPr>
        <w:t>providing for vesting treatment of your Award approved by the Committee or its authorized designee.</w:t>
      </w:r>
    </w:p>
    <w:p>
      <w:pPr>
        <w:spacing w:after="0" w:line="241" w:lineRule="exact"/>
        <w:rPr>
          <w:sz w:val="20"/>
          <w:szCs w:val="20"/>
          <w:color w:val="auto"/>
        </w:rPr>
      </w:pPr>
    </w:p>
    <w:p>
      <w:pPr>
        <w:ind w:left="1340" w:hanging="654"/>
        <w:spacing w:after="0"/>
        <w:tabs>
          <w:tab w:leader="none" w:pos="1340" w:val="left"/>
        </w:tabs>
        <w:numPr>
          <w:ilvl w:val="0"/>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EXERCISE AND METHOD OF PAYMENT.</w:t>
      </w:r>
    </w:p>
    <w:p>
      <w:pPr>
        <w:spacing w:after="0" w:line="320" w:lineRule="exact"/>
        <w:rPr>
          <w:sz w:val="20"/>
          <w:szCs w:val="20"/>
          <w:color w:val="auto"/>
        </w:rPr>
      </w:pPr>
    </w:p>
    <w:p>
      <w:pPr>
        <w:jc w:val="both"/>
        <w:ind w:left="40" w:firstLine="1296"/>
        <w:spacing w:after="0" w:line="297" w:lineRule="auto"/>
        <w:rPr>
          <w:sz w:val="20"/>
          <w:szCs w:val="20"/>
          <w:color w:val="auto"/>
        </w:rPr>
      </w:pPr>
      <w:r>
        <w:rPr>
          <w:rFonts w:ascii="Arial" w:cs="Arial" w:eastAsia="Arial" w:hAnsi="Arial"/>
          <w:sz w:val="19"/>
          <w:szCs w:val="19"/>
          <w:color w:val="auto"/>
        </w:rPr>
        <w:t>Your Award shall become exercisable to the full extent of the Shares that vest on the day it becomes exercisable in relation to those vested Shares (taking account of any restrictions on exercise pursuant to Rule 8.1 of the Plan), subject to the payment of the (i) Option Price and (ii) Withholding Taxes in accordance with in Section 11 below.</w:t>
      </w:r>
    </w:p>
    <w:p>
      <w:pPr>
        <w:spacing w:after="0" w:line="174" w:lineRule="exact"/>
        <w:rPr>
          <w:sz w:val="20"/>
          <w:szCs w:val="20"/>
          <w:color w:val="auto"/>
        </w:rPr>
      </w:pPr>
    </w:p>
    <w:p>
      <w:pPr>
        <w:jc w:val="both"/>
        <w:ind w:left="40" w:firstLine="1296"/>
        <w:spacing w:after="0" w:line="263" w:lineRule="auto"/>
        <w:rPr>
          <w:sz w:val="20"/>
          <w:szCs w:val="20"/>
          <w:color w:val="auto"/>
        </w:rPr>
      </w:pPr>
      <w:r>
        <w:rPr>
          <w:rFonts w:ascii="Arial" w:cs="Arial" w:eastAsia="Arial" w:hAnsi="Arial"/>
          <w:sz w:val="22"/>
          <w:szCs w:val="22"/>
          <w:color w:val="auto"/>
        </w:rPr>
        <w:t>Your Award may be exercised in accordance with Rules 8.2, 8.3 and 8.5 of the Plan and you can request a notice of exercise from the Company in order to exercise your Award.</w:t>
      </w:r>
    </w:p>
    <w:p>
      <w:pPr>
        <w:spacing w:after="0" w:line="209" w:lineRule="exact"/>
        <w:rPr>
          <w:sz w:val="20"/>
          <w:szCs w:val="20"/>
          <w:color w:val="auto"/>
        </w:rPr>
      </w:pPr>
    </w:p>
    <w:p>
      <w:pPr>
        <w:ind w:left="1340" w:hanging="654"/>
        <w:spacing w:after="0"/>
        <w:tabs>
          <w:tab w:leader="none" w:pos="1340" w:val="left"/>
        </w:tabs>
        <w:numPr>
          <w:ilvl w:val="0"/>
          <w:numId w:val="249"/>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p>
    <w:p>
      <w:pPr>
        <w:spacing w:after="0" w:line="239"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The Award shall lapse and terminate in its entirety to the extent it has not lapsed or been exercised before the tenth anniversary of 22 February 2021.</w:t>
      </w:r>
    </w:p>
    <w:p>
      <w:pPr>
        <w:spacing w:after="0" w:line="209" w:lineRule="exact"/>
        <w:rPr>
          <w:sz w:val="20"/>
          <w:szCs w:val="20"/>
          <w:color w:val="auto"/>
        </w:rPr>
      </w:pPr>
    </w:p>
    <w:p>
      <w:pPr>
        <w:ind w:left="1340" w:hanging="654"/>
        <w:spacing w:after="0"/>
        <w:tabs>
          <w:tab w:leader="none" w:pos="1340"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66" w:lineRule="exact"/>
        <w:rPr>
          <w:sz w:val="20"/>
          <w:szCs w:val="20"/>
          <w:color w:val="auto"/>
        </w:rPr>
      </w:pPr>
    </w:p>
    <w:p>
      <w:pPr>
        <w:jc w:val="both"/>
        <w:ind w:left="40" w:firstLine="1296"/>
        <w:spacing w:after="0" w:line="261" w:lineRule="auto"/>
        <w:rPr>
          <w:sz w:val="20"/>
          <w:szCs w:val="20"/>
          <w:color w:val="auto"/>
        </w:rPr>
      </w:pPr>
      <w:r>
        <w:rPr>
          <w:rFonts w:ascii="Arial" w:cs="Arial" w:eastAsia="Arial" w:hAnsi="Arial"/>
          <w:sz w:val="21"/>
          <w:szCs w:val="21"/>
          <w:color w:val="auto"/>
        </w:rPr>
        <w:t>You may not be issued any Shares under your Award unless the Shares underlying the Award are either (i) then registered under the US Securities Act of 1933, as amended (the “</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or (ii) the Company has determined that such issuance would be exempt from the registration requirements of the Securities Act and, to the extent other securities laws apply, in compliance with or exempt from such laws. Your Award must also comply with other applicable laws and regulations governing the Award, and you shall not receive such Shares if the Company determines that such receipt would not be in material compliance with such laws and regulations.</w:t>
      </w:r>
    </w:p>
    <w:p>
      <w:pPr>
        <w:spacing w:after="0" w:line="200" w:lineRule="exact"/>
        <w:rPr>
          <w:sz w:val="20"/>
          <w:szCs w:val="20"/>
          <w:color w:val="auto"/>
        </w:rPr>
      </w:pPr>
    </w:p>
    <w:p>
      <w:pPr>
        <w:ind w:left="1340" w:hanging="654"/>
        <w:spacing w:after="0"/>
        <w:tabs>
          <w:tab w:leader="none" w:pos="1340"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66" w:lineRule="exact"/>
        <w:rPr>
          <w:sz w:val="20"/>
          <w:szCs w:val="20"/>
          <w:color w:val="auto"/>
        </w:rPr>
      </w:pPr>
    </w:p>
    <w:p>
      <w:pPr>
        <w:jc w:val="both"/>
        <w:ind w:left="40" w:firstLine="1377"/>
        <w:spacing w:after="0" w:line="265" w:lineRule="auto"/>
        <w:rPr>
          <w:sz w:val="20"/>
          <w:szCs w:val="20"/>
          <w:color w:val="auto"/>
        </w:rPr>
      </w:pPr>
      <w:r>
        <w:rPr>
          <w:rFonts w:ascii="Arial" w:cs="Arial" w:eastAsia="Arial" w:hAnsi="Arial"/>
          <w:sz w:val="21"/>
          <w:szCs w:val="21"/>
          <w:color w:val="auto"/>
        </w:rPr>
        <w:t>Prior to the time that Shares have been delivered to you, you may not transfer, pledge, sell or otherwise dispose of this Award or the Shares issuable in respect of your Award, except as expressly provided in this Section. For example, you may not use Shares that may be issued in respect of your Award as security for a loan. The restrictions on transfer set forth herein will lapse upon delivery to you of Shares in respect of your Award.</w:t>
      </w:r>
    </w:p>
    <w:p>
      <w:pPr>
        <w:spacing w:after="0" w:line="202" w:lineRule="exact"/>
        <w:rPr>
          <w:sz w:val="20"/>
          <w:szCs w:val="20"/>
          <w:color w:val="auto"/>
        </w:rPr>
      </w:pPr>
    </w:p>
    <w:p>
      <w:pPr>
        <w:jc w:val="both"/>
        <w:ind w:left="40" w:right="20" w:firstLine="1377"/>
        <w:spacing w:after="0" w:line="312" w:lineRule="auto"/>
        <w:rPr>
          <w:sz w:val="20"/>
          <w:szCs w:val="20"/>
          <w:color w:val="auto"/>
        </w:rPr>
      </w:pPr>
      <w:r>
        <w:rPr>
          <w:rFonts w:ascii="Arial" w:cs="Arial" w:eastAsia="Arial" w:hAnsi="Arial"/>
          <w:sz w:val="19"/>
          <w:szCs w:val="19"/>
          <w:color w:val="auto"/>
        </w:rPr>
        <w:t>Your Award is transferable by will and by the laws of descent and distribution. At your death, your executor or administrator of your estate shall be entitled to receive, on behalf of your estate, any Shares or other consideration that vested (including any portion of your Award that becomes vested as a result of your death) but was not issued before your death.</w:t>
      </w:r>
    </w:p>
    <w:p>
      <w:pPr>
        <w:spacing w:after="0" w:line="154" w:lineRule="exact"/>
        <w:rPr>
          <w:sz w:val="20"/>
          <w:szCs w:val="20"/>
          <w:color w:val="auto"/>
        </w:rPr>
      </w:pPr>
    </w:p>
    <w:p>
      <w:pPr>
        <w:ind w:left="1340" w:hanging="654"/>
        <w:spacing w:after="0"/>
        <w:tabs>
          <w:tab w:leader="none" w:pos="1340" w:val="left"/>
        </w:tabs>
        <w:numPr>
          <w:ilvl w:val="0"/>
          <w:numId w:val="252"/>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ind w:left="40" w:firstLine="1295"/>
        <w:spacing w:after="0" w:line="263" w:lineRule="auto"/>
        <w:tabs>
          <w:tab w:leader="none" w:pos="1873" w:val="left"/>
        </w:tabs>
        <w:numPr>
          <w:ilvl w:val="1"/>
          <w:numId w:val="252"/>
        </w:numPr>
        <w:rPr>
          <w:rFonts w:ascii="Arial" w:cs="Arial" w:eastAsia="Arial" w:hAnsi="Arial"/>
          <w:sz w:val="22"/>
          <w:szCs w:val="22"/>
          <w:color w:val="auto"/>
        </w:rPr>
      </w:pPr>
      <w:r>
        <w:rPr>
          <w:rFonts w:ascii="Arial" w:cs="Arial" w:eastAsia="Arial" w:hAnsi="Arial"/>
          <w:sz w:val="22"/>
          <w:szCs w:val="22"/>
          <w:color w:val="auto"/>
        </w:rPr>
        <w:t>The issuance of Shares in respect of the Award is intended to comply with Treasury Regulations Section 1.409A-1(b)(4) and will be construed and administered in such a manner.</w:t>
      </w:r>
    </w:p>
    <w:p>
      <w:pPr>
        <w:spacing w:after="0" w:line="282" w:lineRule="exact"/>
        <w:rPr>
          <w:rFonts w:ascii="Arial" w:cs="Arial" w:eastAsia="Arial" w:hAnsi="Arial"/>
          <w:sz w:val="22"/>
          <w:szCs w:val="22"/>
          <w:color w:val="auto"/>
        </w:rPr>
      </w:pPr>
    </w:p>
    <w:p>
      <w:pPr>
        <w:ind w:left="40" w:firstLine="1295"/>
        <w:spacing w:after="0" w:line="263" w:lineRule="auto"/>
        <w:tabs>
          <w:tab w:leader="none" w:pos="1871" w:val="left"/>
        </w:tabs>
        <w:numPr>
          <w:ilvl w:val="1"/>
          <w:numId w:val="252"/>
        </w:numPr>
        <w:rPr>
          <w:rFonts w:ascii="Arial" w:cs="Arial" w:eastAsia="Arial" w:hAnsi="Arial"/>
          <w:sz w:val="22"/>
          <w:szCs w:val="22"/>
          <w:color w:val="auto"/>
        </w:rPr>
      </w:pPr>
      <w:r>
        <w:rPr>
          <w:rFonts w:ascii="Arial" w:cs="Arial" w:eastAsia="Arial" w:hAnsi="Arial"/>
          <w:sz w:val="22"/>
          <w:szCs w:val="22"/>
          <w:color w:val="auto"/>
        </w:rPr>
        <w:t>Subject to the satisfaction of the Option Price and Withholding Taxes set forth in Section 11 of this Agreement, to the extent that the Regular Option is exercised (in full or</w:t>
      </w:r>
    </w:p>
    <w:p>
      <w:pPr>
        <w:sectPr>
          <w:pgSz w:w="11900" w:h="16838" w:orient="portrait"/>
          <w:cols w:equalWidth="0" w:num="1">
            <w:col w:w="11060"/>
          </w:cols>
          <w:pgMar w:left="400" w:top="1360" w:right="439" w:bottom="1440" w:gutter="0" w:footer="0" w:header="0"/>
        </w:sectPr>
      </w:pPr>
    </w:p>
    <w:bookmarkStart w:id="265" w:name="page266"/>
    <w:bookmarkEnd w:id="265"/>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part), the Company shall issue to you, as soon as practicable following the date of exercise, the number of Shares in respect of which the Regular Option is exercised and such issuance date is referred to as an “</w:t>
      </w:r>
      <w:r>
        <w:rPr>
          <w:rFonts w:ascii="Arial" w:cs="Arial" w:eastAsia="Arial" w:hAnsi="Arial"/>
          <w:sz w:val="22"/>
          <w:szCs w:val="22"/>
          <w:b w:val="1"/>
          <w:bCs w:val="1"/>
          <w:i w:val="1"/>
          <w:iCs w:val="1"/>
          <w:color w:val="auto"/>
        </w:rPr>
        <w:t>Original Issuance Date</w:t>
      </w:r>
      <w:r>
        <w:rPr>
          <w:rFonts w:ascii="Arial" w:cs="Arial" w:eastAsia="Arial" w:hAnsi="Arial"/>
          <w:sz w:val="22"/>
          <w:szCs w:val="22"/>
          <w:color w:val="auto"/>
        </w:rPr>
        <w:t xml:space="preserve">”. If the Original Issuance Date falls on a date that is not a business day, delivery shall instead occur on the next following business day. </w:t>
      </w:r>
      <w:r>
        <w:rPr>
          <w:rFonts w:ascii="Arial" w:cs="Arial" w:eastAsia="Arial" w:hAnsi="Arial"/>
          <w:sz w:val="22"/>
          <w:szCs w:val="22"/>
          <w:u w:val="single" w:color="auto"/>
          <w:color w:val="auto"/>
        </w:rPr>
        <w:t>However</w:t>
      </w:r>
      <w:r>
        <w:rPr>
          <w:rFonts w:ascii="Arial" w:cs="Arial" w:eastAsia="Arial" w:hAnsi="Arial"/>
          <w:sz w:val="22"/>
          <w:szCs w:val="22"/>
          <w:color w:val="auto"/>
        </w:rPr>
        <w:t>, if:</w:t>
      </w:r>
    </w:p>
    <w:p>
      <w:pPr>
        <w:spacing w:after="0" w:line="215" w:lineRule="exact"/>
        <w:rPr>
          <w:sz w:val="20"/>
          <w:szCs w:val="20"/>
          <w:color w:val="auto"/>
        </w:rPr>
      </w:pPr>
    </w:p>
    <w:p>
      <w:pPr>
        <w:jc w:val="both"/>
        <w:ind w:firstLine="1943"/>
        <w:spacing w:after="0" w:line="246" w:lineRule="auto"/>
        <w:tabs>
          <w:tab w:leader="none" w:pos="2472" w:val="left"/>
        </w:tabs>
        <w:numPr>
          <w:ilvl w:val="2"/>
          <w:numId w:val="253"/>
        </w:numPr>
        <w:rPr>
          <w:rFonts w:ascii="Arial" w:cs="Arial" w:eastAsia="Arial" w:hAnsi="Arial"/>
          <w:sz w:val="22"/>
          <w:szCs w:val="22"/>
          <w:color w:val="auto"/>
        </w:rPr>
      </w:pPr>
      <w:r>
        <w:rPr>
          <w:rFonts w:ascii="Arial" w:cs="Arial" w:eastAsia="Arial" w:hAnsi="Arial"/>
          <w:sz w:val="22"/>
          <w:szCs w:val="22"/>
          <w:color w:val="auto"/>
        </w:rPr>
        <w:t>the Original Issuance Date does not occur (1) during an “</w:t>
      </w:r>
      <w:r>
        <w:rPr>
          <w:rFonts w:ascii="Arial" w:cs="Arial" w:eastAsia="Arial" w:hAnsi="Arial"/>
          <w:sz w:val="22"/>
          <w:szCs w:val="22"/>
          <w:b w:val="1"/>
          <w:bCs w:val="1"/>
          <w:i w:val="1"/>
          <w:iCs w:val="1"/>
          <w:color w:val="auto"/>
        </w:rPr>
        <w:t>open window period</w:t>
      </w:r>
      <w:r>
        <w:rPr>
          <w:rFonts w:ascii="Arial" w:cs="Arial" w:eastAsia="Arial" w:hAnsi="Arial"/>
          <w:sz w:val="22"/>
          <w:szCs w:val="22"/>
          <w:color w:val="auto"/>
        </w:rPr>
        <w:t>” applicable to you, as determined by the Company in accordance with the Company’s then-effective insider trading policy or other policy on trading in Company securities, or or (2) on a date when you are otherwise permitted to sell Shares on an established stock exchange or stock market (including but not limited to under a previously established written trading plan that meets the requirements of Rule 10b5-1 under the Securities Exchange Act of 1934, as amended, and the rules and regulations promulgated thereunder (the “</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that was entered into in compliance with the Company’s policies (a “</w:t>
      </w:r>
      <w:r>
        <w:rPr>
          <w:rFonts w:ascii="Arial" w:cs="Arial" w:eastAsia="Arial" w:hAnsi="Arial"/>
          <w:sz w:val="22"/>
          <w:szCs w:val="22"/>
          <w:b w:val="1"/>
          <w:bCs w:val="1"/>
          <w:i w:val="1"/>
          <w:iCs w:val="1"/>
          <w:color w:val="auto"/>
        </w:rPr>
        <w:t>10b5-1</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w:t>
      </w:r>
    </w:p>
    <w:p>
      <w:pPr>
        <w:spacing w:after="0" w:line="304" w:lineRule="exact"/>
        <w:rPr>
          <w:rFonts w:ascii="Arial" w:cs="Arial" w:eastAsia="Arial" w:hAnsi="Arial"/>
          <w:sz w:val="22"/>
          <w:szCs w:val="22"/>
          <w:color w:val="auto"/>
        </w:rPr>
      </w:pPr>
    </w:p>
    <w:p>
      <w:pPr>
        <w:jc w:val="both"/>
        <w:ind w:left="60" w:firstLine="1947"/>
        <w:spacing w:after="0" w:line="288" w:lineRule="auto"/>
        <w:tabs>
          <w:tab w:leader="none" w:pos="2470" w:val="left"/>
        </w:tabs>
        <w:numPr>
          <w:ilvl w:val="3"/>
          <w:numId w:val="253"/>
        </w:numPr>
        <w:rPr>
          <w:rFonts w:ascii="Arial" w:cs="Arial" w:eastAsia="Arial" w:hAnsi="Arial"/>
          <w:sz w:val="19"/>
          <w:szCs w:val="19"/>
          <w:color w:val="auto"/>
        </w:rPr>
      </w:pPr>
      <w:r>
        <w:rPr>
          <w:rFonts w:ascii="Arial" w:cs="Arial" w:eastAsia="Arial" w:hAnsi="Arial"/>
          <w:sz w:val="19"/>
          <w:szCs w:val="19"/>
          <w:color w:val="auto"/>
        </w:rPr>
        <w:t>the Company decides, prior to the Original Issuance Date (A) not to satisfy the Option Price and Withholding Taxes by withholding Shares from the Shares otherwise due, on the Original Issuance Date, to you under this Award, and (B) not to permit you to then effect a “</w:t>
      </w:r>
      <w:r>
        <w:rPr>
          <w:rFonts w:ascii="Arial" w:cs="Arial" w:eastAsia="Arial" w:hAnsi="Arial"/>
          <w:sz w:val="19"/>
          <w:szCs w:val="19"/>
          <w:b w:val="1"/>
          <w:bCs w:val="1"/>
          <w:i w:val="1"/>
          <w:iCs w:val="1"/>
          <w:color w:val="auto"/>
        </w:rPr>
        <w:t>sell to cover</w:t>
      </w:r>
      <w:r>
        <w:rPr>
          <w:rFonts w:ascii="Arial" w:cs="Arial" w:eastAsia="Arial" w:hAnsi="Arial"/>
          <w:sz w:val="19"/>
          <w:szCs w:val="19"/>
          <w:color w:val="auto"/>
        </w:rPr>
        <w:t xml:space="preserve">” commitment on the market (including under a 10b5-1 Plan) and (C) not to permit you to pay your Option Price and Withholding Taxes in cash, then the Shares that would otherwise be issued to you on the Original Issuance Date will not be delivered on such Original Issuance Date and will instead be delivered on the first business day when you are not prohibited from selling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under this Award are no longer subject to a “</w:t>
      </w:r>
      <w:r>
        <w:rPr>
          <w:rFonts w:ascii="Arial" w:cs="Arial" w:eastAsia="Arial" w:hAnsi="Arial"/>
          <w:sz w:val="19"/>
          <w:szCs w:val="19"/>
          <w:b w:val="1"/>
          <w:bCs w:val="1"/>
          <w:i w:val="1"/>
          <w:iCs w:val="1"/>
          <w:color w:val="auto"/>
        </w:rPr>
        <w:t>substantial risk of forfeiture</w:t>
      </w:r>
      <w:r>
        <w:rPr>
          <w:rFonts w:ascii="Arial" w:cs="Arial" w:eastAsia="Arial" w:hAnsi="Arial"/>
          <w:sz w:val="19"/>
          <w:szCs w:val="19"/>
          <w:color w:val="auto"/>
        </w:rPr>
        <w:t>” within the meaning of Treasury Regulations Section 1.409A-1(d).</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60" w:firstLine="1235"/>
        <w:spacing w:after="0" w:line="250" w:lineRule="auto"/>
        <w:tabs>
          <w:tab w:leader="none" w:pos="1828" w:val="left"/>
        </w:tabs>
        <w:numPr>
          <w:ilvl w:val="1"/>
          <w:numId w:val="254"/>
        </w:numPr>
        <w:rPr>
          <w:rFonts w:ascii="Arial" w:cs="Arial" w:eastAsia="Arial" w:hAnsi="Arial"/>
          <w:sz w:val="22"/>
          <w:szCs w:val="22"/>
          <w:color w:val="auto"/>
        </w:rPr>
      </w:pPr>
      <w:r>
        <w:rPr>
          <w:rFonts w:ascii="Arial" w:cs="Arial" w:eastAsia="Arial" w:hAnsi="Arial"/>
          <w:sz w:val="22"/>
          <w:szCs w:val="22"/>
          <w:color w:val="auto"/>
        </w:rPr>
        <w:t>The form of delivery (</w:t>
      </w:r>
      <w:r>
        <w:rPr>
          <w:rFonts w:ascii="Arial" w:cs="Arial" w:eastAsia="Arial" w:hAnsi="Arial"/>
          <w:sz w:val="22"/>
          <w:szCs w:val="22"/>
          <w:i w:val="1"/>
          <w:iCs w:val="1"/>
          <w:color w:val="auto"/>
        </w:rPr>
        <w:t>e.g</w:t>
      </w:r>
      <w:r>
        <w:rPr>
          <w:rFonts w:ascii="Arial" w:cs="Arial" w:eastAsia="Arial" w:hAnsi="Arial"/>
          <w:sz w:val="22"/>
          <w:szCs w:val="22"/>
          <w:color w:val="auto"/>
        </w:rPr>
        <w:t>., a stock certificate or electronic entry evidencing such Shares) shall be determined by the Company.</w:t>
      </w:r>
    </w:p>
    <w:p>
      <w:pPr>
        <w:spacing w:after="0" w:line="209" w:lineRule="exact"/>
        <w:rPr>
          <w:rFonts w:ascii="Arial" w:cs="Arial" w:eastAsia="Arial" w:hAnsi="Arial"/>
          <w:sz w:val="22"/>
          <w:szCs w:val="22"/>
          <w:color w:val="auto"/>
        </w:rPr>
      </w:pPr>
    </w:p>
    <w:p>
      <w:pPr>
        <w:ind w:left="1300" w:hanging="654"/>
        <w:spacing w:after="0"/>
        <w:tabs>
          <w:tab w:leader="none" w:pos="1300" w:val="left"/>
        </w:tabs>
        <w:numPr>
          <w:ilvl w:val="0"/>
          <w:numId w:val="255"/>
        </w:numPr>
        <w:rPr>
          <w:rFonts w:ascii="Arial" w:cs="Arial" w:eastAsia="Arial" w:hAnsi="Arial"/>
          <w:sz w:val="22"/>
          <w:szCs w:val="22"/>
          <w:b w:val="1"/>
          <w:bCs w:val="1"/>
          <w:color w:val="auto"/>
        </w:rPr>
      </w:pPr>
      <w:r>
        <w:rPr>
          <w:rFonts w:ascii="Arial" w:cs="Arial" w:eastAsia="Arial" w:hAnsi="Arial"/>
          <w:sz w:val="22"/>
          <w:szCs w:val="22"/>
          <w:b w:val="1"/>
          <w:bCs w:val="1"/>
          <w:color w:val="auto"/>
        </w:rPr>
        <w:t>DIVIDENDS.</w:t>
      </w:r>
    </w:p>
    <w:p>
      <w:pPr>
        <w:spacing w:after="0" w:line="266"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19"/>
          <w:szCs w:val="19"/>
          <w:color w:val="auto"/>
        </w:rPr>
        <w:t>You shall receive no benefit or adjustment to your Award with respect to any cash dividend, stock dividend or</w:t>
      </w:r>
    </w:p>
    <w:p>
      <w:pPr>
        <w:spacing w:after="0" w:line="56" w:lineRule="exact"/>
        <w:rPr>
          <w:sz w:val="20"/>
          <w:szCs w:val="20"/>
          <w:color w:val="auto"/>
        </w:rPr>
      </w:pPr>
    </w:p>
    <w:p>
      <w:pPr>
        <w:ind w:left="60"/>
        <w:spacing w:after="0" w:line="323" w:lineRule="auto"/>
        <w:rPr>
          <w:sz w:val="20"/>
          <w:szCs w:val="20"/>
          <w:color w:val="auto"/>
        </w:rPr>
      </w:pPr>
      <w:r>
        <w:rPr>
          <w:rFonts w:ascii="Arial" w:cs="Arial" w:eastAsia="Arial" w:hAnsi="Arial"/>
          <w:sz w:val="19"/>
          <w:szCs w:val="19"/>
          <w:color w:val="auto"/>
        </w:rPr>
        <w:t>other distribution unless otherwise required by the Plan; provided, however, that this sentence will not apply with respect to any Shares that are delivered to you in connection with your Award after such Shares have been delivered to you.</w:t>
      </w:r>
    </w:p>
    <w:p>
      <w:pPr>
        <w:spacing w:after="0" w:line="144" w:lineRule="exact"/>
        <w:rPr>
          <w:sz w:val="20"/>
          <w:szCs w:val="20"/>
          <w:color w:val="auto"/>
        </w:rPr>
      </w:pPr>
    </w:p>
    <w:p>
      <w:pPr>
        <w:ind w:left="1300" w:hanging="654"/>
        <w:spacing w:after="0"/>
        <w:tabs>
          <w:tab w:leader="none" w:pos="1300"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LEGENDS.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Shares issued in respect of your Award may be endorsed with appropriate legends as determined by the</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22"/>
          <w:szCs w:val="22"/>
          <w:color w:val="auto"/>
        </w:rPr>
        <w:t>Company.</w:t>
      </w:r>
    </w:p>
    <w:p>
      <w:pPr>
        <w:spacing w:after="0" w:line="223" w:lineRule="exact"/>
        <w:rPr>
          <w:sz w:val="20"/>
          <w:szCs w:val="20"/>
          <w:color w:val="auto"/>
        </w:rPr>
      </w:pPr>
    </w:p>
    <w:p>
      <w:pPr>
        <w:ind w:left="1300" w:hanging="654"/>
        <w:spacing w:after="0"/>
        <w:tabs>
          <w:tab w:leader="none" w:pos="1300" w:val="left"/>
        </w:tabs>
        <w:numPr>
          <w:ilvl w:val="0"/>
          <w:numId w:val="257"/>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ind w:left="60" w:firstLine="1235"/>
        <w:spacing w:after="0" w:line="263" w:lineRule="auto"/>
        <w:tabs>
          <w:tab w:leader="none" w:pos="1828" w:val="left"/>
        </w:tabs>
        <w:numPr>
          <w:ilvl w:val="1"/>
          <w:numId w:val="257"/>
        </w:numPr>
        <w:rPr>
          <w:rFonts w:ascii="Arial" w:cs="Arial" w:eastAsia="Arial" w:hAnsi="Arial"/>
          <w:sz w:val="22"/>
          <w:szCs w:val="22"/>
          <w:color w:val="auto"/>
        </w:rPr>
      </w:pPr>
      <w:r>
        <w:rPr>
          <w:rFonts w:ascii="Arial" w:cs="Arial" w:eastAsia="Arial" w:hAnsi="Arial"/>
          <w:sz w:val="22"/>
          <w:szCs w:val="22"/>
          <w:color w:val="auto"/>
        </w:rPr>
        <w:t>Nothing in this Agreement (including, but not limited to, the vesting and exercise of your Award or the issuance of the Shares in respect of your Award), the Plan or any</w:t>
      </w:r>
    </w:p>
    <w:p>
      <w:pPr>
        <w:sectPr>
          <w:pgSz w:w="11900" w:h="16838" w:orient="portrait"/>
          <w:cols w:equalWidth="0" w:num="1">
            <w:col w:w="11020"/>
          </w:cols>
          <w:pgMar w:left="440" w:top="1440" w:right="439" w:bottom="1440" w:gutter="0" w:footer="0" w:header="0"/>
        </w:sectPr>
      </w:pPr>
    </w:p>
    <w:bookmarkStart w:id="266" w:name="page267"/>
    <w:bookmarkEnd w:id="266"/>
    <w:p>
      <w:pPr>
        <w:jc w:val="both"/>
        <w:spacing w:after="0" w:line="260" w:lineRule="auto"/>
        <w:rPr>
          <w:sz w:val="20"/>
          <w:szCs w:val="20"/>
          <w:color w:val="auto"/>
        </w:rPr>
      </w:pPr>
      <w:r>
        <w:rPr>
          <w:rFonts w:ascii="Arial" w:cs="Arial" w:eastAsia="Arial" w:hAnsi="Arial"/>
          <w:sz w:val="21"/>
          <w:szCs w:val="21"/>
          <w:color w:val="auto"/>
        </w:rPr>
        <w:t>covenant of good faith and fair dealing that may be found implicit in this Agreement or the Plan shall: (i) confer upon you any right to continue in the employ or service of, or affiliation with, the Company or any Group Member; (ii) constitute any promise or commitment by the Company or any Group Member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any Group Member of any right to terminate you at will and without regard to any future vesting opportunity that you may have.</w:t>
      </w:r>
    </w:p>
    <w:p>
      <w:pPr>
        <w:spacing w:after="0" w:line="207" w:lineRule="exact"/>
        <w:rPr>
          <w:sz w:val="20"/>
          <w:szCs w:val="20"/>
          <w:color w:val="auto"/>
        </w:rPr>
      </w:pPr>
    </w:p>
    <w:p>
      <w:pPr>
        <w:jc w:val="both"/>
        <w:ind w:firstLine="1235"/>
        <w:spacing w:after="0" w:line="286" w:lineRule="auto"/>
        <w:tabs>
          <w:tab w:leader="none" w:pos="1766" w:val="left"/>
        </w:tabs>
        <w:numPr>
          <w:ilvl w:val="1"/>
          <w:numId w:val="258"/>
        </w:numPr>
        <w:rPr>
          <w:rFonts w:ascii="Arial" w:cs="Arial" w:eastAsia="Arial" w:hAnsi="Arial"/>
          <w:sz w:val="19"/>
          <w:szCs w:val="19"/>
          <w:color w:val="auto"/>
        </w:rPr>
      </w:pPr>
      <w:r>
        <w:rPr>
          <w:rFonts w:ascii="Arial" w:cs="Arial" w:eastAsia="Arial" w:hAnsi="Arial"/>
          <w:sz w:val="19"/>
          <w:szCs w:val="19"/>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 Connected Person at the will of the Company and any Group Member, as applicable (not through the act of being hired, being granted this Award or any other award or benefit) and that the Company and any Group Member has the right to reorganize, sell, spin-out or otherwise restructure one or more of its businesses or Group Members at any time or from time to time, as it deems appropriate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You acknowledge and agree that such a reorganization could result in the cessation of you being considered a Connected Period, or the termination of Group Member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(or applicable Group Member’s) right to terminate your service and Connected Person status at any time, with or without your cause or notice, or to conduct a reorganization.</w:t>
      </w:r>
    </w:p>
    <w:p>
      <w:pPr>
        <w:spacing w:after="0" w:line="182" w:lineRule="exact"/>
        <w:rPr>
          <w:rFonts w:ascii="Arial" w:cs="Arial" w:eastAsia="Arial" w:hAnsi="Arial"/>
          <w:sz w:val="19"/>
          <w:szCs w:val="19"/>
          <w:color w:val="auto"/>
        </w:rPr>
      </w:pPr>
    </w:p>
    <w:p>
      <w:pPr>
        <w:ind w:left="1220" w:hanging="591"/>
        <w:spacing w:after="0"/>
        <w:tabs>
          <w:tab w:leader="none" w:pos="1220" w:val="left"/>
        </w:tabs>
        <w:numPr>
          <w:ilvl w:val="0"/>
          <w:numId w:val="259"/>
        </w:numPr>
        <w:rPr>
          <w:rFonts w:ascii="Arial" w:cs="Arial" w:eastAsia="Arial" w:hAnsi="Arial"/>
          <w:sz w:val="22"/>
          <w:szCs w:val="22"/>
          <w:b w:val="1"/>
          <w:bCs w:val="1"/>
          <w:color w:val="auto"/>
        </w:rPr>
      </w:pPr>
      <w:r>
        <w:rPr>
          <w:rFonts w:ascii="Arial" w:cs="Arial" w:eastAsia="Arial" w:hAnsi="Arial"/>
          <w:sz w:val="22"/>
          <w:szCs w:val="22"/>
          <w:b w:val="1"/>
          <w:bCs w:val="1"/>
          <w:color w:val="auto"/>
        </w:rPr>
        <w:t>OPTION PRICE AND WITHHOLDING TAXES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left="-60" w:firstLine="1295"/>
        <w:spacing w:after="0" w:line="286" w:lineRule="auto"/>
        <w:tabs>
          <w:tab w:leader="none" w:pos="1773" w:val="left"/>
        </w:tabs>
        <w:numPr>
          <w:ilvl w:val="1"/>
          <w:numId w:val="259"/>
        </w:numPr>
        <w:rPr>
          <w:rFonts w:ascii="Arial" w:cs="Arial" w:eastAsia="Arial" w:hAnsi="Arial"/>
          <w:sz w:val="19"/>
          <w:szCs w:val="19"/>
          <w:color w:val="auto"/>
        </w:rPr>
      </w:pPr>
      <w:r>
        <w:rPr>
          <w:rFonts w:ascii="Arial" w:cs="Arial" w:eastAsia="Arial" w:hAnsi="Arial"/>
          <w:sz w:val="19"/>
          <w:szCs w:val="19"/>
          <w:color w:val="auto"/>
        </w:rPr>
        <w:t>On each exercise date, and on or before the time you receive a distribution of the Shares, cash or other property in respect of your Award, and at any other time as reasonably requested by the Company (or applicable Group Member) in accordance with applicable tax laws, you hereby authorize any required payment of the Option Price and withholding from the Shares issuable to you and/or otherwise agree to make adequate provision, including in cash, for any sums required to satisfy the federal, state, local and foreign tax withholding obligations of the Company or any Group Member (including any Tax Liability as described in the Plan) that arise in connection with your Award (the “</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Additionally, the Company or any applicable Group Member may, in its sole discretion, satisfy the payment of the Option Price and the Withholding Taxes obligation relating to your Award by any of the following means or by a combination of such means (and by accepting this Award you hereby authorize any of the following methods of paying the Option Price and satisfying the Withholding Taxes): (i) withholding from any compensation otherwise payable to you by the Company or a Group Member; (ii) causing you to tender a cash payment; (iii) permitting or requiring you to enter into a “</w:t>
      </w:r>
      <w:r>
        <w:rPr>
          <w:rFonts w:ascii="Arial" w:cs="Arial" w:eastAsia="Arial" w:hAnsi="Arial"/>
          <w:sz w:val="19"/>
          <w:szCs w:val="19"/>
          <w:b w:val="1"/>
          <w:bCs w:val="1"/>
          <w:i w:val="1"/>
          <w:iCs w:val="1"/>
          <w:color w:val="auto"/>
        </w:rPr>
        <w:t>sell to cover</w:t>
      </w:r>
      <w:r>
        <w:rPr>
          <w:rFonts w:ascii="Arial" w:cs="Arial" w:eastAsia="Arial" w:hAnsi="Arial"/>
          <w:sz w:val="19"/>
          <w:szCs w:val="19"/>
          <w:color w:val="auto"/>
        </w:rPr>
        <w:t>” commitment, if applicable, with a broker-dealer that is a member of the Financial Industry Regulatory Authority (a “</w:t>
      </w:r>
      <w:r>
        <w:rPr>
          <w:rFonts w:ascii="Arial" w:cs="Arial" w:eastAsia="Arial" w:hAnsi="Arial"/>
          <w:sz w:val="19"/>
          <w:szCs w:val="19"/>
          <w:b w:val="1"/>
          <w:bCs w:val="1"/>
          <w:i w:val="1"/>
          <w:iCs w:val="1"/>
          <w:color w:val="auto"/>
        </w:rPr>
        <w:t>FINRA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Dealer</w:t>
      </w:r>
      <w:r>
        <w:rPr>
          <w:rFonts w:ascii="Arial" w:cs="Arial" w:eastAsia="Arial" w:hAnsi="Arial"/>
          <w:sz w:val="19"/>
          <w:szCs w:val="19"/>
          <w:color w:val="auto"/>
        </w:rPr>
        <w:t>”) whereby you irrevocably elect to sell a portion of the Shares to be delivered in connection with your Award to</w:t>
      </w:r>
    </w:p>
    <w:p>
      <w:pPr>
        <w:sectPr>
          <w:pgSz w:w="11900" w:h="16838" w:orient="portrait"/>
          <w:cols w:equalWidth="0" w:num="1">
            <w:col w:w="10960"/>
          </w:cols>
          <w:pgMar w:left="500" w:top="1360" w:right="439" w:bottom="1440" w:gutter="0" w:footer="0" w:header="0"/>
        </w:sectPr>
      </w:pPr>
    </w:p>
    <w:bookmarkStart w:id="267" w:name="page268"/>
    <w:bookmarkEnd w:id="267"/>
    <w:p>
      <w:pPr>
        <w:jc w:val="both"/>
        <w:spacing w:after="0" w:line="289" w:lineRule="auto"/>
        <w:rPr>
          <w:sz w:val="20"/>
          <w:szCs w:val="20"/>
          <w:color w:val="auto"/>
        </w:rPr>
      </w:pPr>
      <w:r>
        <w:rPr>
          <w:rFonts w:ascii="Arial" w:cs="Arial" w:eastAsia="Arial" w:hAnsi="Arial"/>
          <w:sz w:val="19"/>
          <w:szCs w:val="19"/>
          <w:color w:val="auto"/>
        </w:rPr>
        <w:t xml:space="preserve">satisfy the Option Price and all Withholding Taxes and whereby the FINRA Dealer irrevocably commits to forward the proceeds necessary to satisfy the Option Price and the Withholding Taxes directly to the Company and/or the applicable Group Member; or (iv) withholding Shares from the Shares issued or otherwise issuable to you in connection with the Award with a Fair Market Value (measured as of the date Shares are issued pursuant to Section 7) equal to the amount of such Option Price and Withholding Taxes;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number of such Shares so withheld will not exceed the sum of the Option Price and the maximum permitted statutory rate for Withholding Taxes including withholding rates for federal, state, local and foreign tax purposes, including payroll taxes, that are applicable to supplemental taxable income; and </w:t>
      </w:r>
      <w:r>
        <w:rPr>
          <w:rFonts w:ascii="Arial" w:cs="Arial" w:eastAsia="Arial" w:hAnsi="Arial"/>
          <w:sz w:val="19"/>
          <w:szCs w:val="19"/>
          <w:i w:val="1"/>
          <w:iCs w:val="1"/>
          <w:color w:val="auto"/>
        </w:rPr>
        <w:t>provided</w:t>
      </w:r>
      <w:r>
        <w:rPr>
          <w:rFonts w:ascii="Arial" w:cs="Arial" w:eastAsia="Arial" w:hAnsi="Arial"/>
          <w:sz w:val="19"/>
          <w:szCs w:val="19"/>
          <w:color w:val="auto"/>
        </w:rPr>
        <w:t>, further, that to the extent necessary to qualify for an exemption from application of Section 16(b) of the Exchange Act, if applicable, such share withholding procedure will be subject to the express prior approval of the Board or the Committee.</w:t>
      </w:r>
    </w:p>
    <w:p>
      <w:pPr>
        <w:spacing w:after="0" w:line="184" w:lineRule="exact"/>
        <w:rPr>
          <w:sz w:val="20"/>
          <w:szCs w:val="20"/>
          <w:color w:val="auto"/>
        </w:rPr>
      </w:pPr>
    </w:p>
    <w:p>
      <w:pPr>
        <w:ind w:firstLine="1295"/>
        <w:spacing w:after="0" w:line="263" w:lineRule="auto"/>
        <w:tabs>
          <w:tab w:leader="none" w:pos="1831" w:val="left"/>
        </w:tabs>
        <w:numPr>
          <w:ilvl w:val="0"/>
          <w:numId w:val="260"/>
        </w:numPr>
        <w:rPr>
          <w:rFonts w:ascii="Arial" w:cs="Arial" w:eastAsia="Arial" w:hAnsi="Arial"/>
          <w:sz w:val="22"/>
          <w:szCs w:val="22"/>
          <w:color w:val="auto"/>
        </w:rPr>
      </w:pPr>
      <w:r>
        <w:rPr>
          <w:rFonts w:ascii="Arial" w:cs="Arial" w:eastAsia="Arial" w:hAnsi="Arial"/>
          <w:sz w:val="22"/>
          <w:szCs w:val="22"/>
          <w:color w:val="auto"/>
        </w:rPr>
        <w:t>Unless the Option Price and Withholding Taxes are satisfied, the Company shall have no obligation to deliver to you any Shares or any other consideration pursuant to this Award.</w:t>
      </w:r>
    </w:p>
    <w:p>
      <w:pPr>
        <w:spacing w:after="0" w:line="26" w:lineRule="exact"/>
        <w:rPr>
          <w:rFonts w:ascii="Arial" w:cs="Arial" w:eastAsia="Arial" w:hAnsi="Arial"/>
          <w:sz w:val="22"/>
          <w:szCs w:val="22"/>
          <w:color w:val="auto"/>
        </w:rPr>
      </w:pPr>
    </w:p>
    <w:p>
      <w:pPr>
        <w:jc w:val="both"/>
        <w:ind w:firstLine="1295"/>
        <w:spacing w:after="0" w:line="250" w:lineRule="auto"/>
        <w:tabs>
          <w:tab w:leader="none" w:pos="1833" w:val="left"/>
        </w:tabs>
        <w:numPr>
          <w:ilvl w:val="0"/>
          <w:numId w:val="260"/>
        </w:numPr>
        <w:rPr>
          <w:rFonts w:ascii="Arial" w:cs="Arial" w:eastAsia="Arial" w:hAnsi="Arial"/>
          <w:sz w:val="22"/>
          <w:szCs w:val="22"/>
          <w:color w:val="auto"/>
        </w:rPr>
      </w:pPr>
      <w:r>
        <w:rPr>
          <w:rFonts w:ascii="Arial" w:cs="Arial" w:eastAsia="Arial" w:hAnsi="Arial"/>
          <w:sz w:val="22"/>
          <w:szCs w:val="22"/>
          <w:color w:val="auto"/>
        </w:rPr>
        <w:t>In the event the Withholding Taxes arise prior to the delivery to you of Shares or it is determined after the delivery of Shares to you that the amount of the Withholding Taxes was greater than the amount withheld by the Company or Group Member, you agree to indemnify and hold the Company and all Group Members harmless from any failure to withhold the proper amount.</w:t>
      </w:r>
    </w:p>
    <w:p>
      <w:pPr>
        <w:spacing w:after="0" w:line="222"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1"/>
          <w:szCs w:val="21"/>
          <w:b w:val="1"/>
          <w:bCs w:val="1"/>
          <w:color w:val="auto"/>
        </w:rPr>
        <w:t>TAX CONSEQUENCES.</w:t>
      </w:r>
    </w:p>
    <w:p>
      <w:pPr>
        <w:spacing w:after="0" w:line="253" w:lineRule="exact"/>
        <w:rPr>
          <w:sz w:val="20"/>
          <w:szCs w:val="20"/>
          <w:color w:val="auto"/>
        </w:rPr>
      </w:pPr>
    </w:p>
    <w:p>
      <w:pPr>
        <w:jc w:val="both"/>
        <w:ind w:left="60" w:firstLine="1231"/>
        <w:spacing w:after="0" w:line="253" w:lineRule="auto"/>
        <w:rPr>
          <w:sz w:val="20"/>
          <w:szCs w:val="20"/>
          <w:color w:val="auto"/>
        </w:rPr>
      </w:pPr>
      <w:r>
        <w:rPr>
          <w:rFonts w:ascii="Arial" w:cs="Arial" w:eastAsia="Arial" w:hAnsi="Arial"/>
          <w:sz w:val="22"/>
          <w:szCs w:val="22"/>
          <w:color w:val="auto"/>
        </w:rPr>
        <w:t>Neither the Company nor any Group Member has a duty or obligation to minimize the tax consequences to you of this Award and neither the Company nor any Group Member shall be liable to you for any adverse tax consequences to you arising in connection with this Award.</w:t>
      </w:r>
    </w:p>
    <w:p>
      <w:pPr>
        <w:spacing w:after="0" w:line="226" w:lineRule="exact"/>
        <w:rPr>
          <w:sz w:val="20"/>
          <w:szCs w:val="20"/>
          <w:color w:val="auto"/>
        </w:rPr>
      </w:pPr>
    </w:p>
    <w:p>
      <w:pPr>
        <w:jc w:val="both"/>
        <w:ind w:left="60" w:firstLine="1231"/>
        <w:spacing w:after="0" w:line="302" w:lineRule="auto"/>
        <w:rPr>
          <w:sz w:val="20"/>
          <w:szCs w:val="20"/>
          <w:color w:val="auto"/>
        </w:rPr>
      </w:pPr>
      <w:r>
        <w:rPr>
          <w:rFonts w:ascii="Arial" w:cs="Arial" w:eastAsia="Arial" w:hAnsi="Arial"/>
          <w:sz w:val="19"/>
          <w:szCs w:val="19"/>
          <w:color w:val="auto"/>
        </w:rPr>
        <w:t>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or any Group Member) shall be responsible for your own tax liability that may arise as a result of this investment or the transactions contemplated by this Agreement.</w:t>
      </w:r>
    </w:p>
    <w:p>
      <w:pPr>
        <w:spacing w:after="0" w:line="163" w:lineRule="exact"/>
        <w:rPr>
          <w:sz w:val="20"/>
          <w:szCs w:val="20"/>
          <w:color w:val="auto"/>
        </w:rPr>
      </w:pPr>
    </w:p>
    <w:p>
      <w:pPr>
        <w:ind w:left="1300" w:hanging="654"/>
        <w:spacing w:after="0"/>
        <w:tabs>
          <w:tab w:leader="none" w:pos="130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UNSECURED OBLIGATION.</w:t>
      </w:r>
    </w:p>
    <w:p>
      <w:pPr>
        <w:spacing w:after="0" w:line="25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Your Award is unfunded, and as a holder of a vested Award, you shall be considered an unsecured creditor of the Company with respect to the Company’s obligation, if any, to issue Shares or other property pursuant to this Agreement. You shall not have voting or any other rights as a shareholder of the Company with respect to the Shares to be issued pursuant to this Agreement until such Shares are issued to you pursuant to Section 7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any Group Member or any other person.</w:t>
      </w:r>
    </w:p>
    <w:p>
      <w:pPr>
        <w:sectPr>
          <w:pgSz w:w="11900" w:h="16838" w:orient="portrait"/>
          <w:cols w:equalWidth="0" w:num="1">
            <w:col w:w="11020"/>
          </w:cols>
          <w:pgMar w:left="440" w:top="1360" w:right="439" w:bottom="1440" w:gutter="0" w:footer="0" w:header="0"/>
        </w:sectPr>
      </w:pPr>
    </w:p>
    <w:bookmarkStart w:id="268" w:name="page269"/>
    <w:bookmarkEnd w:id="268"/>
    <w:p>
      <w:pPr>
        <w:ind w:left="1300" w:hanging="654"/>
        <w:spacing w:after="0"/>
        <w:tabs>
          <w:tab w:leader="none" w:pos="1300" w:val="left"/>
        </w:tabs>
        <w:numPr>
          <w:ilvl w:val="0"/>
          <w:numId w:val="262"/>
        </w:numPr>
        <w:rPr>
          <w:rFonts w:ascii="Arial" w:cs="Arial" w:eastAsia="Arial" w:hAnsi="Arial"/>
          <w:sz w:val="22"/>
          <w:szCs w:val="22"/>
          <w:b w:val="1"/>
          <w:bCs w:val="1"/>
          <w:color w:val="auto"/>
        </w:rPr>
      </w:pPr>
      <w:r>
        <w:rPr>
          <w:rFonts w:ascii="Arial" w:cs="Arial" w:eastAsia="Arial" w:hAnsi="Arial"/>
          <w:sz w:val="22"/>
          <w:szCs w:val="22"/>
          <w:b w:val="1"/>
          <w:bCs w:val="1"/>
          <w:color w:val="auto"/>
        </w:rPr>
        <w:t>NOTICES; ELECTRONIC DELIVERY.</w:t>
      </w:r>
    </w:p>
    <w:p>
      <w:pPr>
        <w:spacing w:after="0" w:line="25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Any notice or request provided for in your Award shall be given in writing (including electronically) and may be personally served, or sent by United States mail or pre-paid courier service, and will be deemed effective upon receipt (when delivered in person or by courier service during normal business hours (or after normal business hours, the following day))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 from time to time.</w:t>
      </w:r>
    </w:p>
    <w:p>
      <w:pPr>
        <w:spacing w:after="0" w:line="191" w:lineRule="exact"/>
        <w:rPr>
          <w:sz w:val="20"/>
          <w:szCs w:val="20"/>
          <w:color w:val="auto"/>
        </w:rPr>
      </w:pPr>
    </w:p>
    <w:p>
      <w:pPr>
        <w:ind w:left="1300" w:hanging="654"/>
        <w:spacing w:after="0"/>
        <w:tabs>
          <w:tab w:leader="none" w:pos="1300"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252" w:lineRule="exact"/>
        <w:rPr>
          <w:rFonts w:ascii="Arial" w:cs="Arial" w:eastAsia="Arial" w:hAnsi="Arial"/>
          <w:sz w:val="22"/>
          <w:szCs w:val="22"/>
          <w:b w:val="1"/>
          <w:bCs w:val="1"/>
          <w:color w:val="auto"/>
        </w:rPr>
      </w:pPr>
    </w:p>
    <w:p>
      <w:pPr>
        <w:jc w:val="both"/>
        <w:ind w:firstLine="1295"/>
        <w:spacing w:after="0" w:line="246" w:lineRule="auto"/>
        <w:tabs>
          <w:tab w:leader="none" w:pos="1833" w:val="left"/>
        </w:tabs>
        <w:numPr>
          <w:ilvl w:val="1"/>
          <w:numId w:val="263"/>
        </w:numPr>
        <w:rPr>
          <w:rFonts w:ascii="Arial" w:cs="Arial" w:eastAsia="Arial" w:hAnsi="Arial"/>
          <w:sz w:val="22"/>
          <w:szCs w:val="22"/>
          <w:color w:val="auto"/>
        </w:rPr>
      </w:pPr>
      <w:r>
        <w:rPr>
          <w:rFonts w:ascii="Arial" w:cs="Arial" w:eastAsia="Arial" w:hAnsi="Arial"/>
          <w:sz w:val="22"/>
          <w:szCs w:val="22"/>
          <w:color w:val="auto"/>
        </w:rPr>
        <w:t>By accepting the Award, you consent to the collection, processing, transmission and storage in any form whatsoever by the Company or any Group Member of any data of a professional or personal nature which is necessary for the purpose of introducing and sustaining the Plan. This may include providing information to trustees of an employee benefit trust, or to registrars, or brokers, or third-party administrators of the Plan, or to future purchasers of the company or the business in which you work. By participating in the Plan, you also consent to the transfer of personal data to countries or territories outside your home country even where the country to which data is transferred does not provide the same protections as your home country.</w:t>
      </w:r>
    </w:p>
    <w:p>
      <w:pPr>
        <w:spacing w:after="0" w:line="236" w:lineRule="exact"/>
        <w:rPr>
          <w:rFonts w:ascii="Arial" w:cs="Arial" w:eastAsia="Arial" w:hAnsi="Arial"/>
          <w:sz w:val="22"/>
          <w:szCs w:val="22"/>
          <w:color w:val="auto"/>
        </w:rPr>
      </w:pPr>
    </w:p>
    <w:p>
      <w:pPr>
        <w:jc w:val="both"/>
        <w:ind w:firstLine="1295"/>
        <w:spacing w:after="0" w:line="248" w:lineRule="auto"/>
        <w:tabs>
          <w:tab w:leader="none" w:pos="1831"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basis for any collection, processing, transmission or storage of your personal data under the EU’s General Data Protection Regulation (2016/679), the UK Data Protection Act 2018 and any successor laws is set out in the Company’s Data Privacy Notice which can be obtained from the HR Department and is not the consent given under Section 15(a). The Data Privacy Notice also contains details about how your personal data is processed and your rights in relation to that data. You have a right to review the Data Privacy Notice.</w:t>
      </w:r>
    </w:p>
    <w:p>
      <w:pPr>
        <w:spacing w:after="0" w:line="212" w:lineRule="exact"/>
        <w:rPr>
          <w:rFonts w:ascii="Arial" w:cs="Arial" w:eastAsia="Arial" w:hAnsi="Arial"/>
          <w:sz w:val="22"/>
          <w:szCs w:val="22"/>
          <w:color w:val="auto"/>
        </w:rPr>
      </w:pPr>
    </w:p>
    <w:p>
      <w:pPr>
        <w:ind w:left="1300" w:hanging="654"/>
        <w:spacing w:after="0"/>
        <w:tabs>
          <w:tab w:leader="none" w:pos="1300"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INSIDER TRADING / MARKET ABUSE LAWS.</w:t>
      </w:r>
    </w:p>
    <w:p>
      <w:pPr>
        <w:spacing w:after="0" w:line="26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You may be subject to insider trading restrictions and/or market abuse laws, which may affect your ability to acquire or sell Shares under the Plan during such times as you are considered to have “</w:t>
      </w:r>
      <w:r>
        <w:rPr>
          <w:rFonts w:ascii="Arial" w:cs="Arial" w:eastAsia="Arial" w:hAnsi="Arial"/>
          <w:sz w:val="22"/>
          <w:szCs w:val="22"/>
          <w:i w:val="1"/>
          <w:iCs w:val="1"/>
          <w:color w:val="auto"/>
        </w:rPr>
        <w:t>inside information</w:t>
      </w:r>
      <w:r>
        <w:rPr>
          <w:rFonts w:ascii="Arial" w:cs="Arial" w:eastAsia="Arial" w:hAnsi="Arial"/>
          <w:sz w:val="22"/>
          <w:szCs w:val="22"/>
          <w:color w:val="auto"/>
        </w:rPr>
        <w:t>” regarding the Company (as defined by applicable laws).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214" w:lineRule="exact"/>
        <w:rPr>
          <w:sz w:val="20"/>
          <w:szCs w:val="20"/>
          <w:color w:val="auto"/>
        </w:rPr>
      </w:pPr>
    </w:p>
    <w:p>
      <w:pPr>
        <w:ind w:left="1300" w:hanging="654"/>
        <w:spacing w:after="0"/>
        <w:tabs>
          <w:tab w:leader="none" w:pos="1300" w:val="left"/>
        </w:tabs>
        <w:numPr>
          <w:ilvl w:val="0"/>
          <w:numId w:val="264"/>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ectPr>
          <w:pgSz w:w="11900" w:h="16838" w:orient="portrait"/>
          <w:cols w:equalWidth="0" w:num="1">
            <w:col w:w="11020"/>
          </w:cols>
          <w:pgMar w:left="440" w:top="1354" w:right="439" w:bottom="1440" w:gutter="0" w:footer="0" w:header="0"/>
        </w:sectPr>
      </w:pPr>
    </w:p>
    <w:bookmarkStart w:id="269" w:name="page270"/>
    <w:bookmarkEnd w:id="269"/>
    <w:p>
      <w:pPr>
        <w:ind w:firstLine="1231"/>
        <w:spacing w:after="0" w:line="263" w:lineRule="auto"/>
        <w:rPr>
          <w:sz w:val="20"/>
          <w:szCs w:val="20"/>
          <w:color w:val="auto"/>
        </w:rPr>
      </w:pPr>
      <w:r>
        <w:rPr>
          <w:rFonts w:ascii="Arial" w:cs="Arial" w:eastAsia="Arial" w:hAnsi="Arial"/>
          <w:sz w:val="22"/>
          <w:szCs w:val="22"/>
          <w:color w:val="auto"/>
        </w:rPr>
        <w:t>The headings of the Sections in this Agreement are inserted for convenience only and shall not be deemed to constitute a part of this Agreement or to affect the meaning of this Agreement.</w:t>
      </w:r>
    </w:p>
    <w:p>
      <w:pPr>
        <w:spacing w:after="0" w:line="196" w:lineRule="exact"/>
        <w:rPr>
          <w:sz w:val="20"/>
          <w:szCs w:val="20"/>
          <w:color w:val="auto"/>
        </w:rPr>
      </w:pPr>
    </w:p>
    <w:p>
      <w:pPr>
        <w:ind w:left="1200" w:hanging="643"/>
        <w:spacing w:after="0"/>
        <w:tabs>
          <w:tab w:leader="none" w:pos="1200" w:val="left"/>
        </w:tabs>
        <w:numPr>
          <w:ilvl w:val="0"/>
          <w:numId w:val="265"/>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left="-60" w:firstLine="1295"/>
        <w:spacing w:after="0" w:line="253" w:lineRule="auto"/>
        <w:tabs>
          <w:tab w:leader="none" w:pos="1773" w:val="left"/>
        </w:tabs>
        <w:numPr>
          <w:ilvl w:val="2"/>
          <w:numId w:val="265"/>
        </w:numPr>
        <w:rPr>
          <w:rFonts w:ascii="Arial" w:cs="Arial" w:eastAsia="Arial" w:hAnsi="Arial"/>
          <w:sz w:val="22"/>
          <w:szCs w:val="22"/>
          <w:color w:val="auto"/>
        </w:rPr>
      </w:pPr>
      <w:r>
        <w:rPr>
          <w:rFonts w:ascii="Arial" w:cs="Arial" w:eastAsia="Arial" w:hAnsi="Arial"/>
          <w:sz w:val="22"/>
          <w:szCs w:val="22"/>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212" w:lineRule="exact"/>
        <w:rPr>
          <w:rFonts w:ascii="Arial" w:cs="Arial" w:eastAsia="Arial" w:hAnsi="Arial"/>
          <w:sz w:val="22"/>
          <w:szCs w:val="22"/>
          <w:color w:val="auto"/>
        </w:rPr>
      </w:pPr>
    </w:p>
    <w:p>
      <w:pPr>
        <w:ind w:left="-60" w:firstLine="1295"/>
        <w:spacing w:after="0" w:line="263" w:lineRule="auto"/>
        <w:tabs>
          <w:tab w:leader="none" w:pos="1771" w:val="left"/>
        </w:tabs>
        <w:numPr>
          <w:ilvl w:val="2"/>
          <w:numId w:val="265"/>
        </w:numPr>
        <w:rPr>
          <w:rFonts w:ascii="Arial" w:cs="Arial" w:eastAsia="Arial" w:hAnsi="Arial"/>
          <w:sz w:val="22"/>
          <w:szCs w:val="22"/>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201" w:lineRule="exact"/>
        <w:rPr>
          <w:rFonts w:ascii="Arial" w:cs="Arial" w:eastAsia="Arial" w:hAnsi="Arial"/>
          <w:sz w:val="22"/>
          <w:szCs w:val="22"/>
          <w:color w:val="auto"/>
        </w:rPr>
      </w:pPr>
    </w:p>
    <w:p>
      <w:pPr>
        <w:ind w:left="-60" w:firstLine="1295"/>
        <w:spacing w:after="0" w:line="343" w:lineRule="auto"/>
        <w:tabs>
          <w:tab w:leader="none" w:pos="1773" w:val="left"/>
        </w:tabs>
        <w:numPr>
          <w:ilvl w:val="2"/>
          <w:numId w:val="265"/>
        </w:numPr>
        <w:rPr>
          <w:rFonts w:ascii="Arial" w:cs="Arial" w:eastAsia="Arial" w:hAnsi="Arial"/>
          <w:sz w:val="19"/>
          <w:szCs w:val="19"/>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44" w:lineRule="exact"/>
        <w:rPr>
          <w:rFonts w:ascii="Arial" w:cs="Arial" w:eastAsia="Arial" w:hAnsi="Arial"/>
          <w:sz w:val="19"/>
          <w:szCs w:val="19"/>
          <w:color w:val="auto"/>
        </w:rPr>
      </w:pPr>
    </w:p>
    <w:p>
      <w:pPr>
        <w:ind w:left="-60" w:firstLine="1295"/>
        <w:spacing w:after="0" w:line="263" w:lineRule="auto"/>
        <w:tabs>
          <w:tab w:leader="none" w:pos="1771" w:val="left"/>
        </w:tabs>
        <w:numPr>
          <w:ilvl w:val="2"/>
          <w:numId w:val="265"/>
        </w:numPr>
        <w:rPr>
          <w:rFonts w:ascii="Arial" w:cs="Arial" w:eastAsia="Arial" w:hAnsi="Arial"/>
          <w:sz w:val="22"/>
          <w:szCs w:val="22"/>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pacing w:after="0" w:line="282" w:lineRule="exact"/>
        <w:rPr>
          <w:rFonts w:ascii="Arial" w:cs="Arial" w:eastAsia="Arial" w:hAnsi="Arial"/>
          <w:sz w:val="22"/>
          <w:szCs w:val="22"/>
          <w:color w:val="auto"/>
        </w:rPr>
      </w:pPr>
    </w:p>
    <w:p>
      <w:pPr>
        <w:jc w:val="both"/>
        <w:ind w:left="-60" w:firstLine="1295"/>
        <w:spacing w:after="0" w:line="253" w:lineRule="auto"/>
        <w:tabs>
          <w:tab w:leader="none" w:pos="1773" w:val="left"/>
        </w:tabs>
        <w:numPr>
          <w:ilvl w:val="2"/>
          <w:numId w:val="265"/>
        </w:numPr>
        <w:rPr>
          <w:rFonts w:ascii="Arial" w:cs="Arial" w:eastAsia="Arial" w:hAnsi="Arial"/>
          <w:sz w:val="22"/>
          <w:szCs w:val="22"/>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6" w:lineRule="exact"/>
        <w:rPr>
          <w:rFonts w:ascii="Arial" w:cs="Arial" w:eastAsia="Arial" w:hAnsi="Arial"/>
          <w:sz w:val="22"/>
          <w:szCs w:val="22"/>
          <w:color w:val="auto"/>
        </w:rPr>
      </w:pPr>
    </w:p>
    <w:p>
      <w:pPr>
        <w:ind w:left="1240" w:hanging="654"/>
        <w:spacing w:after="0"/>
        <w:tabs>
          <w:tab w:leader="none" w:pos="1240" w:val="left"/>
        </w:tabs>
        <w:numPr>
          <w:ilvl w:val="1"/>
          <w:numId w:val="265"/>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PLAN DOCUMENT.</w:t>
      </w:r>
    </w:p>
    <w:p>
      <w:pPr>
        <w:spacing w:after="0" w:line="77" w:lineRule="exact"/>
        <w:rPr>
          <w:sz w:val="20"/>
          <w:szCs w:val="20"/>
          <w:color w:val="auto"/>
        </w:rPr>
      </w:pPr>
    </w:p>
    <w:p>
      <w:pPr>
        <w:jc w:val="both"/>
        <w:ind w:firstLine="1231"/>
        <w:spacing w:after="0" w:line="290" w:lineRule="auto"/>
        <w:rPr>
          <w:sz w:val="20"/>
          <w:szCs w:val="20"/>
          <w:color w:val="auto"/>
        </w:rPr>
      </w:pPr>
      <w:r>
        <w:rPr>
          <w:rFonts w:ascii="Arial" w:cs="Arial" w:eastAsia="Arial" w:hAnsi="Arial"/>
          <w:sz w:val="19"/>
          <w:szCs w:val="19"/>
          <w:color w:val="auto"/>
        </w:rPr>
        <w:t>Except as set forth herein,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90" w:lineRule="exact"/>
        <w:rPr>
          <w:sz w:val="20"/>
          <w:szCs w:val="20"/>
          <w:color w:val="auto"/>
        </w:rPr>
      </w:pPr>
    </w:p>
    <w:p>
      <w:pPr>
        <w:ind w:left="1240" w:hanging="654"/>
        <w:spacing w:after="0"/>
        <w:tabs>
          <w:tab w:leader="none" w:pos="1240" w:val="left"/>
        </w:tabs>
        <w:numPr>
          <w:ilvl w:val="0"/>
          <w:numId w:val="266"/>
        </w:numPr>
        <w:rPr>
          <w:rFonts w:ascii="Arial" w:cs="Arial" w:eastAsia="Arial" w:hAnsi="Arial"/>
          <w:sz w:val="22"/>
          <w:szCs w:val="22"/>
          <w:b w:val="1"/>
          <w:bCs w:val="1"/>
          <w:color w:val="auto"/>
        </w:rPr>
      </w:pPr>
      <w:r>
        <w:rPr>
          <w:rFonts w:ascii="Arial" w:cs="Arial" w:eastAsia="Arial" w:hAnsi="Arial"/>
          <w:sz w:val="22"/>
          <w:szCs w:val="22"/>
          <w:b w:val="1"/>
          <w:bCs w:val="1"/>
          <w:color w:val="auto"/>
        </w:rPr>
        <w:t>EFFECT ON OTHER EMPLOYEE BENEFIT PLANS.</w:t>
      </w:r>
    </w:p>
    <w:p>
      <w:pPr>
        <w:spacing w:after="0" w:line="253" w:lineRule="exact"/>
        <w:rPr>
          <w:sz w:val="20"/>
          <w:szCs w:val="20"/>
          <w:color w:val="auto"/>
        </w:rPr>
      </w:pPr>
    </w:p>
    <w:p>
      <w:pPr>
        <w:jc w:val="both"/>
        <w:ind w:firstLine="1231"/>
        <w:spacing w:after="0" w:line="312" w:lineRule="auto"/>
        <w:rPr>
          <w:sz w:val="20"/>
          <w:szCs w:val="20"/>
          <w:color w:val="auto"/>
        </w:rPr>
      </w:pPr>
      <w:r>
        <w:rPr>
          <w:rFonts w:ascii="Arial" w:cs="Arial" w:eastAsia="Arial" w:hAnsi="Arial"/>
          <w:sz w:val="19"/>
          <w:szCs w:val="19"/>
          <w:color w:val="auto"/>
        </w:rPr>
        <w:t>The value of the Award subject to this Agreement shall not be included as compensation, earnings, salaries, or other similar terms used when calculating benefits under any employee benefit plan (other than the Plan) sponsored by the Company or any Affiliate except as such plan otherwise expressly provides or as is required by applicable law. The Company</w:t>
      </w:r>
    </w:p>
    <w:p>
      <w:pPr>
        <w:sectPr>
          <w:pgSz w:w="11900" w:h="16838" w:orient="portrait"/>
          <w:cols w:equalWidth="0" w:num="1">
            <w:col w:w="10960"/>
          </w:cols>
          <w:pgMar w:left="500" w:top="1360" w:right="439" w:bottom="1440" w:gutter="0" w:footer="0" w:header="0"/>
        </w:sectPr>
      </w:pPr>
    </w:p>
    <w:bookmarkStart w:id="270" w:name="page271"/>
    <w:bookmarkEnd w:id="270"/>
    <w:p>
      <w:pPr>
        <w:ind w:left="60" w:right="20"/>
        <w:spacing w:after="0" w:line="263" w:lineRule="auto"/>
        <w:rPr>
          <w:sz w:val="20"/>
          <w:szCs w:val="20"/>
          <w:color w:val="auto"/>
        </w:rPr>
      </w:pPr>
      <w:r>
        <w:rPr>
          <w:rFonts w:ascii="Arial" w:cs="Arial" w:eastAsia="Arial" w:hAnsi="Arial"/>
          <w:sz w:val="22"/>
          <w:szCs w:val="22"/>
          <w:color w:val="auto"/>
        </w:rPr>
        <w:t>expressly reserves its rights to amend, modify, or terminate any or all of the employee benefit plans of the Company or any Affiliate, subject to applicable law.</w:t>
      </w:r>
    </w:p>
    <w:p>
      <w:pPr>
        <w:spacing w:after="0" w:line="196" w:lineRule="exact"/>
        <w:rPr>
          <w:sz w:val="20"/>
          <w:szCs w:val="20"/>
          <w:color w:val="auto"/>
        </w:rPr>
      </w:pPr>
    </w:p>
    <w:p>
      <w:pPr>
        <w:ind w:left="1300" w:hanging="654"/>
        <w:spacing w:after="0"/>
        <w:tabs>
          <w:tab w:leader="none" w:pos="1300" w:val="left"/>
        </w:tabs>
        <w:numPr>
          <w:ilvl w:val="0"/>
          <w:numId w:val="267"/>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5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If all or any part of this Agreement or the Plan is declared by any court or governmental authority to 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26" w:lineRule="exact"/>
        <w:rPr>
          <w:sz w:val="20"/>
          <w:szCs w:val="20"/>
          <w:color w:val="auto"/>
        </w:rPr>
      </w:pPr>
    </w:p>
    <w:p>
      <w:pPr>
        <w:ind w:left="1300" w:hanging="654"/>
        <w:spacing w:after="0"/>
        <w:tabs>
          <w:tab w:leader="none" w:pos="1300" w:val="left"/>
        </w:tabs>
        <w:numPr>
          <w:ilvl w:val="0"/>
          <w:numId w:val="268"/>
        </w:numPr>
        <w:rPr>
          <w:rFonts w:ascii="Arial" w:cs="Arial" w:eastAsia="Arial" w:hAnsi="Arial"/>
          <w:sz w:val="22"/>
          <w:szCs w:val="22"/>
          <w:b w:val="1"/>
          <w:bCs w:val="1"/>
          <w:color w:val="auto"/>
        </w:rPr>
      </w:pPr>
      <w:r>
        <w:rPr>
          <w:rFonts w:ascii="Arial" w:cs="Arial" w:eastAsia="Arial" w:hAnsi="Arial"/>
          <w:sz w:val="22"/>
          <w:szCs w:val="22"/>
          <w:b w:val="1"/>
          <w:bCs w:val="1"/>
          <w:color w:val="auto"/>
        </w:rPr>
        <w:t>OTHER DOCUMENTS.</w:t>
      </w:r>
    </w:p>
    <w:p>
      <w:pPr>
        <w:spacing w:after="0" w:line="2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You hereby acknowledge receipt or the right to receive a document providing the information required by Rule 428(b)(1) promulgated under the Securities Act. In addition, you acknowledge receipt of the Company’s insider trading policy, in effect from time to time.</w:t>
      </w:r>
    </w:p>
    <w:p>
      <w:pPr>
        <w:spacing w:after="0" w:line="206" w:lineRule="exact"/>
        <w:rPr>
          <w:sz w:val="20"/>
          <w:szCs w:val="20"/>
          <w:color w:val="auto"/>
        </w:rPr>
      </w:pPr>
    </w:p>
    <w:p>
      <w:pPr>
        <w:ind w:left="1300" w:hanging="654"/>
        <w:spacing w:after="0"/>
        <w:tabs>
          <w:tab w:leader="none" w:pos="1300" w:val="left"/>
        </w:tabs>
        <w:numPr>
          <w:ilvl w:val="0"/>
          <w:numId w:val="26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26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This Agreement may not be modified, amended or terminated except by an instrument in writing, signed by you and by a duly authorized representative of the Company, in accordance with the terms of the Plan. Without limiting the foregoing, the Company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0" w:lineRule="exact"/>
        <w:rPr>
          <w:sz w:val="20"/>
          <w:szCs w:val="20"/>
          <w:color w:val="auto"/>
        </w:rPr>
      </w:pPr>
    </w:p>
    <w:p>
      <w:pPr>
        <w:ind w:left="1300" w:hanging="654"/>
        <w:spacing w:after="0"/>
        <w:tabs>
          <w:tab w:leader="none" w:pos="1300" w:val="left"/>
        </w:tabs>
        <w:numPr>
          <w:ilvl w:val="0"/>
          <w:numId w:val="270"/>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SECTION 409A OF THE CODE.</w:t>
      </w:r>
    </w:p>
    <w:p>
      <w:pPr>
        <w:spacing w:after="0" w:line="25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This Award is intended to be exempt from the application of Section 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w:t>
      </w:r>
    </w:p>
    <w:p>
      <w:pPr>
        <w:sectPr>
          <w:pgSz w:w="11900" w:h="16838" w:orient="portrait"/>
          <w:cols w:equalWidth="0" w:num="1">
            <w:col w:w="11020"/>
          </w:cols>
          <w:pgMar w:left="440" w:top="1360" w:right="439" w:bottom="1440" w:gutter="0" w:footer="0" w:header="0"/>
        </w:sectPr>
      </w:pPr>
    </w:p>
    <w:bookmarkStart w:id="271" w:name="page272"/>
    <w:bookmarkEnd w:id="271"/>
    <w:p>
      <w:pPr>
        <w:jc w:val="both"/>
        <w:spacing w:after="0" w:line="253" w:lineRule="auto"/>
        <w:rPr>
          <w:sz w:val="20"/>
          <w:szCs w:val="20"/>
          <w:color w:val="auto"/>
        </w:rPr>
      </w:pPr>
      <w:r>
        <w:rPr>
          <w:rFonts w:ascii="Arial" w:cs="Arial" w:eastAsia="Arial" w:hAnsi="Arial"/>
          <w:sz w:val="22"/>
          <w:szCs w:val="22"/>
          <w:color w:val="auto"/>
        </w:rPr>
        <w:t>necessary to avoid the imposition of adverse taxation on you in respect of the shares under Section 409A of the Code. Each installment of shares that vests is intended to constitute a “separate payment” for purposes of Treasury Regulation Section 1.409A-2(b) (2).</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020"/>
          </w:cols>
          <w:pgMar w:left="440" w:top="1360" w:right="439" w:bottom="1440" w:gutter="0" w:footer="0" w:header="0"/>
        </w:sectPr>
      </w:pPr>
    </w:p>
    <w:bookmarkStart w:id="272" w:name="page273"/>
    <w:bookmarkEnd w:id="272"/>
    <w:p>
      <w:pPr>
        <w:jc w:val="center"/>
        <w:ind w:right="-199"/>
        <w:spacing w:after="0"/>
        <w:rPr>
          <w:sz w:val="20"/>
          <w:szCs w:val="20"/>
          <w:color w:val="auto"/>
        </w:rPr>
      </w:pPr>
      <w:r>
        <w:rPr>
          <w:rFonts w:ascii="Arial" w:cs="Arial" w:eastAsia="Arial" w:hAnsi="Arial"/>
          <w:sz w:val="22"/>
          <w:szCs w:val="22"/>
          <w:b w:val="1"/>
          <w:bCs w:val="1"/>
          <w:color w:val="auto"/>
        </w:rPr>
        <w:t>DECLARATION</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have received and understand the attached award documentation and accept the award granted to me by the Company under the Plan on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Signed: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Full Name: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840"/>
          </w:cols>
          <w:pgMar w:left="420" w:top="1179" w:right="6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JAZZ PHARMACEUTICALS PLC</w:t>
      </w:r>
    </w:p>
    <w:p>
      <w:pPr>
        <w:spacing w:after="0" w:line="355" w:lineRule="exact"/>
        <w:rPr>
          <w:sz w:val="20"/>
          <w:szCs w:val="20"/>
          <w:color w:val="auto"/>
        </w:rPr>
      </w:pPr>
    </w:p>
    <w:p>
      <w:pPr>
        <w:jc w:val="center"/>
        <w:ind w:right="400"/>
        <w:spacing w:after="0" w:line="393" w:lineRule="auto"/>
        <w:rPr>
          <w:sz w:val="20"/>
          <w:szCs w:val="20"/>
          <w:color w:val="auto"/>
        </w:rPr>
      </w:pPr>
      <w:r>
        <w:rPr>
          <w:rFonts w:ascii="Arial" w:cs="Arial" w:eastAsia="Arial" w:hAnsi="Arial"/>
          <w:sz w:val="22"/>
          <w:szCs w:val="22"/>
          <w:b w:val="1"/>
          <w:bCs w:val="1"/>
          <w:color w:val="auto"/>
        </w:rPr>
        <w:t>GW PHARMACEUTICALS PLC 2020 LONG-TERM INCENTIVE PLAN REPLACEMENT RESTRICTED STOCK UNIT AWARD AGREEMENT</w:t>
      </w:r>
    </w:p>
    <w:p>
      <w:pPr>
        <w:spacing w:after="0" w:line="1"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9"/>
          <w:szCs w:val="19"/>
          <w:color w:val="auto"/>
        </w:rPr>
        <w:t>Pursuant to the Grant Terms and Conditions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a RSU-Style Stock Option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pursuant to the terms of the GW Pharmaceuticals plc 2020 Long-Term Incentive Plan, as amended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Shares indicated in the Grant Notice. For the purposes of the Plan, the term ‘Company’ shall be taken to mean Jazz Pharmaceuticals plc, ‘Committee’ shall be taken to mean the remuneration committee of the Board of Jazz Pharmaceuticals plc, and ‘Shares’ and ‘Ordinary Shares’ shall be taken to mean ordinary shares in the capital of Jazz Pharmaceuticals plc. The Grant Notice, this Agreement and the Plan together constitute the full terms and conditions of your Award (the “</w:t>
      </w:r>
      <w:r>
        <w:rPr>
          <w:rFonts w:ascii="Arial" w:cs="Arial" w:eastAsia="Arial" w:hAnsi="Arial"/>
          <w:sz w:val="19"/>
          <w:szCs w:val="19"/>
          <w:b w:val="1"/>
          <w:bCs w:val="1"/>
          <w:i w:val="1"/>
          <w:iCs w:val="1"/>
          <w:color w:val="auto"/>
        </w:rPr>
        <w:t>Award Documents</w:t>
      </w:r>
      <w:r>
        <w:rPr>
          <w:rFonts w:ascii="Arial" w:cs="Arial" w:eastAsia="Arial" w:hAnsi="Arial"/>
          <w:sz w:val="19"/>
          <w:szCs w:val="19"/>
          <w:color w:val="auto"/>
        </w:rPr>
        <w:t>”), and, upon your written or electronic execution, constitute the deed of acceptance for the Award. The Award Documents must be accepted by you no later than thirty days after the Date of Grant referenced in the Grant Notice. This Award was granted in consideration of your services to the Company. Capitalized terms not explicitly defined in this Agreement or the Grant Notice shall have the same meanings given to them in the Plan.</w:t>
      </w:r>
    </w:p>
    <w:p>
      <w:pPr>
        <w:spacing w:after="0" w:line="184" w:lineRule="exact"/>
        <w:rPr>
          <w:sz w:val="20"/>
          <w:szCs w:val="20"/>
          <w:color w:val="auto"/>
        </w:rPr>
      </w:pPr>
    </w:p>
    <w:p>
      <w:pPr>
        <w:ind w:left="1300" w:hanging="648"/>
        <w:spacing w:after="0"/>
        <w:tabs>
          <w:tab w:leader="none" w:pos="1300" w:val="left"/>
        </w:tabs>
        <w:numPr>
          <w:ilvl w:val="0"/>
          <w:numId w:val="271"/>
        </w:numPr>
        <w:rPr>
          <w:rFonts w:ascii="Arial" w:cs="Arial" w:eastAsia="Arial" w:hAnsi="Arial"/>
          <w:sz w:val="22"/>
          <w:szCs w:val="22"/>
          <w:b w:val="1"/>
          <w:bCs w:val="1"/>
          <w:color w:val="auto"/>
        </w:rPr>
      </w:pPr>
      <w:r>
        <w:rPr>
          <w:rFonts w:ascii="Arial" w:cs="Arial" w:eastAsia="Arial" w:hAnsi="Arial"/>
          <w:sz w:val="22"/>
          <w:szCs w:val="22"/>
          <w:b w:val="1"/>
          <w:bCs w:val="1"/>
          <w:color w:val="auto"/>
        </w:rPr>
        <w:t>FORM OF THE AWARD.</w:t>
      </w:r>
    </w:p>
    <w:p>
      <w:pPr>
        <w:spacing w:after="0" w:line="266" w:lineRule="exact"/>
        <w:rPr>
          <w:sz w:val="20"/>
          <w:szCs w:val="20"/>
          <w:color w:val="auto"/>
        </w:rPr>
      </w:pPr>
    </w:p>
    <w:p>
      <w:pPr>
        <w:jc w:val="both"/>
        <w:ind w:right="120" w:firstLine="1296"/>
        <w:spacing w:after="0" w:line="259" w:lineRule="auto"/>
        <w:rPr>
          <w:sz w:val="20"/>
          <w:szCs w:val="20"/>
          <w:color w:val="auto"/>
        </w:rPr>
      </w:pPr>
      <w:r>
        <w:rPr>
          <w:rFonts w:ascii="Arial" w:cs="Arial" w:eastAsia="Arial" w:hAnsi="Arial"/>
          <w:sz w:val="21"/>
          <w:szCs w:val="21"/>
          <w:color w:val="auto"/>
        </w:rPr>
        <w:t>Because the Award is an option to purchase Shares that will be automatically exercised on the applicable vesting date(s), the Award is referred to as a “</w:t>
      </w:r>
      <w:r>
        <w:rPr>
          <w:rFonts w:ascii="Arial" w:cs="Arial" w:eastAsia="Arial" w:hAnsi="Arial"/>
          <w:sz w:val="21"/>
          <w:szCs w:val="21"/>
          <w:b w:val="1"/>
          <w:bCs w:val="1"/>
          <w:i w:val="1"/>
          <w:iCs w:val="1"/>
          <w:color w:val="auto"/>
        </w:rPr>
        <w:t>Restricted Stock Unit</w:t>
      </w:r>
      <w:r>
        <w:rPr>
          <w:rFonts w:ascii="Arial" w:cs="Arial" w:eastAsia="Arial" w:hAnsi="Arial"/>
          <w:sz w:val="21"/>
          <w:szCs w:val="21"/>
          <w:color w:val="auto"/>
        </w:rPr>
        <w:t>” or “</w:t>
      </w:r>
      <w:r>
        <w:rPr>
          <w:rFonts w:ascii="Arial" w:cs="Arial" w:eastAsia="Arial" w:hAnsi="Arial"/>
          <w:sz w:val="21"/>
          <w:szCs w:val="21"/>
          <w:b w:val="1"/>
          <w:bCs w:val="1"/>
          <w:i w:val="1"/>
          <w:iCs w:val="1"/>
          <w:color w:val="auto"/>
        </w:rPr>
        <w:t>RSU</w:t>
      </w:r>
      <w:r>
        <w:rPr>
          <w:rFonts w:ascii="Arial" w:cs="Arial" w:eastAsia="Arial" w:hAnsi="Arial"/>
          <w:sz w:val="21"/>
          <w:szCs w:val="21"/>
          <w:color w:val="auto"/>
        </w:rPr>
        <w:t>”). Each RSU represents the right to be issued one Share.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the number of RSUs subject to the Award. Notwithstanding the foregoing, the Company reserves the right to issue you the cash equivalent of Shares, in part or in full satisfaction of the delivery of Shares in connection with the vesting of the RSUs, and, to the extent applicable, references in the Grant Notice and Award Agreement to Shares issuable in connection with your RSUs will include the potential issuance of its cash equivalent pursuant to such right.</w:t>
      </w:r>
    </w:p>
    <w:p>
      <w:pPr>
        <w:spacing w:after="0" w:line="204" w:lineRule="exact"/>
        <w:rPr>
          <w:sz w:val="20"/>
          <w:szCs w:val="20"/>
          <w:color w:val="auto"/>
        </w:rPr>
      </w:pPr>
    </w:p>
    <w:p>
      <w:pPr>
        <w:ind w:left="1300" w:hanging="648"/>
        <w:spacing w:after="0"/>
        <w:tabs>
          <w:tab w:leader="none" w:pos="1300" w:val="left"/>
        </w:tabs>
        <w:numPr>
          <w:ilvl w:val="0"/>
          <w:numId w:val="272"/>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53" w:lineRule="exact"/>
        <w:rPr>
          <w:sz w:val="20"/>
          <w:szCs w:val="20"/>
          <w:color w:val="auto"/>
        </w:rPr>
      </w:pPr>
    </w:p>
    <w:p>
      <w:pPr>
        <w:jc w:val="both"/>
        <w:ind w:right="120" w:firstLine="1296"/>
        <w:spacing w:after="0" w:line="290" w:lineRule="auto"/>
        <w:rPr>
          <w:sz w:val="20"/>
          <w:szCs w:val="20"/>
          <w:color w:val="auto"/>
        </w:rPr>
      </w:pPr>
      <w:r>
        <w:rPr>
          <w:rFonts w:ascii="Arial" w:cs="Arial" w:eastAsia="Arial" w:hAnsi="Arial"/>
          <w:sz w:val="19"/>
          <w:szCs w:val="19"/>
          <w:color w:val="auto"/>
        </w:rPr>
        <w:t>Subject to the limitations contained herein, your Award will vest, if at all, in accordance with the vesting schedule provided in the Grant Notice or such earlier date provided by the terms of the Plan. Except as otherwise provided in the Plan or by the Committee, vesting will cease upon your ceasing to be a Connected Person and any portion of the Award that was not vested on the date of such cessation as a Connected Person will lapse and be forfeited at no cost to the Company and you will have no further right, title or interest in or to such Award or the Shares to be issued in respect of such portion of the Award. Notwithstanding the foregoing, your Award is subject to additional vesting acceleration under the terms of any Change in Control and Severance Benefit Plan applicable to you, as amended from time to time (the “</w:t>
      </w:r>
      <w:r>
        <w:rPr>
          <w:rFonts w:ascii="Arial" w:cs="Arial" w:eastAsia="Arial" w:hAnsi="Arial"/>
          <w:sz w:val="19"/>
          <w:szCs w:val="19"/>
          <w:b w:val="1"/>
          <w:bCs w:val="1"/>
          <w:i w:val="1"/>
          <w:iCs w:val="1"/>
          <w:color w:val="auto"/>
        </w:rPr>
        <w:t>CIC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any other written plan or agreement between you and the Company (or a Group Member)</w:t>
      </w:r>
    </w:p>
    <w:p>
      <w:pPr>
        <w:sectPr>
          <w:pgSz w:w="11900" w:h="16838" w:orient="portrait"/>
          <w:cols w:equalWidth="0" w:num="1">
            <w:col w:w="10820"/>
          </w:cols>
          <w:pgMar w:left="740" w:top="121" w:right="3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providing for vesting treatment of your Award approved by the Committee or its authorized designee.</w:t>
      </w:r>
    </w:p>
    <w:p>
      <w:pPr>
        <w:spacing w:after="0" w:line="146" w:lineRule="exact"/>
        <w:rPr>
          <w:sz w:val="20"/>
          <w:szCs w:val="20"/>
          <w:color w:val="auto"/>
        </w:rPr>
      </w:pPr>
    </w:p>
    <w:p>
      <w:pPr>
        <w:ind w:left="1300" w:hanging="648"/>
        <w:spacing w:after="0"/>
        <w:tabs>
          <w:tab w:leader="none" w:pos="1300" w:val="left"/>
        </w:tabs>
        <w:numPr>
          <w:ilvl w:val="0"/>
          <w:numId w:val="273"/>
        </w:numPr>
        <w:rPr>
          <w:rFonts w:ascii="Arial" w:cs="Arial" w:eastAsia="Arial" w:hAnsi="Arial"/>
          <w:sz w:val="22"/>
          <w:szCs w:val="22"/>
          <w:b w:val="1"/>
          <w:bCs w:val="1"/>
          <w:color w:val="auto"/>
        </w:rPr>
      </w:pPr>
      <w:r>
        <w:rPr>
          <w:rFonts w:ascii="Arial" w:cs="Arial" w:eastAsia="Arial" w:hAnsi="Arial"/>
          <w:sz w:val="22"/>
          <w:szCs w:val="22"/>
          <w:b w:val="1"/>
          <w:bCs w:val="1"/>
          <w:color w:val="auto"/>
        </w:rPr>
        <w:t>AUTOMATIC EXERCISE AND METHOD OF PAYMENT.</w:t>
      </w:r>
    </w:p>
    <w:p>
      <w:pPr>
        <w:spacing w:after="0" w:line="320"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Your Award shall be automatically exercised to the full extent of the Shares that vest on the day it becomes exercisable in relation to those vested Shares (taking account of any restrictions on exercise pursuant to Rule 8.1 of the Plan), subject to the payment of the (i) Option Price and (ii) Withholding Taxes in accordance with in Section 11 below.</w:t>
      </w:r>
    </w:p>
    <w:p>
      <w:pPr>
        <w:spacing w:after="0" w:line="154" w:lineRule="exact"/>
        <w:rPr>
          <w:sz w:val="20"/>
          <w:szCs w:val="20"/>
          <w:color w:val="auto"/>
        </w:rPr>
      </w:pPr>
    </w:p>
    <w:p>
      <w:pPr>
        <w:ind w:left="1300" w:hanging="648"/>
        <w:spacing w:after="0"/>
        <w:tabs>
          <w:tab w:leader="none" w:pos="1300" w:val="left"/>
        </w:tabs>
        <w:numPr>
          <w:ilvl w:val="0"/>
          <w:numId w:val="274"/>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p>
    <w:p>
      <w:pPr>
        <w:spacing w:after="0" w:line="266"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19"/>
          <w:szCs w:val="19"/>
          <w:color w:val="auto"/>
        </w:rPr>
        <w:t>The Award shall lapse and terminate in its entirety to the extent it does not vest under Section 2 above.</w:t>
      </w:r>
    </w:p>
    <w:p>
      <w:pPr>
        <w:spacing w:after="0" w:line="275" w:lineRule="exact"/>
        <w:rPr>
          <w:rFonts w:ascii="Arial" w:cs="Arial" w:eastAsia="Arial" w:hAnsi="Arial"/>
          <w:sz w:val="22"/>
          <w:szCs w:val="22"/>
          <w:b w:val="1"/>
          <w:bCs w:val="1"/>
          <w:color w:val="auto"/>
        </w:rPr>
      </w:pPr>
    </w:p>
    <w:p>
      <w:pPr>
        <w:ind w:left="1300" w:hanging="648"/>
        <w:spacing w:after="0"/>
        <w:tabs>
          <w:tab w:leader="none" w:pos="1300" w:val="left"/>
        </w:tabs>
        <w:numPr>
          <w:ilvl w:val="0"/>
          <w:numId w:val="274"/>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6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You may not be issued any Shares under your Award unless the Shares underlying the RSUs are either (i) then registered under the US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or (ii) the Company has determined that such issuance would be exempt from the registration requirements of the Securities Act and, to the extent other securities laws apply, in compliance with or exempt from such laws. Your Award must also comply with other applicable laws and regulations governing the Award, and you shall not receive such Shares if the Company determines that such receipt would not be in material compliance with such laws and regulations.</w:t>
      </w:r>
    </w:p>
    <w:p>
      <w:pPr>
        <w:spacing w:after="0" w:line="170" w:lineRule="exact"/>
        <w:rPr>
          <w:sz w:val="20"/>
          <w:szCs w:val="20"/>
          <w:color w:val="auto"/>
        </w:rPr>
      </w:pPr>
    </w:p>
    <w:p>
      <w:pPr>
        <w:ind w:left="1300" w:hanging="648"/>
        <w:spacing w:after="0"/>
        <w:tabs>
          <w:tab w:leader="none" w:pos="1300" w:val="left"/>
        </w:tabs>
        <w:numPr>
          <w:ilvl w:val="0"/>
          <w:numId w:val="275"/>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66"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Prior to the time that Shares have been delivered to you, you may not transfer, pledge, sell or otherwise dispose of this Award or the Shares issuable in respect of your Award, except as expressly provided in this Section. For example, you may not use Shares that may be issued in respect of your Award as security for a loan. The restrictions on transfer set forth herein will lapse upon delivery to you of Shares in respect of your Award.</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Your Award is transferable by will and by the laws of descent and distribution. At your death, your executor or administrator of your estate shall be entitled to receive, on behalf of your estate, any Shares or other consideration that vested (including any portion of your Award that becomes vested as a result of your death) but was not issued before your death.</w:t>
      </w:r>
    </w:p>
    <w:p>
      <w:pPr>
        <w:spacing w:after="0" w:line="209" w:lineRule="exact"/>
        <w:rPr>
          <w:sz w:val="20"/>
          <w:szCs w:val="20"/>
          <w:color w:val="auto"/>
        </w:rPr>
      </w:pPr>
    </w:p>
    <w:p>
      <w:pPr>
        <w:ind w:left="1300" w:hanging="648"/>
        <w:spacing w:after="0"/>
        <w:tabs>
          <w:tab w:leader="none" w:pos="1300"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r>
        <w:rPr>
          <w:rFonts w:ascii="Arial" w:cs="Arial" w:eastAsia="Arial" w:hAnsi="Arial"/>
          <w:sz w:val="22"/>
          <w:szCs w:val="22"/>
          <w:color w:val="auto"/>
        </w:rPr>
        <w:t>.</w:t>
      </w:r>
    </w:p>
    <w:p>
      <w:pPr>
        <w:spacing w:after="0" w:line="252" w:lineRule="exact"/>
        <w:rPr>
          <w:rFonts w:ascii="Arial" w:cs="Arial" w:eastAsia="Arial" w:hAnsi="Arial"/>
          <w:sz w:val="22"/>
          <w:szCs w:val="22"/>
          <w:b w:val="1"/>
          <w:bCs w:val="1"/>
          <w:color w:val="auto"/>
        </w:rPr>
      </w:pPr>
    </w:p>
    <w:p>
      <w:pPr>
        <w:ind w:firstLine="1301"/>
        <w:spacing w:after="0" w:line="263" w:lineRule="auto"/>
        <w:tabs>
          <w:tab w:leader="none" w:pos="217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The issuance of Shares in respect of the RSUs is intended to comply with Treasury Regulations Section 1.409A-1(b)(4) and will be construed and administered in such a manner.</w:t>
      </w:r>
    </w:p>
    <w:p>
      <w:pPr>
        <w:spacing w:after="0" w:line="296" w:lineRule="exact"/>
        <w:rPr>
          <w:rFonts w:ascii="Arial" w:cs="Arial" w:eastAsia="Arial" w:hAnsi="Arial"/>
          <w:sz w:val="22"/>
          <w:szCs w:val="22"/>
          <w:color w:val="auto"/>
        </w:rPr>
      </w:pPr>
    </w:p>
    <w:p>
      <w:pPr>
        <w:jc w:val="both"/>
        <w:ind w:firstLine="1301"/>
        <w:spacing w:after="0" w:line="250" w:lineRule="auto"/>
        <w:tabs>
          <w:tab w:leader="none" w:pos="2169" w:val="left"/>
        </w:tabs>
        <w:numPr>
          <w:ilvl w:val="1"/>
          <w:numId w:val="276"/>
        </w:numPr>
        <w:rPr>
          <w:rFonts w:ascii="Arial" w:cs="Arial" w:eastAsia="Arial" w:hAnsi="Arial"/>
          <w:sz w:val="22"/>
          <w:szCs w:val="22"/>
          <w:color w:val="auto"/>
        </w:rPr>
      </w:pPr>
      <w:r>
        <w:rPr>
          <w:rFonts w:ascii="Arial" w:cs="Arial" w:eastAsia="Arial" w:hAnsi="Arial"/>
          <w:sz w:val="22"/>
          <w:szCs w:val="22"/>
          <w:color w:val="auto"/>
        </w:rPr>
        <w:t>Subject to the satisfaction of the Option Price and Withholding Taxes set forth in Section 11 of this Agreement, to the extent one or more RSUs vest, the Company shall issue to you, on the applicable vesting date, one Share for each RSU that vests and such issuance date is referred to as an “</w:t>
      </w:r>
      <w:r>
        <w:rPr>
          <w:rFonts w:ascii="Arial" w:cs="Arial" w:eastAsia="Arial" w:hAnsi="Arial"/>
          <w:sz w:val="22"/>
          <w:szCs w:val="22"/>
          <w:b w:val="1"/>
          <w:bCs w:val="1"/>
          <w:i w:val="1"/>
          <w:iCs w:val="1"/>
          <w:color w:val="auto"/>
        </w:rPr>
        <w:t>Original Issuance Date</w:t>
      </w:r>
      <w:r>
        <w:rPr>
          <w:rFonts w:ascii="Arial" w:cs="Arial" w:eastAsia="Arial" w:hAnsi="Arial"/>
          <w:sz w:val="22"/>
          <w:szCs w:val="22"/>
          <w:color w:val="auto"/>
        </w:rPr>
        <w:t>”. If the Original Issuance Date falls on a date</w:t>
      </w:r>
    </w:p>
    <w:p>
      <w:pPr>
        <w:sectPr>
          <w:pgSz w:w="11900" w:h="16838" w:orient="portrait"/>
          <w:cols w:equalWidth="0" w:num="1">
            <w:col w:w="10700"/>
          </w:cols>
          <w:pgMar w:left="740" w:top="1360" w:right="459" w:bottom="1440" w:gutter="0" w:footer="0" w:header="0"/>
        </w:sectPr>
      </w:pPr>
    </w:p>
    <w:bookmarkStart w:id="275" w:name="page276"/>
    <w:bookmarkEnd w:id="275"/>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that is not a business day, delivery shall instead occur on the next following business day. </w:t>
      </w:r>
      <w:r>
        <w:rPr>
          <w:rFonts w:ascii="Arial" w:cs="Arial" w:eastAsia="Arial" w:hAnsi="Arial"/>
          <w:sz w:val="22"/>
          <w:szCs w:val="22"/>
          <w:u w:val="single" w:color="auto"/>
          <w:color w:val="auto"/>
        </w:rPr>
        <w:t>However</w:t>
      </w:r>
      <w:r>
        <w:rPr>
          <w:rFonts w:ascii="Arial" w:cs="Arial" w:eastAsia="Arial" w:hAnsi="Arial"/>
          <w:sz w:val="22"/>
          <w:szCs w:val="22"/>
          <w:color w:val="auto"/>
        </w:rPr>
        <w:t>, if:</w:t>
      </w:r>
    </w:p>
    <w:p>
      <w:pPr>
        <w:spacing w:after="0" w:line="247" w:lineRule="exact"/>
        <w:rPr>
          <w:sz w:val="20"/>
          <w:szCs w:val="20"/>
          <w:color w:val="auto"/>
        </w:rPr>
      </w:pPr>
    </w:p>
    <w:p>
      <w:pPr>
        <w:jc w:val="both"/>
        <w:ind w:firstLine="1949"/>
        <w:spacing w:after="0" w:line="246" w:lineRule="auto"/>
        <w:tabs>
          <w:tab w:leader="none" w:pos="2229" w:val="left"/>
        </w:tabs>
        <w:numPr>
          <w:ilvl w:val="2"/>
          <w:numId w:val="277"/>
        </w:numPr>
        <w:rPr>
          <w:rFonts w:ascii="Arial" w:cs="Arial" w:eastAsia="Arial" w:hAnsi="Arial"/>
          <w:sz w:val="22"/>
          <w:szCs w:val="22"/>
          <w:color w:val="auto"/>
        </w:rPr>
      </w:pPr>
      <w:r>
        <w:rPr>
          <w:rFonts w:ascii="Arial" w:cs="Arial" w:eastAsia="Arial" w:hAnsi="Arial"/>
          <w:sz w:val="22"/>
          <w:szCs w:val="22"/>
          <w:color w:val="auto"/>
        </w:rPr>
        <w:t>the Original Issuance Date does not occur (1) during an “</w:t>
      </w:r>
      <w:r>
        <w:rPr>
          <w:rFonts w:ascii="Arial" w:cs="Arial" w:eastAsia="Arial" w:hAnsi="Arial"/>
          <w:sz w:val="22"/>
          <w:szCs w:val="22"/>
          <w:b w:val="1"/>
          <w:bCs w:val="1"/>
          <w:i w:val="1"/>
          <w:iCs w:val="1"/>
          <w:color w:val="auto"/>
        </w:rPr>
        <w:t>open window period</w:t>
      </w:r>
      <w:r>
        <w:rPr>
          <w:rFonts w:ascii="Arial" w:cs="Arial" w:eastAsia="Arial" w:hAnsi="Arial"/>
          <w:sz w:val="22"/>
          <w:szCs w:val="22"/>
          <w:color w:val="auto"/>
        </w:rPr>
        <w:t>” applicable to you, as determined by the Company in accordance with the Company’s then-effective insider trading policy or other policy on trading in Company securities, or (2) on a date when you are otherwise permitted to sell Shares on an established stock exchange or stock market (including but not limited to under a previously established written trading plan that meets the requirements of Rule 10b5-1 under the Securities Exchange Act of 1934, as amended, and the rules and regulations promulgated thereunder (the “</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that was entered into in compliance with the Company’s policies (a “</w:t>
      </w:r>
      <w:r>
        <w:rPr>
          <w:rFonts w:ascii="Arial" w:cs="Arial" w:eastAsia="Arial" w:hAnsi="Arial"/>
          <w:sz w:val="22"/>
          <w:szCs w:val="22"/>
          <w:b w:val="1"/>
          <w:bCs w:val="1"/>
          <w:i w:val="1"/>
          <w:iCs w:val="1"/>
          <w:color w:val="auto"/>
        </w:rPr>
        <w:t>10b5-1</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w:t>
      </w:r>
    </w:p>
    <w:p>
      <w:pPr>
        <w:spacing w:after="0" w:line="304" w:lineRule="exact"/>
        <w:rPr>
          <w:rFonts w:ascii="Arial" w:cs="Arial" w:eastAsia="Arial" w:hAnsi="Arial"/>
          <w:sz w:val="22"/>
          <w:szCs w:val="22"/>
          <w:color w:val="auto"/>
        </w:rPr>
      </w:pPr>
    </w:p>
    <w:p>
      <w:pPr>
        <w:jc w:val="both"/>
        <w:ind w:left="60" w:firstLine="1953"/>
        <w:spacing w:after="0" w:line="287" w:lineRule="auto"/>
        <w:tabs>
          <w:tab w:leader="none" w:pos="2808" w:val="left"/>
        </w:tabs>
        <w:numPr>
          <w:ilvl w:val="3"/>
          <w:numId w:val="277"/>
        </w:numPr>
        <w:rPr>
          <w:rFonts w:ascii="Arial" w:cs="Arial" w:eastAsia="Arial" w:hAnsi="Arial"/>
          <w:sz w:val="19"/>
          <w:szCs w:val="19"/>
          <w:color w:val="auto"/>
        </w:rPr>
      </w:pPr>
      <w:r>
        <w:rPr>
          <w:rFonts w:ascii="Arial" w:cs="Arial" w:eastAsia="Arial" w:hAnsi="Arial"/>
          <w:sz w:val="19"/>
          <w:szCs w:val="19"/>
          <w:color w:val="auto"/>
        </w:rPr>
        <w:t>the Company decides, prior to the Original Issuance Date (A) not to satisfy the Option Price and Withholding Taxes by withholding Shares from the Shares otherwise due, on the Original Issuance Date, to you under this Award, and (B) not to permit you to then effect a “</w:t>
      </w:r>
      <w:r>
        <w:rPr>
          <w:rFonts w:ascii="Arial" w:cs="Arial" w:eastAsia="Arial" w:hAnsi="Arial"/>
          <w:sz w:val="19"/>
          <w:szCs w:val="19"/>
          <w:b w:val="1"/>
          <w:bCs w:val="1"/>
          <w:i w:val="1"/>
          <w:iCs w:val="1"/>
          <w:color w:val="auto"/>
        </w:rPr>
        <w:t>sell to cover</w:t>
      </w:r>
      <w:r>
        <w:rPr>
          <w:rFonts w:ascii="Arial" w:cs="Arial" w:eastAsia="Arial" w:hAnsi="Arial"/>
          <w:sz w:val="19"/>
          <w:szCs w:val="19"/>
          <w:color w:val="auto"/>
        </w:rPr>
        <w:t xml:space="preserve">” commitment on the market (including under a 10b5-1 Plan) and (C) not to permit you to pay your Option Price and Withholding Taxes in cash, then the Shares that would otherwise be issued to you on the Original Issuance Date will not be delivered on such Original Issuance Date and will instead be delivered on the first business day when you are not prohibited from selling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under this Award are no longer subject to a “</w:t>
      </w:r>
      <w:r>
        <w:rPr>
          <w:rFonts w:ascii="Arial" w:cs="Arial" w:eastAsia="Arial" w:hAnsi="Arial"/>
          <w:sz w:val="19"/>
          <w:szCs w:val="19"/>
          <w:b w:val="1"/>
          <w:bCs w:val="1"/>
          <w:i w:val="1"/>
          <w:iCs w:val="1"/>
          <w:color w:val="auto"/>
        </w:rPr>
        <w:t>substantial risk of forfeiture</w:t>
      </w:r>
      <w:r>
        <w:rPr>
          <w:rFonts w:ascii="Arial" w:cs="Arial" w:eastAsia="Arial" w:hAnsi="Arial"/>
          <w:sz w:val="19"/>
          <w:szCs w:val="19"/>
          <w:color w:val="auto"/>
        </w:rPr>
        <w:t>” within the meaning of Treasury Regulations Section 1.409A-1(d).</w:t>
      </w:r>
    </w:p>
    <w:p>
      <w:pPr>
        <w:spacing w:after="0" w:line="176" w:lineRule="exact"/>
        <w:rPr>
          <w:rFonts w:ascii="Arial" w:cs="Arial" w:eastAsia="Arial" w:hAnsi="Arial"/>
          <w:sz w:val="19"/>
          <w:szCs w:val="19"/>
          <w:color w:val="auto"/>
        </w:rPr>
      </w:pPr>
    </w:p>
    <w:p>
      <w:pPr>
        <w:ind w:left="60" w:firstLine="1240"/>
        <w:spacing w:after="0" w:line="250" w:lineRule="auto"/>
        <w:tabs>
          <w:tab w:leader="none" w:pos="2165" w:val="left"/>
        </w:tabs>
        <w:numPr>
          <w:ilvl w:val="1"/>
          <w:numId w:val="278"/>
        </w:numPr>
        <w:rPr>
          <w:rFonts w:ascii="Arial" w:cs="Arial" w:eastAsia="Arial" w:hAnsi="Arial"/>
          <w:sz w:val="22"/>
          <w:szCs w:val="22"/>
          <w:color w:val="auto"/>
        </w:rPr>
      </w:pPr>
      <w:r>
        <w:rPr>
          <w:rFonts w:ascii="Arial" w:cs="Arial" w:eastAsia="Arial" w:hAnsi="Arial"/>
          <w:sz w:val="22"/>
          <w:szCs w:val="22"/>
          <w:color w:val="auto"/>
        </w:rPr>
        <w:t>The form of delivery (</w:t>
      </w:r>
      <w:r>
        <w:rPr>
          <w:rFonts w:ascii="Arial" w:cs="Arial" w:eastAsia="Arial" w:hAnsi="Arial"/>
          <w:sz w:val="22"/>
          <w:szCs w:val="22"/>
          <w:i w:val="1"/>
          <w:iCs w:val="1"/>
          <w:color w:val="auto"/>
        </w:rPr>
        <w:t>e.g</w:t>
      </w:r>
      <w:r>
        <w:rPr>
          <w:rFonts w:ascii="Arial" w:cs="Arial" w:eastAsia="Arial" w:hAnsi="Arial"/>
          <w:sz w:val="22"/>
          <w:szCs w:val="22"/>
          <w:color w:val="auto"/>
        </w:rPr>
        <w:t>., a stock certificate or electronic entry evidencing such Shares) shall be determined by the Company.</w:t>
      </w:r>
    </w:p>
    <w:p>
      <w:pPr>
        <w:spacing w:after="0" w:line="222" w:lineRule="exact"/>
        <w:rPr>
          <w:rFonts w:ascii="Arial" w:cs="Arial" w:eastAsia="Arial" w:hAnsi="Arial"/>
          <w:sz w:val="22"/>
          <w:szCs w:val="22"/>
          <w:color w:val="auto"/>
        </w:rPr>
      </w:pPr>
    </w:p>
    <w:p>
      <w:pPr>
        <w:ind w:left="1300" w:hanging="648"/>
        <w:spacing w:after="0"/>
        <w:tabs>
          <w:tab w:leader="none" w:pos="1300" w:val="left"/>
        </w:tabs>
        <w:numPr>
          <w:ilvl w:val="0"/>
          <w:numId w:val="279"/>
        </w:numPr>
        <w:rPr>
          <w:rFonts w:ascii="Arial" w:cs="Arial" w:eastAsia="Arial" w:hAnsi="Arial"/>
          <w:sz w:val="22"/>
          <w:szCs w:val="22"/>
          <w:b w:val="1"/>
          <w:bCs w:val="1"/>
          <w:color w:val="auto"/>
        </w:rPr>
      </w:pPr>
      <w:r>
        <w:rPr>
          <w:rFonts w:ascii="Arial" w:cs="Arial" w:eastAsia="Arial" w:hAnsi="Arial"/>
          <w:sz w:val="22"/>
          <w:szCs w:val="22"/>
          <w:b w:val="1"/>
          <w:bCs w:val="1"/>
          <w:color w:val="auto"/>
        </w:rPr>
        <w:t>DIVIDENDS.</w:t>
      </w:r>
    </w:p>
    <w:p>
      <w:pPr>
        <w:spacing w:after="0" w:line="266"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19"/>
          <w:szCs w:val="19"/>
          <w:color w:val="auto"/>
        </w:rPr>
        <w:t>You shall receive no benefit or adjustment to your Award with respect to any cash dividend, stock dividend</w:t>
      </w:r>
    </w:p>
    <w:p>
      <w:pPr>
        <w:spacing w:after="0" w:line="56"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or other distribution unless otherwise required by the Plan; provided, however, that this sentence will not apply with respect to any Shares that are delivered to you in connection with your Award after such Shares have been delivered to you.</w:t>
      </w:r>
    </w:p>
    <w:p>
      <w:pPr>
        <w:spacing w:after="0" w:line="214" w:lineRule="exact"/>
        <w:rPr>
          <w:sz w:val="20"/>
          <w:szCs w:val="20"/>
          <w:color w:val="auto"/>
        </w:rPr>
      </w:pPr>
    </w:p>
    <w:p>
      <w:pPr>
        <w:ind w:left="1300" w:hanging="648"/>
        <w:spacing w:after="0"/>
        <w:tabs>
          <w:tab w:leader="none" w:pos="1300" w:val="left"/>
        </w:tabs>
        <w:numPr>
          <w:ilvl w:val="0"/>
          <w:numId w:val="280"/>
        </w:numPr>
        <w:rPr>
          <w:rFonts w:ascii="Arial" w:cs="Arial" w:eastAsia="Arial" w:hAnsi="Arial"/>
          <w:sz w:val="22"/>
          <w:szCs w:val="22"/>
          <w:b w:val="1"/>
          <w:bCs w:val="1"/>
          <w:color w:val="auto"/>
        </w:rPr>
      </w:pPr>
      <w:r>
        <w:rPr>
          <w:rFonts w:ascii="Arial" w:cs="Arial" w:eastAsia="Arial" w:hAnsi="Arial"/>
          <w:sz w:val="22"/>
          <w:szCs w:val="22"/>
          <w:b w:val="1"/>
          <w:bCs w:val="1"/>
          <w:color w:val="auto"/>
        </w:rPr>
        <w:t>RESTRICTIVE LEGENDS.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Shares issued in respect of your Award may be endorsed with appropriate legends as determined by the</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22"/>
          <w:szCs w:val="22"/>
          <w:color w:val="auto"/>
        </w:rPr>
        <w:t>Company.</w:t>
      </w:r>
    </w:p>
    <w:p>
      <w:pPr>
        <w:spacing w:after="0" w:line="223" w:lineRule="exact"/>
        <w:rPr>
          <w:sz w:val="20"/>
          <w:szCs w:val="20"/>
          <w:color w:val="auto"/>
        </w:rPr>
      </w:pPr>
    </w:p>
    <w:p>
      <w:pPr>
        <w:ind w:left="1300" w:hanging="648"/>
        <w:spacing w:after="0"/>
        <w:tabs>
          <w:tab w:leader="none" w:pos="1300" w:val="left"/>
        </w:tabs>
        <w:numPr>
          <w:ilvl w:val="0"/>
          <w:numId w:val="281"/>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r>
        <w:rPr>
          <w:rFonts w:ascii="Arial" w:cs="Arial" w:eastAsia="Arial" w:hAnsi="Arial"/>
          <w:sz w:val="22"/>
          <w:szCs w:val="22"/>
          <w:color w:val="auto"/>
        </w:rPr>
        <w:t>.</w:t>
      </w:r>
    </w:p>
    <w:p>
      <w:pPr>
        <w:spacing w:after="0" w:line="252" w:lineRule="exact"/>
        <w:rPr>
          <w:rFonts w:ascii="Arial" w:cs="Arial" w:eastAsia="Arial" w:hAnsi="Arial"/>
          <w:sz w:val="22"/>
          <w:szCs w:val="22"/>
          <w:b w:val="1"/>
          <w:bCs w:val="1"/>
          <w:color w:val="auto"/>
        </w:rPr>
      </w:pPr>
    </w:p>
    <w:p>
      <w:pPr>
        <w:jc w:val="both"/>
        <w:ind w:left="60" w:firstLine="1240"/>
        <w:spacing w:after="0" w:line="250" w:lineRule="auto"/>
        <w:tabs>
          <w:tab w:leader="none" w:pos="2165" w:val="left"/>
        </w:tabs>
        <w:numPr>
          <w:ilvl w:val="1"/>
          <w:numId w:val="281"/>
        </w:numPr>
        <w:rPr>
          <w:rFonts w:ascii="Arial" w:cs="Arial" w:eastAsia="Arial" w:hAnsi="Arial"/>
          <w:sz w:val="22"/>
          <w:szCs w:val="22"/>
          <w:color w:val="auto"/>
        </w:rPr>
      </w:pPr>
      <w:r>
        <w:rPr>
          <w:rFonts w:ascii="Arial" w:cs="Arial" w:eastAsia="Arial" w:hAnsi="Arial"/>
          <w:sz w:val="22"/>
          <w:szCs w:val="22"/>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w:t>
      </w:r>
    </w:p>
    <w:p>
      <w:pPr>
        <w:sectPr>
          <w:pgSz w:w="11900" w:h="16838" w:orient="portrait"/>
          <w:cols w:equalWidth="0" w:num="1">
            <w:col w:w="10700"/>
          </w:cols>
          <w:pgMar w:left="740" w:top="1440" w:right="459" w:bottom="1440" w:gutter="0" w:footer="0" w:header="0"/>
        </w:sectPr>
      </w:pPr>
    </w:p>
    <w:bookmarkStart w:id="276" w:name="page277"/>
    <w:bookmarkEnd w:id="276"/>
    <w:p>
      <w:pPr>
        <w:jc w:val="both"/>
        <w:spacing w:after="0" w:line="297" w:lineRule="auto"/>
        <w:rPr>
          <w:sz w:val="20"/>
          <w:szCs w:val="20"/>
          <w:color w:val="auto"/>
        </w:rPr>
      </w:pPr>
      <w:r>
        <w:rPr>
          <w:rFonts w:ascii="Arial" w:cs="Arial" w:eastAsia="Arial" w:hAnsi="Arial"/>
          <w:sz w:val="19"/>
          <w:szCs w:val="19"/>
          <w:color w:val="auto"/>
        </w:rPr>
        <w:t>Company or any Group Member; (ii) constitute any promise or commitment by the Company or any Group Member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any Group Member of any right to terminate you at will and without regard to any future vesting opportunity that you may have.</w:t>
      </w:r>
    </w:p>
    <w:p>
      <w:pPr>
        <w:spacing w:after="0" w:line="174" w:lineRule="exact"/>
        <w:rPr>
          <w:sz w:val="20"/>
          <w:szCs w:val="20"/>
          <w:color w:val="auto"/>
        </w:rPr>
      </w:pPr>
    </w:p>
    <w:p>
      <w:pPr>
        <w:jc w:val="both"/>
        <w:ind w:firstLine="1240"/>
        <w:spacing w:after="0" w:line="261" w:lineRule="auto"/>
        <w:tabs>
          <w:tab w:leader="none" w:pos="2104" w:val="left"/>
        </w:tabs>
        <w:numPr>
          <w:ilvl w:val="0"/>
          <w:numId w:val="282"/>
        </w:numPr>
        <w:rPr>
          <w:rFonts w:ascii="Arial" w:cs="Arial" w:eastAsia="Arial" w:hAnsi="Arial"/>
          <w:sz w:val="21"/>
          <w:szCs w:val="21"/>
          <w:color w:val="auto"/>
        </w:rPr>
      </w:pPr>
      <w:r>
        <w:rPr>
          <w:rFonts w:ascii="Arial" w:cs="Arial" w:eastAsia="Arial" w:hAnsi="Arial"/>
          <w:sz w:val="21"/>
          <w:szCs w:val="21"/>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 Connected Person at the will of the Company and any Group Member, as applicable (not through the act of being hired, being granted this Award or any other award or benefit) and that the Company and any Group Member has the right to reorganize, sell, spin-out or otherwise restructure one or more of its businesses or Group Members at any time or</w:t>
      </w:r>
    </w:p>
    <w:p>
      <w:pPr>
        <w:spacing w:after="0" w:line="3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from time to time, as it deems appropriate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You acknowledge and agree that such a reorganization could result in the cessation of you being considered a Connected Period, or the termination of Group Member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(or applicable Group Member’s) right to terminate your service and Connected Person status at any time, with or without your cause or notice, or to conduct a reorganization.</w:t>
      </w:r>
    </w:p>
    <w:p>
      <w:pPr>
        <w:spacing w:after="0" w:line="191" w:lineRule="exact"/>
        <w:rPr>
          <w:sz w:val="20"/>
          <w:szCs w:val="20"/>
          <w:color w:val="auto"/>
        </w:rPr>
      </w:pPr>
    </w:p>
    <w:p>
      <w:pPr>
        <w:ind w:left="1220" w:hanging="585"/>
        <w:spacing w:after="0"/>
        <w:tabs>
          <w:tab w:leader="none" w:pos="122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color w:val="auto"/>
        </w:rPr>
        <w:t>OPTION PRICE AND WITHHOLDING TAXES</w:t>
      </w:r>
      <w:r>
        <w:rPr>
          <w:rFonts w:ascii="Arial" w:cs="Arial" w:eastAsia="Arial" w:hAnsi="Arial"/>
          <w:sz w:val="22"/>
          <w:szCs w:val="22"/>
          <w:color w:val="auto"/>
        </w:rPr>
        <w:t>.</w:t>
      </w:r>
    </w:p>
    <w:p>
      <w:pPr>
        <w:spacing w:after="0" w:line="252" w:lineRule="exact"/>
        <w:rPr>
          <w:rFonts w:ascii="Arial" w:cs="Arial" w:eastAsia="Arial" w:hAnsi="Arial"/>
          <w:sz w:val="22"/>
          <w:szCs w:val="22"/>
          <w:b w:val="1"/>
          <w:bCs w:val="1"/>
          <w:color w:val="auto"/>
        </w:rPr>
      </w:pPr>
    </w:p>
    <w:p>
      <w:pPr>
        <w:jc w:val="both"/>
        <w:ind w:left="-60" w:firstLine="1301"/>
        <w:spacing w:after="0" w:line="286" w:lineRule="auto"/>
        <w:tabs>
          <w:tab w:leader="none" w:pos="2110" w:val="left"/>
        </w:tabs>
        <w:numPr>
          <w:ilvl w:val="1"/>
          <w:numId w:val="283"/>
        </w:numPr>
        <w:rPr>
          <w:rFonts w:ascii="Arial" w:cs="Arial" w:eastAsia="Arial" w:hAnsi="Arial"/>
          <w:sz w:val="19"/>
          <w:szCs w:val="19"/>
          <w:color w:val="auto"/>
        </w:rPr>
      </w:pPr>
      <w:r>
        <w:rPr>
          <w:rFonts w:ascii="Arial" w:cs="Arial" w:eastAsia="Arial" w:hAnsi="Arial"/>
          <w:sz w:val="19"/>
          <w:szCs w:val="19"/>
          <w:color w:val="auto"/>
        </w:rPr>
        <w:t>On each vesting date, and on or before the time you receive a distribution of the Shares, cash or other property in respect of your Award, and at any other time as reasonably requested by the Company (or applicable Group Member) in accordance with applicable tax laws, you hereby authorize any required payment of the Option Price and withholding from the Shares issuable to you and/or otherwise agree to make adequate provision, including in cash, for any sums required to satisfy the federal, state, local and foreign tax withholding obligations of the Company or any Group Member (including any Tax Liability as described in the Plan) that arise in connection with your Award (the “</w:t>
      </w:r>
      <w:r>
        <w:rPr>
          <w:rFonts w:ascii="Arial" w:cs="Arial" w:eastAsia="Arial" w:hAnsi="Arial"/>
          <w:sz w:val="19"/>
          <w:szCs w:val="19"/>
          <w:b w:val="1"/>
          <w:bCs w:val="1"/>
          <w:i w:val="1"/>
          <w:iCs w:val="1"/>
          <w:color w:val="auto"/>
        </w:rPr>
        <w:t>Withholding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Additionally, the Company or any applicable Group Member may, in its sole discretion, satisfy the payment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Option Price and the Withholding Taxes obligation relating to your Award by any of the following means or by a combination of such means (and by accepting this Award you hereby authorize any of the following methods of paying the Option Price and satisfying the Withholding Taxes): (i) withholding from any compensation otherwise payable to you by the Company or a Group Member; (ii) causing you to tender a cash payment; (iii) permitting or requiring you to enter into a “</w:t>
      </w:r>
      <w:r>
        <w:rPr>
          <w:rFonts w:ascii="Arial" w:cs="Arial" w:eastAsia="Arial" w:hAnsi="Arial"/>
          <w:sz w:val="19"/>
          <w:szCs w:val="19"/>
          <w:b w:val="1"/>
          <w:bCs w:val="1"/>
          <w:i w:val="1"/>
          <w:iCs w:val="1"/>
          <w:color w:val="auto"/>
        </w:rPr>
        <w:t>sell to cover</w:t>
      </w:r>
      <w:r>
        <w:rPr>
          <w:rFonts w:ascii="Arial" w:cs="Arial" w:eastAsia="Arial" w:hAnsi="Arial"/>
          <w:sz w:val="19"/>
          <w:szCs w:val="19"/>
          <w:color w:val="auto"/>
        </w:rPr>
        <w:t>” commitment, if applicable,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Shares to be delivered in connection with your Award to satisfy the Option Price and all Withholding Taxes and whereby the FINRA Dealer irrevocably commits to forward the proceeds necessary to satisfy the Option Price and the Withholding Taxes</w:t>
      </w:r>
    </w:p>
    <w:p>
      <w:pPr>
        <w:sectPr>
          <w:pgSz w:w="11900" w:h="16838" w:orient="portrait"/>
          <w:cols w:equalWidth="0" w:num="1">
            <w:col w:w="10640"/>
          </w:cols>
          <w:pgMar w:left="800" w:top="1360" w:right="459" w:bottom="1440" w:gutter="0" w:footer="0" w:header="0"/>
        </w:sectPr>
      </w:pPr>
    </w:p>
    <w:bookmarkStart w:id="277" w:name="page278"/>
    <w:bookmarkEnd w:id="277"/>
    <w:p>
      <w:pPr>
        <w:jc w:val="both"/>
        <w:spacing w:after="0" w:line="290" w:lineRule="auto"/>
        <w:rPr>
          <w:sz w:val="20"/>
          <w:szCs w:val="20"/>
          <w:color w:val="auto"/>
        </w:rPr>
      </w:pPr>
      <w:r>
        <w:rPr>
          <w:rFonts w:ascii="Arial" w:cs="Arial" w:eastAsia="Arial" w:hAnsi="Arial"/>
          <w:sz w:val="19"/>
          <w:szCs w:val="19"/>
          <w:color w:val="auto"/>
        </w:rPr>
        <w:t xml:space="preserve">directly to the Company and/or the applicable Group Member; or (iv) withholding Shares from the Shares issued or otherwise issuable to you in connection with the Award with a Fair Market Value (measured as of the date Shares are issued pursuant to Section 7) equal to the amount of such Option Price and Withholding Taxes;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number of such Shares so withheld will not exceed the sum of the Option Price and the maximum permitted statutory rate for Withholding Taxes including withholding rates for federal, state, local and foreign tax purposes, including payroll taxes, that are applicable to supplemental taxable income; and </w:t>
      </w:r>
      <w:r>
        <w:rPr>
          <w:rFonts w:ascii="Arial" w:cs="Arial" w:eastAsia="Arial" w:hAnsi="Arial"/>
          <w:sz w:val="19"/>
          <w:szCs w:val="19"/>
          <w:i w:val="1"/>
          <w:iCs w:val="1"/>
          <w:color w:val="auto"/>
        </w:rPr>
        <w:t>provided</w:t>
      </w:r>
      <w:r>
        <w:rPr>
          <w:rFonts w:ascii="Arial" w:cs="Arial" w:eastAsia="Arial" w:hAnsi="Arial"/>
          <w:sz w:val="19"/>
          <w:szCs w:val="19"/>
          <w:color w:val="auto"/>
        </w:rPr>
        <w:t>, further, that to the extent necessary to qualify for an exemption from application of Section 16(b) of the Exchange Act, if applicable, such share withholding procedure will be subject to the express prior approval of the Board or the Committee.</w:t>
      </w:r>
    </w:p>
    <w:p>
      <w:pPr>
        <w:spacing w:after="0" w:line="183" w:lineRule="exact"/>
        <w:rPr>
          <w:sz w:val="20"/>
          <w:szCs w:val="20"/>
          <w:color w:val="auto"/>
        </w:rPr>
      </w:pPr>
    </w:p>
    <w:p>
      <w:pPr>
        <w:ind w:firstLine="1301"/>
        <w:spacing w:after="0" w:line="263" w:lineRule="auto"/>
        <w:tabs>
          <w:tab w:leader="none" w:pos="2169" w:val="left"/>
        </w:tabs>
        <w:numPr>
          <w:ilvl w:val="0"/>
          <w:numId w:val="284"/>
        </w:numPr>
        <w:rPr>
          <w:rFonts w:ascii="Arial" w:cs="Arial" w:eastAsia="Arial" w:hAnsi="Arial"/>
          <w:sz w:val="22"/>
          <w:szCs w:val="22"/>
          <w:color w:val="auto"/>
        </w:rPr>
      </w:pPr>
      <w:r>
        <w:rPr>
          <w:rFonts w:ascii="Arial" w:cs="Arial" w:eastAsia="Arial" w:hAnsi="Arial"/>
          <w:sz w:val="22"/>
          <w:szCs w:val="22"/>
          <w:color w:val="auto"/>
        </w:rPr>
        <w:t>Unless the Option Price and Withholding Taxes are satisfied, the Company shall have no obligation to deliver to you any Shares or any other consideration pursuant to this Award.</w:t>
      </w:r>
    </w:p>
    <w:p>
      <w:pPr>
        <w:spacing w:after="0" w:line="296" w:lineRule="exact"/>
        <w:rPr>
          <w:rFonts w:ascii="Arial" w:cs="Arial" w:eastAsia="Arial" w:hAnsi="Arial"/>
          <w:sz w:val="22"/>
          <w:szCs w:val="22"/>
          <w:color w:val="auto"/>
        </w:rPr>
      </w:pPr>
    </w:p>
    <w:p>
      <w:pPr>
        <w:jc w:val="both"/>
        <w:ind w:firstLine="1301"/>
        <w:spacing w:after="0" w:line="253" w:lineRule="auto"/>
        <w:tabs>
          <w:tab w:leader="none" w:pos="217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In the event the Withholding Taxes arise prior to the delivery to you of Shares or it is determined after the delivery of Shares to you that the amount of the Withholding Taxes was greater than the amount withheld by the Company or Group Member, you agree to</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indemnify and hold the Company and all Group Members harmless from any failure to withhold the proper amount.</w:t>
      </w:r>
    </w:p>
    <w:p>
      <w:pPr>
        <w:spacing w:after="0" w:line="25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1"/>
          <w:szCs w:val="21"/>
          <w:b w:val="1"/>
          <w:bCs w:val="1"/>
          <w:color w:val="auto"/>
        </w:rPr>
        <w:t>TAX CONSEQUENCES.</w:t>
      </w:r>
    </w:p>
    <w:p>
      <w:pPr>
        <w:spacing w:after="0" w:line="266" w:lineRule="exact"/>
        <w:rPr>
          <w:sz w:val="20"/>
          <w:szCs w:val="20"/>
          <w:color w:val="auto"/>
        </w:rPr>
      </w:pPr>
    </w:p>
    <w:p>
      <w:pPr>
        <w:jc w:val="both"/>
        <w:ind w:left="60" w:firstLine="1231"/>
        <w:spacing w:after="0" w:line="253" w:lineRule="auto"/>
        <w:rPr>
          <w:sz w:val="20"/>
          <w:szCs w:val="20"/>
          <w:color w:val="auto"/>
        </w:rPr>
      </w:pPr>
      <w:r>
        <w:rPr>
          <w:rFonts w:ascii="Arial" w:cs="Arial" w:eastAsia="Arial" w:hAnsi="Arial"/>
          <w:sz w:val="22"/>
          <w:szCs w:val="22"/>
          <w:color w:val="auto"/>
        </w:rPr>
        <w:t>Neither the Company nor any Group Member has a duty or obligation to minimize the tax consequences to you of this Award and neither the Company nor any Group Member shall be liable to you for any adverse tax consequences to you arising in connection with this Award.</w:t>
      </w:r>
    </w:p>
    <w:p>
      <w:pPr>
        <w:spacing w:after="0" w:line="226" w:lineRule="exact"/>
        <w:rPr>
          <w:sz w:val="20"/>
          <w:szCs w:val="20"/>
          <w:color w:val="auto"/>
        </w:rPr>
      </w:pPr>
    </w:p>
    <w:p>
      <w:pPr>
        <w:jc w:val="both"/>
        <w:ind w:left="60" w:firstLine="1231"/>
        <w:spacing w:after="0" w:line="302" w:lineRule="auto"/>
        <w:rPr>
          <w:sz w:val="20"/>
          <w:szCs w:val="20"/>
          <w:color w:val="auto"/>
        </w:rPr>
      </w:pPr>
      <w:r>
        <w:rPr>
          <w:rFonts w:ascii="Arial" w:cs="Arial" w:eastAsia="Arial" w:hAnsi="Arial"/>
          <w:sz w:val="19"/>
          <w:szCs w:val="19"/>
          <w:color w:val="auto"/>
        </w:rPr>
        <w:t>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or any Group Member) shall be responsible for your own tax liability that may arise as a result of this investment or the transactions contemplated by this Agreement.</w:t>
      </w:r>
    </w:p>
    <w:p>
      <w:pPr>
        <w:spacing w:after="0" w:line="163" w:lineRule="exact"/>
        <w:rPr>
          <w:sz w:val="20"/>
          <w:szCs w:val="20"/>
          <w:color w:val="auto"/>
        </w:rPr>
      </w:pPr>
    </w:p>
    <w:p>
      <w:pPr>
        <w:ind w:left="1300" w:hanging="648"/>
        <w:spacing w:after="0"/>
        <w:tabs>
          <w:tab w:leader="none" w:pos="1300" w:val="left"/>
        </w:tabs>
        <w:numPr>
          <w:ilvl w:val="0"/>
          <w:numId w:val="285"/>
        </w:numPr>
        <w:rPr>
          <w:rFonts w:ascii="Arial" w:cs="Arial" w:eastAsia="Arial" w:hAnsi="Arial"/>
          <w:sz w:val="22"/>
          <w:szCs w:val="22"/>
          <w:b w:val="1"/>
          <w:bCs w:val="1"/>
          <w:color w:val="auto"/>
        </w:rPr>
      </w:pPr>
      <w:r>
        <w:rPr>
          <w:rFonts w:ascii="Arial" w:cs="Arial" w:eastAsia="Arial" w:hAnsi="Arial"/>
          <w:sz w:val="22"/>
          <w:szCs w:val="22"/>
          <w:b w:val="1"/>
          <w:bCs w:val="1"/>
          <w:color w:val="auto"/>
        </w:rPr>
        <w:t>UNSECURED OBLIGATION.</w:t>
      </w:r>
    </w:p>
    <w:p>
      <w:pPr>
        <w:spacing w:after="0" w:line="25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Your Award is unfunded, and as a holder of a vested Award, you shall be considered an unsecured creditor of the Company with respect to the Company’s obligation, if any, to issue Shares or other property pursuant to this Agreement. You shall not have voting or any other rights as a shareholder of the Company with respect to the Shares to be issued pursuant to this Agreement until such Shares are issued to you pursuant to Section 7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any Group Member or any other person.</w:t>
      </w:r>
    </w:p>
    <w:p>
      <w:pPr>
        <w:spacing w:after="0" w:line="172" w:lineRule="exact"/>
        <w:rPr>
          <w:sz w:val="20"/>
          <w:szCs w:val="20"/>
          <w:color w:val="auto"/>
        </w:rPr>
      </w:pPr>
    </w:p>
    <w:p>
      <w:pPr>
        <w:ind w:left="1300" w:hanging="648"/>
        <w:spacing w:after="0"/>
        <w:tabs>
          <w:tab w:leader="none" w:pos="1300" w:val="left"/>
        </w:tabs>
        <w:numPr>
          <w:ilvl w:val="0"/>
          <w:numId w:val="286"/>
        </w:numPr>
        <w:rPr>
          <w:rFonts w:ascii="Arial" w:cs="Arial" w:eastAsia="Arial" w:hAnsi="Arial"/>
          <w:sz w:val="22"/>
          <w:szCs w:val="22"/>
          <w:b w:val="1"/>
          <w:bCs w:val="1"/>
          <w:color w:val="auto"/>
        </w:rPr>
      </w:pPr>
      <w:r>
        <w:rPr>
          <w:rFonts w:ascii="Arial" w:cs="Arial" w:eastAsia="Arial" w:hAnsi="Arial"/>
          <w:sz w:val="22"/>
          <w:szCs w:val="22"/>
          <w:b w:val="1"/>
          <w:bCs w:val="1"/>
          <w:color w:val="auto"/>
        </w:rPr>
        <w:t>NOTICES; ELECTRONIC DELIVERY.</w:t>
      </w:r>
    </w:p>
    <w:p>
      <w:pPr>
        <w:sectPr>
          <w:pgSz w:w="11900" w:h="16838" w:orient="portrait"/>
          <w:cols w:equalWidth="0" w:num="1">
            <w:col w:w="10700"/>
          </w:cols>
          <w:pgMar w:left="740" w:top="1360" w:right="459" w:bottom="1440" w:gutter="0" w:footer="0" w:header="0"/>
        </w:sectPr>
      </w:pPr>
    </w:p>
    <w:bookmarkStart w:id="278" w:name="page279"/>
    <w:bookmarkEnd w:id="278"/>
    <w:p>
      <w:pPr>
        <w:spacing w:after="0" w:line="16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Any notice or request provided for in your Award shall be given in writing (including electronically) and may be personally served, or sent by United States mail or pre-paid courier service, and will be deemed effective upon receipt (when delivered in person or by courier service during normal business hours (or after normal business hours, the following day))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 from time to time.</w:t>
      </w:r>
    </w:p>
    <w:p>
      <w:pPr>
        <w:spacing w:after="0" w:line="191" w:lineRule="exact"/>
        <w:rPr>
          <w:sz w:val="20"/>
          <w:szCs w:val="20"/>
          <w:color w:val="auto"/>
        </w:rPr>
      </w:pPr>
    </w:p>
    <w:p>
      <w:pPr>
        <w:ind w:left="1300" w:hanging="648"/>
        <w:spacing w:after="0"/>
        <w:tabs>
          <w:tab w:leader="none" w:pos="1300" w:val="left"/>
        </w:tabs>
        <w:numPr>
          <w:ilvl w:val="0"/>
          <w:numId w:val="287"/>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252" w:lineRule="exact"/>
        <w:rPr>
          <w:rFonts w:ascii="Arial" w:cs="Arial" w:eastAsia="Arial" w:hAnsi="Arial"/>
          <w:sz w:val="22"/>
          <w:szCs w:val="22"/>
          <w:b w:val="1"/>
          <w:bCs w:val="1"/>
          <w:color w:val="auto"/>
        </w:rPr>
      </w:pPr>
    </w:p>
    <w:p>
      <w:pPr>
        <w:jc w:val="both"/>
        <w:ind w:firstLine="1301"/>
        <w:spacing w:after="0" w:line="260" w:lineRule="auto"/>
        <w:tabs>
          <w:tab w:leader="none" w:pos="2170" w:val="left"/>
        </w:tabs>
        <w:numPr>
          <w:ilvl w:val="1"/>
          <w:numId w:val="287"/>
        </w:numPr>
        <w:rPr>
          <w:rFonts w:ascii="Arial" w:cs="Arial" w:eastAsia="Arial" w:hAnsi="Arial"/>
          <w:sz w:val="21"/>
          <w:szCs w:val="21"/>
          <w:color w:val="auto"/>
        </w:rPr>
      </w:pPr>
      <w:r>
        <w:rPr>
          <w:rFonts w:ascii="Arial" w:cs="Arial" w:eastAsia="Arial" w:hAnsi="Arial"/>
          <w:sz w:val="21"/>
          <w:szCs w:val="21"/>
          <w:color w:val="auto"/>
        </w:rPr>
        <w:t>By accepting the Award, you consent to the collection, processing, transmission and storage in any form whatsoever by the Company or any Group Member of any data of a professional or personal nature which is necessary for the purpose of introducing and sustaining the Plan. This may include providing information to trustees of an employee benefit trust, or to registrars, or brokers, or third party administrators of the Plan, or to future purchasers of the company or the business in which you work. By participating in the Plan, you also consent to the transfer of personal data to countries or territories outside your home country even where the country to which data is transferred does not provide the same protections as your home country.</w:t>
      </w:r>
    </w:p>
    <w:p>
      <w:pPr>
        <w:spacing w:after="0" w:line="31" w:lineRule="exact"/>
        <w:rPr>
          <w:rFonts w:ascii="Arial" w:cs="Arial" w:eastAsia="Arial" w:hAnsi="Arial"/>
          <w:sz w:val="21"/>
          <w:szCs w:val="21"/>
          <w:color w:val="auto"/>
        </w:rPr>
      </w:pPr>
    </w:p>
    <w:p>
      <w:pPr>
        <w:jc w:val="both"/>
        <w:ind w:firstLine="1301"/>
        <w:spacing w:after="0" w:line="297" w:lineRule="auto"/>
        <w:tabs>
          <w:tab w:leader="none" w:pos="2169" w:val="left"/>
        </w:tabs>
        <w:numPr>
          <w:ilvl w:val="1"/>
          <w:numId w:val="287"/>
        </w:numPr>
        <w:rPr>
          <w:rFonts w:ascii="Arial" w:cs="Arial" w:eastAsia="Arial" w:hAnsi="Arial"/>
          <w:sz w:val="19"/>
          <w:szCs w:val="19"/>
          <w:color w:val="auto"/>
        </w:rPr>
      </w:pPr>
      <w:r>
        <w:rPr>
          <w:rFonts w:ascii="Arial" w:cs="Arial" w:eastAsia="Arial" w:hAnsi="Arial"/>
          <w:sz w:val="19"/>
          <w:szCs w:val="19"/>
          <w:color w:val="auto"/>
        </w:rPr>
        <w:t>The basis for any collection, processing, transmission or storage of your personal data under the EU’s General Data Protection Regulation (2016/679), the UK Data Protection Act 2018 and any successor laws is set out in the Company’s Data Privacy Notice which can be obtained from the HR Department and is not the consent given under Section 15(a). The Data Privacy Notice also contains details about how your personal data is processed and your rights in relation to that data. You have a right to review the Data Privacy Notice.</w:t>
      </w:r>
    </w:p>
    <w:p>
      <w:pPr>
        <w:spacing w:after="0" w:line="181" w:lineRule="exact"/>
        <w:rPr>
          <w:rFonts w:ascii="Arial" w:cs="Arial" w:eastAsia="Arial" w:hAnsi="Arial"/>
          <w:sz w:val="19"/>
          <w:szCs w:val="19"/>
          <w:color w:val="auto"/>
        </w:rPr>
      </w:pPr>
    </w:p>
    <w:p>
      <w:pPr>
        <w:ind w:left="1300" w:hanging="648"/>
        <w:spacing w:after="0"/>
        <w:tabs>
          <w:tab w:leader="none" w:pos="1300" w:val="left"/>
        </w:tabs>
        <w:numPr>
          <w:ilvl w:val="0"/>
          <w:numId w:val="287"/>
        </w:numPr>
        <w:rPr>
          <w:rFonts w:ascii="Arial" w:cs="Arial" w:eastAsia="Arial" w:hAnsi="Arial"/>
          <w:sz w:val="22"/>
          <w:szCs w:val="22"/>
          <w:b w:val="1"/>
          <w:bCs w:val="1"/>
          <w:color w:val="auto"/>
        </w:rPr>
      </w:pPr>
      <w:r>
        <w:rPr>
          <w:rFonts w:ascii="Arial" w:cs="Arial" w:eastAsia="Arial" w:hAnsi="Arial"/>
          <w:sz w:val="22"/>
          <w:szCs w:val="22"/>
          <w:b w:val="1"/>
          <w:bCs w:val="1"/>
          <w:color w:val="auto"/>
        </w:rPr>
        <w:t>INSIDER TRADING / MARKET ABUSE LAWS.</w:t>
      </w:r>
    </w:p>
    <w:p>
      <w:pPr>
        <w:spacing w:after="0" w:line="25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You may be subject to insider trading restrictions and/or market abuse laws, which may affect your ability to acquire or sell Shares under the Plan during such times as you are considered to have “</w:t>
      </w:r>
      <w:r>
        <w:rPr>
          <w:rFonts w:ascii="Arial" w:cs="Arial" w:eastAsia="Arial" w:hAnsi="Arial"/>
          <w:sz w:val="22"/>
          <w:szCs w:val="22"/>
          <w:i w:val="1"/>
          <w:iCs w:val="1"/>
          <w:color w:val="auto"/>
        </w:rPr>
        <w:t>inside information</w:t>
      </w:r>
      <w:r>
        <w:rPr>
          <w:rFonts w:ascii="Arial" w:cs="Arial" w:eastAsia="Arial" w:hAnsi="Arial"/>
          <w:sz w:val="22"/>
          <w:szCs w:val="22"/>
          <w:color w:val="auto"/>
        </w:rPr>
        <w:t>” regarding the Company (as defined by applicable laws).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200" w:lineRule="exact"/>
        <w:rPr>
          <w:sz w:val="20"/>
          <w:szCs w:val="20"/>
          <w:color w:val="auto"/>
        </w:rPr>
      </w:pPr>
    </w:p>
    <w:p>
      <w:pPr>
        <w:spacing w:after="0" w:line="216" w:lineRule="exact"/>
        <w:rPr>
          <w:sz w:val="20"/>
          <w:szCs w:val="20"/>
          <w:color w:val="auto"/>
        </w:rPr>
      </w:pPr>
    </w:p>
    <w:p>
      <w:pPr>
        <w:ind w:left="1300" w:hanging="648"/>
        <w:spacing w:after="0"/>
        <w:tabs>
          <w:tab w:leader="none" w:pos="1300" w:val="left"/>
        </w:tabs>
        <w:numPr>
          <w:ilvl w:val="0"/>
          <w:numId w:val="288"/>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266" w:lineRule="exact"/>
        <w:rPr>
          <w:sz w:val="20"/>
          <w:szCs w:val="20"/>
          <w:color w:val="auto"/>
        </w:rPr>
      </w:pPr>
    </w:p>
    <w:p>
      <w:pPr>
        <w:ind w:left="60" w:firstLine="1231"/>
        <w:spacing w:after="0" w:line="263" w:lineRule="auto"/>
        <w:rPr>
          <w:sz w:val="20"/>
          <w:szCs w:val="20"/>
          <w:color w:val="auto"/>
        </w:rPr>
      </w:pPr>
      <w:r>
        <w:rPr>
          <w:rFonts w:ascii="Arial" w:cs="Arial" w:eastAsia="Arial" w:hAnsi="Arial"/>
          <w:sz w:val="22"/>
          <w:szCs w:val="22"/>
          <w:color w:val="auto"/>
        </w:rPr>
        <w:t>The headings of the Sections in this Agreement are inserted for convenience only and shall not be deemed to constitute a part of this Agreement or to affect the meaning of this Agreement.</w:t>
      </w:r>
    </w:p>
    <w:p>
      <w:pPr>
        <w:sectPr>
          <w:pgSz w:w="11900" w:h="16838" w:orient="portrait"/>
          <w:cols w:equalWidth="0" w:num="1">
            <w:col w:w="10700"/>
          </w:cols>
          <w:pgMar w:left="740" w:top="1440" w:right="459" w:bottom="1440" w:gutter="0" w:footer="0" w:header="0"/>
        </w:sectPr>
      </w:pPr>
    </w:p>
    <w:bookmarkStart w:id="279" w:name="page280"/>
    <w:bookmarkEnd w:id="279"/>
    <w:p>
      <w:pPr>
        <w:spacing w:after="0" w:line="158" w:lineRule="exact"/>
        <w:rPr>
          <w:sz w:val="20"/>
          <w:szCs w:val="20"/>
          <w:color w:val="auto"/>
        </w:rPr>
      </w:pPr>
    </w:p>
    <w:p>
      <w:pPr>
        <w:ind w:left="1220" w:hanging="639"/>
        <w:spacing w:after="0"/>
        <w:tabs>
          <w:tab w:leader="none" w:pos="1220" w:val="left"/>
        </w:tabs>
        <w:numPr>
          <w:ilvl w:val="0"/>
          <w:numId w:val="28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66" w:lineRule="exact"/>
        <w:rPr>
          <w:rFonts w:ascii="Arial" w:cs="Arial" w:eastAsia="Arial" w:hAnsi="Arial"/>
          <w:sz w:val="22"/>
          <w:szCs w:val="22"/>
          <w:b w:val="1"/>
          <w:bCs w:val="1"/>
          <w:color w:val="auto"/>
        </w:rPr>
      </w:pPr>
    </w:p>
    <w:p>
      <w:pPr>
        <w:jc w:val="both"/>
        <w:ind w:left="-60" w:firstLine="1301"/>
        <w:spacing w:after="0" w:line="253" w:lineRule="auto"/>
        <w:tabs>
          <w:tab w:leader="none" w:pos="2110" w:val="left"/>
        </w:tabs>
        <w:numPr>
          <w:ilvl w:val="2"/>
          <w:numId w:val="289"/>
        </w:numPr>
        <w:rPr>
          <w:rFonts w:ascii="Arial" w:cs="Arial" w:eastAsia="Arial" w:hAnsi="Arial"/>
          <w:sz w:val="22"/>
          <w:szCs w:val="22"/>
          <w:color w:val="auto"/>
        </w:rPr>
      </w:pPr>
      <w:r>
        <w:rPr>
          <w:rFonts w:ascii="Arial" w:cs="Arial" w:eastAsia="Arial" w:hAnsi="Arial"/>
          <w:sz w:val="22"/>
          <w:szCs w:val="22"/>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212" w:lineRule="exact"/>
        <w:rPr>
          <w:rFonts w:ascii="Arial" w:cs="Arial" w:eastAsia="Arial" w:hAnsi="Arial"/>
          <w:sz w:val="22"/>
          <w:szCs w:val="22"/>
          <w:color w:val="auto"/>
        </w:rPr>
      </w:pPr>
    </w:p>
    <w:p>
      <w:pPr>
        <w:ind w:left="-60" w:right="20" w:firstLine="1301"/>
        <w:spacing w:after="0" w:line="263" w:lineRule="auto"/>
        <w:tabs>
          <w:tab w:leader="none" w:pos="2109" w:val="left"/>
        </w:tabs>
        <w:numPr>
          <w:ilvl w:val="2"/>
          <w:numId w:val="289"/>
        </w:numPr>
        <w:rPr>
          <w:rFonts w:ascii="Arial" w:cs="Arial" w:eastAsia="Arial" w:hAnsi="Arial"/>
          <w:sz w:val="22"/>
          <w:szCs w:val="22"/>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201" w:lineRule="exact"/>
        <w:rPr>
          <w:rFonts w:ascii="Arial" w:cs="Arial" w:eastAsia="Arial" w:hAnsi="Arial"/>
          <w:sz w:val="22"/>
          <w:szCs w:val="22"/>
          <w:color w:val="auto"/>
        </w:rPr>
      </w:pPr>
    </w:p>
    <w:p>
      <w:pPr>
        <w:jc w:val="both"/>
        <w:ind w:left="-60" w:firstLine="1301"/>
        <w:spacing w:after="0" w:line="253" w:lineRule="auto"/>
        <w:tabs>
          <w:tab w:leader="none" w:pos="2110" w:val="left"/>
        </w:tabs>
        <w:numPr>
          <w:ilvl w:val="2"/>
          <w:numId w:val="289"/>
        </w:numPr>
        <w:rPr>
          <w:rFonts w:ascii="Arial" w:cs="Arial" w:eastAsia="Arial" w:hAnsi="Arial"/>
          <w:sz w:val="22"/>
          <w:szCs w:val="22"/>
          <w:color w:val="auto"/>
        </w:rPr>
      </w:pPr>
      <w:r>
        <w:rPr>
          <w:rFonts w:ascii="Arial" w:cs="Arial" w:eastAsia="Arial" w:hAnsi="Arial"/>
          <w:sz w:val="22"/>
          <w:szCs w:val="22"/>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225" w:lineRule="exact"/>
        <w:rPr>
          <w:rFonts w:ascii="Arial" w:cs="Arial" w:eastAsia="Arial" w:hAnsi="Arial"/>
          <w:sz w:val="22"/>
          <w:szCs w:val="22"/>
          <w:color w:val="auto"/>
        </w:rPr>
      </w:pPr>
    </w:p>
    <w:p>
      <w:pPr>
        <w:ind w:left="-60" w:right="20" w:firstLine="1301"/>
        <w:spacing w:after="0" w:line="263" w:lineRule="auto"/>
        <w:tabs>
          <w:tab w:leader="none" w:pos="2109" w:val="left"/>
        </w:tabs>
        <w:numPr>
          <w:ilvl w:val="2"/>
          <w:numId w:val="289"/>
        </w:numPr>
        <w:rPr>
          <w:rFonts w:ascii="Arial" w:cs="Arial" w:eastAsia="Arial" w:hAnsi="Arial"/>
          <w:sz w:val="22"/>
          <w:szCs w:val="22"/>
          <w:color w:val="auto"/>
        </w:rPr>
      </w:pPr>
      <w:r>
        <w:rPr>
          <w:rFonts w:ascii="Arial" w:cs="Arial" w:eastAsia="Arial" w:hAnsi="Arial"/>
          <w:sz w:val="22"/>
          <w:szCs w:val="22"/>
          <w:color w:val="auto"/>
        </w:rPr>
        <w:t>This Agreement shall be subject to all applicable laws, rules, and regulations, and to such approvals by any governmental agencies or national securities exchanges as may be required.</w:t>
      </w:r>
    </w:p>
    <w:p>
      <w:pPr>
        <w:spacing w:after="0" w:line="282" w:lineRule="exact"/>
        <w:rPr>
          <w:rFonts w:ascii="Arial" w:cs="Arial" w:eastAsia="Arial" w:hAnsi="Arial"/>
          <w:sz w:val="22"/>
          <w:szCs w:val="22"/>
          <w:color w:val="auto"/>
        </w:rPr>
      </w:pPr>
    </w:p>
    <w:p>
      <w:pPr>
        <w:jc w:val="both"/>
        <w:ind w:left="-60" w:firstLine="1301"/>
        <w:spacing w:after="0" w:line="271" w:lineRule="auto"/>
        <w:tabs>
          <w:tab w:leader="none" w:pos="2110" w:val="left"/>
        </w:tabs>
        <w:numPr>
          <w:ilvl w:val="2"/>
          <w:numId w:val="289"/>
        </w:numPr>
        <w:rPr>
          <w:rFonts w:ascii="Arial" w:cs="Arial" w:eastAsia="Arial" w:hAnsi="Arial"/>
          <w:sz w:val="21"/>
          <w:szCs w:val="21"/>
          <w:color w:val="auto"/>
        </w:rPr>
      </w:pPr>
      <w:r>
        <w:rPr>
          <w:rFonts w:ascii="Arial" w:cs="Arial" w:eastAsia="Arial" w:hAnsi="Arial"/>
          <w:sz w:val="21"/>
          <w:szCs w:val="21"/>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8" w:lineRule="exact"/>
        <w:rPr>
          <w:rFonts w:ascii="Arial" w:cs="Arial" w:eastAsia="Arial" w:hAnsi="Arial"/>
          <w:sz w:val="21"/>
          <w:szCs w:val="21"/>
          <w:color w:val="auto"/>
        </w:rPr>
      </w:pPr>
    </w:p>
    <w:p>
      <w:pPr>
        <w:ind w:left="1240" w:hanging="648"/>
        <w:spacing w:after="0"/>
        <w:tabs>
          <w:tab w:leader="none" w:pos="1240" w:val="left"/>
        </w:tabs>
        <w:numPr>
          <w:ilvl w:val="1"/>
          <w:numId w:val="28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PLAN DOCUMENT.</w:t>
      </w:r>
    </w:p>
    <w:p>
      <w:pPr>
        <w:spacing w:after="0" w:line="266" w:lineRule="exact"/>
        <w:rPr>
          <w:sz w:val="20"/>
          <w:szCs w:val="20"/>
          <w:color w:val="auto"/>
        </w:rPr>
      </w:pPr>
    </w:p>
    <w:p>
      <w:pPr>
        <w:jc w:val="both"/>
        <w:ind w:firstLine="1231"/>
        <w:spacing w:after="0" w:line="290" w:lineRule="auto"/>
        <w:rPr>
          <w:sz w:val="20"/>
          <w:szCs w:val="20"/>
          <w:color w:val="auto"/>
        </w:rPr>
      </w:pPr>
      <w:r>
        <w:rPr>
          <w:rFonts w:ascii="Arial" w:cs="Arial" w:eastAsia="Arial" w:hAnsi="Arial"/>
          <w:sz w:val="19"/>
          <w:szCs w:val="19"/>
          <w:color w:val="auto"/>
        </w:rPr>
        <w:t>Except as set forth herein,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77" w:lineRule="exact"/>
        <w:rPr>
          <w:sz w:val="20"/>
          <w:szCs w:val="20"/>
          <w:color w:val="auto"/>
        </w:rPr>
      </w:pPr>
    </w:p>
    <w:p>
      <w:pPr>
        <w:ind w:left="1240" w:hanging="648"/>
        <w:spacing w:after="0"/>
        <w:tabs>
          <w:tab w:leader="none" w:pos="1240" w:val="left"/>
        </w:tabs>
        <w:numPr>
          <w:ilvl w:val="0"/>
          <w:numId w:val="290"/>
        </w:numPr>
        <w:rPr>
          <w:rFonts w:ascii="Arial" w:cs="Arial" w:eastAsia="Arial" w:hAnsi="Arial"/>
          <w:sz w:val="22"/>
          <w:szCs w:val="22"/>
          <w:b w:val="1"/>
          <w:bCs w:val="1"/>
          <w:color w:val="auto"/>
        </w:rPr>
      </w:pPr>
      <w:r>
        <w:rPr>
          <w:rFonts w:ascii="Arial" w:cs="Arial" w:eastAsia="Arial" w:hAnsi="Arial"/>
          <w:sz w:val="22"/>
          <w:szCs w:val="22"/>
          <w:b w:val="1"/>
          <w:bCs w:val="1"/>
          <w:color w:val="auto"/>
        </w:rPr>
        <w:t>EFFECT ON OTHER EMPLOYEE BENEFIT PLANS.</w:t>
      </w:r>
    </w:p>
    <w:p>
      <w:pPr>
        <w:spacing w:after="0" w:line="266" w:lineRule="exact"/>
        <w:rPr>
          <w:sz w:val="20"/>
          <w:szCs w:val="20"/>
          <w:color w:val="auto"/>
        </w:rPr>
      </w:pPr>
    </w:p>
    <w:p>
      <w:pPr>
        <w:jc w:val="both"/>
        <w:ind w:firstLine="1231"/>
        <w:spacing w:after="0" w:line="248" w:lineRule="auto"/>
        <w:rPr>
          <w:sz w:val="20"/>
          <w:szCs w:val="20"/>
          <w:color w:val="auto"/>
        </w:rPr>
      </w:pPr>
      <w:r>
        <w:rPr>
          <w:rFonts w:ascii="Arial" w:cs="Arial" w:eastAsia="Arial" w:hAnsi="Arial"/>
          <w:sz w:val="22"/>
          <w:szCs w:val="22"/>
          <w:color w:val="auto"/>
        </w:rPr>
        <w:t>The value of the Award subject to this Agreement shall not be included as compensation, earnings, salaries, or other similar terms used when calculating benefits under any employee benefit plan (other than the Plan) sponsored by the Company or any Affiliate except as such plan otherwise expressly provides or as is required by applicable law. The Company expressly reserves its rights to amend, modify, or terminate any or all of the employee benefit plans of the Company or any Affiliate, subject to applicable law.</w:t>
      </w:r>
    </w:p>
    <w:p>
      <w:pPr>
        <w:spacing w:after="0" w:line="213" w:lineRule="exact"/>
        <w:rPr>
          <w:sz w:val="20"/>
          <w:szCs w:val="20"/>
          <w:color w:val="auto"/>
        </w:rPr>
      </w:pPr>
    </w:p>
    <w:p>
      <w:pPr>
        <w:ind w:left="1240" w:hanging="648"/>
        <w:spacing w:after="0"/>
        <w:tabs>
          <w:tab w:leader="none" w:pos="1240" w:val="left"/>
        </w:tabs>
        <w:numPr>
          <w:ilvl w:val="0"/>
          <w:numId w:val="291"/>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ectPr>
          <w:pgSz w:w="11900" w:h="16838" w:orient="portrait"/>
          <w:cols w:equalWidth="0" w:num="1">
            <w:col w:w="10640"/>
          </w:cols>
          <w:pgMar w:left="800" w:top="1440" w:right="459" w:bottom="1440" w:gutter="0" w:footer="0" w:header="0"/>
        </w:sectPr>
      </w:pPr>
    </w:p>
    <w:bookmarkStart w:id="280" w:name="page281"/>
    <w:bookmarkEnd w:id="280"/>
    <w:p>
      <w:pPr>
        <w:jc w:val="both"/>
        <w:ind w:left="420" w:firstLine="1296"/>
        <w:spacing w:after="0" w:line="248" w:lineRule="auto"/>
        <w:rPr>
          <w:sz w:val="20"/>
          <w:szCs w:val="20"/>
          <w:color w:val="auto"/>
        </w:rPr>
      </w:pPr>
      <w:r>
        <w:rPr>
          <w:rFonts w:ascii="Arial" w:cs="Arial" w:eastAsia="Arial" w:hAnsi="Arial"/>
          <w:sz w:val="22"/>
          <w:szCs w:val="22"/>
          <w:color w:val="auto"/>
        </w:rPr>
        <w:t>If all or any part of this Agreement or the Plan is declared by any court or governmental authority to 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13" w:lineRule="exact"/>
        <w:rPr>
          <w:sz w:val="20"/>
          <w:szCs w:val="20"/>
          <w:color w:val="auto"/>
        </w:rPr>
      </w:pPr>
    </w:p>
    <w:p>
      <w:pPr>
        <w:ind w:left="1720" w:hanging="648"/>
        <w:spacing w:after="0"/>
        <w:tabs>
          <w:tab w:leader="none" w:pos="1720" w:val="left"/>
        </w:tabs>
        <w:numPr>
          <w:ilvl w:val="0"/>
          <w:numId w:val="292"/>
        </w:numPr>
        <w:rPr>
          <w:rFonts w:ascii="Arial" w:cs="Arial" w:eastAsia="Arial" w:hAnsi="Arial"/>
          <w:sz w:val="22"/>
          <w:szCs w:val="22"/>
          <w:b w:val="1"/>
          <w:bCs w:val="1"/>
          <w:color w:val="auto"/>
        </w:rPr>
      </w:pPr>
      <w:r>
        <w:rPr>
          <w:rFonts w:ascii="Arial" w:cs="Arial" w:eastAsia="Arial" w:hAnsi="Arial"/>
          <w:sz w:val="22"/>
          <w:szCs w:val="22"/>
          <w:b w:val="1"/>
          <w:bCs w:val="1"/>
          <w:color w:val="auto"/>
        </w:rPr>
        <w:t>OTHER DOCUMENTS.</w:t>
      </w:r>
    </w:p>
    <w:p>
      <w:pPr>
        <w:spacing w:after="0" w:line="266" w:lineRule="exact"/>
        <w:rPr>
          <w:sz w:val="20"/>
          <w:szCs w:val="20"/>
          <w:color w:val="auto"/>
        </w:rPr>
      </w:pPr>
    </w:p>
    <w:p>
      <w:pPr>
        <w:jc w:val="both"/>
        <w:ind w:left="420" w:firstLine="1296"/>
        <w:spacing w:after="0" w:line="253" w:lineRule="auto"/>
        <w:rPr>
          <w:sz w:val="20"/>
          <w:szCs w:val="20"/>
          <w:color w:val="auto"/>
        </w:rPr>
      </w:pPr>
      <w:r>
        <w:rPr>
          <w:rFonts w:ascii="Arial" w:cs="Arial" w:eastAsia="Arial" w:hAnsi="Arial"/>
          <w:sz w:val="22"/>
          <w:szCs w:val="22"/>
          <w:color w:val="auto"/>
        </w:rPr>
        <w:t>You hereby acknowledge receipt or the right to receive a document providing the information required by Rule 428(b)(1) promulgated under the Securities Act. In addition, you acknowledge receipt of the Company’s insider trading policy, in effect from time to time.</w:t>
      </w:r>
    </w:p>
    <w:p>
      <w:pPr>
        <w:spacing w:after="0" w:line="220" w:lineRule="exact"/>
        <w:rPr>
          <w:sz w:val="20"/>
          <w:szCs w:val="20"/>
          <w:color w:val="auto"/>
        </w:rPr>
      </w:pPr>
    </w:p>
    <w:p>
      <w:pPr>
        <w:ind w:left="1720" w:hanging="648"/>
        <w:spacing w:after="0"/>
        <w:tabs>
          <w:tab w:leader="none" w:pos="1720" w:val="left"/>
        </w:tabs>
        <w:numPr>
          <w:ilvl w:val="0"/>
          <w:numId w:val="29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253" w:lineRule="exact"/>
        <w:rPr>
          <w:sz w:val="20"/>
          <w:szCs w:val="20"/>
          <w:color w:val="auto"/>
        </w:rPr>
      </w:pPr>
    </w:p>
    <w:p>
      <w:pPr>
        <w:jc w:val="both"/>
        <w:ind w:left="420" w:firstLine="1296"/>
        <w:spacing w:after="0" w:line="294" w:lineRule="auto"/>
        <w:rPr>
          <w:sz w:val="20"/>
          <w:szCs w:val="20"/>
          <w:color w:val="auto"/>
        </w:rPr>
      </w:pPr>
      <w:r>
        <w:rPr>
          <w:rFonts w:ascii="Arial" w:cs="Arial" w:eastAsia="Arial" w:hAnsi="Arial"/>
          <w:sz w:val="19"/>
          <w:szCs w:val="19"/>
          <w:color w:val="auto"/>
        </w:rPr>
        <w:t>This Agreement may not be modified, amended or terminated except by an instrument in writing, signed by you and by a duly authorized representative of the Company, in accordance with the terms of the Plan. Without limiting the foregoing, the Company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84" w:lineRule="exact"/>
        <w:rPr>
          <w:sz w:val="20"/>
          <w:szCs w:val="20"/>
          <w:color w:val="auto"/>
        </w:rPr>
      </w:pPr>
    </w:p>
    <w:p>
      <w:pPr>
        <w:ind w:left="1720" w:hanging="648"/>
        <w:spacing w:after="0"/>
        <w:tabs>
          <w:tab w:leader="none" w:pos="1720" w:val="left"/>
        </w:tabs>
        <w:numPr>
          <w:ilvl w:val="0"/>
          <w:numId w:val="294"/>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SECTION 409A OF THE CODE.</w:t>
      </w:r>
    </w:p>
    <w:p>
      <w:pPr>
        <w:spacing w:after="0" w:line="253" w:lineRule="exact"/>
        <w:rPr>
          <w:sz w:val="20"/>
          <w:szCs w:val="20"/>
          <w:color w:val="auto"/>
        </w:rPr>
      </w:pPr>
    </w:p>
    <w:p>
      <w:pPr>
        <w:jc w:val="both"/>
        <w:ind w:left="420" w:firstLine="1296"/>
        <w:spacing w:after="0" w:line="291" w:lineRule="auto"/>
        <w:rPr>
          <w:sz w:val="20"/>
          <w:szCs w:val="20"/>
          <w:color w:val="auto"/>
        </w:rPr>
      </w:pPr>
      <w:r>
        <w:rPr>
          <w:rFonts w:ascii="Arial" w:cs="Arial" w:eastAsia="Arial" w:hAnsi="Arial"/>
          <w:sz w:val="19"/>
          <w:szCs w:val="19"/>
          <w:color w:val="auto"/>
        </w:rPr>
        <w:t>This Award is intended to be exempt from the application of Section 409A of the Code, including but not limited to by reason of complying with the “short-term deferral” rule set forth in Treasury Regulation Section 1.409A-1(b)</w:t>
      </w:r>
    </w:p>
    <w:p>
      <w:pPr>
        <w:spacing w:after="0" w:line="1" w:lineRule="exact"/>
        <w:rPr>
          <w:sz w:val="20"/>
          <w:szCs w:val="20"/>
          <w:color w:val="auto"/>
        </w:rPr>
      </w:pPr>
    </w:p>
    <w:p>
      <w:pPr>
        <w:jc w:val="both"/>
        <w:ind w:left="420" w:firstLine="5"/>
        <w:spacing w:after="0" w:line="281" w:lineRule="auto"/>
        <w:tabs>
          <w:tab w:leader="none" w:pos="737" w:val="left"/>
        </w:tabs>
        <w:numPr>
          <w:ilvl w:val="1"/>
          <w:numId w:val="295"/>
        </w:numPr>
        <w:rPr>
          <w:rFonts w:ascii="Arial" w:cs="Arial" w:eastAsia="Arial" w:hAnsi="Arial"/>
          <w:sz w:val="19"/>
          <w:szCs w:val="19"/>
          <w:color w:val="auto"/>
        </w:rPr>
      </w:pPr>
      <w:r>
        <w:rPr>
          <w:rFonts w:ascii="Arial" w:cs="Arial" w:eastAsia="Arial" w:hAnsi="Arial"/>
          <w:sz w:val="19"/>
          <w:szCs w:val="19"/>
          <w:color w:val="auto"/>
        </w:rPr>
        <w:t>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your Separation from Service or within the first six</w:t>
      </w:r>
    </w:p>
    <w:p>
      <w:pPr>
        <w:spacing w:after="0" w:line="5" w:lineRule="exact"/>
        <w:rPr>
          <w:rFonts w:ascii="Arial" w:cs="Arial" w:eastAsia="Arial" w:hAnsi="Arial"/>
          <w:sz w:val="19"/>
          <w:szCs w:val="19"/>
          <w:color w:val="auto"/>
        </w:rPr>
      </w:pPr>
    </w:p>
    <w:p>
      <w:pPr>
        <w:jc w:val="both"/>
        <w:ind w:left="420" w:firstLine="5"/>
        <w:spacing w:after="0" w:line="254" w:lineRule="auto"/>
        <w:tabs>
          <w:tab w:leader="none" w:pos="734" w:val="left"/>
        </w:tabs>
        <w:numPr>
          <w:ilvl w:val="1"/>
          <w:numId w:val="296"/>
        </w:numPr>
        <w:rPr>
          <w:rFonts w:ascii="Arial" w:cs="Arial" w:eastAsia="Arial" w:hAnsi="Arial"/>
          <w:sz w:val="21"/>
          <w:szCs w:val="21"/>
          <w:color w:val="auto"/>
        </w:rPr>
      </w:pPr>
      <w:r>
        <w:rPr>
          <w:rFonts w:ascii="Arial" w:cs="Arial" w:eastAsia="Arial" w:hAnsi="Arial"/>
          <w:sz w:val="21"/>
          <w:szCs w:val="21"/>
          <w:color w:val="auto"/>
        </w:rPr>
        <w:t>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 (2).</w:t>
      </w:r>
    </w:p>
    <w:p>
      <w:pPr>
        <w:spacing w:after="0" w:line="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 * * * *</w:t>
      </w:r>
    </w:p>
    <w:p>
      <w:pPr>
        <w:sectPr>
          <w:pgSz w:w="11900" w:h="16838" w:orient="portrait"/>
          <w:cols w:equalWidth="0" w:num="1">
            <w:col w:w="11120"/>
          </w:cols>
          <w:pgMar w:left="320" w:top="1360" w:right="459" w:bottom="1440" w:gutter="0" w:footer="0" w:header="0"/>
        </w:sectPr>
      </w:pPr>
    </w:p>
    <w:bookmarkStart w:id="281" w:name="page282"/>
    <w:bookmarkEnd w:id="281"/>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DECLARATION</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 have received and understand the attached award documentation and accept the award granted to me by the Company under the Plan on 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Signed: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Full Name: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840"/>
          </w:cols>
          <w:pgMar w:left="440" w:top="1440" w:right="61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JAZZ PHARMACEUTICALS PLC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Director Compensation Policy (this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cash compensation and equity grants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may be eligible to receive such cash compensation or equity grants, unless such Non-Employee Director declines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receipt of such cash compensation or equity grants by written notice to the Company. This Policy shall remain in effect until it is revised or rescinded by further action of the Board.</w:t>
      </w:r>
    </w:p>
    <w:p>
      <w:pPr>
        <w:spacing w:after="0" w:line="144" w:lineRule="exact"/>
        <w:rPr>
          <w:sz w:val="20"/>
          <w:szCs w:val="20"/>
          <w:color w:val="auto"/>
        </w:rPr>
      </w:pPr>
    </w:p>
    <w:p>
      <w:pPr>
        <w:ind w:left="200" w:hanging="192"/>
        <w:spacing w:after="0"/>
        <w:tabs>
          <w:tab w:leader="none" w:pos="20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620" w:firstLine="656"/>
        <w:spacing w:after="0" w:line="260" w:lineRule="auto"/>
        <w:tabs>
          <w:tab w:leader="none" w:pos="917" w:val="left"/>
        </w:tabs>
        <w:numPr>
          <w:ilvl w:val="1"/>
          <w:numId w:val="297"/>
        </w:numPr>
        <w:rPr>
          <w:rFonts w:ascii="Arial" w:cs="Arial" w:eastAsia="Arial" w:hAnsi="Arial"/>
          <w:sz w:val="20"/>
          <w:szCs w:val="20"/>
          <w:color w:val="auto"/>
        </w:rPr>
      </w:pPr>
      <w:r>
        <w:rPr>
          <w:rFonts w:ascii="Arial" w:cs="Arial" w:eastAsia="Arial" w:hAnsi="Arial"/>
          <w:sz w:val="20"/>
          <w:szCs w:val="20"/>
          <w:color w:val="auto"/>
        </w:rPr>
        <w:t>Subject to Section 1(b) and Section 3 below, each Non-Employee Director shall be eligible to receive an annual retainer of $60,000 for service on the Board. In addition, a Non-Employee Director serving as:</w:t>
      </w:r>
    </w:p>
    <w:p>
      <w:pPr>
        <w:spacing w:after="0" w:line="136" w:lineRule="exact"/>
        <w:rPr>
          <w:rFonts w:ascii="Arial" w:cs="Arial" w:eastAsia="Arial" w:hAnsi="Arial"/>
          <w:sz w:val="20"/>
          <w:szCs w:val="20"/>
          <w:color w:val="auto"/>
        </w:rPr>
      </w:pPr>
    </w:p>
    <w:p>
      <w:pPr>
        <w:ind w:left="1960" w:right="620" w:hanging="656"/>
        <w:spacing w:after="0" w:line="260" w:lineRule="auto"/>
        <w:tabs>
          <w:tab w:leader="none" w:pos="1548" w:val="left"/>
        </w:tabs>
        <w:numPr>
          <w:ilvl w:val="2"/>
          <w:numId w:val="297"/>
        </w:numPr>
        <w:rPr>
          <w:rFonts w:ascii="Arial" w:cs="Arial" w:eastAsia="Arial" w:hAnsi="Arial"/>
          <w:sz w:val="20"/>
          <w:szCs w:val="20"/>
          <w:color w:val="auto"/>
        </w:rPr>
      </w:pPr>
      <w:r>
        <w:rPr>
          <w:rFonts w:ascii="Arial" w:cs="Arial" w:eastAsia="Arial" w:hAnsi="Arial"/>
          <w:sz w:val="20"/>
          <w:szCs w:val="20"/>
          <w:color w:val="auto"/>
        </w:rPr>
        <w:t>lead independent director of the Board shall be eligible to receive an additional annual retainer of $50,000 for such service;</w:t>
      </w:r>
    </w:p>
    <w:p>
      <w:pPr>
        <w:spacing w:after="0" w:line="136" w:lineRule="exact"/>
        <w:rPr>
          <w:rFonts w:ascii="Arial" w:cs="Arial" w:eastAsia="Arial" w:hAnsi="Arial"/>
          <w:sz w:val="20"/>
          <w:szCs w:val="20"/>
          <w:color w:val="auto"/>
        </w:rPr>
      </w:pPr>
    </w:p>
    <w:p>
      <w:pPr>
        <w:ind w:left="1600" w:hanging="296"/>
        <w:spacing w:after="0"/>
        <w:tabs>
          <w:tab w:leader="none" w:pos="160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chairperson of the Audit Committee shall be eligible to receive an additional annual retainer of $25,000 for such service;</w:t>
      </w:r>
    </w:p>
    <w:p>
      <w:pPr>
        <w:spacing w:after="0" w:line="211" w:lineRule="exact"/>
        <w:rPr>
          <w:rFonts w:ascii="Arial" w:cs="Arial" w:eastAsia="Arial" w:hAnsi="Arial"/>
          <w:sz w:val="18"/>
          <w:szCs w:val="18"/>
          <w:color w:val="auto"/>
        </w:rPr>
      </w:pPr>
    </w:p>
    <w:p>
      <w:pPr>
        <w:ind w:left="1960" w:right="40" w:hanging="656"/>
        <w:spacing w:after="0" w:line="260" w:lineRule="auto"/>
        <w:tabs>
          <w:tab w:leader="none" w:pos="1658" w:val="left"/>
        </w:tabs>
        <w:numPr>
          <w:ilvl w:val="2"/>
          <w:numId w:val="297"/>
        </w:numPr>
        <w:rPr>
          <w:rFonts w:ascii="Arial" w:cs="Arial" w:eastAsia="Arial" w:hAnsi="Arial"/>
          <w:sz w:val="20"/>
          <w:szCs w:val="20"/>
          <w:color w:val="auto"/>
        </w:rPr>
      </w:pPr>
      <w:r>
        <w:rPr>
          <w:rFonts w:ascii="Arial" w:cs="Arial" w:eastAsia="Arial" w:hAnsi="Arial"/>
          <w:sz w:val="20"/>
          <w:szCs w:val="20"/>
          <w:color w:val="auto"/>
        </w:rPr>
        <w:t>members (other than the chairperson) of the Audit Committee shall be eligible to receive an additional annual retainer of $15,000 for such service;</w:t>
      </w:r>
    </w:p>
    <w:p>
      <w:pPr>
        <w:spacing w:after="0" w:line="136" w:lineRule="exact"/>
        <w:rPr>
          <w:rFonts w:ascii="Arial" w:cs="Arial" w:eastAsia="Arial" w:hAnsi="Arial"/>
          <w:sz w:val="20"/>
          <w:szCs w:val="20"/>
          <w:color w:val="auto"/>
        </w:rPr>
      </w:pPr>
    </w:p>
    <w:p>
      <w:pPr>
        <w:ind w:left="1960" w:right="240" w:hanging="656"/>
        <w:spacing w:after="0" w:line="260" w:lineRule="auto"/>
        <w:tabs>
          <w:tab w:leader="none" w:pos="1647" w:val="left"/>
        </w:tabs>
        <w:numPr>
          <w:ilvl w:val="2"/>
          <w:numId w:val="297"/>
        </w:numPr>
        <w:rPr>
          <w:rFonts w:ascii="Arial" w:cs="Arial" w:eastAsia="Arial" w:hAnsi="Arial"/>
          <w:sz w:val="20"/>
          <w:szCs w:val="20"/>
          <w:color w:val="auto"/>
        </w:rPr>
      </w:pPr>
      <w:r>
        <w:rPr>
          <w:rFonts w:ascii="Arial" w:cs="Arial" w:eastAsia="Arial" w:hAnsi="Arial"/>
          <w:sz w:val="20"/>
          <w:szCs w:val="20"/>
          <w:color w:val="auto"/>
        </w:rPr>
        <w:t>chairperson of the Compensation &amp; Management Development Committee (the “</w:t>
      </w:r>
      <w:r>
        <w:rPr>
          <w:rFonts w:ascii="Arial" w:cs="Arial" w:eastAsia="Arial" w:hAnsi="Arial"/>
          <w:sz w:val="20"/>
          <w:szCs w:val="20"/>
          <w:b w:val="1"/>
          <w:bCs w:val="1"/>
          <w:i w:val="1"/>
          <w:iCs w:val="1"/>
          <w:color w:val="auto"/>
        </w:rPr>
        <w:t>Compensation Committee</w:t>
      </w:r>
      <w:r>
        <w:rPr>
          <w:rFonts w:ascii="Arial" w:cs="Arial" w:eastAsia="Arial" w:hAnsi="Arial"/>
          <w:sz w:val="20"/>
          <w:szCs w:val="20"/>
          <w:color w:val="auto"/>
        </w:rPr>
        <w:t>”) shall be eligible to receive an additional annual retainer of $22,500 for such service;</w:t>
      </w:r>
    </w:p>
    <w:p>
      <w:pPr>
        <w:spacing w:after="0" w:line="136" w:lineRule="exact"/>
        <w:rPr>
          <w:rFonts w:ascii="Arial" w:cs="Arial" w:eastAsia="Arial" w:hAnsi="Arial"/>
          <w:sz w:val="20"/>
          <w:szCs w:val="20"/>
          <w:color w:val="auto"/>
        </w:rPr>
      </w:pPr>
    </w:p>
    <w:p>
      <w:pPr>
        <w:ind w:left="1960" w:right="280" w:hanging="656"/>
        <w:spacing w:after="0" w:line="260" w:lineRule="auto"/>
        <w:tabs>
          <w:tab w:leader="none" w:pos="1592" w:val="left"/>
        </w:tabs>
        <w:numPr>
          <w:ilvl w:val="2"/>
          <w:numId w:val="297"/>
        </w:numPr>
        <w:rPr>
          <w:rFonts w:ascii="Arial" w:cs="Arial" w:eastAsia="Arial" w:hAnsi="Arial"/>
          <w:sz w:val="20"/>
          <w:szCs w:val="20"/>
          <w:color w:val="auto"/>
        </w:rPr>
      </w:pPr>
      <w:r>
        <w:rPr>
          <w:rFonts w:ascii="Arial" w:cs="Arial" w:eastAsia="Arial" w:hAnsi="Arial"/>
          <w:sz w:val="20"/>
          <w:szCs w:val="20"/>
          <w:color w:val="auto"/>
        </w:rPr>
        <w:t>members (other than the chairperson) of the Compensation Committee shall be eligible to receive an additional annual retainer of $12,500 for such service;</w:t>
      </w:r>
    </w:p>
    <w:p>
      <w:pPr>
        <w:spacing w:after="0" w:line="149" w:lineRule="exact"/>
        <w:rPr>
          <w:rFonts w:ascii="Arial" w:cs="Arial" w:eastAsia="Arial" w:hAnsi="Arial"/>
          <w:sz w:val="20"/>
          <w:szCs w:val="20"/>
          <w:color w:val="auto"/>
        </w:rPr>
      </w:pPr>
    </w:p>
    <w:p>
      <w:pPr>
        <w:ind w:left="1960" w:right="280" w:hanging="656"/>
        <w:spacing w:after="0" w:line="260" w:lineRule="auto"/>
        <w:tabs>
          <w:tab w:leader="none" w:pos="1647" w:val="left"/>
        </w:tabs>
        <w:numPr>
          <w:ilvl w:val="2"/>
          <w:numId w:val="297"/>
        </w:numPr>
        <w:rPr>
          <w:rFonts w:ascii="Arial" w:cs="Arial" w:eastAsia="Arial" w:hAnsi="Arial"/>
          <w:sz w:val="20"/>
          <w:szCs w:val="20"/>
          <w:color w:val="auto"/>
        </w:rPr>
      </w:pPr>
      <w:r>
        <w:rPr>
          <w:rFonts w:ascii="Arial" w:cs="Arial" w:eastAsia="Arial" w:hAnsi="Arial"/>
          <w:sz w:val="20"/>
          <w:szCs w:val="20"/>
          <w:color w:val="auto"/>
        </w:rPr>
        <w:t>chairperson of the Nominating and Corporate Governance Committee shall be eligible to receive an additional annual retainer of $20,000 for such service;</w:t>
      </w:r>
    </w:p>
    <w:p>
      <w:pPr>
        <w:spacing w:after="0" w:line="136" w:lineRule="exact"/>
        <w:rPr>
          <w:rFonts w:ascii="Arial" w:cs="Arial" w:eastAsia="Arial" w:hAnsi="Arial"/>
          <w:sz w:val="20"/>
          <w:szCs w:val="20"/>
          <w:color w:val="auto"/>
        </w:rPr>
      </w:pPr>
    </w:p>
    <w:p>
      <w:pPr>
        <w:ind w:left="1960" w:right="460" w:hanging="656"/>
        <w:spacing w:after="0" w:line="260" w:lineRule="auto"/>
        <w:tabs>
          <w:tab w:leader="none" w:pos="1702" w:val="left"/>
        </w:tabs>
        <w:numPr>
          <w:ilvl w:val="2"/>
          <w:numId w:val="297"/>
        </w:numPr>
        <w:rPr>
          <w:rFonts w:ascii="Arial" w:cs="Arial" w:eastAsia="Arial" w:hAnsi="Arial"/>
          <w:sz w:val="20"/>
          <w:szCs w:val="20"/>
          <w:color w:val="auto"/>
        </w:rPr>
      </w:pPr>
      <w:r>
        <w:rPr>
          <w:rFonts w:ascii="Arial" w:cs="Arial" w:eastAsia="Arial" w:hAnsi="Arial"/>
          <w:sz w:val="20"/>
          <w:szCs w:val="20"/>
          <w:color w:val="auto"/>
        </w:rPr>
        <w:t>members (other than the chairperson) of the Nominating and Corporate Governance Committee shall be eligible to receive an additional annual retainer of $10,000 for such service;</w:t>
      </w:r>
    </w:p>
    <w:p>
      <w:pPr>
        <w:spacing w:after="0" w:line="136" w:lineRule="exact"/>
        <w:rPr>
          <w:rFonts w:ascii="Arial" w:cs="Arial" w:eastAsia="Arial" w:hAnsi="Arial"/>
          <w:sz w:val="20"/>
          <w:szCs w:val="20"/>
          <w:color w:val="auto"/>
        </w:rPr>
      </w:pPr>
    </w:p>
    <w:p>
      <w:pPr>
        <w:ind w:left="1960" w:right="120" w:hanging="656"/>
        <w:spacing w:after="0" w:line="260" w:lineRule="auto"/>
        <w:tabs>
          <w:tab w:leader="none" w:pos="1757" w:val="left"/>
        </w:tabs>
        <w:numPr>
          <w:ilvl w:val="2"/>
          <w:numId w:val="297"/>
        </w:numPr>
        <w:rPr>
          <w:rFonts w:ascii="Arial" w:cs="Arial" w:eastAsia="Arial" w:hAnsi="Arial"/>
          <w:sz w:val="20"/>
          <w:szCs w:val="20"/>
          <w:color w:val="auto"/>
        </w:rPr>
      </w:pPr>
      <w:r>
        <w:rPr>
          <w:rFonts w:ascii="Arial" w:cs="Arial" w:eastAsia="Arial" w:hAnsi="Arial"/>
          <w:sz w:val="20"/>
          <w:szCs w:val="20"/>
          <w:color w:val="auto"/>
        </w:rPr>
        <w:t>chairperson of the Transaction Committee shall be eligible to receive an additional annual retainer of $22,500 for such service; and</w:t>
      </w:r>
    </w:p>
    <w:p>
      <w:pPr>
        <w:spacing w:after="0" w:line="149" w:lineRule="exact"/>
        <w:rPr>
          <w:rFonts w:ascii="Arial" w:cs="Arial" w:eastAsia="Arial" w:hAnsi="Arial"/>
          <w:sz w:val="20"/>
          <w:szCs w:val="20"/>
          <w:color w:val="auto"/>
        </w:rPr>
      </w:pPr>
    </w:p>
    <w:p>
      <w:pPr>
        <w:ind w:left="1960" w:right="440" w:hanging="656"/>
        <w:spacing w:after="0" w:line="260" w:lineRule="auto"/>
        <w:tabs>
          <w:tab w:leader="none" w:pos="1647" w:val="left"/>
        </w:tabs>
        <w:numPr>
          <w:ilvl w:val="2"/>
          <w:numId w:val="297"/>
        </w:numPr>
        <w:rPr>
          <w:rFonts w:ascii="Arial" w:cs="Arial" w:eastAsia="Arial" w:hAnsi="Arial"/>
          <w:sz w:val="20"/>
          <w:szCs w:val="20"/>
          <w:color w:val="auto"/>
        </w:rPr>
      </w:pPr>
      <w:r>
        <w:rPr>
          <w:rFonts w:ascii="Arial" w:cs="Arial" w:eastAsia="Arial" w:hAnsi="Arial"/>
          <w:sz w:val="20"/>
          <w:szCs w:val="20"/>
          <w:color w:val="auto"/>
        </w:rPr>
        <w:t>members (other than the chairperson) of the Transaction Committee shall be eligible to receive an additional annual retainer of $12,500 for such service.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annual retainers shall be paid in four equal quarterly installments, earned upon the completion of service in each calendar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quarter.</w:t>
      </w:r>
    </w:p>
    <w:p>
      <w:pPr>
        <w:sectPr>
          <w:pgSz w:w="11900" w:h="16838" w:orient="portrait"/>
          <w:cols w:equalWidth="0" w:num="1">
            <w:col w:w="11240"/>
          </w:cols>
          <w:pgMar w:left="320" w:top="121" w:right="339" w:bottom="1440" w:gutter="0" w:footer="0" w:header="0"/>
        </w:sectPr>
      </w:pPr>
    </w:p>
    <w:bookmarkStart w:id="283" w:name="page284"/>
    <w:bookmarkEnd w:id="283"/>
    <w:p>
      <w:pPr>
        <w:ind w:left="-8" w:firstLine="656"/>
        <w:spacing w:after="0" w:line="321" w:lineRule="auto"/>
        <w:tabs>
          <w:tab w:leader="none" w:pos="92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Each person who is elected or appointed to be a Non-Employee Director or who is appointed to serve as lead independent director or a member or chairperson of one of the Committees described above, in each case other than on the first calendar day of a calendar quarter, shall be eligible to receive a pro rata amount of the annual retainers described above with respect to the calendar quarter in which such person becomes a Non-Employee Director, lead independent director or a member or chairperson of one of the Committees, as applicable, which pro rata amount reflects a reduction for each calendar day during the calendar quarter prior to the date of such election or appointment.</w:t>
      </w:r>
    </w:p>
    <w:p>
      <w:pPr>
        <w:spacing w:after="0" w:line="92" w:lineRule="exact"/>
        <w:rPr>
          <w:rFonts w:ascii="Arial" w:cs="Arial" w:eastAsia="Arial" w:hAnsi="Arial"/>
          <w:sz w:val="16"/>
          <w:szCs w:val="16"/>
          <w:color w:val="auto"/>
        </w:rPr>
      </w:pPr>
    </w:p>
    <w:p>
      <w:pPr>
        <w:ind w:left="-8" w:right="220" w:firstLine="656"/>
        <w:spacing w:after="0" w:line="243" w:lineRule="auto"/>
        <w:tabs>
          <w:tab w:leader="none" w:pos="909" w:val="left"/>
        </w:tabs>
        <w:numPr>
          <w:ilvl w:val="1"/>
          <w:numId w:val="298"/>
        </w:numPr>
        <w:rPr>
          <w:rFonts w:ascii="Arial" w:cs="Arial" w:eastAsia="Arial" w:hAnsi="Arial"/>
          <w:sz w:val="20"/>
          <w:szCs w:val="20"/>
          <w:color w:val="auto"/>
        </w:rPr>
      </w:pPr>
      <w:r>
        <w:rPr>
          <w:rFonts w:ascii="Arial" w:cs="Arial" w:eastAsia="Arial" w:hAnsi="Arial"/>
          <w:sz w:val="20"/>
          <w:szCs w:val="20"/>
          <w:color w:val="auto"/>
        </w:rPr>
        <w:t>Each Non-Employee Director will be entitled to reimbursement from the Company for his or her reasonable travel (including airfare and ground transportation), lodging and meal expenses incidental to meetings of the Board or committees thereof. If any reimbursement payment is subject to tax imposed by the Irish Revenue Commissioners (“</w:t>
      </w:r>
      <w:r>
        <w:rPr>
          <w:rFonts w:ascii="Arial" w:cs="Arial" w:eastAsia="Arial" w:hAnsi="Arial"/>
          <w:sz w:val="20"/>
          <w:szCs w:val="20"/>
          <w:b w:val="1"/>
          <w:bCs w:val="1"/>
          <w:i w:val="1"/>
          <w:iCs w:val="1"/>
          <w:color w:val="auto"/>
        </w:rPr>
        <w:t>Revenue</w:t>
      </w:r>
      <w:r>
        <w:rPr>
          <w:rFonts w:ascii="Arial" w:cs="Arial" w:eastAsia="Arial" w:hAnsi="Arial"/>
          <w:sz w:val="20"/>
          <w:szCs w:val="20"/>
          <w:color w:val="auto"/>
        </w:rPr>
        <w:t>”), each Non-Employee Director will be entitled to a payment, up to an amount (“</w:t>
      </w:r>
      <w:r>
        <w:rPr>
          <w:rFonts w:ascii="Arial" w:cs="Arial" w:eastAsia="Arial" w:hAnsi="Arial"/>
          <w:sz w:val="20"/>
          <w:szCs w:val="20"/>
          <w:b w:val="1"/>
          <w:bCs w:val="1"/>
          <w:i w:val="1"/>
          <w:iCs w:val="1"/>
          <w:color w:val="auto"/>
        </w:rPr>
        <w:t>Tax Reimbursement Payment</w:t>
      </w:r>
      <w:r>
        <w:rPr>
          <w:rFonts w:ascii="Arial" w:cs="Arial" w:eastAsia="Arial" w:hAnsi="Arial"/>
          <w:sz w:val="20"/>
          <w:szCs w:val="20"/>
          <w:color w:val="auto"/>
        </w:rPr>
        <w:t>”) such that after the deduction of all taxes (including, without limitation, any income taxes calculated at the rate applicable to each Non-Employee Director for the year in which the expenses were incurred) on the Tax Reimbursement Payment, the Non-Employee Director will retain an amount equal to the full reimbursement payment. All taxes due will be paid by the Company to Revenue.</w:t>
      </w:r>
    </w:p>
    <w:p>
      <w:pPr>
        <w:spacing w:after="0" w:line="165" w:lineRule="exact"/>
        <w:rPr>
          <w:rFonts w:ascii="Arial" w:cs="Arial" w:eastAsia="Arial" w:hAnsi="Arial"/>
          <w:sz w:val="20"/>
          <w:szCs w:val="20"/>
          <w:color w:val="auto"/>
        </w:rPr>
      </w:pPr>
    </w:p>
    <w:p>
      <w:pPr>
        <w:ind w:left="-8" w:right="220" w:firstLine="8"/>
        <w:spacing w:after="0" w:line="316" w:lineRule="auto"/>
        <w:tabs>
          <w:tab w:leader="none" w:pos="19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The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awards described below shall be granted under and shall be subject to the terms and provisions of the Company’s Amended and Restated 2007 Non-Employee Directors Stock Award Plan (the “</w:t>
      </w:r>
      <w:r>
        <w:rPr>
          <w:rFonts w:ascii="Arial" w:cs="Arial" w:eastAsia="Arial" w:hAnsi="Arial"/>
          <w:sz w:val="18"/>
          <w:szCs w:val="18"/>
          <w:b w:val="1"/>
          <w:bCs w:val="1"/>
          <w:i w:val="1"/>
          <w:iCs w:val="1"/>
          <w:color w:val="auto"/>
        </w:rPr>
        <w:t>NEDSAP</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8" w:right="220" w:firstLine="656"/>
        <w:spacing w:after="0" w:line="276" w:lineRule="auto"/>
        <w:tabs>
          <w:tab w:leader="none" w:pos="909"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Subject to Section 3 below, beginning with the annual general meeting of the Company’s shareholders (an “</w:t>
      </w:r>
      <w:r>
        <w:rPr>
          <w:rFonts w:ascii="Arial" w:cs="Arial" w:eastAsia="Arial" w:hAnsi="Arial"/>
          <w:sz w:val="18"/>
          <w:szCs w:val="18"/>
          <w:b w:val="1"/>
          <w:bCs w:val="1"/>
          <w:i w:val="1"/>
          <w:iCs w:val="1"/>
          <w:color w:val="auto"/>
        </w:rPr>
        <w:t>AGM</w:t>
      </w:r>
      <w:r>
        <w:rPr>
          <w:rFonts w:ascii="Arial" w:cs="Arial" w:eastAsia="Arial" w:hAnsi="Arial"/>
          <w:sz w:val="18"/>
          <w:szCs w:val="18"/>
          <w:color w:val="auto"/>
        </w:rPr>
        <w:t>”) held in 2021, each person who is a Non-Employee Director at an AGM and who continues as a Non-Employee Director following such meeting automatically shall be granted an RSU award (an “</w:t>
      </w:r>
      <w:r>
        <w:rPr>
          <w:rFonts w:ascii="Arial" w:cs="Arial" w:eastAsia="Arial" w:hAnsi="Arial"/>
          <w:sz w:val="18"/>
          <w:szCs w:val="18"/>
          <w:b w:val="1"/>
          <w:bCs w:val="1"/>
          <w:i w:val="1"/>
          <w:iCs w:val="1"/>
          <w:color w:val="auto"/>
        </w:rPr>
        <w:t>Annual Grant</w:t>
      </w:r>
      <w:r>
        <w:rPr>
          <w:rFonts w:ascii="Arial" w:cs="Arial" w:eastAsia="Arial" w:hAnsi="Arial"/>
          <w:sz w:val="18"/>
          <w:szCs w:val="18"/>
          <w:color w:val="auto"/>
        </w:rPr>
        <w:t>”) on the grant date set forth in Section 2(b) below. In addition, subject to Section 3 below, each person who is elected or appointed to be a Non-Employee Director for the first time other than at an AGM and after the AGM held in 2021, automatically shall be granted a prorated RSU award (a “</w:t>
      </w:r>
      <w:r>
        <w:rPr>
          <w:rFonts w:ascii="Arial" w:cs="Arial" w:eastAsia="Arial" w:hAnsi="Arial"/>
          <w:sz w:val="18"/>
          <w:szCs w:val="18"/>
          <w:b w:val="1"/>
          <w:bCs w:val="1"/>
          <w:i w:val="1"/>
          <w:iCs w:val="1"/>
          <w:color w:val="auto"/>
        </w:rPr>
        <w:t>Prorated Annual Grant</w:t>
      </w:r>
      <w:r>
        <w:rPr>
          <w:rFonts w:ascii="Arial" w:cs="Arial" w:eastAsia="Arial" w:hAnsi="Arial"/>
          <w:sz w:val="18"/>
          <w:szCs w:val="18"/>
          <w:color w:val="auto"/>
        </w:rPr>
        <w:t>”) on the grant date set forth in Section 2(b) below, provided that such person is a Non-Employee Director on such grant date.</w:t>
      </w:r>
    </w:p>
    <w:p>
      <w:pPr>
        <w:spacing w:after="0" w:line="124" w:lineRule="exact"/>
        <w:rPr>
          <w:rFonts w:ascii="Arial" w:cs="Arial" w:eastAsia="Arial" w:hAnsi="Arial"/>
          <w:sz w:val="18"/>
          <w:szCs w:val="18"/>
          <w:color w:val="auto"/>
        </w:rPr>
      </w:pPr>
    </w:p>
    <w:p>
      <w:pPr>
        <w:ind w:left="-8" w:right="400" w:firstLine="656"/>
        <w:spacing w:after="0" w:line="342" w:lineRule="auto"/>
        <w:tabs>
          <w:tab w:leader="none" w:pos="920" w:val="left"/>
        </w:tabs>
        <w:numPr>
          <w:ilvl w:val="1"/>
          <w:numId w:val="299"/>
        </w:numPr>
        <w:rPr>
          <w:rFonts w:ascii="Arial" w:cs="Arial" w:eastAsia="Arial" w:hAnsi="Arial"/>
          <w:sz w:val="16"/>
          <w:szCs w:val="16"/>
          <w:color w:val="auto"/>
        </w:rPr>
      </w:pPr>
      <w:r>
        <w:rPr>
          <w:rFonts w:ascii="Arial" w:cs="Arial" w:eastAsia="Arial" w:hAnsi="Arial"/>
          <w:sz w:val="16"/>
          <w:szCs w:val="16"/>
          <w:u w:val="single" w:color="auto"/>
          <w:color w:val="auto"/>
        </w:rPr>
        <w:t>Grant Date</w:t>
      </w:r>
      <w:r>
        <w:rPr>
          <w:rFonts w:ascii="Arial" w:cs="Arial" w:eastAsia="Arial" w:hAnsi="Arial"/>
          <w:sz w:val="16"/>
          <w:szCs w:val="16"/>
          <w:color w:val="auto"/>
        </w:rPr>
        <w:t>. The grant date of each Annual Grant shall be the day of the applicable AGM, and the grant date of each Prorated Annual Grant shall be the second trading day following the filing date of the Company’s next quarterly or annual report filed under the Securities Exchange Act of 1934, as amended, that occurs after the date of the Non-Employee Director’s initial election or appointment.</w:t>
      </w:r>
    </w:p>
    <w:p>
      <w:pPr>
        <w:spacing w:after="0" w:line="90" w:lineRule="exact"/>
        <w:rPr>
          <w:rFonts w:ascii="Arial" w:cs="Arial" w:eastAsia="Arial" w:hAnsi="Arial"/>
          <w:sz w:val="16"/>
          <w:szCs w:val="16"/>
          <w:color w:val="auto"/>
        </w:rPr>
      </w:pPr>
    </w:p>
    <w:p>
      <w:pPr>
        <w:ind w:left="-8" w:right="120" w:firstLine="656"/>
        <w:spacing w:after="0" w:line="282" w:lineRule="auto"/>
        <w:tabs>
          <w:tab w:leader="none" w:pos="909"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Grant Date Value</w:t>
      </w:r>
      <w:r>
        <w:rPr>
          <w:rFonts w:ascii="Arial" w:cs="Arial" w:eastAsia="Arial" w:hAnsi="Arial"/>
          <w:sz w:val="18"/>
          <w:szCs w:val="18"/>
          <w:color w:val="auto"/>
        </w:rPr>
        <w:t>. The grant date value of each Annual Grant shall be equal to approximately $400,000. The grant date value of each Prorated Annual Grant shall be prorated to reflect the shortened period of service (by multiplying $400,000 by the quotient (rounded to the nearest hundredth) obtained by dividing the number of calendar days from and including the date of the Non-Employee Director’s initial election or appointment to and including the date that is the first anniversary of the prior AGM by 365).</w:t>
      </w:r>
    </w:p>
    <w:p>
      <w:pPr>
        <w:spacing w:after="0" w:line="120" w:lineRule="exact"/>
        <w:rPr>
          <w:rFonts w:ascii="Arial" w:cs="Arial" w:eastAsia="Arial" w:hAnsi="Arial"/>
          <w:sz w:val="18"/>
          <w:szCs w:val="18"/>
          <w:color w:val="auto"/>
        </w:rPr>
      </w:pPr>
    </w:p>
    <w:p>
      <w:pPr>
        <w:ind w:left="-8" w:right="60" w:firstLine="656"/>
        <w:spacing w:after="0" w:line="246" w:lineRule="auto"/>
        <w:tabs>
          <w:tab w:leader="none" w:pos="920" w:val="left"/>
        </w:tabs>
        <w:numPr>
          <w:ilvl w:val="1"/>
          <w:numId w:val="299"/>
        </w:numPr>
        <w:rPr>
          <w:rFonts w:ascii="Arial" w:cs="Arial" w:eastAsia="Arial" w:hAnsi="Arial"/>
          <w:sz w:val="20"/>
          <w:szCs w:val="20"/>
          <w:color w:val="auto"/>
        </w:rPr>
      </w:pPr>
      <w:r>
        <w:rPr>
          <w:rFonts w:ascii="Arial" w:cs="Arial" w:eastAsia="Arial" w:hAnsi="Arial"/>
          <w:sz w:val="20"/>
          <w:szCs w:val="20"/>
          <w:u w:val="single" w:color="auto"/>
          <w:color w:val="auto"/>
        </w:rPr>
        <w:t>Number of Ordinary Shares</w:t>
      </w:r>
      <w:r>
        <w:rPr>
          <w:rFonts w:ascii="Arial" w:cs="Arial" w:eastAsia="Arial" w:hAnsi="Arial"/>
          <w:sz w:val="20"/>
          <w:szCs w:val="20"/>
          <w:color w:val="auto"/>
        </w:rPr>
        <w:t>. The number of ordinary shares of the Company (“</w:t>
      </w:r>
      <w:r>
        <w:rPr>
          <w:rFonts w:ascii="Arial" w:cs="Arial" w:eastAsia="Arial" w:hAnsi="Arial"/>
          <w:sz w:val="20"/>
          <w:szCs w:val="20"/>
          <w:b w:val="1"/>
          <w:bCs w:val="1"/>
          <w:i w:val="1"/>
          <w:iCs w:val="1"/>
          <w:color w:val="auto"/>
        </w:rPr>
        <w:t>Ordinary Shares</w:t>
      </w:r>
      <w:r>
        <w:rPr>
          <w:rFonts w:ascii="Arial" w:cs="Arial" w:eastAsia="Arial" w:hAnsi="Arial"/>
          <w:sz w:val="20"/>
          <w:szCs w:val="20"/>
          <w:color w:val="auto"/>
        </w:rPr>
        <w:t>”) subject to each Annual Grant and Prorated Annual Grant shall be determined by dividing the grant date value, in each case as set forth in Section 2(c) above, by the average of the daily closing prices per share of the Ordinary Shares during the 30 calendar day period ending on and including the grant date, rounded to the nearest share by application of regular rounding.</w:t>
      </w:r>
    </w:p>
    <w:p>
      <w:pPr>
        <w:spacing w:after="0" w:line="150" w:lineRule="exact"/>
        <w:rPr>
          <w:rFonts w:ascii="Arial" w:cs="Arial" w:eastAsia="Arial" w:hAnsi="Arial"/>
          <w:sz w:val="20"/>
          <w:szCs w:val="20"/>
          <w:color w:val="auto"/>
        </w:rPr>
      </w:pPr>
    </w:p>
    <w:p>
      <w:pPr>
        <w:jc w:val="both"/>
        <w:ind w:left="-8" w:right="20" w:firstLine="656"/>
        <w:spacing w:after="0" w:line="250" w:lineRule="auto"/>
        <w:tabs>
          <w:tab w:leader="none" w:pos="909" w:val="left"/>
        </w:tabs>
        <w:numPr>
          <w:ilvl w:val="1"/>
          <w:numId w:val="299"/>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Each Annual Grant granted to a Non-Employee Director shall vest in full on the first anniversary of the AGM in the year of grant and each Prorated Annual Grant granted to a Non-Employee Director shall vest in full on the first anniversary of the AGM held prior to the Non-Employee Director’s</w:t>
      </w:r>
    </w:p>
    <w:p>
      <w:pPr>
        <w:sectPr>
          <w:pgSz w:w="11900" w:h="16838" w:orient="portrait"/>
          <w:cols w:equalWidth="0" w:num="1">
            <w:col w:w="11232"/>
          </w:cols>
          <w:pgMar w:left="328" w:top="1419" w:right="3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initial election or appointment, in each case subject to the Non-Employee Director’s Continuous Service (as defined in the NEDSAP) through</w:t>
      </w:r>
    </w:p>
    <w:p>
      <w:pPr>
        <w:spacing w:after="0" w:line="50" w:lineRule="exact"/>
        <w:rPr>
          <w:sz w:val="20"/>
          <w:szCs w:val="20"/>
          <w:color w:val="auto"/>
        </w:rPr>
      </w:pPr>
    </w:p>
    <w:p>
      <w:pPr>
        <w:ind w:right="160"/>
        <w:spacing w:after="0" w:line="281" w:lineRule="auto"/>
        <w:rPr>
          <w:sz w:val="20"/>
          <w:szCs w:val="20"/>
          <w:color w:val="auto"/>
        </w:rPr>
      </w:pPr>
      <w:r>
        <w:rPr>
          <w:rFonts w:ascii="Arial" w:cs="Arial" w:eastAsia="Arial" w:hAnsi="Arial"/>
          <w:sz w:val="18"/>
          <w:szCs w:val="18"/>
          <w:color w:val="auto"/>
        </w:rPr>
        <w:t>such vesting date. Notwithstanding the foregoing, if a Non-Employee Director does not stand for reelection at an AGM in the year in which his or her term expires or otherwise resigns effective at an AGM and, in either case, the Non-Employee Director’s Continuous Service</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terminates at such AGM, then effective as of the date of such AGM, the unvested portion, if any, of such Non-Employee Director’s Annual Grant or Prorated Annual Grant shall become vested in full.</w:t>
      </w:r>
    </w:p>
    <w:p>
      <w:pPr>
        <w:spacing w:after="0" w:line="136" w:lineRule="exact"/>
        <w:rPr>
          <w:sz w:val="20"/>
          <w:szCs w:val="20"/>
          <w:color w:val="auto"/>
        </w:rPr>
      </w:pPr>
    </w:p>
    <w:p>
      <w:pPr>
        <w:ind w:right="200" w:firstLine="656"/>
        <w:spacing w:after="0" w:line="269" w:lineRule="auto"/>
        <w:tabs>
          <w:tab w:leader="none" w:pos="895" w:val="left"/>
        </w:tabs>
        <w:numPr>
          <w:ilvl w:val="1"/>
          <w:numId w:val="30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Terms and Conditions</w:t>
      </w:r>
      <w:r>
        <w:rPr>
          <w:rFonts w:ascii="Arial" w:cs="Arial" w:eastAsia="Arial" w:hAnsi="Arial"/>
          <w:sz w:val="19"/>
          <w:szCs w:val="19"/>
          <w:color w:val="auto"/>
        </w:rPr>
        <w:t>. The terms and conditions applicable to each Annual Grant and Prorated Annual Grant granted to Non-Employee Directors pursuant to this Policy shall be subject to the terms and conditions in the forms of RSU notice of grant and RSU award agreement previously approved by the Board or the Compensation Committee, as applicable, and the NEDSAP.</w:t>
      </w:r>
    </w:p>
    <w:p>
      <w:pPr>
        <w:spacing w:after="0" w:line="142" w:lineRule="exact"/>
        <w:rPr>
          <w:rFonts w:ascii="Arial" w:cs="Arial" w:eastAsia="Arial" w:hAnsi="Arial"/>
          <w:sz w:val="19"/>
          <w:szCs w:val="19"/>
          <w:u w:val="single" w:color="auto"/>
          <w:color w:val="auto"/>
        </w:rPr>
      </w:pPr>
    </w:p>
    <w:p>
      <w:pPr>
        <w:ind w:right="140" w:firstLine="8"/>
        <w:spacing w:after="0" w:line="276" w:lineRule="auto"/>
        <w:tabs>
          <w:tab w:leader="none" w:pos="198"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Limit</w:t>
      </w:r>
      <w:r>
        <w:rPr>
          <w:rFonts w:ascii="Arial" w:cs="Arial" w:eastAsia="Arial" w:hAnsi="Arial"/>
          <w:sz w:val="18"/>
          <w:szCs w:val="18"/>
          <w:color w:val="auto"/>
        </w:rPr>
        <w:t>. The aggregate value of all compensation granted or paid, as applicable, by the Company to any individual for service as a Non-Employee Director with respect to any period commencing on the date of the AGM for a particular year and ending on the calendar day immediately prior to the date of the AGM for the subsequent year (the “</w:t>
      </w:r>
      <w:r>
        <w:rPr>
          <w:rFonts w:ascii="Arial" w:cs="Arial" w:eastAsia="Arial" w:hAnsi="Arial"/>
          <w:sz w:val="18"/>
          <w:szCs w:val="18"/>
          <w:b w:val="1"/>
          <w:bCs w:val="1"/>
          <w:i w:val="1"/>
          <w:iCs w:val="1"/>
          <w:color w:val="auto"/>
        </w:rPr>
        <w:t>Annual Period</w:t>
      </w:r>
      <w:r>
        <w:rPr>
          <w:rFonts w:ascii="Arial" w:cs="Arial" w:eastAsia="Arial" w:hAnsi="Arial"/>
          <w:sz w:val="18"/>
          <w:szCs w:val="18"/>
          <w:color w:val="auto"/>
        </w:rPr>
        <w:t>”), including equity awards granted and cash fees paid by the Company to such Non-Employee Director, will not exceed (i) $750,000 in total value or (ii) in the event such Non-Employee Director is first appointed or elected to the Board during such Annual Period, $1,350,000 in total value, in each case calculating the value of any equity awards based on the grant date fair value of such equity awards for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380"/>
        <w:spacing w:after="0"/>
        <w:rPr>
          <w:sz w:val="20"/>
          <w:szCs w:val="20"/>
          <w:color w:val="auto"/>
        </w:rPr>
      </w:pPr>
      <w:r>
        <w:rPr>
          <w:rFonts w:ascii="Arial" w:cs="Arial" w:eastAsia="Arial" w:hAnsi="Arial"/>
          <w:sz w:val="20"/>
          <w:szCs w:val="20"/>
          <w:b w:val="1"/>
          <w:bCs w:val="1"/>
          <w:i w:val="1"/>
          <w:i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Adopted by the Board of Directors of Jazz Pharmaceuticals plc on 2 May 2013.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1 August 2013.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1 May 2014.</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30 October 2014.</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30 April 2015.</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4 May 2016.</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3 May 2018.</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21 July 2020.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28 April 2021.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Amended and restated by the Board of Directors of Jazz Pharmaceuticals plc on 29 July 2021.</w:t>
      </w:r>
    </w:p>
    <w:p>
      <w:pPr>
        <w:sectPr>
          <w:pgSz w:w="11900" w:h="16838" w:orient="portrait"/>
          <w:cols w:equalWidth="0" w:num="1">
            <w:col w:w="11240"/>
          </w:cols>
          <w:pgMar w:left="320" w:top="1419"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3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220" w:hanging="327"/>
        <w:spacing w:after="0" w:line="308" w:lineRule="auto"/>
        <w:tabs>
          <w:tab w:leader="none" w:pos="7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6"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0E823"/>
    <w:multiLevelType w:val="hybridMultilevel"/>
    <w:lvl w:ilvl="0">
      <w:lvlJc w:val="left"/>
      <w:lvlText w:val="☒"/>
      <w:numFmt w:val="bullet"/>
      <w:start w:val="1"/>
    </w:lvl>
  </w:abstractNum>
  <w:abstractNum w:abstractNumId="1">
    <w:nsid w:val="14D53685"/>
    <w:multiLevelType w:val="hybridMultilevel"/>
    <w:lvl w:ilvl="0">
      <w:lvlJc w:val="left"/>
      <w:lvlText w:val="☐"/>
      <w:numFmt w:val="bullet"/>
      <w:start w:val="1"/>
    </w:lvl>
  </w:abstractNum>
  <w:abstractNum w:abstractNumId="2">
    <w:nsid w:val="230F856C"/>
    <w:multiLevelType w:val="hybridMultilevel"/>
    <w:lvl w:ilvl="0">
      <w:lvlJc w:val="left"/>
      <w:lvlText w:val="•"/>
      <w:numFmt w:val="bullet"/>
      <w:start w:val="1"/>
    </w:lvl>
  </w:abstractNum>
  <w:abstractNum w:abstractNumId="3">
    <w:nsid w:val="6EAA85FB"/>
    <w:multiLevelType w:val="hybridMultilevel"/>
    <w:lvl w:ilvl="0">
      <w:lvlJc w:val="left"/>
      <w:lvlText w:val="$"/>
      <w:numFmt w:val="bullet"/>
      <w:start w:val="1"/>
    </w:lvl>
  </w:abstractNum>
  <w:abstractNum w:abstractNumId="4">
    <w:nsid w:val="3F06ECB2"/>
    <w:multiLevelType w:val="hybridMultilevel"/>
    <w:lvl w:ilvl="0">
      <w:lvlJc w:val="left"/>
      <w:lvlText w:val="(%1)"/>
      <w:numFmt w:val="decimal"/>
      <w:start w:val="1"/>
    </w:lvl>
  </w:abstractNum>
  <w:abstractNum w:abstractNumId="5">
    <w:nsid w:val="3B594807"/>
    <w:multiLevelType w:val="hybridMultilevel"/>
    <w:lvl w:ilvl="0">
      <w:lvlJc w:val="left"/>
      <w:lvlText w:val="•"/>
      <w:numFmt w:val="bullet"/>
      <w:start w:val="1"/>
    </w:lvl>
  </w:abstractNum>
  <w:abstractNum w:abstractNumId="6">
    <w:nsid w:val="6CAA2304"/>
    <w:multiLevelType w:val="hybridMultilevel"/>
    <w:lvl w:ilvl="0">
      <w:lvlJc w:val="left"/>
      <w:lvlText w:val="$"/>
      <w:numFmt w:val="bullet"/>
      <w:start w:val="1"/>
    </w:lvl>
  </w:abstractNum>
  <w:abstractNum w:abstractNumId="7">
    <w:nsid w:val="3F7C2FF4"/>
    <w:multiLevelType w:val="hybridMultilevel"/>
    <w:lvl w:ilvl="0">
      <w:lvlJc w:val="left"/>
      <w:lvlText w:val="$"/>
      <w:numFmt w:val="bullet"/>
      <w:start w:val="1"/>
    </w:lvl>
  </w:abstractNum>
  <w:abstractNum w:abstractNumId="8">
    <w:nsid w:val="25413BEC"/>
    <w:multiLevelType w:val="hybridMultilevel"/>
    <w:lvl w:ilvl="0">
      <w:lvlJc w:val="left"/>
      <w:lvlText w:val="(%1)"/>
      <w:numFmt w:val="lowerRoman"/>
      <w:start w:val="3"/>
    </w:lvl>
  </w:abstractNum>
  <w:abstractNum w:abstractNumId="9">
    <w:nsid w:val="17180B0B"/>
    <w:multiLevelType w:val="hybridMultilevel"/>
    <w:lvl w:ilvl="0">
      <w:lvlJc w:val="left"/>
      <w:lvlText w:val="(%1)"/>
      <w:numFmt w:val="decimal"/>
      <w:start w:val="1"/>
    </w:lvl>
  </w:abstractNum>
  <w:abstractNum w:abstractNumId="10">
    <w:nsid w:val="579328B9"/>
    <w:multiLevelType w:val="hybridMultilevel"/>
    <w:lvl w:ilvl="0">
      <w:lvlJc w:val="left"/>
      <w:lvlText w:val="(%1)"/>
      <w:numFmt w:val="decimal"/>
      <w:start w:val="1"/>
    </w:lvl>
  </w:abstractNum>
  <w:abstractNum w:abstractNumId="11">
    <w:nsid w:val="5D205E20"/>
    <w:multiLevelType w:val="hybridMultilevel"/>
    <w:lvl w:ilvl="0">
      <w:lvlJc w:val="left"/>
      <w:lvlText w:val="•"/>
      <w:numFmt w:val="bullet"/>
      <w:start w:val="1"/>
    </w:lvl>
  </w:abstractNum>
  <w:abstractNum w:abstractNumId="12">
    <w:nsid w:val="11CCA8BA"/>
    <w:multiLevelType w:val="hybridMultilevel"/>
    <w:lvl w:ilvl="0">
      <w:lvlJc w:val="left"/>
      <w:lvlText w:val="•"/>
      <w:numFmt w:val="bullet"/>
      <w:start w:val="1"/>
    </w:lvl>
  </w:abstractNum>
  <w:abstractNum w:abstractNumId="13">
    <w:nsid w:val="4D32AB86"/>
    <w:multiLevelType w:val="hybridMultilevel"/>
    <w:lvl w:ilvl="0">
      <w:lvlJc w:val="left"/>
      <w:lvlText w:val="•"/>
      <w:numFmt w:val="bullet"/>
      <w:start w:val="1"/>
    </w:lvl>
    <w:lvl w:ilvl="1">
      <w:lvlJc w:val="left"/>
      <w:lvlText w:val="◦"/>
      <w:numFmt w:val="bullet"/>
      <w:start w:val="1"/>
    </w:lvl>
  </w:abstractNum>
  <w:abstractNum w:abstractNumId="14">
    <w:nsid w:val="3F07ACC3"/>
    <w:multiLevelType w:val="hybridMultilevel"/>
    <w:lvl w:ilvl="0">
      <w:lvlJc w:val="left"/>
      <w:lvlText w:val="(%1)"/>
      <w:numFmt w:val="decimal"/>
      <w:start w:val="1"/>
    </w:lvl>
  </w:abstractNum>
  <w:abstractNum w:abstractNumId="15">
    <w:nsid w:val="6B47F63E"/>
    <w:multiLevelType w:val="hybridMultilevel"/>
    <w:lvl w:ilvl="0">
      <w:lvlJc w:val="left"/>
      <w:lvlText w:val="(%1)"/>
      <w:numFmt w:val="decimal"/>
      <w:start w:val="5"/>
    </w:lvl>
  </w:abstractNum>
  <w:abstractNum w:abstractNumId="16">
    <w:nsid w:val="5CB44A05"/>
    <w:multiLevelType w:val="hybridMultilevel"/>
    <w:lvl w:ilvl="0">
      <w:lvlJc w:val="left"/>
      <w:lvlText w:val="•"/>
      <w:numFmt w:val="bullet"/>
      <w:start w:val="1"/>
    </w:lvl>
  </w:abstractNum>
  <w:abstractNum w:abstractNumId="17">
    <w:nsid w:val="16CF80F1"/>
    <w:multiLevelType w:val="hybridMultilevel"/>
    <w:lvl w:ilvl="0">
      <w:lvlJc w:val="left"/>
      <w:lvlText w:val="•"/>
      <w:numFmt w:val="bullet"/>
      <w:start w:val="1"/>
    </w:lvl>
  </w:abstractNum>
  <w:abstractNum w:abstractNumId="18">
    <w:nsid w:val="1C695DEC"/>
    <w:multiLevelType w:val="hybridMultilevel"/>
    <w:lvl w:ilvl="0">
      <w:lvlJc w:val="left"/>
      <w:lvlText w:val="•"/>
      <w:numFmt w:val="bullet"/>
      <w:start w:val="1"/>
    </w:lvl>
    <w:lvl w:ilvl="1">
      <w:lvlJc w:val="left"/>
      <w:lvlText w:val="◦"/>
      <w:numFmt w:val="bullet"/>
      <w:start w:val="1"/>
    </w:lvl>
  </w:abstractNum>
  <w:abstractNum w:abstractNumId="19">
    <w:nsid w:val="3FCFAED9"/>
    <w:multiLevelType w:val="hybridMultilevel"/>
    <w:lvl w:ilvl="0">
      <w:lvlJc w:val="left"/>
      <w:lvlText w:val="•"/>
      <w:numFmt w:val="bullet"/>
      <w:start w:val="1"/>
    </w:lvl>
  </w:abstractNum>
  <w:abstractNum w:abstractNumId="20">
    <w:nsid w:val="F856867"/>
    <w:multiLevelType w:val="hybridMultilevel"/>
    <w:lvl w:ilvl="0">
      <w:lvlJc w:val="left"/>
      <w:lvlText w:val="•"/>
      <w:numFmt w:val="bullet"/>
      <w:start w:val="1"/>
    </w:lvl>
  </w:abstractNum>
  <w:abstractNum w:abstractNumId="21">
    <w:nsid w:val="11B1CC33"/>
    <w:multiLevelType w:val="hybridMultilevel"/>
    <w:lvl w:ilvl="0">
      <w:lvlJc w:val="left"/>
      <w:lvlText w:val="•"/>
      <w:numFmt w:val="bullet"/>
      <w:start w:val="1"/>
    </w:lvl>
  </w:abstractNum>
  <w:abstractNum w:abstractNumId="22">
    <w:nsid w:val="2E22FBB7"/>
    <w:multiLevelType w:val="hybridMultilevel"/>
    <w:lvl w:ilvl="0">
      <w:lvlJc w:val="left"/>
      <w:lvlText w:val="•"/>
      <w:numFmt w:val="bullet"/>
      <w:start w:val="1"/>
    </w:lvl>
  </w:abstractNum>
  <w:abstractNum w:abstractNumId="23">
    <w:nsid w:val="29934699"/>
    <w:multiLevelType w:val="hybridMultilevel"/>
    <w:lvl w:ilvl="0">
      <w:lvlJc w:val="left"/>
      <w:lvlText w:val="•"/>
      <w:numFmt w:val="bullet"/>
      <w:start w:val="1"/>
    </w:lvl>
  </w:abstractNum>
  <w:abstractNum w:abstractNumId="24">
    <w:nsid w:val="77485850"/>
    <w:multiLevelType w:val="hybridMultilevel"/>
    <w:lvl w:ilvl="0">
      <w:lvlJc w:val="left"/>
      <w:lvlText w:val="•"/>
      <w:numFmt w:val="bullet"/>
      <w:start w:val="1"/>
    </w:lvl>
  </w:abstractNum>
  <w:abstractNum w:abstractNumId="25">
    <w:nsid w:val="744939A3"/>
    <w:multiLevelType w:val="hybridMultilevel"/>
    <w:lvl w:ilvl="0">
      <w:lvlJc w:val="left"/>
      <w:lvlText w:val="•"/>
      <w:numFmt w:val="bullet"/>
      <w:start w:val="1"/>
    </w:lvl>
  </w:abstractNum>
  <w:abstractNum w:abstractNumId="26">
    <w:nsid w:val="4FA0D2E3"/>
    <w:multiLevelType w:val="hybridMultilevel"/>
    <w:lvl w:ilvl="0">
      <w:lvlJc w:val="left"/>
      <w:lvlText w:val="•"/>
      <w:numFmt w:val="bullet"/>
      <w:start w:val="1"/>
    </w:lvl>
  </w:abstractNum>
  <w:abstractNum w:abstractNumId="27">
    <w:nsid w:val="6B1D2C14"/>
    <w:multiLevelType w:val="hybridMultilevel"/>
    <w:lvl w:ilvl="0">
      <w:lvlJc w:val="left"/>
      <w:lvlText w:val="•"/>
      <w:numFmt w:val="bullet"/>
      <w:start w:val="1"/>
    </w:lvl>
  </w:abstractNum>
  <w:abstractNum w:abstractNumId="28">
    <w:nsid w:val="68B867D3"/>
    <w:multiLevelType w:val="hybridMultilevel"/>
    <w:lvl w:ilvl="0">
      <w:lvlJc w:val="left"/>
      <w:lvlText w:val="+"/>
      <w:numFmt w:val="bullet"/>
      <w:start w:val="1"/>
    </w:lvl>
    <w:lvl w:ilvl="1">
      <w:lvlJc w:val="left"/>
      <w:lvlText w:val="%2"/>
      <w:numFmt w:val="decimal"/>
      <w:start w:val="104"/>
    </w:lvl>
  </w:abstractNum>
  <w:abstractNum w:abstractNumId="29">
    <w:nsid w:val="3F7F5DD9"/>
    <w:multiLevelType w:val="hybridMultilevel"/>
    <w:lvl w:ilvl="0">
      <w:lvlJc w:val="left"/>
      <w:lvlText w:val="†"/>
      <w:numFmt w:val="bullet"/>
      <w:start w:val="1"/>
    </w:lvl>
  </w:abstractNum>
  <w:abstractNum w:abstractNumId="30">
    <w:nsid w:val="2AE05A34"/>
    <w:multiLevelType w:val="hybridMultilevel"/>
    <w:lvl w:ilvl="0">
      <w:lvlJc w:val="left"/>
      <w:lvlText w:val="€"/>
      <w:numFmt w:val="bullet"/>
      <w:start w:val="1"/>
    </w:lvl>
  </w:abstractNum>
  <w:abstractNum w:abstractNumId="31">
    <w:nsid w:val="32794FF7"/>
    <w:multiLevelType w:val="hybridMultilevel"/>
    <w:lvl w:ilvl="0">
      <w:lvlJc w:val="left"/>
      <w:lvlText w:val="*"/>
      <w:numFmt w:val="bullet"/>
      <w:start w:val="1"/>
    </w:lvl>
  </w:abstractNum>
  <w:abstractNum w:abstractNumId="32">
    <w:nsid w:val="5454945E"/>
    <w:multiLevelType w:val="hybridMultilevel"/>
    <w:lvl w:ilvl="0">
      <w:lvlJc w:val="left"/>
      <w:lvlText w:val="%1."/>
      <w:numFmt w:val="decimal"/>
      <w:start w:val="1"/>
    </w:lvl>
  </w:abstractNum>
  <w:abstractNum w:abstractNumId="33">
    <w:nsid w:val="4DEFDFA0"/>
    <w:multiLevelType w:val="hybridMultilevel"/>
    <w:lvl w:ilvl="0">
      <w:lvlJc w:val="left"/>
      <w:lvlText w:val="%1."/>
      <w:numFmt w:val="decimal"/>
      <w:start w:val="7"/>
    </w:lvl>
  </w:abstractNum>
  <w:abstractNum w:abstractNumId="34">
    <w:nsid w:val="2123D5F2"/>
    <w:multiLevelType w:val="hybridMultilevel"/>
    <w:lvl w:ilvl="0">
      <w:lvlJc w:val="left"/>
      <w:lvlText w:val="%1."/>
      <w:numFmt w:val="decimal"/>
      <w:start w:val="1"/>
    </w:lvl>
    <w:lvl w:ilvl="1">
      <w:lvlJc w:val="left"/>
      <w:lvlText w:val="%2."/>
      <w:numFmt w:val="lowerLetter"/>
      <w:start w:val="1"/>
    </w:lvl>
  </w:abstractNum>
  <w:abstractNum w:abstractNumId="35">
    <w:nsid w:val="135B8110"/>
    <w:multiLevelType w:val="hybridMultilevel"/>
    <w:lvl w:ilvl="0">
      <w:lvlJc w:val="left"/>
      <w:lvlText w:val="%1."/>
      <w:numFmt w:val="decimal"/>
      <w:start w:val="1"/>
    </w:lvl>
  </w:abstractNum>
  <w:abstractNum w:abstractNumId="36">
    <w:nsid w:val="94927A8"/>
    <w:multiLevelType w:val="hybridMultilevel"/>
    <w:lvl w:ilvl="0">
      <w:lvlJc w:val="left"/>
      <w:lvlText w:val="[***]"/>
      <w:numFmt w:val="bullet"/>
      <w:start w:val="1"/>
    </w:lvl>
  </w:abstractNum>
  <w:abstractNum w:abstractNumId="37">
    <w:nsid w:val="DCDF8F6"/>
    <w:multiLevelType w:val="hybridMultilevel"/>
    <w:lvl w:ilvl="0">
      <w:lvlJc w:val="left"/>
      <w:lvlText w:val="%1."/>
      <w:numFmt w:val="decimal"/>
      <w:start w:val="1"/>
    </w:lvl>
  </w:abstractNum>
  <w:abstractNum w:abstractNumId="38">
    <w:nsid w:val="52D7B105"/>
    <w:multiLevelType w:val="hybridMultilevel"/>
    <w:lvl w:ilvl="0">
      <w:lvlJc w:val="left"/>
      <w:lvlText w:val="(%1)"/>
      <w:numFmt w:val="lowerRoman"/>
      <w:start w:val="3"/>
    </w:lvl>
  </w:abstractNum>
  <w:abstractNum w:abstractNumId="39">
    <w:nsid w:val="2E8A6394"/>
    <w:multiLevelType w:val="hybridMultilevel"/>
    <w:lvl w:ilvl="0">
      <w:lvlJc w:val="left"/>
      <w:lvlText w:val="%1."/>
      <w:numFmt w:val="decimal"/>
      <w:start w:val="2"/>
    </w:lvl>
  </w:abstractNum>
  <w:abstractNum w:abstractNumId="40">
    <w:nsid w:val="24E60401"/>
    <w:multiLevelType w:val="hybridMultilevel"/>
    <w:lvl w:ilvl="0">
      <w:lvlJc w:val="left"/>
      <w:lvlText w:val="%1."/>
      <w:numFmt w:val="decimal"/>
      <w:start w:val="4"/>
    </w:lvl>
  </w:abstractNum>
  <w:abstractNum w:abstractNumId="41">
    <w:nsid w:val="2A6AD9BE"/>
    <w:multiLevelType w:val="hybridMultilevel"/>
    <w:lvl w:ilvl="0">
      <w:lvlJc w:val="left"/>
      <w:lvlText w:val="%1."/>
      <w:numFmt w:val="decimal"/>
      <w:start w:val="5"/>
    </w:lvl>
    <w:lvl w:ilvl="1">
      <w:lvlJc w:val="left"/>
      <w:lvlText w:val="(%2)"/>
      <w:numFmt w:val="lowerLetter"/>
      <w:start w:val="1"/>
    </w:lvl>
  </w:abstractNum>
  <w:abstractNum w:abstractNumId="42">
    <w:nsid w:val="BAAC1B4"/>
    <w:multiLevelType w:val="hybridMultilevel"/>
    <w:lvl w:ilvl="0">
      <w:lvlJc w:val="left"/>
      <w:lvlText w:val="%1."/>
      <w:numFmt w:val="decimal"/>
      <w:start w:val="2"/>
    </w:lvl>
    <w:lvl w:ilvl="1">
      <w:lvlJc w:val="left"/>
      <w:lvlText w:val="%2."/>
      <w:numFmt w:val="lowerLetter"/>
      <w:start w:val="1"/>
    </w:lvl>
  </w:abstractNum>
  <w:abstractNum w:abstractNumId="43">
    <w:nsid w:val="36B2ACBC"/>
    <w:multiLevelType w:val="hybridMultilevel"/>
    <w:lvl w:ilvl="0">
      <w:lvlJc w:val="left"/>
      <w:lvlText w:val="%1."/>
      <w:numFmt w:val="lowerLetter"/>
      <w:start w:val="2"/>
    </w:lvl>
    <w:lvl w:ilvl="1">
      <w:lvlJc w:val="left"/>
      <w:lvlText w:val="[***]"/>
      <w:numFmt w:val="bullet"/>
      <w:start w:val="1"/>
    </w:lvl>
  </w:abstractNum>
  <w:abstractNum w:abstractNumId="44">
    <w:nsid w:val="779D8544"/>
    <w:multiLevelType w:val="hybridMultilevel"/>
    <w:lvl w:ilvl="0">
      <w:lvlJc w:val="left"/>
      <w:lvlText w:val="%1"/>
      <w:numFmt w:val="decimal"/>
      <w:start w:val="1"/>
    </w:lvl>
    <w:lvl w:ilvl="1">
      <w:lvlJc w:val="left"/>
      <w:lvlText w:val="%2."/>
      <w:numFmt w:val="lowerLetter"/>
      <w:start w:val="8"/>
    </w:lvl>
  </w:abstractNum>
  <w:abstractNum w:abstractNumId="45">
    <w:nsid w:val="4AB26E78"/>
    <w:multiLevelType w:val="hybridMultilevel"/>
    <w:lvl w:ilvl="0">
      <w:lvlJc w:val="left"/>
      <w:lvlText w:val="%1."/>
      <w:numFmt w:val="decimal"/>
      <w:start w:val="4"/>
    </w:lvl>
    <w:lvl w:ilvl="1">
      <w:lvlJc w:val="left"/>
      <w:lvlText w:val="%2"/>
      <w:numFmt w:val="lowerLetter"/>
      <w:start w:val="1"/>
    </w:lvl>
  </w:abstractNum>
  <w:abstractNum w:abstractNumId="46">
    <w:nsid w:val="21FAA2FA"/>
    <w:multiLevelType w:val="hybridMultilevel"/>
    <w:lvl w:ilvl="0">
      <w:lvlJc w:val="left"/>
      <w:lvlText w:val="1"/>
      <w:numFmt w:val="bullet"/>
      <w:start w:val="1"/>
    </w:lvl>
  </w:abstractNum>
  <w:abstractNum w:abstractNumId="47">
    <w:nsid w:val="5451CF49"/>
    <w:multiLevelType w:val="hybridMultilevel"/>
    <w:lvl w:ilvl="0">
      <w:lvlJc w:val="left"/>
      <w:lvlText w:val="2"/>
      <w:numFmt w:val="bullet"/>
      <w:start w:val="1"/>
    </w:lvl>
  </w:abstractNum>
  <w:abstractNum w:abstractNumId="48">
    <w:nsid w:val="6181EF69"/>
    <w:multiLevelType w:val="hybridMultilevel"/>
    <w:lvl w:ilvl="0">
      <w:lvlJc w:val="left"/>
      <w:lvlText w:val="1"/>
      <w:numFmt w:val="bullet"/>
      <w:start w:val="1"/>
    </w:lvl>
  </w:abstractNum>
  <w:abstractNum w:abstractNumId="49">
    <w:nsid w:val="3E6400E6"/>
    <w:multiLevelType w:val="hybridMultilevel"/>
    <w:lvl w:ilvl="0">
      <w:lvlJc w:val="left"/>
      <w:lvlText w:val="(%1)"/>
      <w:numFmt w:val="lowerRoman"/>
      <w:start w:val="1"/>
    </w:lvl>
  </w:abstractNum>
  <w:abstractNum w:abstractNumId="50">
    <w:nsid w:val="14217E23"/>
    <w:multiLevelType w:val="hybridMultilevel"/>
    <w:lvl w:ilvl="0">
      <w:lvlJc w:val="left"/>
      <w:lvlText w:val="(%1)"/>
      <w:numFmt w:val="lowerRoman"/>
      <w:start w:val="6"/>
    </w:lvl>
  </w:abstractNum>
  <w:abstractNum w:abstractNumId="51">
    <w:nsid w:val="710757D0"/>
    <w:multiLevelType w:val="hybridMultilevel"/>
    <w:lvl w:ilvl="0">
      <w:lvlJc w:val="left"/>
      <w:lvlText w:val="(%1)"/>
      <w:numFmt w:val="lowerRoman"/>
      <w:start w:val="1"/>
    </w:lvl>
  </w:abstractNum>
  <w:abstractNum w:abstractNumId="52">
    <w:nsid w:val="5015CD1A"/>
    <w:multiLevelType w:val="hybridMultilevel"/>
    <w:lvl w:ilvl="0">
      <w:lvlJc w:val="left"/>
      <w:lvlText w:val="(%1)"/>
      <w:numFmt w:val="lowerRoman"/>
      <w:start w:val="1"/>
    </w:lvl>
  </w:abstractNum>
  <w:abstractNum w:abstractNumId="53">
    <w:nsid w:val="424479DA"/>
    <w:multiLevelType w:val="hybridMultilevel"/>
    <w:lvl w:ilvl="0">
      <w:lvlJc w:val="left"/>
      <w:lvlText w:val="2"/>
      <w:numFmt w:val="bullet"/>
      <w:start w:val="1"/>
    </w:lvl>
  </w:abstractNum>
  <w:abstractNum w:abstractNumId="54">
    <w:nsid w:val="1A9A9E69"/>
    <w:multiLevelType w:val="hybridMultilevel"/>
    <w:lvl w:ilvl="0">
      <w:lvlJc w:val="left"/>
      <w:lvlText w:val="3"/>
      <w:numFmt w:val="bullet"/>
      <w:start w:val="1"/>
    </w:lvl>
  </w:abstractNum>
  <w:abstractNum w:abstractNumId="55">
    <w:nsid w:val="475E256A"/>
    <w:multiLevelType w:val="hybridMultilevel"/>
    <w:lvl w:ilvl="0">
      <w:lvlJc w:val="left"/>
      <w:lvlText w:val="4"/>
      <w:numFmt w:val="bullet"/>
      <w:start w:val="1"/>
    </w:lvl>
  </w:abstractNum>
  <w:abstractNum w:abstractNumId="56">
    <w:nsid w:val="368DB37E"/>
    <w:multiLevelType w:val="hybridMultilevel"/>
    <w:lvl w:ilvl="0">
      <w:lvlJc w:val="left"/>
      <w:lvlText w:val="5"/>
      <w:numFmt w:val="bullet"/>
      <w:start w:val="1"/>
    </w:lvl>
  </w:abstractNum>
  <w:abstractNum w:abstractNumId="57">
    <w:nsid w:val="6A3B714C"/>
    <w:multiLevelType w:val="hybridMultilevel"/>
    <w:lvl w:ilvl="0">
      <w:lvlJc w:val="left"/>
      <w:lvlText w:val="6"/>
      <w:numFmt w:val="bullet"/>
      <w:start w:val="1"/>
    </w:lvl>
  </w:abstractNum>
  <w:abstractNum w:abstractNumId="58">
    <w:nsid w:val="327B517E"/>
    <w:multiLevelType w:val="hybridMultilevel"/>
    <w:lvl w:ilvl="0">
      <w:lvlJc w:val="left"/>
      <w:lvlText w:val="7"/>
      <w:numFmt w:val="bullet"/>
      <w:start w:val="1"/>
    </w:lvl>
  </w:abstractNum>
  <w:abstractNum w:abstractNumId="59">
    <w:nsid w:val="1F461B51"/>
    <w:multiLevelType w:val="hybridMultilevel"/>
    <w:lvl w:ilvl="0">
      <w:lvlJc w:val="left"/>
      <w:lvlText w:val="8"/>
      <w:numFmt w:val="bullet"/>
      <w:start w:val="1"/>
    </w:lvl>
  </w:abstractNum>
  <w:abstractNum w:abstractNumId="60">
    <w:nsid w:val="29BACF25"/>
    <w:multiLevelType w:val="hybridMultilevel"/>
    <w:lvl w:ilvl="0">
      <w:lvlJc w:val="left"/>
      <w:lvlText w:val="9"/>
      <w:numFmt w:val="bullet"/>
      <w:start w:val="1"/>
    </w:lvl>
  </w:abstractNum>
  <w:abstractNum w:abstractNumId="61">
    <w:nsid w:val="5D5BABB3"/>
    <w:multiLevelType w:val="hybridMultilevel"/>
    <w:lvl w:ilvl="0">
      <w:lvlJc w:val="left"/>
      <w:lvlText w:val="%1"/>
      <w:numFmt w:val="decimal"/>
      <w:start w:val="10"/>
    </w:lvl>
  </w:abstractNum>
  <w:abstractNum w:abstractNumId="62">
    <w:nsid w:val="51BF6B48"/>
    <w:multiLevelType w:val="hybridMultilevel"/>
    <w:lvl w:ilvl="0">
      <w:lvlJc w:val="left"/>
      <w:lvlText w:val="%1"/>
      <w:numFmt w:val="decimal"/>
      <w:start w:val="11"/>
    </w:lvl>
  </w:abstractNum>
  <w:abstractNum w:abstractNumId="63">
    <w:nsid w:val="7E0F6384"/>
    <w:multiLevelType w:val="hybridMultilevel"/>
    <w:lvl w:ilvl="0">
      <w:lvlJc w:val="left"/>
      <w:lvlText w:val="%1"/>
      <w:numFmt w:val="decimal"/>
      <w:start w:val="12"/>
    </w:lvl>
  </w:abstractNum>
  <w:abstractNum w:abstractNumId="64">
    <w:nsid w:val="2B4B8B53"/>
    <w:multiLevelType w:val="hybridMultilevel"/>
    <w:lvl w:ilvl="0">
      <w:lvlJc w:val="left"/>
      <w:lvlText w:val="%1"/>
      <w:numFmt w:val="decimal"/>
      <w:start w:val="13"/>
    </w:lvl>
  </w:abstractNum>
  <w:abstractNum w:abstractNumId="65">
    <w:nsid w:val="72E3413A"/>
    <w:multiLevelType w:val="hybridMultilevel"/>
    <w:lvl w:ilvl="0">
      <w:lvlJc w:val="left"/>
      <w:lvlText w:val="%1"/>
      <w:numFmt w:val="decimal"/>
      <w:start w:val="14"/>
    </w:lvl>
  </w:abstractNum>
  <w:abstractNum w:abstractNumId="66">
    <w:nsid w:val="116AE494"/>
    <w:multiLevelType w:val="hybridMultilevel"/>
    <w:lvl w:ilvl="0">
      <w:lvlJc w:val="left"/>
      <w:lvlText w:val="%1"/>
      <w:numFmt w:val="decimal"/>
      <w:start w:val="15"/>
    </w:lvl>
  </w:abstractNum>
  <w:abstractNum w:abstractNumId="67">
    <w:nsid w:val="3494B2FB"/>
    <w:multiLevelType w:val="hybridMultilevel"/>
    <w:lvl w:ilvl="0">
      <w:lvlJc w:val="left"/>
      <w:lvlText w:val="%1"/>
      <w:numFmt w:val="decimal"/>
      <w:start w:val="16"/>
    </w:lvl>
  </w:abstractNum>
  <w:abstractNum w:abstractNumId="68">
    <w:nsid w:val="B13A31"/>
    <w:multiLevelType w:val="hybridMultilevel"/>
    <w:lvl w:ilvl="0">
      <w:lvlJc w:val="left"/>
      <w:lvlText w:val="%1"/>
      <w:numFmt w:val="decimal"/>
      <w:start w:val="17"/>
    </w:lvl>
  </w:abstractNum>
  <w:abstractNum w:abstractNumId="69">
    <w:nsid w:val="64429599"/>
    <w:multiLevelType w:val="hybridMultilevel"/>
    <w:lvl w:ilvl="0">
      <w:lvlJc w:val="left"/>
      <w:lvlText w:val="%1"/>
      <w:numFmt w:val="decimal"/>
      <w:start w:val="18"/>
    </w:lvl>
  </w:abstractNum>
  <w:abstractNum w:abstractNumId="70">
    <w:nsid w:val="631F1690"/>
    <w:multiLevelType w:val="hybridMultilevel"/>
    <w:lvl w:ilvl="0">
      <w:lvlJc w:val="left"/>
      <w:lvlText w:val="(%1)"/>
      <w:numFmt w:val="lowerRoman"/>
      <w:start w:val="1"/>
    </w:lvl>
  </w:abstractNum>
  <w:abstractNum w:abstractNumId="71">
    <w:nsid w:val="25973E32"/>
    <w:multiLevelType w:val="hybridMultilevel"/>
    <w:lvl w:ilvl="0">
      <w:lvlJc w:val="left"/>
      <w:lvlText w:val="%1"/>
      <w:numFmt w:val="decimal"/>
      <w:start w:val="19"/>
    </w:lvl>
  </w:abstractNum>
  <w:abstractNum w:abstractNumId="72">
    <w:nsid w:val="EAD6F57"/>
    <w:multiLevelType w:val="hybridMultilevel"/>
    <w:lvl w:ilvl="0">
      <w:lvlJc w:val="left"/>
      <w:lvlText w:val="%1"/>
      <w:numFmt w:val="decimal"/>
      <w:start w:val="20"/>
    </w:lvl>
  </w:abstractNum>
  <w:abstractNum w:abstractNumId="73">
    <w:nsid w:val="6EC9D844"/>
    <w:multiLevelType w:val="hybridMultilevel"/>
    <w:lvl w:ilvl="0">
      <w:lvlJc w:val="left"/>
      <w:lvlText w:val="%1"/>
      <w:numFmt w:val="decimal"/>
      <w:start w:val="21"/>
    </w:lvl>
  </w:abstractNum>
  <w:abstractNum w:abstractNumId="74">
    <w:nsid w:val="5C49EAEE"/>
    <w:multiLevelType w:val="hybridMultilevel"/>
    <w:lvl w:ilvl="0">
      <w:lvlJc w:val="left"/>
      <w:lvlText w:val="%1"/>
      <w:numFmt w:val="decimal"/>
      <w:start w:val="22"/>
    </w:lvl>
  </w:abstractNum>
  <w:abstractNum w:abstractNumId="75">
    <w:nsid w:val="64AF49B"/>
    <w:multiLevelType w:val="hybridMultilevel"/>
    <w:lvl w:ilvl="0">
      <w:lvlJc w:val="left"/>
      <w:lvlText w:val="%1"/>
      <w:numFmt w:val="decimal"/>
      <w:start w:val="23"/>
    </w:lvl>
  </w:abstractNum>
  <w:abstractNum w:abstractNumId="76">
    <w:nsid w:val="397C46BC"/>
    <w:multiLevelType w:val="hybridMultilevel"/>
    <w:lvl w:ilvl="0">
      <w:lvlJc w:val="left"/>
      <w:lvlText w:val="%1"/>
      <w:numFmt w:val="decimal"/>
      <w:start w:val="24"/>
    </w:lvl>
  </w:abstractNum>
  <w:abstractNum w:abstractNumId="77">
    <w:nsid w:val="7E448DE9"/>
    <w:multiLevelType w:val="hybridMultilevel"/>
    <w:lvl w:ilvl="0">
      <w:lvlJc w:val="left"/>
      <w:lvlText w:val="%1"/>
      <w:numFmt w:val="decimal"/>
      <w:start w:val="25"/>
    </w:lvl>
  </w:abstractNum>
  <w:abstractNum w:abstractNumId="78">
    <w:nsid w:val="5A9CC3E5"/>
    <w:multiLevelType w:val="hybridMultilevel"/>
    <w:lvl w:ilvl="0">
      <w:lvlJc w:val="left"/>
      <w:lvlText w:val="%1"/>
      <w:numFmt w:val="decimal"/>
      <w:start w:val="26"/>
    </w:lvl>
  </w:abstractNum>
  <w:abstractNum w:abstractNumId="79">
    <w:nsid w:val="1AFE3625"/>
    <w:multiLevelType w:val="hybridMultilevel"/>
    <w:lvl w:ilvl="0">
      <w:lvlJc w:val="left"/>
      <w:lvlText w:val="%1"/>
      <w:numFmt w:val="decimal"/>
      <w:start w:val="27"/>
    </w:lvl>
  </w:abstractNum>
  <w:abstractNum w:abstractNumId="80">
    <w:nsid w:val="3CA88ECF"/>
    <w:multiLevelType w:val="hybridMultilevel"/>
    <w:lvl w:ilvl="0">
      <w:lvlJc w:val="left"/>
      <w:lvlText w:val="%1"/>
      <w:numFmt w:val="decimal"/>
      <w:start w:val="28"/>
    </w:lvl>
  </w:abstractNum>
  <w:abstractNum w:abstractNumId="81">
    <w:nsid w:val="6EBE4208"/>
    <w:multiLevelType w:val="hybridMultilevel"/>
    <w:lvl w:ilvl="0">
      <w:lvlJc w:val="left"/>
      <w:lvlText w:val="%1"/>
      <w:numFmt w:val="decimal"/>
      <w:start w:val="29"/>
    </w:lvl>
  </w:abstractNum>
  <w:abstractNum w:abstractNumId="82">
    <w:nsid w:val="C058DF5"/>
    <w:multiLevelType w:val="hybridMultilevel"/>
    <w:lvl w:ilvl="0">
      <w:lvlJc w:val="left"/>
      <w:lvlText w:val=")"/>
      <w:numFmt w:val="bullet"/>
      <w:start w:val="1"/>
    </w:lvl>
  </w:abstractNum>
  <w:abstractNum w:abstractNumId="83">
    <w:nsid w:val="CBE5BE9"/>
    <w:multiLevelType w:val="hybridMultilevel"/>
    <w:lvl w:ilvl="0">
      <w:lvlJc w:val="left"/>
      <w:lvlText w:val=")"/>
      <w:numFmt w:val="bullet"/>
      <w:start w:val="1"/>
    </w:lvl>
  </w:abstractNum>
  <w:abstractNum w:abstractNumId="84">
    <w:nsid w:val="3102BBE2"/>
    <w:multiLevelType w:val="hybridMultilevel"/>
    <w:lvl w:ilvl="0">
      <w:lvlJc w:val="left"/>
      <w:lvlText w:val=")"/>
      <w:numFmt w:val="bullet"/>
      <w:start w:val="1"/>
    </w:lvl>
  </w:abstractNum>
  <w:abstractNum w:abstractNumId="85">
    <w:nsid w:val="26A02C5E"/>
    <w:multiLevelType w:val="hybridMultilevel"/>
    <w:lvl w:ilvl="0">
      <w:lvlJc w:val="left"/>
      <w:lvlText w:val="(%1)"/>
      <w:numFmt w:val="lowerLetter"/>
      <w:start w:val="1"/>
    </w:lvl>
  </w:abstractNum>
  <w:abstractNum w:abstractNumId="86">
    <w:nsid w:val="541C8153"/>
    <w:multiLevelType w:val="hybridMultilevel"/>
    <w:lvl w:ilvl="0">
      <w:lvlJc w:val="left"/>
      <w:lvlText w:val="(%1)"/>
      <w:numFmt w:val="lowerLetter"/>
      <w:start w:val="1"/>
    </w:lvl>
  </w:abstractNum>
  <w:abstractNum w:abstractNumId="87">
    <w:nsid w:val="67906F60"/>
    <w:multiLevelType w:val="hybridMultilevel"/>
    <w:lvl w:ilvl="0">
      <w:lvlJc w:val="left"/>
      <w:lvlText w:val="(%1)"/>
      <w:numFmt w:val="lowerLetter"/>
      <w:start w:val="3"/>
    </w:lvl>
  </w:abstractNum>
  <w:abstractNum w:abstractNumId="88">
    <w:nsid w:val="10DB9DAA"/>
    <w:multiLevelType w:val="hybridMultilevel"/>
    <w:lvl w:ilvl="0">
      <w:lvlJc w:val="left"/>
      <w:lvlText w:val="(%1)"/>
      <w:numFmt w:val="lowerLetter"/>
      <w:start w:val="1"/>
    </w:lvl>
  </w:abstractNum>
  <w:abstractNum w:abstractNumId="89">
    <w:nsid w:val="697D2D2"/>
    <w:multiLevelType w:val="hybridMultilevel"/>
    <w:lvl w:ilvl="0">
      <w:lvlJc w:val="left"/>
      <w:lvlText w:val="[%1]"/>
      <w:numFmt w:val="upperLetter"/>
      <w:start w:val="24"/>
    </w:lvl>
  </w:abstractNum>
  <w:abstractNum w:abstractNumId="90">
    <w:nsid w:val="6D68AB2"/>
    <w:multiLevelType w:val="hybridMultilevel"/>
    <w:lvl w:ilvl="0">
      <w:lvlJc w:val="left"/>
      <w:lvlText w:val="%1."/>
      <w:numFmt w:val="decimal"/>
      <w:start w:val="1"/>
    </w:lvl>
  </w:abstractNum>
  <w:abstractNum w:abstractNumId="91">
    <w:nsid w:val="3A966CD0"/>
    <w:multiLevelType w:val="hybridMultilevel"/>
    <w:lvl w:ilvl="0">
      <w:lvlJc w:val="left"/>
      <w:lvlText w:val="%1"/>
      <w:numFmt w:val="decimal"/>
      <w:start w:val="1"/>
    </w:lvl>
    <w:lvl w:ilvl="1">
      <w:lvlJc w:val="left"/>
      <w:lvlText w:val="(%2)"/>
      <w:numFmt w:val="lowerLetter"/>
      <w:start w:val="1"/>
    </w:lvl>
  </w:abstractNum>
  <w:abstractNum w:abstractNumId="92">
    <w:nsid w:val="63F37E85"/>
    <w:multiLevelType w:val="hybridMultilevel"/>
    <w:lvl w:ilvl="0">
      <w:lvlJc w:val="left"/>
      <w:lvlText w:val="%1."/>
      <w:numFmt w:val="decimal"/>
      <w:start w:val="3"/>
    </w:lvl>
    <w:lvl w:ilvl="1">
      <w:lvlJc w:val="left"/>
      <w:lvlText w:val="(%2)"/>
      <w:numFmt w:val="lowerLetter"/>
      <w:start w:val="1"/>
    </w:lvl>
  </w:abstractNum>
  <w:abstractNum w:abstractNumId="93">
    <w:nsid w:val="5895F5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94">
    <w:nsid w:val="38A5D05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5">
    <w:nsid w:val="F3F09D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96">
    <w:nsid w:val="4B793735"/>
    <w:multiLevelType w:val="hybridMultilevel"/>
    <w:lvl w:ilvl="0">
      <w:lvlJc w:val="left"/>
      <w:lvlText w:val="(%1)"/>
      <w:numFmt w:val="lowerLetter"/>
      <w:start w:val="2"/>
    </w:lvl>
    <w:lvl w:ilvl="1">
      <w:lvlJc w:val="left"/>
      <w:lvlText w:val="(%2)"/>
      <w:numFmt w:val="lowerRoman"/>
      <w:start w:val="1"/>
    </w:lvl>
  </w:abstractNum>
  <w:abstractNum w:abstractNumId="97">
    <w:nsid w:val="4A10B4E8"/>
    <w:multiLevelType w:val="hybridMultilevel"/>
    <w:lvl w:ilvl="0">
      <w:lvlJc w:val="left"/>
      <w:lvlText w:val="(%1)"/>
      <w:numFmt w:val="lowerRoman"/>
      <w:start w:val="3"/>
    </w:lvl>
  </w:abstractNum>
  <w:abstractNum w:abstractNumId="98">
    <w:nsid w:val="43D3BCD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9">
    <w:nsid w:val="4C2A716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0">
    <w:nsid w:val="2E534A82"/>
    <w:multiLevelType w:val="hybridMultilevel"/>
    <w:lvl w:ilvl="0">
      <w:lvlJc w:val="left"/>
      <w:lvlText w:val="%1."/>
      <w:numFmt w:val="decimal"/>
      <w:start w:val="8"/>
    </w:lvl>
    <w:lvl w:ilvl="1">
      <w:lvlJc w:val="left"/>
      <w:lvlText w:val="(%2)"/>
      <w:numFmt w:val="lowerLetter"/>
      <w:start w:val="1"/>
    </w:lvl>
  </w:abstractNum>
  <w:abstractNum w:abstractNumId="101">
    <w:nsid w:val="26F2D364"/>
    <w:multiLevelType w:val="hybridMultilevel"/>
    <w:lvl w:ilvl="0">
      <w:lvlJc w:val="left"/>
      <w:lvlText w:val="(%1)"/>
      <w:numFmt w:val="lowerLetter"/>
      <w:start w:val="2"/>
    </w:lvl>
  </w:abstractNum>
  <w:abstractNum w:abstractNumId="102">
    <w:nsid w:val="71C1AF98"/>
    <w:multiLevelType w:val="hybridMultilevel"/>
    <w:lvl w:ilvl="0">
      <w:lvlJc w:val="left"/>
      <w:lvlText w:val="%1."/>
      <w:numFmt w:val="decimal"/>
      <w:start w:val="11"/>
    </w:lvl>
    <w:lvl w:ilvl="1">
      <w:lvlJc w:val="left"/>
      <w:lvlText w:val="(%2)"/>
      <w:numFmt w:val="lowerLetter"/>
      <w:start w:val="1"/>
    </w:lvl>
  </w:abstractNum>
  <w:abstractNum w:abstractNumId="103">
    <w:nsid w:val="3D00B9D9"/>
    <w:multiLevelType w:val="hybridMultilevel"/>
    <w:lvl w:ilvl="0">
      <w:lvlJc w:val="left"/>
      <w:lvlText w:val="%1."/>
      <w:numFmt w:val="decimal"/>
      <w:start w:val="12"/>
    </w:lvl>
    <w:lvl w:ilvl="1">
      <w:lvlJc w:val="left"/>
      <w:lvlText w:val="(%2)"/>
      <w:numFmt w:val="lowerLetter"/>
      <w:start w:val="1"/>
    </w:lvl>
  </w:abstractNum>
  <w:abstractNum w:abstractNumId="104">
    <w:nsid w:val="15BCABA8"/>
    <w:multiLevelType w:val="hybridMultilevel"/>
    <w:lvl w:ilvl="0">
      <w:lvlJc w:val="left"/>
      <w:lvlText w:val="%1."/>
      <w:numFmt w:val="decimal"/>
      <w:start w:val="14"/>
    </w:lvl>
  </w:abstractNum>
  <w:abstractNum w:abstractNumId="105">
    <w:nsid w:val="4E0B9A87"/>
    <w:multiLevelType w:val="hybridMultilevel"/>
    <w:lvl w:ilvl="0">
      <w:lvlJc w:val="left"/>
      <w:lvlText w:val="%1."/>
      <w:numFmt w:val="decimal"/>
      <w:start w:val="17"/>
    </w:lvl>
    <w:lvl w:ilvl="1">
      <w:lvlJc w:val="left"/>
      <w:lvlText w:val="(%2)"/>
      <w:numFmt w:val="lowerLetter"/>
      <w:start w:val="1"/>
    </w:lvl>
  </w:abstractNum>
  <w:abstractNum w:abstractNumId="106">
    <w:nsid w:val="434BAE75"/>
    <w:multiLevelType w:val="hybridMultilevel"/>
    <w:lvl w:ilvl="0">
      <w:lvlJc w:val="left"/>
      <w:lvlText w:val="%1"/>
      <w:numFmt w:val="decimal"/>
      <w:start w:val="1"/>
    </w:lvl>
    <w:lvl w:ilvl="1">
      <w:lvlJc w:val="left"/>
      <w:lvlText w:val="(%2)"/>
      <w:numFmt w:val="lowerLetter"/>
      <w:start w:val="2"/>
    </w:lvl>
  </w:abstractNum>
  <w:abstractNum w:abstractNumId="107">
    <w:nsid w:val="4F38F265"/>
    <w:multiLevelType w:val="hybridMultilevel"/>
    <w:lvl w:ilvl="0">
      <w:lvlJc w:val="left"/>
      <w:lvlText w:val="%1."/>
      <w:numFmt w:val="decimal"/>
      <w:start w:val="19"/>
    </w:lvl>
    <w:lvl w:ilvl="1">
      <w:lvlJc w:val="left"/>
      <w:lvlText w:val="%2"/>
      <w:numFmt w:val="lowerLetter"/>
      <w:start w:val="1"/>
    </w:lvl>
  </w:abstractNum>
  <w:abstractNum w:abstractNumId="108">
    <w:nsid w:val="4C502870"/>
    <w:multiLevelType w:val="hybridMultilevel"/>
    <w:lvl w:ilvl="0">
      <w:lvlJc w:val="left"/>
      <w:lvlText w:val="%1."/>
      <w:numFmt w:val="decimal"/>
      <w:start w:val="22"/>
    </w:lvl>
    <w:lvl w:ilvl="1">
      <w:lvlJc w:val="left"/>
      <w:lvlText w:val="*"/>
      <w:numFmt w:val="bullet"/>
      <w:start w:val="1"/>
    </w:lvl>
  </w:abstractNum>
  <w:abstractNum w:abstractNumId="109">
    <w:nsid w:val="1DE8725A"/>
    <w:multiLevelType w:val="hybridMultilevel"/>
    <w:lvl w:ilvl="0">
      <w:lvlJc w:val="left"/>
      <w:lvlText w:val="%1."/>
      <w:numFmt w:val="decimal"/>
      <w:start w:val="1"/>
    </w:lvl>
  </w:abstractNum>
  <w:abstractNum w:abstractNumId="110">
    <w:nsid w:val="6A37288A"/>
    <w:multiLevelType w:val="hybridMultilevel"/>
    <w:lvl w:ilvl="0">
      <w:lvlJc w:val="left"/>
      <w:lvlText w:val="%1."/>
      <w:numFmt w:val="decimal"/>
      <w:start w:val="2"/>
    </w:lvl>
    <w:lvl w:ilvl="1">
      <w:lvlJc w:val="left"/>
      <w:lvlText w:val="(%2)"/>
      <w:numFmt w:val="lowerLetter"/>
      <w:start w:val="1"/>
    </w:lvl>
  </w:abstractNum>
  <w:abstractNum w:abstractNumId="111">
    <w:nsid w:val="8F8B73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12">
    <w:nsid w:val="CA6B462"/>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13">
    <w:nsid w:val="763CB680"/>
    <w:multiLevelType w:val="hybridMultilevel"/>
    <w:lvl w:ilvl="0">
      <w:lvlJc w:val="left"/>
      <w:lvlText w:val="%1."/>
      <w:numFmt w:val="decimal"/>
      <w:start w:val="6"/>
    </w:lvl>
    <w:lvl w:ilvl="1">
      <w:lvlJc w:val="left"/>
      <w:lvlText w:val="(%2)"/>
      <w:numFmt w:val="lowerLetter"/>
      <w:start w:val="1"/>
    </w:lvl>
  </w:abstractNum>
  <w:abstractNum w:abstractNumId="114">
    <w:nsid w:val="15B71329"/>
    <w:multiLevelType w:val="hybridMultilevel"/>
    <w:lvl w:ilvl="0">
      <w:lvlJc w:val="left"/>
      <w:lvlText w:val="(%1)"/>
      <w:numFmt w:val="lowerRoman"/>
      <w:start w:val="1"/>
    </w:lvl>
  </w:abstractNum>
  <w:abstractNum w:abstractNumId="115">
    <w:nsid w:val="3DA97044"/>
    <w:multiLevelType w:val="hybridMultilevel"/>
    <w:lvl w:ilvl="0">
      <w:lvlJc w:val="left"/>
      <w:lvlText w:val="%1"/>
      <w:numFmt w:val="lowerLetter"/>
      <w:start w:val="1"/>
    </w:lvl>
    <w:lvl w:ilvl="1">
      <w:lvlJc w:val="left"/>
      <w:lvlText w:val="(%2)"/>
      <w:numFmt w:val="lowerRoman"/>
      <w:start w:val="5"/>
    </w:lvl>
  </w:abstractNum>
  <w:abstractNum w:abstractNumId="116">
    <w:nsid w:val="1CDCE2DE"/>
    <w:multiLevelType w:val="hybridMultilevel"/>
    <w:lvl w:ilvl="0">
      <w:lvlJc w:val="left"/>
      <w:lvlText w:val="(%1)"/>
      <w:numFmt w:val="lowerLetter"/>
      <w:start w:val="3"/>
    </w:lvl>
    <w:lvl w:ilvl="1">
      <w:lvlJc w:val="left"/>
      <w:lvlText w:val="(%2)"/>
      <w:numFmt w:val="lowerRoman"/>
      <w:start w:val="1"/>
    </w:lvl>
  </w:abstractNum>
  <w:abstractNum w:abstractNumId="117">
    <w:nsid w:val="69D3947C"/>
    <w:multiLevelType w:val="hybridMultilevel"/>
    <w:lvl w:ilvl="0">
      <w:lvlJc w:val="left"/>
      <w:lvlText w:val="%1"/>
      <w:numFmt w:val="decimal"/>
      <w:start w:val="1"/>
    </w:lvl>
    <w:lvl w:ilvl="1">
      <w:lvlJc w:val="left"/>
      <w:lvlText w:val="(%2)"/>
      <w:numFmt w:val="lowerRoman"/>
      <w:start w:val="2"/>
    </w:lvl>
  </w:abstractNum>
  <w:abstractNum w:abstractNumId="118">
    <w:nsid w:val="2539DFA5"/>
    <w:multiLevelType w:val="hybridMultilevel"/>
    <w:lvl w:ilvl="0">
      <w:lvlJc w:val="left"/>
      <w:lvlText w:val="%1."/>
      <w:numFmt w:val="decimal"/>
      <w:start w:val="7"/>
    </w:lvl>
    <w:lvl w:ilvl="1">
      <w:lvlJc w:val="left"/>
      <w:lvlText w:val="%2"/>
      <w:numFmt w:val="lowerRoman"/>
      <w:start w:val="1"/>
    </w:lvl>
  </w:abstractNum>
  <w:abstractNum w:abstractNumId="119">
    <w:nsid w:val="2DB88089"/>
    <w:multiLevelType w:val="hybridMultilevel"/>
    <w:lvl w:ilvl="0">
      <w:lvlJc w:val="left"/>
      <w:lvlText w:val="%1"/>
      <w:numFmt w:val="decimal"/>
      <w:start w:val="1"/>
    </w:lvl>
    <w:lvl w:ilvl="1">
      <w:lvlJc w:val="left"/>
      <w:lvlText w:val="(%2)"/>
      <w:numFmt w:val="lowerLetter"/>
      <w:start w:val="1"/>
    </w:lvl>
  </w:abstractNum>
  <w:abstractNum w:abstractNumId="120">
    <w:nsid w:val="706B674E"/>
    <w:multiLevelType w:val="hybridMultilevel"/>
    <w:lvl w:ilvl="0">
      <w:lvlJc w:val="left"/>
      <w:lvlText w:val="%1."/>
      <w:numFmt w:val="decimal"/>
      <w:start w:val="10"/>
    </w:lvl>
    <w:lvl w:ilvl="1">
      <w:lvlJc w:val="left"/>
      <w:lvlText w:val="(%2)"/>
      <w:numFmt w:val="lowerLetter"/>
      <w:start w:val="1"/>
    </w:lvl>
  </w:abstractNum>
  <w:abstractNum w:abstractNumId="121">
    <w:nsid w:val="2C106A57"/>
    <w:multiLevelType w:val="hybridMultilevel"/>
    <w:lvl w:ilvl="0">
      <w:lvlJc w:val="left"/>
      <w:lvlText w:val="(%1)"/>
      <w:numFmt w:val="lowerLetter"/>
      <w:start w:val="2"/>
    </w:lvl>
  </w:abstractNum>
  <w:abstractNum w:abstractNumId="122">
    <w:nsid w:val="684EED59"/>
    <w:multiLevelType w:val="hybridMultilevel"/>
    <w:lvl w:ilvl="0">
      <w:lvlJc w:val="left"/>
      <w:lvlText w:val="%1"/>
      <w:numFmt w:val="decimal"/>
      <w:start w:val="1"/>
    </w:lvl>
    <w:lvl w:ilvl="1">
      <w:lvlJc w:val="left"/>
      <w:lvlText w:val="(%2)"/>
      <w:numFmt w:val="lowerLetter"/>
      <w:start w:val="4"/>
    </w:lvl>
  </w:abstractNum>
  <w:abstractNum w:abstractNumId="123">
    <w:nsid w:val="545EE5D3"/>
    <w:multiLevelType w:val="hybridMultilevel"/>
    <w:lvl w:ilvl="0">
      <w:lvlJc w:val="left"/>
      <w:lvlText w:val="%1."/>
      <w:numFmt w:val="decimal"/>
      <w:start w:val="11"/>
    </w:lvl>
    <w:lvl w:ilvl="1">
      <w:lvlJc w:val="left"/>
      <w:lvlText w:val="(%2)"/>
      <w:numFmt w:val="lowerLetter"/>
      <w:start w:val="1"/>
    </w:lvl>
  </w:abstractNum>
  <w:abstractNum w:abstractNumId="124">
    <w:nsid w:val="4A66051"/>
    <w:multiLevelType w:val="hybridMultilevel"/>
    <w:lvl w:ilvl="0">
      <w:lvlJc w:val="left"/>
      <w:lvlText w:val="(%1)"/>
      <w:numFmt w:val="lowerLetter"/>
      <w:start w:val="22"/>
    </w:lvl>
    <w:lvl w:ilvl="1">
      <w:lvlJc w:val="left"/>
      <w:lvlText w:val="%2."/>
      <w:numFmt w:val="decimal"/>
      <w:start w:val="11"/>
    </w:lvl>
    <w:lvl w:ilvl="2">
      <w:lvlJc w:val="left"/>
      <w:lvlText w:val="(%3)"/>
      <w:numFmt w:val="lowerLetter"/>
      <w:start w:val="4"/>
    </w:lvl>
  </w:abstractNum>
  <w:abstractNum w:abstractNumId="125">
    <w:nsid w:val="20F4BDA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6">
    <w:nsid w:val="639DEFAC"/>
    <w:multiLevelType w:val="hybridMultilevel"/>
    <w:lvl w:ilvl="0">
      <w:lvlJc w:val="left"/>
      <w:lvlText w:val="%1"/>
      <w:numFmt w:val="decimal"/>
      <w:start w:val="1"/>
    </w:lvl>
    <w:lvl w:ilvl="1">
      <w:lvlJc w:val="left"/>
      <w:lvlText w:val="(%2)"/>
      <w:numFmt w:val="lowerLetter"/>
      <w:start w:val="2"/>
    </w:lvl>
  </w:abstractNum>
  <w:abstractNum w:abstractNumId="127">
    <w:nsid w:val="501F9786"/>
    <w:multiLevelType w:val="hybridMultilevel"/>
    <w:lvl w:ilvl="0">
      <w:lvlJc w:val="left"/>
      <w:lvlText w:val="%1."/>
      <w:numFmt w:val="decimal"/>
      <w:start w:val="13"/>
    </w:lvl>
    <w:lvl w:ilvl="1">
      <w:lvlJc w:val="left"/>
      <w:lvlText w:val="%2"/>
      <w:numFmt w:val="lowerLetter"/>
      <w:start w:val="1"/>
    </w:lvl>
  </w:abstractNum>
  <w:abstractNum w:abstractNumId="128">
    <w:nsid w:val="6B057295"/>
    <w:multiLevelType w:val="hybridMultilevel"/>
    <w:lvl w:ilvl="0">
      <w:lvlJc w:val="left"/>
      <w:lvlText w:val="%1."/>
      <w:numFmt w:val="decimal"/>
      <w:start w:val="15"/>
    </w:lvl>
    <w:lvl w:ilvl="1">
      <w:lvlJc w:val="left"/>
      <w:lvlText w:val="(%2)"/>
      <w:numFmt w:val="lowerLetter"/>
      <w:start w:val="1"/>
    </w:lvl>
  </w:abstractNum>
  <w:abstractNum w:abstractNumId="129">
    <w:nsid w:val="2771AC80"/>
    <w:multiLevelType w:val="hybridMultilevel"/>
    <w:lvl w:ilvl="0">
      <w:lvlJc w:val="left"/>
      <w:lvlText w:val="%1"/>
      <w:numFmt w:val="decimal"/>
      <w:start w:val="1"/>
    </w:lvl>
    <w:lvl w:ilvl="1">
      <w:lvlJc w:val="left"/>
      <w:lvlText w:val="(%2)"/>
      <w:numFmt w:val="lowerLetter"/>
      <w:start w:val="10"/>
    </w:lvl>
  </w:abstractNum>
  <w:abstractNum w:abstractNumId="130">
    <w:nsid w:val="1C4A08EC"/>
    <w:multiLevelType w:val="hybridMultilevel"/>
    <w:lvl w:ilvl="0">
      <w:lvlJc w:val="left"/>
      <w:lvlText w:val="%1."/>
      <w:numFmt w:val="decimal"/>
      <w:start w:val="16"/>
    </w:lvl>
    <w:lvl w:ilvl="1">
      <w:lvlJc w:val="left"/>
      <w:lvlText w:val="%2"/>
      <w:numFmt w:val="lowerLetter"/>
      <w:start w:val="1"/>
    </w:lvl>
  </w:abstractNum>
  <w:abstractNum w:abstractNumId="131">
    <w:nsid w:val="1958BD17"/>
    <w:multiLevelType w:val="hybridMultilevel"/>
    <w:lvl w:ilvl="0">
      <w:lvlJc w:val="left"/>
      <w:lvlText w:val="%1."/>
      <w:numFmt w:val="decimal"/>
      <w:start w:val="19"/>
    </w:lvl>
  </w:abstractNum>
  <w:abstractNum w:abstractNumId="132">
    <w:nsid w:val="4E647FE4"/>
    <w:multiLevelType w:val="hybridMultilevel"/>
    <w:lvl w:ilvl="0">
      <w:lvlJc w:val="left"/>
      <w:lvlText w:val="%1."/>
      <w:numFmt w:val="decimal"/>
      <w:start w:val="20"/>
    </w:lvl>
    <w:lvl w:ilvl="1">
      <w:lvlJc w:val="left"/>
      <w:lvlText w:val="(%2)"/>
      <w:numFmt w:val="lowerLetter"/>
      <w:start w:val="1"/>
    </w:lvl>
  </w:abstractNum>
  <w:abstractNum w:abstractNumId="133">
    <w:nsid w:val="E0BB885"/>
    <w:multiLevelType w:val="hybridMultilevel"/>
    <w:lvl w:ilvl="0">
      <w:lvlJc w:val="left"/>
      <w:lvlText w:val="%1"/>
      <w:numFmt w:val="decimal"/>
      <w:start w:val="1"/>
    </w:lvl>
    <w:lvl w:ilvl="1">
      <w:lvlJc w:val="left"/>
      <w:lvlText w:val="(%2)"/>
      <w:numFmt w:val="lowerLetter"/>
      <w:start w:val="6"/>
    </w:lvl>
  </w:abstractNum>
  <w:abstractNum w:abstractNumId="134">
    <w:nsid w:val="565976F1"/>
    <w:multiLevelType w:val="hybridMultilevel"/>
    <w:lvl w:ilvl="0">
      <w:lvlJc w:val="left"/>
      <w:lvlText w:val="%1."/>
      <w:numFmt w:val="decimal"/>
      <w:start w:val="23"/>
    </w:lvl>
    <w:lvl w:ilvl="1">
      <w:lvlJc w:val="left"/>
      <w:lvlText w:val="%2"/>
      <w:numFmt w:val="lowerLetter"/>
      <w:start w:val="1"/>
    </w:lvl>
  </w:abstractNum>
  <w:abstractNum w:abstractNumId="135">
    <w:nsid w:val="64212B8C"/>
    <w:multiLevelType w:val="hybridMultilevel"/>
    <w:lvl w:ilvl="0">
      <w:lvlJc w:val="left"/>
      <w:lvlText w:val="%1."/>
      <w:numFmt w:val="decimal"/>
      <w:start w:val="26"/>
    </w:lvl>
    <w:lvl w:ilvl="1">
      <w:lvlJc w:val="left"/>
      <w:lvlText w:val="*"/>
      <w:numFmt w:val="bullet"/>
      <w:start w:val="1"/>
    </w:lvl>
  </w:abstractNum>
  <w:abstractNum w:abstractNumId="136">
    <w:nsid w:val="5C17530C"/>
    <w:multiLevelType w:val="hybridMultilevel"/>
    <w:lvl w:ilvl="0">
      <w:lvlJc w:val="left"/>
      <w:lvlText w:val="(%1)"/>
      <w:numFmt w:val="lowerLetter"/>
      <w:start w:val="1"/>
    </w:lvl>
  </w:abstractNum>
  <w:abstractNum w:abstractNumId="137">
    <w:nsid w:val="19A52566"/>
    <w:multiLevelType w:val="hybridMultilevel"/>
    <w:lvl w:ilvl="0">
      <w:lvlJc w:val="left"/>
      <w:lvlText w:val="/"/>
      <w:numFmt w:val="bullet"/>
      <w:start w:val="1"/>
    </w:lvl>
  </w:abstractNum>
  <w:abstractNum w:abstractNumId="138">
    <w:nsid w:val="335A1DF1"/>
    <w:multiLevelType w:val="hybridMultilevel"/>
    <w:lvl w:ilvl="0">
      <w:lvlJc w:val="left"/>
      <w:lvlText w:val="à"/>
      <w:numFmt w:val="bullet"/>
      <w:start w:val="1"/>
    </w:lvl>
  </w:abstractNum>
  <w:abstractNum w:abstractNumId="139">
    <w:nsid w:val="28677B7C"/>
    <w:multiLevelType w:val="hybridMultilevel"/>
    <w:lvl w:ilvl="0">
      <w:lvlJc w:val="left"/>
      <w:lvlText w:val="%1."/>
      <w:numFmt w:val="decimal"/>
      <w:start w:val="10"/>
    </w:lvl>
    <w:lvl w:ilvl="1">
      <w:lvlJc w:val="left"/>
      <w:lvlText w:val="(%2)"/>
      <w:numFmt w:val="lowerLetter"/>
      <w:start w:val="1"/>
    </w:lvl>
  </w:abstractNum>
  <w:abstractNum w:abstractNumId="140">
    <w:nsid w:val="378D97C0"/>
    <w:multiLevelType w:val="hybridMultilevel"/>
    <w:lvl w:ilvl="0">
      <w:lvlJc w:val="left"/>
      <w:lvlText w:val="(%1)"/>
      <w:numFmt w:val="lowerLetter"/>
      <w:start w:val="2"/>
    </w:lvl>
  </w:abstractNum>
  <w:abstractNum w:abstractNumId="141">
    <w:nsid w:val="1D91467C"/>
    <w:multiLevelType w:val="hybridMultilevel"/>
    <w:lvl w:ilvl="0">
      <w:lvlJc w:val="left"/>
      <w:lvlText w:val="%1."/>
      <w:numFmt w:val="decimal"/>
      <w:start w:val="10"/>
    </w:lvl>
    <w:lvl w:ilvl="1">
      <w:lvlJc w:val="left"/>
      <w:lvlText w:val="(%2)"/>
      <w:numFmt w:val="lowerLetter"/>
      <w:start w:val="1"/>
    </w:lvl>
  </w:abstractNum>
  <w:abstractNum w:abstractNumId="142">
    <w:nsid w:val="316032BB"/>
    <w:multiLevelType w:val="hybridMultilevel"/>
    <w:lvl w:ilvl="0">
      <w:lvlJc w:val="left"/>
      <w:lvlText w:val="(%1)"/>
      <w:numFmt w:val="lowerLetter"/>
      <w:start w:val="2"/>
    </w:lvl>
  </w:abstractNum>
  <w:abstractNum w:abstractNumId="143">
    <w:nsid w:val="44344C22"/>
    <w:multiLevelType w:val="hybridMultilevel"/>
    <w:lvl w:ilvl="0">
      <w:lvlJc w:val="left"/>
      <w:lvlText w:val="(%1)"/>
      <w:numFmt w:val="decimal"/>
      <w:start w:val="1"/>
    </w:lvl>
  </w:abstractNum>
  <w:abstractNum w:abstractNumId="144">
    <w:nsid w:val="13CDFCFC"/>
    <w:multiLevelType w:val="hybridMultilevel"/>
    <w:lvl w:ilvl="0">
      <w:lvlJc w:val="left"/>
      <w:lvlText w:val="%1."/>
      <w:numFmt w:val="upperLetter"/>
      <w:start w:val="1"/>
    </w:lvl>
  </w:abstractNum>
  <w:abstractNum w:abstractNumId="145">
    <w:nsid w:val="471745E4"/>
    <w:multiLevelType w:val="hybridMultilevel"/>
    <w:lvl w:ilvl="0">
      <w:lvlJc w:val="left"/>
      <w:lvlText w:val="(%1)"/>
      <w:numFmt w:val="lowerLetter"/>
      <w:start w:val="1"/>
    </w:lvl>
    <w:lvl w:ilvl="1">
      <w:lvlJc w:val="left"/>
      <w:lvlText w:val="(%2)"/>
      <w:numFmt w:val="lowerLetter"/>
      <w:start w:val="9"/>
    </w:lvl>
  </w:abstractNum>
  <w:abstractNum w:abstractNumId="146">
    <w:nsid w:val="1DDBC66"/>
    <w:multiLevelType w:val="hybridMultilevel"/>
    <w:lvl w:ilvl="0">
      <w:lvlJc w:val="left"/>
      <w:lvlText w:val="(%1)"/>
      <w:numFmt w:val="decimal"/>
      <w:start w:val="1"/>
    </w:lvl>
  </w:abstractNum>
  <w:abstractNum w:abstractNumId="147">
    <w:nsid w:val="30AADFDA"/>
    <w:multiLevelType w:val="hybridMultilevel"/>
    <w:lvl w:ilvl="0">
      <w:lvlJc w:val="left"/>
      <w:lvlText w:val="(%1)"/>
      <w:numFmt w:val="decimal"/>
      <w:start w:val="5"/>
    </w:lvl>
    <w:lvl w:ilvl="1">
      <w:lvlJc w:val="left"/>
      <w:lvlText w:val="(%2)"/>
      <w:numFmt w:val="lowerRoman"/>
      <w:start w:val="2"/>
    </w:lvl>
  </w:abstractNum>
  <w:abstractNum w:abstractNumId="148">
    <w:nsid w:val="30EADA61"/>
    <w:multiLevelType w:val="hybridMultilevel"/>
    <w:lvl w:ilvl="0">
      <w:lvlJc w:val="left"/>
      <w:lvlText w:val="(%1)"/>
      <w:numFmt w:val="lowerLetter"/>
      <w:start w:val="3"/>
    </w:lvl>
  </w:abstractNum>
  <w:abstractNum w:abstractNumId="149">
    <w:nsid w:val="27179C0B"/>
    <w:multiLevelType w:val="hybridMultilevel"/>
    <w:lvl w:ilvl="0">
      <w:lvlJc w:val="left"/>
      <w:lvlText w:val="%1."/>
      <w:numFmt w:val="decimal"/>
      <w:start w:val="12"/>
    </w:lvl>
  </w:abstractNum>
  <w:abstractNum w:abstractNumId="150">
    <w:nsid w:val="5E636063"/>
    <w:multiLevelType w:val="hybridMultilevel"/>
    <w:lvl w:ilvl="0">
      <w:lvlJc w:val="left"/>
      <w:lvlText w:val="(%1)"/>
      <w:numFmt w:val="lowerLetter"/>
      <w:start w:val="1"/>
    </w:lvl>
    <w:lvl w:ilvl="1">
      <w:lvlJc w:val="left"/>
      <w:lvlText w:val="(%2)"/>
      <w:numFmt w:val="lowerRoman"/>
      <w:start w:val="1"/>
    </w:lvl>
  </w:abstractNum>
  <w:abstractNum w:abstractNumId="151">
    <w:nsid w:val="215641AF"/>
    <w:multiLevelType w:val="hybridMultilevel"/>
    <w:lvl w:ilvl="0">
      <w:lvlJc w:val="left"/>
      <w:lvlText w:val="%1"/>
      <w:numFmt w:val="lowerLetter"/>
      <w:start w:val="1"/>
    </w:lvl>
    <w:lvl w:ilvl="1">
      <w:lvlJc w:val="left"/>
      <w:lvlText w:val="(%2)"/>
      <w:numFmt w:val="lowerRoman"/>
      <w:start w:val="3"/>
    </w:lvl>
  </w:abstractNum>
  <w:abstractNum w:abstractNumId="152">
    <w:nsid w:val="53280662"/>
    <w:multiLevelType w:val="hybridMultilevel"/>
    <w:lvl w:ilvl="0">
      <w:lvlJc w:val="left"/>
      <w:lvlText w:val="(%1)"/>
      <w:numFmt w:val="lowerLetter"/>
      <w:start w:val="2"/>
    </w:lvl>
    <w:lvl w:ilvl="1">
      <w:lvlJc w:val="left"/>
      <w:lvlText w:val="%2"/>
      <w:numFmt w:val="lowerRoman"/>
      <w:start w:val="1"/>
    </w:lvl>
  </w:abstractNum>
  <w:abstractNum w:abstractNumId="153">
    <w:nsid w:val="46B24DBC"/>
    <w:multiLevelType w:val="hybridMultilevel"/>
    <w:lvl w:ilvl="0">
      <w:lvlJc w:val="left"/>
      <w:lvlText w:val="%1."/>
      <w:numFmt w:val="decimal"/>
      <w:start w:val="14"/>
    </w:lvl>
  </w:abstractNum>
  <w:abstractNum w:abstractNumId="154">
    <w:nsid w:val="75B52783"/>
    <w:multiLevelType w:val="hybridMultilevel"/>
    <w:lvl w:ilvl="0">
      <w:lvlJc w:val="left"/>
      <w:lvlText w:val="(%1)"/>
      <w:numFmt w:val="lowerLetter"/>
      <w:start w:val="1"/>
    </w:lvl>
    <w:lvl w:ilvl="1">
      <w:lvlJc w:val="left"/>
      <w:lvlText w:val="(%2)"/>
      <w:numFmt w:val="lowerLetter"/>
      <w:start w:val="9"/>
    </w:lvl>
  </w:abstractNum>
  <w:abstractNum w:abstractNumId="155">
    <w:nsid w:val="57CE66B4"/>
    <w:multiLevelType w:val="hybridMultilevel"/>
    <w:lvl w:ilvl="0">
      <w:lvlJc w:val="left"/>
      <w:lvlText w:val="(%1)"/>
      <w:numFmt w:val="lowerRoman"/>
      <w:start w:val="2"/>
    </w:lvl>
  </w:abstractNum>
  <w:abstractNum w:abstractNumId="156">
    <w:nsid w:val="67A70B69"/>
    <w:multiLevelType w:val="hybridMultilevel"/>
    <w:lvl w:ilvl="0">
      <w:lvlJc w:val="left"/>
      <w:lvlText w:val="[%1]"/>
      <w:numFmt w:val="upperLetter"/>
      <w:start w:val="24"/>
    </w:lvl>
  </w:abstractNum>
  <w:abstractNum w:abstractNumId="157">
    <w:nsid w:val="5953172F"/>
    <w:multiLevelType w:val="hybridMultilevel"/>
    <w:lvl w:ilvl="0">
      <w:lvlJc w:val="left"/>
      <w:lvlText w:val="%1."/>
      <w:numFmt w:val="decimal"/>
      <w:start w:val="1"/>
    </w:lvl>
  </w:abstractNum>
  <w:abstractNum w:abstractNumId="158">
    <w:nsid w:val="27EDFE3A"/>
    <w:multiLevelType w:val="hybridMultilevel"/>
    <w:lvl w:ilvl="0">
      <w:lvlJc w:val="left"/>
      <w:lvlText w:val="(%1)"/>
      <w:numFmt w:val="lowerLetter"/>
      <w:start w:val="1"/>
    </w:lvl>
    <w:lvl w:ilvl="1">
      <w:lvlJc w:val="left"/>
      <w:lvlText w:val="(%2)"/>
      <w:numFmt w:val="decimal"/>
      <w:start w:val="1"/>
    </w:lvl>
  </w:abstractNum>
  <w:abstractNum w:abstractNumId="159">
    <w:nsid w:val="52AC7DF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60">
    <w:nsid w:val="C4C3AF"/>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61">
    <w:nsid w:val="44380727"/>
    <w:multiLevelType w:val="hybridMultilevel"/>
    <w:lvl w:ilvl="0">
      <w:lvlJc w:val="left"/>
      <w:lvlText w:val="(%1)"/>
      <w:numFmt w:val="lowerLetter"/>
      <w:start w:val="2"/>
    </w:lvl>
    <w:lvl w:ilvl="1">
      <w:lvlJc w:val="left"/>
      <w:lvlText w:val="(%2)"/>
      <w:numFmt w:val="lowerLetter"/>
      <w:start w:val="9"/>
    </w:lvl>
  </w:abstractNum>
  <w:abstractNum w:abstractNumId="162">
    <w:nsid w:val="6C053B16"/>
    <w:multiLevelType w:val="hybridMultilevel"/>
    <w:lvl w:ilvl="0">
      <w:lvlJc w:val="left"/>
      <w:lvlText w:val="(%1)"/>
      <w:numFmt w:val="lowerRoman"/>
      <w:start w:val="2"/>
    </w:lvl>
  </w:abstractNum>
  <w:abstractNum w:abstractNumId="163">
    <w:nsid w:val="4F294393"/>
    <w:multiLevelType w:val="hybridMultilevel"/>
    <w:lvl w:ilvl="0">
      <w:lvlJc w:val="left"/>
      <w:lvlText w:val="(%1)"/>
      <w:numFmt w:val="lowerLetter"/>
      <w:start w:val="3"/>
    </w:lvl>
    <w:lvl w:ilvl="1">
      <w:lvlJc w:val="left"/>
      <w:lvlText w:val="(%2)"/>
      <w:numFmt w:val="lowerRoman"/>
      <w:start w:val="1"/>
    </w:lvl>
  </w:abstractNum>
  <w:abstractNum w:abstractNumId="164">
    <w:nsid w:val="5243BFAC"/>
    <w:multiLevelType w:val="hybridMultilevel"/>
    <w:lvl w:ilvl="0">
      <w:lvlJc w:val="left"/>
      <w:lvlText w:val="%1."/>
      <w:numFmt w:val="decimal"/>
      <w:start w:val="7"/>
    </w:lvl>
    <w:lvl w:ilvl="1">
      <w:lvlJc w:val="left"/>
      <w:lvlText w:val="(%2)"/>
      <w:numFmt w:val="lowerLetter"/>
      <w:start w:val="1"/>
    </w:lvl>
  </w:abstractNum>
  <w:abstractNum w:abstractNumId="165">
    <w:nsid w:val="425EB207"/>
    <w:multiLevelType w:val="hybridMultilevel"/>
    <w:lvl w:ilvl="0">
      <w:lvlJc w:val="left"/>
      <w:lvlText w:val="%1."/>
      <w:numFmt w:val="decimal"/>
      <w:start w:val="10"/>
    </w:lvl>
    <w:lvl w:ilvl="1">
      <w:lvlJc w:val="left"/>
      <w:lvlText w:val="(%2)"/>
      <w:numFmt w:val="lowerLetter"/>
      <w:start w:val="1"/>
    </w:lvl>
  </w:abstractNum>
  <w:abstractNum w:abstractNumId="166">
    <w:nsid w:val="334A6F1F"/>
    <w:multiLevelType w:val="hybridMultilevel"/>
    <w:lvl w:ilvl="0">
      <w:lvlJc w:val="left"/>
      <w:lvlText w:val="%1"/>
      <w:numFmt w:val="decimal"/>
      <w:start w:val="1"/>
    </w:lvl>
    <w:lvl w:ilvl="1">
      <w:lvlJc w:val="left"/>
      <w:lvlText w:val="(%2)"/>
      <w:numFmt w:val="lowerLetter"/>
      <w:start w:val="4"/>
    </w:lvl>
  </w:abstractNum>
  <w:abstractNum w:abstractNumId="167">
    <w:nsid w:val="2E5B12B8"/>
    <w:multiLevelType w:val="hybridMultilevel"/>
    <w:lvl w:ilvl="0">
      <w:lvlJc w:val="left"/>
      <w:lvlText w:val="%1."/>
      <w:numFmt w:val="decimal"/>
      <w:start w:val="11"/>
    </w:lvl>
    <w:lvl w:ilvl="1">
      <w:lvlJc w:val="left"/>
      <w:lvlText w:val="(%2)"/>
      <w:numFmt w:val="lowerLetter"/>
      <w:start w:val="1"/>
    </w:lvl>
  </w:abstractNum>
  <w:abstractNum w:abstractNumId="168">
    <w:nsid w:val="5C03D76D"/>
    <w:multiLevelType w:val="hybridMultilevel"/>
    <w:lvl w:ilvl="0">
      <w:lvlJc w:val="left"/>
      <w:lvlText w:val="%1"/>
      <w:numFmt w:val="decimal"/>
      <w:start w:val="1"/>
    </w:lvl>
    <w:lvl w:ilvl="1">
      <w:lvlJc w:val="left"/>
      <w:lvlText w:val="(%2)"/>
      <w:numFmt w:val="lowerLetter"/>
      <w:start w:val="2"/>
    </w:lvl>
  </w:abstractNum>
  <w:abstractNum w:abstractNumId="169">
    <w:nsid w:val="66A48D11"/>
    <w:multiLevelType w:val="hybridMultilevel"/>
    <w:lvl w:ilvl="0">
      <w:lvlJc w:val="left"/>
      <w:lvlText w:val="%1."/>
      <w:numFmt w:val="decimal"/>
      <w:start w:val="13"/>
    </w:lvl>
    <w:lvl w:ilvl="1">
      <w:lvlJc w:val="left"/>
      <w:lvlText w:val="%2"/>
      <w:numFmt w:val="lowerLetter"/>
      <w:start w:val="1"/>
    </w:lvl>
  </w:abstractNum>
  <w:abstractNum w:abstractNumId="170">
    <w:nsid w:val="56C28E34"/>
    <w:multiLevelType w:val="hybridMultilevel"/>
    <w:lvl w:ilvl="0">
      <w:lvlJc w:val="left"/>
      <w:lvlText w:val="%1."/>
      <w:numFmt w:val="decimal"/>
      <w:start w:val="16"/>
    </w:lvl>
  </w:abstractNum>
  <w:abstractNum w:abstractNumId="171">
    <w:nsid w:val="13916F2D"/>
    <w:multiLevelType w:val="hybridMultilevel"/>
    <w:lvl w:ilvl="0">
      <w:lvlJc w:val="left"/>
      <w:lvlText w:val="%1."/>
      <w:numFmt w:val="decimal"/>
      <w:start w:val="17"/>
    </w:lvl>
    <w:lvl w:ilvl="1">
      <w:lvlJc w:val="left"/>
      <w:lvlText w:val="(%2)"/>
      <w:numFmt w:val="lowerLetter"/>
      <w:start w:val="1"/>
    </w:lvl>
  </w:abstractNum>
  <w:abstractNum w:abstractNumId="172">
    <w:nsid w:val="435D38D"/>
    <w:multiLevelType w:val="hybridMultilevel"/>
    <w:lvl w:ilvl="0">
      <w:lvlJc w:val="left"/>
      <w:lvlText w:val="%1"/>
      <w:numFmt w:val="decimal"/>
      <w:start w:val="1"/>
    </w:lvl>
    <w:lvl w:ilvl="1">
      <w:lvlJc w:val="left"/>
      <w:lvlText w:val="(%2)"/>
      <w:numFmt w:val="lowerLetter"/>
      <w:start w:val="5"/>
    </w:lvl>
  </w:abstractNum>
  <w:abstractNum w:abstractNumId="173">
    <w:nsid w:val="822C0EF"/>
    <w:multiLevelType w:val="hybridMultilevel"/>
    <w:lvl w:ilvl="0">
      <w:lvlJc w:val="left"/>
      <w:lvlText w:val="%1."/>
      <w:numFmt w:val="decimal"/>
      <w:start w:val="19"/>
    </w:lvl>
    <w:lvl w:ilvl="1">
      <w:lvlJc w:val="left"/>
      <w:lvlText w:val="%2"/>
      <w:numFmt w:val="lowerLetter"/>
      <w:start w:val="1"/>
    </w:lvl>
  </w:abstractNum>
  <w:abstractNum w:abstractNumId="174">
    <w:nsid w:val="57C5BB4F"/>
    <w:multiLevelType w:val="hybridMultilevel"/>
    <w:lvl w:ilvl="0">
      <w:lvlJc w:val="left"/>
      <w:lvlText w:val="%1."/>
      <w:numFmt w:val="decimal"/>
      <w:start w:val="24"/>
    </w:lvl>
    <w:lvl w:ilvl="1">
      <w:lvlJc w:val="left"/>
      <w:lvlText w:val="*"/>
      <w:numFmt w:val="bullet"/>
      <w:start w:val="1"/>
    </w:lvl>
  </w:abstractNum>
  <w:abstractNum w:abstractNumId="175">
    <w:nsid w:val="1803D089"/>
    <w:multiLevelType w:val="hybridMultilevel"/>
    <w:lvl w:ilvl="0">
      <w:lvlJc w:val="left"/>
      <w:lvlText w:val="%1."/>
      <w:numFmt w:val="decimal"/>
      <w:start w:val="1"/>
    </w:lvl>
  </w:abstractNum>
  <w:abstractNum w:abstractNumId="176">
    <w:nsid w:val="4F3A06D4"/>
    <w:multiLevelType w:val="hybridMultilevel"/>
    <w:lvl w:ilvl="0">
      <w:lvlJc w:val="left"/>
      <w:lvlText w:val="(%1)"/>
      <w:numFmt w:val="lowerLetter"/>
      <w:start w:val="1"/>
    </w:lvl>
    <w:lvl w:ilvl="1">
      <w:lvlJc w:val="left"/>
      <w:lvlText w:val="(%2)"/>
      <w:numFmt w:val="decimal"/>
      <w:start w:val="1"/>
    </w:lvl>
  </w:abstractNum>
  <w:abstractNum w:abstractNumId="177">
    <w:nsid w:val="59A377B6"/>
    <w:multiLevelType w:val="hybridMultilevel"/>
    <w:lvl w:ilvl="0">
      <w:lvlJc w:val="left"/>
      <w:lvlText w:val="%1."/>
      <w:numFmt w:val="decimal"/>
      <w:start w:val="3"/>
    </w:lvl>
  </w:abstractNum>
  <w:abstractNum w:abstractNumId="178">
    <w:nsid w:val="48AEB0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9">
    <w:nsid w:val="24E13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80">
    <w:nsid w:val="BB13C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81">
    <w:nsid w:val="271210C7"/>
    <w:multiLevelType w:val="hybridMultilevel"/>
    <w:lvl w:ilvl="0">
      <w:lvlJc w:val="left"/>
      <w:lvlText w:val="(%1)"/>
      <w:numFmt w:val="lowerLetter"/>
      <w:start w:val="2"/>
    </w:lvl>
    <w:lvl w:ilvl="1">
      <w:lvlJc w:val="left"/>
      <w:lvlText w:val="(%2)"/>
      <w:numFmt w:val="lowerLetter"/>
      <w:start w:val="9"/>
    </w:lvl>
  </w:abstractNum>
  <w:abstractNum w:abstractNumId="182">
    <w:nsid w:val="217B22E4"/>
    <w:multiLevelType w:val="hybridMultilevel"/>
    <w:lvl w:ilvl="0">
      <w:lvlJc w:val="left"/>
      <w:lvlText w:val="%1"/>
      <w:numFmt w:val="lowerLetter"/>
      <w:start w:val="1"/>
    </w:lvl>
    <w:lvl w:ilvl="1">
      <w:lvlJc w:val="left"/>
      <w:lvlText w:val="(%2)"/>
      <w:numFmt w:val="lowerRoman"/>
      <w:start w:val="2"/>
    </w:lvl>
  </w:abstractNum>
  <w:abstractNum w:abstractNumId="183">
    <w:nsid w:val="53E31A24"/>
    <w:multiLevelType w:val="hybridMultilevel"/>
    <w:lvl w:ilvl="0">
      <w:lvlJc w:val="left"/>
      <w:lvlText w:val="(%1)"/>
      <w:numFmt w:val="lowerLetter"/>
      <w:start w:val="3"/>
    </w:lvl>
    <w:lvl w:ilvl="1">
      <w:lvlJc w:val="left"/>
      <w:lvlText w:val="(%2)"/>
      <w:numFmt w:val="lowerRoman"/>
      <w:start w:val="1"/>
    </w:lvl>
  </w:abstractNum>
  <w:abstractNum w:abstractNumId="184">
    <w:nsid w:val="6DC45E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5">
    <w:nsid w:val="17304A6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6">
    <w:nsid w:val="2BB180D8"/>
    <w:multiLevelType w:val="hybridMultilevel"/>
    <w:lvl w:ilvl="0">
      <w:lvlJc w:val="left"/>
      <w:lvlText w:val="%1"/>
      <w:numFmt w:val="decimal"/>
      <w:start w:val="1"/>
    </w:lvl>
    <w:lvl w:ilvl="1">
      <w:lvlJc w:val="left"/>
      <w:lvlText w:val="(%2)"/>
      <w:numFmt w:val="lowerLetter"/>
      <w:start w:val="2"/>
    </w:lvl>
  </w:abstractNum>
  <w:abstractNum w:abstractNumId="187">
    <w:nsid w:val="556B69ED"/>
    <w:multiLevelType w:val="hybridMultilevel"/>
    <w:lvl w:ilvl="0">
      <w:lvlJc w:val="left"/>
      <w:lvlText w:val="%1."/>
      <w:numFmt w:val="decimal"/>
      <w:start w:val="10"/>
    </w:lvl>
    <w:lvl w:ilvl="1">
      <w:lvlJc w:val="left"/>
      <w:lvlText w:val="(%2)"/>
      <w:numFmt w:val="lowerLetter"/>
      <w:start w:val="1"/>
    </w:lvl>
  </w:abstractNum>
  <w:abstractNum w:abstractNumId="188">
    <w:nsid w:val="70836196"/>
    <w:multiLevelType w:val="hybridMultilevel"/>
    <w:lvl w:ilvl="0">
      <w:lvlJc w:val="left"/>
      <w:lvlText w:val="%1"/>
      <w:numFmt w:val="decimal"/>
      <w:start w:val="1"/>
    </w:lvl>
    <w:lvl w:ilvl="1">
      <w:lvlJc w:val="left"/>
      <w:lvlText w:val="(%2)"/>
      <w:numFmt w:val="lowerLetter"/>
      <w:start w:val="2"/>
    </w:lvl>
  </w:abstractNum>
  <w:abstractNum w:abstractNumId="189">
    <w:nsid w:val="539F7F12"/>
    <w:multiLevelType w:val="hybridMultilevel"/>
    <w:lvl w:ilvl="0">
      <w:lvlJc w:val="left"/>
      <w:lvlText w:val="%1."/>
      <w:numFmt w:val="decimal"/>
      <w:start w:val="11"/>
    </w:lvl>
    <w:lvl w:ilvl="1">
      <w:lvlJc w:val="left"/>
      <w:lvlText w:val="(%2)"/>
      <w:numFmt w:val="lowerLetter"/>
      <w:start w:val="1"/>
    </w:lvl>
  </w:abstractNum>
  <w:abstractNum w:abstractNumId="190">
    <w:nsid w:val="2817E7EC"/>
    <w:multiLevelType w:val="hybridMultilevel"/>
    <w:lvl w:ilvl="0">
      <w:lvlJc w:val="left"/>
      <w:lvlText w:val="%1"/>
      <w:numFmt w:val="decimal"/>
      <w:start w:val="1"/>
    </w:lvl>
    <w:lvl w:ilvl="1">
      <w:lvlJc w:val="left"/>
      <w:lvlText w:val="(%2)"/>
      <w:numFmt w:val="lowerLetter"/>
      <w:start w:val="2"/>
    </w:lvl>
  </w:abstractNum>
  <w:abstractNum w:abstractNumId="191">
    <w:nsid w:val="71482545"/>
    <w:multiLevelType w:val="hybridMultilevel"/>
    <w:lvl w:ilvl="0">
      <w:lvlJc w:val="left"/>
      <w:lvlText w:val="%1."/>
      <w:numFmt w:val="decimal"/>
      <w:start w:val="12"/>
    </w:lvl>
    <w:lvl w:ilvl="1">
      <w:lvlJc w:val="left"/>
      <w:lvlText w:val="(%2)"/>
      <w:numFmt w:val="lowerLetter"/>
      <w:start w:val="1"/>
    </w:lvl>
  </w:abstractNum>
  <w:abstractNum w:abstractNumId="192">
    <w:nsid w:val="17D78639"/>
    <w:multiLevelType w:val="hybridMultilevel"/>
    <w:lvl w:ilvl="0">
      <w:lvlJc w:val="left"/>
      <w:lvlText w:val="%1"/>
      <w:numFmt w:val="decimal"/>
      <w:start w:val="1"/>
    </w:lvl>
    <w:lvl w:ilvl="1">
      <w:lvlJc w:val="left"/>
      <w:lvlText w:val="(%2)"/>
      <w:numFmt w:val="lowerLetter"/>
      <w:start w:val="3"/>
    </w:lvl>
  </w:abstractNum>
  <w:abstractNum w:abstractNumId="193">
    <w:nsid w:val="141D2302"/>
    <w:multiLevelType w:val="hybridMultilevel"/>
    <w:lvl w:ilvl="0">
      <w:lvlJc w:val="left"/>
      <w:lvlText w:val="%1."/>
      <w:numFmt w:val="decimal"/>
      <w:start w:val="13"/>
    </w:lvl>
    <w:lvl w:ilvl="1">
      <w:lvlJc w:val="left"/>
      <w:lvlText w:val="(%2)"/>
      <w:numFmt w:val="lowerLetter"/>
      <w:start w:val="1"/>
    </w:lvl>
  </w:abstractNum>
  <w:abstractNum w:abstractNumId="194">
    <w:nsid w:val="407168D8"/>
    <w:multiLevelType w:val="hybridMultilevel"/>
    <w:lvl w:ilvl="0">
      <w:lvlJc w:val="left"/>
      <w:lvlText w:val="%1"/>
      <w:numFmt w:val="decimal"/>
      <w:start w:val="1"/>
    </w:lvl>
    <w:lvl w:ilvl="1">
      <w:lvlJc w:val="left"/>
      <w:lvlText w:val="(%2)"/>
      <w:numFmt w:val="lowerLetter"/>
      <w:start w:val="5"/>
    </w:lvl>
  </w:abstractNum>
  <w:abstractNum w:abstractNumId="195">
    <w:nsid w:val="6A1B45E5"/>
    <w:multiLevelType w:val="hybridMultilevel"/>
    <w:lvl w:ilvl="0">
      <w:lvlJc w:val="left"/>
      <w:lvlText w:val="%1."/>
      <w:numFmt w:val="decimal"/>
      <w:start w:val="16"/>
    </w:lvl>
    <w:lvl w:ilvl="1">
      <w:lvlJc w:val="left"/>
      <w:lvlText w:val="%2"/>
      <w:numFmt w:val="lowerLetter"/>
      <w:start w:val="1"/>
    </w:lvl>
  </w:abstractNum>
  <w:abstractNum w:abstractNumId="196">
    <w:nsid w:val="567BD50A"/>
    <w:multiLevelType w:val="hybridMultilevel"/>
    <w:lvl w:ilvl="0">
      <w:lvlJc w:val="left"/>
      <w:lvlText w:val="%1."/>
      <w:numFmt w:val="decimal"/>
      <w:start w:val="18"/>
    </w:lvl>
  </w:abstractNum>
  <w:abstractNum w:abstractNumId="197">
    <w:nsid w:val="73BBD7F8"/>
    <w:multiLevelType w:val="hybridMultilevel"/>
    <w:lvl w:ilvl="0">
      <w:lvlJc w:val="left"/>
      <w:lvlText w:val="%1."/>
      <w:numFmt w:val="decimal"/>
      <w:start w:val="19"/>
    </w:lvl>
    <w:lvl w:ilvl="1">
      <w:lvlJc w:val="left"/>
      <w:lvlText w:val="(%2)"/>
      <w:numFmt w:val="lowerLetter"/>
      <w:start w:val="1"/>
    </w:lvl>
  </w:abstractNum>
  <w:abstractNum w:abstractNumId="198">
    <w:nsid w:val="1876589D"/>
    <w:multiLevelType w:val="hybridMultilevel"/>
    <w:lvl w:ilvl="0">
      <w:lvlJc w:val="left"/>
      <w:lvlText w:val="%1"/>
      <w:numFmt w:val="decimal"/>
      <w:start w:val="1"/>
    </w:lvl>
    <w:lvl w:ilvl="1">
      <w:lvlJc w:val="left"/>
      <w:lvlText w:val="(%2)"/>
      <w:numFmt w:val="lowerLetter"/>
      <w:start w:val="3"/>
    </w:lvl>
  </w:abstractNum>
  <w:abstractNum w:abstractNumId="199">
    <w:nsid w:val="327FAC77"/>
    <w:multiLevelType w:val="hybridMultilevel"/>
    <w:lvl w:ilvl="0">
      <w:lvlJc w:val="left"/>
      <w:lvlText w:val="%1."/>
      <w:numFmt w:val="decimal"/>
      <w:start w:val="23"/>
    </w:lvl>
    <w:lvl w:ilvl="1">
      <w:lvlJc w:val="left"/>
      <w:lvlText w:val="%2"/>
      <w:numFmt w:val="lowerLetter"/>
      <w:start w:val="1"/>
    </w:lvl>
  </w:abstractNum>
  <w:abstractNum w:abstractNumId="200">
    <w:nsid w:val="5A606509"/>
    <w:multiLevelType w:val="hybridMultilevel"/>
    <w:lvl w:ilvl="0">
      <w:lvlJc w:val="left"/>
      <w:lvlText w:val="%1."/>
      <w:numFmt w:val="decimal"/>
      <w:start w:val="26"/>
    </w:lvl>
  </w:abstractNum>
  <w:abstractNum w:abstractNumId="201">
    <w:nsid w:val="6F38E6D1"/>
    <w:multiLevelType w:val="hybridMultilevel"/>
    <w:lvl w:ilvl="0">
      <w:lvlJc w:val="left"/>
      <w:lvlText w:val="(%1)"/>
      <w:numFmt w:val="lowerLetter"/>
      <w:start w:val="1"/>
    </w:lvl>
  </w:abstractNum>
  <w:abstractNum w:abstractNumId="202">
    <w:nsid w:val="46111BA5"/>
    <w:multiLevelType w:val="hybridMultilevel"/>
    <w:lvl w:ilvl="0">
      <w:lvlJc w:val="left"/>
      <w:lvlText w:val="/"/>
      <w:numFmt w:val="bullet"/>
      <w:start w:val="1"/>
    </w:lvl>
  </w:abstractNum>
  <w:abstractNum w:abstractNumId="203">
    <w:nsid w:val="5E963896"/>
    <w:multiLevelType w:val="hybridMultilevel"/>
    <w:lvl w:ilvl="0">
      <w:lvlJc w:val="left"/>
      <w:lvlText w:val="à"/>
      <w:numFmt w:val="bullet"/>
      <w:start w:val="1"/>
    </w:lvl>
  </w:abstractNum>
  <w:abstractNum w:abstractNumId="204">
    <w:nsid w:val="775BA7C1"/>
    <w:multiLevelType w:val="hybridMultilevel"/>
    <w:lvl w:ilvl="0">
      <w:lvlJc w:val="left"/>
      <w:lvlText w:val="%1."/>
      <w:numFmt w:val="decimal"/>
      <w:start w:val="10"/>
    </w:lvl>
  </w:abstractNum>
  <w:abstractNum w:abstractNumId="205">
    <w:nsid w:val="1DD6D6F4"/>
    <w:multiLevelType w:val="hybridMultilevel"/>
    <w:lvl w:ilvl="0">
      <w:lvlJc w:val="left"/>
      <w:lvlText w:val="(%1)"/>
      <w:numFmt w:val="lowerLetter"/>
      <w:start w:val="1"/>
    </w:lvl>
  </w:abstractNum>
  <w:abstractNum w:abstractNumId="206">
    <w:nsid w:val="769A091F"/>
    <w:multiLevelType w:val="hybridMultilevel"/>
    <w:lvl w:ilvl="0">
      <w:lvlJc w:val="left"/>
      <w:lvlText w:val="%1."/>
      <w:numFmt w:val="decimal"/>
      <w:start w:val="10"/>
    </w:lvl>
    <w:lvl w:ilvl="1">
      <w:lvlJc w:val="left"/>
      <w:lvlText w:val="(%2)"/>
      <w:numFmt w:val="lowerLetter"/>
      <w:start w:val="1"/>
    </w:lvl>
  </w:abstractNum>
  <w:abstractNum w:abstractNumId="207">
    <w:nsid w:val="4695AE95"/>
    <w:multiLevelType w:val="hybridMultilevel"/>
    <w:lvl w:ilvl="0">
      <w:lvlJc w:val="left"/>
      <w:lvlText w:val="(%1)"/>
      <w:numFmt w:val="lowerLetter"/>
      <w:start w:val="2"/>
    </w:lvl>
  </w:abstractNum>
  <w:abstractNum w:abstractNumId="208">
    <w:nsid w:val="777A4EAA"/>
    <w:multiLevelType w:val="hybridMultilevel"/>
    <w:lvl w:ilvl="0">
      <w:lvlJc w:val="left"/>
      <w:lvlText w:val="(%1)"/>
      <w:numFmt w:val="decimal"/>
      <w:start w:val="1"/>
    </w:lvl>
  </w:abstractNum>
  <w:abstractNum w:abstractNumId="209">
    <w:nsid w:val="3F48B982"/>
    <w:multiLevelType w:val="hybridMultilevel"/>
    <w:lvl w:ilvl="0">
      <w:lvlJc w:val="left"/>
      <w:lvlText w:val="(%1)"/>
      <w:numFmt w:val="decimal"/>
      <w:start w:val="5"/>
    </w:lvl>
  </w:abstractNum>
  <w:abstractNum w:abstractNumId="210">
    <w:nsid w:val="46BA8FCA"/>
    <w:multiLevelType w:val="hybridMultilevel"/>
    <w:lvl w:ilvl="0">
      <w:lvlJc w:val="left"/>
      <w:lvlText w:val="%1."/>
      <w:numFmt w:val="upperLetter"/>
      <w:start w:val="1"/>
    </w:lvl>
  </w:abstractNum>
  <w:abstractNum w:abstractNumId="211">
    <w:nsid w:val="7835626C"/>
    <w:multiLevelType w:val="hybridMultilevel"/>
    <w:lvl w:ilvl="0">
      <w:lvlJc w:val="left"/>
      <w:lvlText w:val="%1."/>
      <w:numFmt w:val="decimal"/>
      <w:start w:val="1"/>
    </w:lvl>
  </w:abstractNum>
  <w:abstractNum w:abstractNumId="212">
    <w:nsid w:val="665ACA49"/>
    <w:multiLevelType w:val="hybridMultilevel"/>
    <w:lvl w:ilvl="0">
      <w:lvlJc w:val="left"/>
      <w:lvlText w:val="(%1)"/>
      <w:numFmt w:val="lowerLetter"/>
      <w:start w:val="1"/>
    </w:lvl>
    <w:lvl w:ilvl="1">
      <w:lvlJc w:val="left"/>
      <w:lvlText w:val="(%2)"/>
      <w:numFmt w:val="lowerRoman"/>
      <w:start w:val="1"/>
    </w:lvl>
  </w:abstractNum>
  <w:abstractNum w:abstractNumId="213">
    <w:nsid w:val="6835B2AE"/>
    <w:multiLevelType w:val="hybridMultilevel"/>
    <w:lvl w:ilvl="0">
      <w:lvlJc w:val="left"/>
      <w:lvlText w:val="(%1)"/>
      <w:numFmt w:val="lowerLetter"/>
      <w:start w:val="2"/>
    </w:lvl>
  </w:abstractNum>
  <w:abstractNum w:abstractNumId="214">
    <w:nsid w:val="4C187C90"/>
    <w:multiLevelType w:val="hybridMultilevel"/>
    <w:lvl w:ilvl="0">
      <w:lvlJc w:val="left"/>
      <w:lvlText w:val="%1."/>
      <w:numFmt w:val="decimal"/>
      <w:start w:val="2"/>
    </w:lvl>
  </w:abstractNum>
  <w:abstractNum w:abstractNumId="215">
    <w:nsid w:val="541F28CD"/>
    <w:multiLevelType w:val="hybridMultilevel"/>
    <w:lvl w:ilvl="0">
      <w:lvlJc w:val="left"/>
      <w:lvlText w:val="(%1)"/>
      <w:numFmt w:val="lowerRoman"/>
      <w:start w:val="1"/>
    </w:lvl>
  </w:abstractNum>
  <w:abstractNum w:abstractNumId="216">
    <w:nsid w:val="7F65FD16"/>
    <w:multiLevelType w:val="hybridMultilevel"/>
    <w:lvl w:ilvl="0">
      <w:lvlJc w:val="left"/>
      <w:lvlText w:val="(%1)"/>
      <w:numFmt w:val="lowerRoman"/>
      <w:start w:val="5"/>
    </w:lvl>
  </w:abstractNum>
  <w:abstractNum w:abstractNumId="217">
    <w:nsid w:val="77C9FD68"/>
    <w:multiLevelType w:val="hybridMultilevel"/>
    <w:lvl w:ilvl="0">
      <w:lvlJc w:val="left"/>
      <w:lvlText w:val="4"/>
      <w:numFmt w:val="bullet"/>
      <w:start w:val="1"/>
    </w:lvl>
  </w:abstractNum>
  <w:abstractNum w:abstractNumId="218">
    <w:nsid w:val="298A92BA"/>
    <w:multiLevelType w:val="hybridMultilevel"/>
    <w:lvl w:ilvl="0">
      <w:lvlJc w:val="left"/>
      <w:lvlText w:val="(%1)"/>
      <w:numFmt w:val="lowerRoman"/>
      <w:start w:val="1"/>
    </w:lvl>
  </w:abstractNum>
  <w:abstractNum w:abstractNumId="219">
    <w:nsid w:val="6FE95EAC"/>
    <w:multiLevelType w:val="hybridMultilevel"/>
    <w:lvl w:ilvl="0">
      <w:lvlJc w:val="left"/>
      <w:lvlText w:val="%1."/>
      <w:numFmt w:val="decimal"/>
      <w:start w:val="1"/>
    </w:lvl>
  </w:abstractNum>
  <w:abstractNum w:abstractNumId="220">
    <w:nsid w:val="4B697C7A"/>
    <w:multiLevelType w:val="hybridMultilevel"/>
    <w:lvl w:ilvl="0">
      <w:lvlJc w:val="left"/>
      <w:lvlText w:val="%1."/>
      <w:numFmt w:val="decimal"/>
      <w:start w:val="2"/>
    </w:lvl>
  </w:abstractNum>
  <w:abstractNum w:abstractNumId="221">
    <w:nsid w:val="51A27AA6"/>
    <w:multiLevelType w:val="hybridMultilevel"/>
    <w:lvl w:ilvl="0">
      <w:lvlJc w:val="left"/>
      <w:lvlText w:val="%1."/>
      <w:numFmt w:val="decimal"/>
      <w:start w:val="3"/>
    </w:lvl>
  </w:abstractNum>
  <w:abstractNum w:abstractNumId="222">
    <w:nsid w:val="613183F2"/>
    <w:multiLevelType w:val="hybridMultilevel"/>
    <w:lvl w:ilvl="0">
      <w:lvlJc w:val="left"/>
      <w:lvlText w:val="%1."/>
      <w:numFmt w:val="decimal"/>
      <w:start w:val="4"/>
    </w:lvl>
  </w:abstractNum>
  <w:abstractNum w:abstractNumId="223">
    <w:nsid w:val="634102B4"/>
    <w:multiLevelType w:val="hybridMultilevel"/>
    <w:lvl w:ilvl="0">
      <w:lvlJc w:val="left"/>
      <w:lvlText w:val="%1."/>
      <w:numFmt w:val="decimal"/>
      <w:start w:val="5"/>
    </w:lvl>
  </w:abstractNum>
  <w:abstractNum w:abstractNumId="224">
    <w:nsid w:val="65BF9DA8"/>
    <w:multiLevelType w:val="hybridMultilevel"/>
    <w:lvl w:ilvl="0">
      <w:lvlJc w:val="left"/>
      <w:lvlText w:val="%1."/>
      <w:numFmt w:val="decimal"/>
      <w:start w:val="6"/>
    </w:lvl>
  </w:abstractNum>
  <w:abstractNum w:abstractNumId="225">
    <w:nsid w:val="21A2ECCA"/>
    <w:multiLevelType w:val="hybridMultilevel"/>
    <w:lvl w:ilvl="0">
      <w:lvlJc w:val="left"/>
      <w:lvlText w:val="%1."/>
      <w:numFmt w:val="decimal"/>
      <w:start w:val="7"/>
    </w:lvl>
  </w:abstractNum>
  <w:abstractNum w:abstractNumId="226">
    <w:nsid w:val="4D5C4899"/>
    <w:multiLevelType w:val="hybridMultilevel"/>
    <w:lvl w:ilvl="0">
      <w:lvlJc w:val="left"/>
      <w:lvlText w:val="%1."/>
      <w:numFmt w:val="decimal"/>
      <w:start w:val="8"/>
    </w:lvl>
  </w:abstractNum>
  <w:abstractNum w:abstractNumId="227">
    <w:nsid w:val="3C3B72B2"/>
    <w:multiLevelType w:val="hybridMultilevel"/>
    <w:lvl w:ilvl="0">
      <w:lvlJc w:val="left"/>
      <w:lvlText w:val="%1."/>
      <w:numFmt w:val="decimal"/>
      <w:start w:val="9"/>
    </w:lvl>
    <w:lvl w:ilvl="1">
      <w:lvlJc w:val="left"/>
      <w:lvlText w:val="(%2)"/>
      <w:numFmt w:val="lowerLetter"/>
      <w:start w:val="1"/>
    </w:lvl>
  </w:abstractNum>
  <w:abstractNum w:abstractNumId="228">
    <w:nsid w:val="155EC4C2"/>
    <w:multiLevelType w:val="hybridMultilevel"/>
    <w:lvl w:ilvl="0">
      <w:lvlJc w:val="left"/>
      <w:lvlText w:val="%1"/>
      <w:numFmt w:val="decimal"/>
      <w:start w:val="1"/>
    </w:lvl>
    <w:lvl w:ilvl="1">
      <w:lvlJc w:val="left"/>
      <w:lvlText w:val="(%2)"/>
      <w:numFmt w:val="lowerLetter"/>
      <w:start w:val="2"/>
    </w:lvl>
  </w:abstractNum>
  <w:abstractNum w:abstractNumId="229">
    <w:nsid w:val="65D2A137"/>
    <w:multiLevelType w:val="hybridMultilevel"/>
    <w:lvl w:ilvl="0">
      <w:lvlJc w:val="left"/>
      <w:lvlText w:val="%1."/>
      <w:numFmt w:val="decimal"/>
      <w:start w:val="11"/>
    </w:lvl>
    <w:lvl w:ilvl="1">
      <w:lvlJc w:val="left"/>
      <w:lvlText w:val="%2"/>
      <w:numFmt w:val="lowerLetter"/>
      <w:start w:val="1"/>
    </w:lvl>
  </w:abstractNum>
  <w:abstractNum w:abstractNumId="230">
    <w:nsid w:val="6EBB1F2A"/>
    <w:multiLevelType w:val="hybridMultilevel"/>
    <w:lvl w:ilvl="0">
      <w:lvlJc w:val="left"/>
      <w:lvlText w:val="%1."/>
      <w:numFmt w:val="decimal"/>
      <w:start w:val="12"/>
    </w:lvl>
  </w:abstractNum>
  <w:abstractNum w:abstractNumId="231">
    <w:nsid w:val="6FBF29CB"/>
    <w:multiLevelType w:val="hybridMultilevel"/>
    <w:lvl w:ilvl="0">
      <w:lvlJc w:val="left"/>
      <w:lvlText w:val="%1."/>
      <w:numFmt w:val="decimal"/>
      <w:start w:val="13"/>
    </w:lvl>
  </w:abstractNum>
  <w:abstractNum w:abstractNumId="232">
    <w:nsid w:val="550B8808"/>
    <w:multiLevelType w:val="hybridMultilevel"/>
    <w:lvl w:ilvl="0">
      <w:lvlJc w:val="left"/>
      <w:lvlText w:val="%1."/>
      <w:numFmt w:val="decimal"/>
      <w:start w:val="14"/>
    </w:lvl>
    <w:lvl w:ilvl="1">
      <w:lvlJc w:val="left"/>
      <w:lvlText w:val="(%2)"/>
      <w:numFmt w:val="lowerLetter"/>
      <w:start w:val="1"/>
    </w:lvl>
  </w:abstractNum>
  <w:abstractNum w:abstractNumId="233">
    <w:nsid w:val="34CC3ACF"/>
    <w:multiLevelType w:val="hybridMultilevel"/>
    <w:lvl w:ilvl="0">
      <w:lvlJc w:val="left"/>
      <w:lvlText w:val="%1."/>
      <w:numFmt w:val="decimal"/>
      <w:start w:val="15"/>
    </w:lvl>
  </w:abstractNum>
  <w:abstractNum w:abstractNumId="234">
    <w:nsid w:val="4E556261"/>
    <w:multiLevelType w:val="hybridMultilevel"/>
    <w:lvl w:ilvl="0">
      <w:lvlJc w:val="left"/>
      <w:lvlText w:val="%1."/>
      <w:numFmt w:val="decimal"/>
      <w:start w:val="16"/>
    </w:lvl>
  </w:abstractNum>
  <w:abstractNum w:abstractNumId="235">
    <w:nsid w:val="4C672FC9"/>
    <w:multiLevelType w:val="hybridMultilevel"/>
    <w:lvl w:ilvl="0">
      <w:lvlJc w:val="left"/>
      <w:lvlText w:val="%1."/>
      <w:numFmt w:val="decimal"/>
      <w:start w:val="17"/>
    </w:lvl>
    <w:lvl w:ilvl="1">
      <w:lvlJc w:val="left"/>
      <w:lvlText w:val="(%2)"/>
      <w:numFmt w:val="lowerLetter"/>
      <w:start w:val="1"/>
    </w:lvl>
  </w:abstractNum>
  <w:abstractNum w:abstractNumId="236">
    <w:nsid w:val="52A311C3"/>
    <w:multiLevelType w:val="hybridMultilevel"/>
    <w:lvl w:ilvl="0">
      <w:lvlJc w:val="left"/>
      <w:lvlText w:val="%1"/>
      <w:numFmt w:val="decimal"/>
      <w:start w:val="1"/>
    </w:lvl>
    <w:lvl w:ilvl="1">
      <w:lvlJc w:val="left"/>
      <w:lvlText w:val="(%2)"/>
      <w:numFmt w:val="lowerLetter"/>
      <w:start w:val="2"/>
    </w:lvl>
  </w:abstractNum>
  <w:abstractNum w:abstractNumId="237">
    <w:nsid w:val="44EF6B80"/>
    <w:multiLevelType w:val="hybridMultilevel"/>
    <w:lvl w:ilvl="0">
      <w:lvlJc w:val="left"/>
      <w:lvlText w:val="%1."/>
      <w:numFmt w:val="decimal"/>
      <w:start w:val="18"/>
    </w:lvl>
    <w:lvl w:ilvl="1">
      <w:lvlJc w:val="left"/>
      <w:lvlText w:val="%2"/>
      <w:numFmt w:val="lowerLetter"/>
      <w:start w:val="1"/>
    </w:lvl>
  </w:abstractNum>
  <w:abstractNum w:abstractNumId="238">
    <w:nsid w:val="12FCDE5E"/>
    <w:multiLevelType w:val="hybridMultilevel"/>
    <w:lvl w:ilvl="0">
      <w:lvlJc w:val="left"/>
      <w:lvlText w:val="%1."/>
      <w:numFmt w:val="decimal"/>
      <w:start w:val="19"/>
    </w:lvl>
  </w:abstractNum>
  <w:abstractNum w:abstractNumId="239">
    <w:nsid w:val="4A1D606E"/>
    <w:multiLevelType w:val="hybridMultilevel"/>
    <w:lvl w:ilvl="0">
      <w:lvlJc w:val="left"/>
      <w:lvlText w:val="%1."/>
      <w:numFmt w:val="decimal"/>
      <w:start w:val="20"/>
    </w:lvl>
  </w:abstractNum>
  <w:abstractNum w:abstractNumId="240">
    <w:nsid w:val="4382503"/>
    <w:multiLevelType w:val="hybridMultilevel"/>
    <w:lvl w:ilvl="0">
      <w:lvlJc w:val="left"/>
      <w:lvlText w:val="%1."/>
      <w:numFmt w:val="decimal"/>
      <w:start w:val="21"/>
    </w:lvl>
  </w:abstractNum>
  <w:abstractNum w:abstractNumId="241">
    <w:nsid w:val="59B76E28"/>
    <w:multiLevelType w:val="hybridMultilevel"/>
    <w:lvl w:ilvl="0">
      <w:lvlJc w:val="left"/>
      <w:lvlText w:val="%1."/>
      <w:numFmt w:val="decimal"/>
      <w:start w:val="22"/>
    </w:lvl>
  </w:abstractNum>
  <w:abstractNum w:abstractNumId="242">
    <w:nsid w:val="4252C2DA"/>
    <w:multiLevelType w:val="hybridMultilevel"/>
    <w:lvl w:ilvl="0">
      <w:lvlJc w:val="left"/>
      <w:lvlText w:val="%1."/>
      <w:numFmt w:val="decimal"/>
      <w:start w:val="23"/>
    </w:lvl>
  </w:abstractNum>
  <w:abstractNum w:abstractNumId="243">
    <w:nsid w:val="6A92EF4C"/>
    <w:multiLevelType w:val="hybridMultilevel"/>
    <w:lvl w:ilvl="0">
      <w:lvlJc w:val="left"/>
      <w:lvlText w:val="(%1)"/>
      <w:numFmt w:val="decimal"/>
      <w:start w:val="4"/>
    </w:lvl>
    <w:lvl w:ilvl="1">
      <w:lvlJc w:val="left"/>
      <w:lvlText w:val="*"/>
      <w:numFmt w:val="bullet"/>
      <w:start w:val="1"/>
    </w:lvl>
  </w:abstractNum>
  <w:abstractNum w:abstractNumId="244">
    <w:nsid w:val="41ED20D7"/>
    <w:multiLevelType w:val="hybridMultilevel"/>
    <w:lvl w:ilvl="0">
      <w:lvlJc w:val="left"/>
      <w:lvlText w:val="(%1)"/>
      <w:numFmt w:val="decimal"/>
      <w:start w:val="6"/>
    </w:lvl>
    <w:lvl w:ilvl="1">
      <w:lvlJc w:val="left"/>
      <w:lvlText w:val="*"/>
      <w:numFmt w:val="bullet"/>
      <w:start w:val="1"/>
    </w:lvl>
  </w:abstractNum>
  <w:abstractNum w:abstractNumId="245">
    <w:nsid w:val="E6B3F6A"/>
    <w:multiLevelType w:val="hybridMultilevel"/>
    <w:lvl w:ilvl="0">
      <w:lvlJc w:val="left"/>
      <w:lvlText w:val="%1."/>
      <w:numFmt w:val="decimal"/>
      <w:start w:val="1"/>
    </w:lvl>
  </w:abstractNum>
  <w:abstractNum w:abstractNumId="246">
    <w:nsid w:val="3EB21819"/>
    <w:multiLevelType w:val="hybridMultilevel"/>
    <w:lvl w:ilvl="0">
      <w:lvlJc w:val="left"/>
      <w:lvlText w:val="%1."/>
      <w:numFmt w:val="decimal"/>
      <w:start w:val="2"/>
    </w:lvl>
  </w:abstractNum>
  <w:abstractNum w:abstractNumId="247">
    <w:nsid w:val="41531DED"/>
    <w:multiLevelType w:val="hybridMultilevel"/>
    <w:lvl w:ilvl="0">
      <w:lvlJc w:val="left"/>
      <w:lvlText w:val="%1."/>
      <w:numFmt w:val="decimal"/>
      <w:start w:val="3"/>
    </w:lvl>
  </w:abstractNum>
  <w:abstractNum w:abstractNumId="248">
    <w:nsid w:val="6353CD2"/>
    <w:multiLevelType w:val="hybridMultilevel"/>
    <w:lvl w:ilvl="0">
      <w:lvlJc w:val="left"/>
      <w:lvlText w:val="%1."/>
      <w:numFmt w:val="decimal"/>
      <w:start w:val="4"/>
    </w:lvl>
  </w:abstractNum>
  <w:abstractNum w:abstractNumId="249">
    <w:nsid w:val="683CAAD3"/>
    <w:multiLevelType w:val="hybridMultilevel"/>
    <w:lvl w:ilvl="0">
      <w:lvlJc w:val="left"/>
      <w:lvlText w:val="%1."/>
      <w:numFmt w:val="decimal"/>
      <w:start w:val="5"/>
    </w:lvl>
  </w:abstractNum>
  <w:abstractNum w:abstractNumId="250">
    <w:nsid w:val="313C7C99"/>
    <w:multiLevelType w:val="hybridMultilevel"/>
    <w:lvl w:ilvl="0">
      <w:lvlJc w:val="left"/>
      <w:lvlText w:val="%1."/>
      <w:numFmt w:val="decimal"/>
      <w:start w:val="6"/>
    </w:lvl>
  </w:abstractNum>
  <w:abstractNum w:abstractNumId="251">
    <w:nsid w:val="519EB94C"/>
    <w:multiLevelType w:val="hybridMultilevel"/>
    <w:lvl w:ilvl="0">
      <w:lvlJc w:val="left"/>
      <w:lvlText w:val="%1."/>
      <w:numFmt w:val="decimal"/>
      <w:start w:val="7"/>
    </w:lvl>
    <w:lvl w:ilvl="1">
      <w:lvlJc w:val="left"/>
      <w:lvlText w:val="(%2)"/>
      <w:numFmt w:val="lowerLetter"/>
      <w:start w:val="1"/>
    </w:lvl>
  </w:abstractNum>
  <w:abstractNum w:abstractNumId="252">
    <w:nsid w:val="39DF2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253">
    <w:nsid w:val="126E008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254">
    <w:nsid w:val="34DFBC0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55">
    <w:nsid w:val="1F9EC322"/>
    <w:multiLevelType w:val="hybridMultilevel"/>
    <w:lvl w:ilvl="0">
      <w:lvlJc w:val="left"/>
      <w:lvlText w:val="%1."/>
      <w:numFmt w:val="decimal"/>
      <w:start w:val="9"/>
    </w:lvl>
  </w:abstractNum>
  <w:abstractNum w:abstractNumId="256">
    <w:nsid w:val="3410ED56"/>
    <w:multiLevelType w:val="hybridMultilevel"/>
    <w:lvl w:ilvl="0">
      <w:lvlJc w:val="left"/>
      <w:lvlText w:val="%1."/>
      <w:numFmt w:val="decimal"/>
      <w:start w:val="10"/>
    </w:lvl>
    <w:lvl w:ilvl="1">
      <w:lvlJc w:val="left"/>
      <w:lvlText w:val="(%2)"/>
      <w:numFmt w:val="lowerLetter"/>
      <w:start w:val="1"/>
    </w:lvl>
  </w:abstractNum>
  <w:abstractNum w:abstractNumId="257">
    <w:nsid w:val="23C049A"/>
    <w:multiLevelType w:val="hybridMultilevel"/>
    <w:lvl w:ilvl="0">
      <w:lvlJc w:val="left"/>
      <w:lvlText w:val="%1"/>
      <w:numFmt w:val="decimal"/>
      <w:start w:val="1"/>
    </w:lvl>
    <w:lvl w:ilvl="1">
      <w:lvlJc w:val="left"/>
      <w:lvlText w:val="(%2)"/>
      <w:numFmt w:val="lowerLetter"/>
      <w:start w:val="2"/>
    </w:lvl>
  </w:abstractNum>
  <w:abstractNum w:abstractNumId="258">
    <w:nsid w:val="5BDA35D4"/>
    <w:multiLevelType w:val="hybridMultilevel"/>
    <w:lvl w:ilvl="0">
      <w:lvlJc w:val="left"/>
      <w:lvlText w:val="%1."/>
      <w:numFmt w:val="decimal"/>
      <w:start w:val="11"/>
    </w:lvl>
    <w:lvl w:ilvl="1">
      <w:lvlJc w:val="left"/>
      <w:lvlText w:val="(%2)"/>
      <w:numFmt w:val="lowerLetter"/>
      <w:start w:val="1"/>
    </w:lvl>
  </w:abstractNum>
  <w:abstractNum w:abstractNumId="259">
    <w:nsid w:val="496FB218"/>
    <w:multiLevelType w:val="hybridMultilevel"/>
    <w:lvl w:ilvl="0">
      <w:lvlJc w:val="left"/>
      <w:lvlText w:val="(%1)"/>
      <w:numFmt w:val="lowerLetter"/>
      <w:start w:val="2"/>
    </w:lvl>
  </w:abstractNum>
  <w:abstractNum w:abstractNumId="260">
    <w:nsid w:val="680EA5D1"/>
    <w:multiLevelType w:val="hybridMultilevel"/>
    <w:lvl w:ilvl="0">
      <w:lvlJc w:val="left"/>
      <w:lvlText w:val="%1."/>
      <w:numFmt w:val="decimal"/>
      <w:start w:val="13"/>
    </w:lvl>
  </w:abstractNum>
  <w:abstractNum w:abstractNumId="261">
    <w:nsid w:val="4A9554FE"/>
    <w:multiLevelType w:val="hybridMultilevel"/>
    <w:lvl w:ilvl="0">
      <w:lvlJc w:val="left"/>
      <w:lvlText w:val="%1."/>
      <w:numFmt w:val="decimal"/>
      <w:start w:val="14"/>
    </w:lvl>
  </w:abstractNum>
  <w:abstractNum w:abstractNumId="262">
    <w:nsid w:val="392EDBE4"/>
    <w:multiLevelType w:val="hybridMultilevel"/>
    <w:lvl w:ilvl="0">
      <w:lvlJc w:val="left"/>
      <w:lvlText w:val="%1."/>
      <w:numFmt w:val="decimal"/>
      <w:start w:val="15"/>
    </w:lvl>
    <w:lvl w:ilvl="1">
      <w:lvlJc w:val="left"/>
      <w:lvlText w:val="(%2)"/>
      <w:numFmt w:val="lowerLetter"/>
      <w:start w:val="1"/>
    </w:lvl>
  </w:abstractNum>
  <w:abstractNum w:abstractNumId="263">
    <w:nsid w:val="3D1A2DD9"/>
    <w:multiLevelType w:val="hybridMultilevel"/>
    <w:lvl w:ilvl="0">
      <w:lvlJc w:val="left"/>
      <w:lvlText w:val="%1."/>
      <w:numFmt w:val="decimal"/>
      <w:start w:val="17"/>
    </w:lvl>
  </w:abstractNum>
  <w:abstractNum w:abstractNumId="264">
    <w:nsid w:val="7F618FCD"/>
    <w:multiLevelType w:val="hybridMultilevel"/>
    <w:lvl w:ilvl="0">
      <w:lvlJc w:val="left"/>
      <w:lvlText w:val="%1."/>
      <w:numFmt w:val="decimal"/>
      <w:start w:val="18"/>
    </w:lvl>
    <w:lvl w:ilvl="1">
      <w:lvlJc w:val="left"/>
      <w:lvlText w:val="%2."/>
      <w:numFmt w:val="decimal"/>
      <w:start w:val="17"/>
    </w:lvl>
    <w:lvl w:ilvl="2">
      <w:lvlJc w:val="left"/>
      <w:lvlText w:val="(%3)"/>
      <w:numFmt w:val="lowerLetter"/>
      <w:start w:val="1"/>
    </w:lvl>
  </w:abstractNum>
  <w:abstractNum w:abstractNumId="265">
    <w:nsid w:val="7843E45"/>
    <w:multiLevelType w:val="hybridMultilevel"/>
    <w:lvl w:ilvl="0">
      <w:lvlJc w:val="left"/>
      <w:lvlText w:val="%1."/>
      <w:numFmt w:val="decimal"/>
      <w:start w:val="19"/>
    </w:lvl>
  </w:abstractNum>
  <w:abstractNum w:abstractNumId="266">
    <w:nsid w:val="9815DA3"/>
    <w:multiLevelType w:val="hybridMultilevel"/>
    <w:lvl w:ilvl="0">
      <w:lvlJc w:val="left"/>
      <w:lvlText w:val="%1."/>
      <w:numFmt w:val="decimal"/>
      <w:start w:val="20"/>
    </w:lvl>
  </w:abstractNum>
  <w:abstractNum w:abstractNumId="267">
    <w:nsid w:val="5204A191"/>
    <w:multiLevelType w:val="hybridMultilevel"/>
    <w:lvl w:ilvl="0">
      <w:lvlJc w:val="left"/>
      <w:lvlText w:val="%1."/>
      <w:numFmt w:val="decimal"/>
      <w:start w:val="21"/>
    </w:lvl>
  </w:abstractNum>
  <w:abstractNum w:abstractNumId="268">
    <w:nsid w:val="4C73A9C6"/>
    <w:multiLevelType w:val="hybridMultilevel"/>
    <w:lvl w:ilvl="0">
      <w:lvlJc w:val="left"/>
      <w:lvlText w:val="%1."/>
      <w:numFmt w:val="decimal"/>
      <w:start w:val="22"/>
    </w:lvl>
  </w:abstractNum>
  <w:abstractNum w:abstractNumId="269">
    <w:nsid w:val="1C7E3C01"/>
    <w:multiLevelType w:val="hybridMultilevel"/>
    <w:lvl w:ilvl="0">
      <w:lvlJc w:val="left"/>
      <w:lvlText w:val="%1."/>
      <w:numFmt w:val="decimal"/>
      <w:start w:val="23"/>
    </w:lvl>
  </w:abstractNum>
  <w:abstractNum w:abstractNumId="270">
    <w:nsid w:val="1C2201FF"/>
    <w:multiLevelType w:val="hybridMultilevel"/>
    <w:lvl w:ilvl="0">
      <w:lvlJc w:val="left"/>
      <w:lvlText w:val="%1."/>
      <w:numFmt w:val="decimal"/>
      <w:start w:val="1"/>
    </w:lvl>
  </w:abstractNum>
  <w:abstractNum w:abstractNumId="271">
    <w:nsid w:val="50ABCEC9"/>
    <w:multiLevelType w:val="hybridMultilevel"/>
    <w:lvl w:ilvl="0">
      <w:lvlJc w:val="left"/>
      <w:lvlText w:val="%1."/>
      <w:numFmt w:val="decimal"/>
      <w:start w:val="2"/>
    </w:lvl>
  </w:abstractNum>
  <w:abstractNum w:abstractNumId="272">
    <w:nsid w:val="7635AA2A"/>
    <w:multiLevelType w:val="hybridMultilevel"/>
    <w:lvl w:ilvl="0">
      <w:lvlJc w:val="left"/>
      <w:lvlText w:val="%1."/>
      <w:numFmt w:val="decimal"/>
      <w:start w:val="3"/>
    </w:lvl>
  </w:abstractNum>
  <w:abstractNum w:abstractNumId="273">
    <w:nsid w:val="5E74C4D9"/>
    <w:multiLevelType w:val="hybridMultilevel"/>
    <w:lvl w:ilvl="0">
      <w:lvlJc w:val="left"/>
      <w:lvlText w:val="%1."/>
      <w:numFmt w:val="decimal"/>
      <w:start w:val="4"/>
    </w:lvl>
  </w:abstractNum>
  <w:abstractNum w:abstractNumId="274">
    <w:nsid w:val="3B3EBE15"/>
    <w:multiLevelType w:val="hybridMultilevel"/>
    <w:lvl w:ilvl="0">
      <w:lvlJc w:val="left"/>
      <w:lvlText w:val="%1."/>
      <w:numFmt w:val="decimal"/>
      <w:start w:val="6"/>
    </w:lvl>
  </w:abstractNum>
  <w:abstractNum w:abstractNumId="275">
    <w:nsid w:val="3822CB01"/>
    <w:multiLevelType w:val="hybridMultilevel"/>
    <w:lvl w:ilvl="0">
      <w:lvlJc w:val="left"/>
      <w:lvlText w:val="%1."/>
      <w:numFmt w:val="decimal"/>
      <w:start w:val="7"/>
    </w:lvl>
    <w:lvl w:ilvl="1">
      <w:lvlJc w:val="left"/>
      <w:lvlText w:val="(%2)"/>
      <w:numFmt w:val="lowerLetter"/>
      <w:start w:val="1"/>
    </w:lvl>
  </w:abstractNum>
  <w:abstractNum w:abstractNumId="276">
    <w:nsid w:val="6CE004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277">
    <w:nsid w:val="79F0D62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278">
    <w:nsid w:val="7975E8E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79">
    <w:nsid w:val="73154115"/>
    <w:multiLevelType w:val="hybridMultilevel"/>
    <w:lvl w:ilvl="0">
      <w:lvlJc w:val="left"/>
      <w:lvlText w:val="%1."/>
      <w:numFmt w:val="decimal"/>
      <w:start w:val="9"/>
    </w:lvl>
  </w:abstractNum>
  <w:abstractNum w:abstractNumId="280">
    <w:nsid w:val="622D8102"/>
    <w:multiLevelType w:val="hybridMultilevel"/>
    <w:lvl w:ilvl="0">
      <w:lvlJc w:val="left"/>
      <w:lvlText w:val="%1."/>
      <w:numFmt w:val="decimal"/>
      <w:start w:val="10"/>
    </w:lvl>
    <w:lvl w:ilvl="1">
      <w:lvlJc w:val="left"/>
      <w:lvlText w:val="(%2)"/>
      <w:numFmt w:val="lowerLetter"/>
      <w:start w:val="1"/>
    </w:lvl>
  </w:abstractNum>
  <w:abstractNum w:abstractNumId="281">
    <w:nsid w:val="2AB26587"/>
    <w:multiLevelType w:val="hybridMultilevel"/>
    <w:lvl w:ilvl="0">
      <w:lvlJc w:val="left"/>
      <w:lvlText w:val="(%1)"/>
      <w:numFmt w:val="lowerLetter"/>
      <w:start w:val="2"/>
    </w:lvl>
  </w:abstractNum>
  <w:abstractNum w:abstractNumId="282">
    <w:nsid w:val="44B3FA61"/>
    <w:multiLevelType w:val="hybridMultilevel"/>
    <w:lvl w:ilvl="0">
      <w:lvlJc w:val="left"/>
      <w:lvlText w:val="%1."/>
      <w:numFmt w:val="decimal"/>
      <w:start w:val="11"/>
    </w:lvl>
    <w:lvl w:ilvl="1">
      <w:lvlJc w:val="left"/>
      <w:lvlText w:val="(%2)"/>
      <w:numFmt w:val="lowerLetter"/>
      <w:start w:val="1"/>
    </w:lvl>
  </w:abstractNum>
  <w:abstractNum w:abstractNumId="283">
    <w:nsid w:val="1C0CA67C"/>
    <w:multiLevelType w:val="hybridMultilevel"/>
    <w:lvl w:ilvl="0">
      <w:lvlJc w:val="left"/>
      <w:lvlText w:val="(%1)"/>
      <w:numFmt w:val="lowerLetter"/>
      <w:start w:val="2"/>
    </w:lvl>
  </w:abstractNum>
  <w:abstractNum w:abstractNumId="284">
    <w:nsid w:val="3D206613"/>
    <w:multiLevelType w:val="hybridMultilevel"/>
    <w:lvl w:ilvl="0">
      <w:lvlJc w:val="left"/>
      <w:lvlText w:val="%1."/>
      <w:numFmt w:val="decimal"/>
      <w:start w:val="13"/>
    </w:lvl>
  </w:abstractNum>
  <w:abstractNum w:abstractNumId="285">
    <w:nsid w:val="7993B662"/>
    <w:multiLevelType w:val="hybridMultilevel"/>
    <w:lvl w:ilvl="0">
      <w:lvlJc w:val="left"/>
      <w:lvlText w:val="%1."/>
      <w:numFmt w:val="decimal"/>
      <w:start w:val="14"/>
    </w:lvl>
  </w:abstractNum>
  <w:abstractNum w:abstractNumId="286">
    <w:nsid w:val="3BAB699E"/>
    <w:multiLevelType w:val="hybridMultilevel"/>
    <w:lvl w:ilvl="0">
      <w:lvlJc w:val="left"/>
      <w:lvlText w:val="%1."/>
      <w:numFmt w:val="decimal"/>
      <w:start w:val="15"/>
    </w:lvl>
    <w:lvl w:ilvl="1">
      <w:lvlJc w:val="left"/>
      <w:lvlText w:val="(%2)"/>
      <w:numFmt w:val="lowerLetter"/>
      <w:start w:val="1"/>
    </w:lvl>
  </w:abstractNum>
  <w:abstractNum w:abstractNumId="287">
    <w:nsid w:val="71315369"/>
    <w:multiLevelType w:val="hybridMultilevel"/>
    <w:lvl w:ilvl="0">
      <w:lvlJc w:val="left"/>
      <w:lvlText w:val="%1."/>
      <w:numFmt w:val="decimal"/>
      <w:start w:val="17"/>
    </w:lvl>
  </w:abstractNum>
  <w:abstractNum w:abstractNumId="288">
    <w:nsid w:val="7BCFBAFC"/>
    <w:multiLevelType w:val="hybridMultilevel"/>
    <w:lvl w:ilvl="0">
      <w:lvlJc w:val="left"/>
      <w:lvlText w:val="%1."/>
      <w:numFmt w:val="decimal"/>
      <w:start w:val="18"/>
    </w:lvl>
    <w:lvl w:ilvl="1">
      <w:lvlJc w:val="left"/>
      <w:lvlText w:val="%2."/>
      <w:numFmt w:val="decimal"/>
      <w:start w:val="17"/>
    </w:lvl>
    <w:lvl w:ilvl="2">
      <w:lvlJc w:val="left"/>
      <w:lvlText w:val="(%3)"/>
      <w:numFmt w:val="lowerLetter"/>
      <w:start w:val="1"/>
    </w:lvl>
  </w:abstractNum>
  <w:abstractNum w:abstractNumId="289">
    <w:nsid w:val="17859F72"/>
    <w:multiLevelType w:val="hybridMultilevel"/>
    <w:lvl w:ilvl="0">
      <w:lvlJc w:val="left"/>
      <w:lvlText w:val="%1."/>
      <w:numFmt w:val="decimal"/>
      <w:start w:val="19"/>
    </w:lvl>
  </w:abstractNum>
  <w:abstractNum w:abstractNumId="290">
    <w:nsid w:val="3AA10581"/>
    <w:multiLevelType w:val="hybridMultilevel"/>
    <w:lvl w:ilvl="0">
      <w:lvlJc w:val="left"/>
      <w:lvlText w:val="%1."/>
      <w:numFmt w:val="decimal"/>
      <w:start w:val="20"/>
    </w:lvl>
  </w:abstractNum>
  <w:abstractNum w:abstractNumId="291">
    <w:nsid w:val="63DE60CD"/>
    <w:multiLevelType w:val="hybridMultilevel"/>
    <w:lvl w:ilvl="0">
      <w:lvlJc w:val="left"/>
      <w:lvlText w:val="%1."/>
      <w:numFmt w:val="decimal"/>
      <w:start w:val="21"/>
    </w:lvl>
  </w:abstractNum>
  <w:abstractNum w:abstractNumId="292">
    <w:nsid w:val="621AF471"/>
    <w:multiLevelType w:val="hybridMultilevel"/>
    <w:lvl w:ilvl="0">
      <w:lvlJc w:val="left"/>
      <w:lvlText w:val="%1."/>
      <w:numFmt w:val="decimal"/>
      <w:start w:val="22"/>
    </w:lvl>
  </w:abstractNum>
  <w:abstractNum w:abstractNumId="293">
    <w:nsid w:val="73CFE165"/>
    <w:multiLevelType w:val="hybridMultilevel"/>
    <w:lvl w:ilvl="0">
      <w:lvlJc w:val="left"/>
      <w:lvlText w:val="%1."/>
      <w:numFmt w:val="decimal"/>
      <w:start w:val="23"/>
    </w:lvl>
  </w:abstractNum>
  <w:abstractNum w:abstractNumId="294">
    <w:nsid w:val="20F88EA6"/>
    <w:multiLevelType w:val="hybridMultilevel"/>
    <w:lvl w:ilvl="0">
      <w:lvlJc w:val="left"/>
      <w:lvlText w:val="*"/>
      <w:numFmt w:val="bullet"/>
      <w:start w:val="1"/>
    </w:lvl>
    <w:lvl w:ilvl="1">
      <w:lvlJc w:val="left"/>
      <w:lvlText w:val="(%2)"/>
      <w:numFmt w:val="decimal"/>
      <w:start w:val="4"/>
    </w:lvl>
  </w:abstractNum>
  <w:abstractNum w:abstractNumId="295">
    <w:nsid w:val="617C843E"/>
    <w:multiLevelType w:val="hybridMultilevel"/>
    <w:lvl w:ilvl="0">
      <w:lvlJc w:val="left"/>
      <w:lvlText w:val="*"/>
      <w:numFmt w:val="bullet"/>
      <w:start w:val="1"/>
    </w:lvl>
    <w:lvl w:ilvl="1">
      <w:lvlJc w:val="left"/>
      <w:lvlText w:val="(%2)"/>
      <w:numFmt w:val="decimal"/>
      <w:start w:val="6"/>
    </w:lvl>
  </w:abstractNum>
  <w:abstractNum w:abstractNumId="296">
    <w:nsid w:val="7B541F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7">
    <w:nsid w:val="2A79EC49"/>
    <w:multiLevelType w:val="hybridMultilevel"/>
    <w:lvl w:ilvl="0">
      <w:lvlJc w:val="left"/>
      <w:lvlText w:val="%1"/>
      <w:numFmt w:val="decimal"/>
      <w:start w:val="1"/>
    </w:lvl>
    <w:lvl w:ilvl="1">
      <w:lvlJc w:val="left"/>
      <w:lvlText w:val="(%2)"/>
      <w:numFmt w:val="lowerLetter"/>
      <w:start w:val="2"/>
    </w:lvl>
  </w:abstractNum>
  <w:abstractNum w:abstractNumId="298">
    <w:nsid w:val="338125CF"/>
    <w:multiLevelType w:val="hybridMultilevel"/>
    <w:lvl w:ilvl="0">
      <w:lvlJc w:val="left"/>
      <w:lvlText w:val="%1."/>
      <w:numFmt w:val="decimal"/>
      <w:start w:val="2"/>
    </w:lvl>
    <w:lvl w:ilvl="1">
      <w:lvlJc w:val="left"/>
      <w:lvlText w:val="(%2)"/>
      <w:numFmt w:val="lowerLetter"/>
      <w:start w:val="1"/>
    </w:lvl>
  </w:abstractNum>
  <w:abstractNum w:abstractNumId="299">
    <w:nsid w:val="47C7C971"/>
    <w:multiLevelType w:val="hybridMultilevel"/>
    <w:lvl w:ilvl="0">
      <w:lvlJc w:val="left"/>
      <w:lvlText w:val="%1"/>
      <w:numFmt w:val="decimal"/>
      <w:start w:val="1"/>
    </w:lvl>
    <w:lvl w:ilvl="1">
      <w:lvlJc w:val="left"/>
      <w:lvlText w:val="(%2)"/>
      <w:numFmt w:val="lowerLetter"/>
      <w:start w:val="6"/>
    </w:lvl>
  </w:abstractNum>
  <w:abstractNum w:abstractNumId="300">
    <w:nsid w:val="46F8284B"/>
    <w:multiLevelType w:val="hybridMultilevel"/>
    <w:lvl w:ilvl="0">
      <w:lvlJc w:val="left"/>
      <w:lvlText w:val="%1."/>
      <w:numFmt w:val="decimal"/>
      <w:start w:val="3"/>
    </w:lvl>
    <w:lvl w:ilvl="1">
      <w:lvlJc w:val="left"/>
      <w:lvlText w:val="%2"/>
      <w:numFmt w:val="lowerLetter"/>
      <w:start w:val="1"/>
    </w:lvl>
  </w:abstractNum>
  <w:abstractNum w:abstractNumId="301">
    <w:nsid w:val="4FA327CE"/>
    <w:multiLevelType w:val="hybridMultilevel"/>
    <w:lvl w:ilvl="0">
      <w:lvlJc w:val="left"/>
      <w:lvlText w:val="%1."/>
      <w:numFmt w:val="decimal"/>
      <w:start w:val="1"/>
    </w:lvl>
    <w:lvl w:ilvl="1">
      <w:lvlJc w:val="left"/>
      <w:lvlText w:val="%2)"/>
      <w:numFmt w:val="lowerLetter"/>
      <w:start w:val="1"/>
    </w:lvl>
  </w:abstractNum>
  <w:abstractNum w:abstractNumId="302">
    <w:nsid w:val="1873983A"/>
    <w:multiLevelType w:val="hybridMultilevel"/>
    <w:lvl w:ilvl="0">
      <w:lvlJc w:val="left"/>
      <w:lvlText w:val="%1."/>
      <w:numFmt w:val="decimal"/>
      <w:start w:val="1"/>
    </w:lvl>
    <w:lvl w:ilvl="1">
      <w:lvlJc w:val="left"/>
      <w:lvlText w:val="%2)"/>
      <w:numFmt w:val="lowerLetter"/>
      <w:start w:val="1"/>
    </w:lvl>
  </w:abstractNum>
  <w:abstractNum w:abstractNumId="303">
    <w:nsid w:val="3D2DD275"/>
    <w:multiLevelType w:val="hybridMultilevel"/>
    <w:lvl w:ilvl="0">
      <w:lvlJc w:val="left"/>
      <w:lvlText w:val="%1."/>
      <w:numFmt w:val="decimal"/>
      <w:start w:val="1"/>
    </w:lvl>
  </w:abstractNum>
  <w:abstractNum w:abstractNumId="304">
    <w:nsid w:val="2E17ECA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27" Type="http://schemas.openxmlformats.org/officeDocument/2006/relationships/hyperlink" Target="http://www.sec.gov/Archives/edgar/data/1232524/000119312511251468/d233902dex21.htm" TargetMode="External"/><Relationship Id="rId128" Type="http://schemas.openxmlformats.org/officeDocument/2006/relationships/hyperlink" Target="http://www.sec.gov/Archives/edgar/data/1232524/000119312512015521/d282897dex22.htm" TargetMode="External"/><Relationship Id="rId129" Type="http://schemas.openxmlformats.org/officeDocument/2006/relationships/hyperlink" Target="http://www.sec.gov/Archives/edgar/data/1232524/000119312512191724/d341488dex21.htm" TargetMode="External"/><Relationship Id="rId130" Type="http://schemas.openxmlformats.org/officeDocument/2006/relationships/hyperlink" Target="http://www.sec.gov/Archives/edgar/data/1232524/000119312512268244/d365702dex21b.htm" TargetMode="External"/><Relationship Id="rId131" Type="http://schemas.openxmlformats.org/officeDocument/2006/relationships/hyperlink" Target="http://www.sec.gov/Archives/edgar/data/1232524/000119312513481242/d647727dex21.htm" TargetMode="External"/><Relationship Id="rId132" Type="http://schemas.openxmlformats.org/officeDocument/2006/relationships/hyperlink" Target="http://www.sec.gov/Archives/edgar/data/1232524/000119312514008838/d656574dex21.htm" TargetMode="External"/><Relationship Id="rId133" Type="http://schemas.openxmlformats.org/officeDocument/2006/relationships/hyperlink" Target="http://www.sec.gov/Archives/edgar/data/1232524/000119312514295844/d768395dex21.htm" TargetMode="External"/><Relationship Id="rId134" Type="http://schemas.openxmlformats.org/officeDocument/2006/relationships/hyperlink" Target="http://www.sec.gov/Archives/edgar/data/1232524/000123252415000074/form8-kex21.htm" TargetMode="External"/><Relationship Id="rId135" Type="http://schemas.openxmlformats.org/officeDocument/2006/relationships/hyperlink" Target="http://www.sec.gov/Archives/edgar/data/1232524/000119312516607097/d203835dex21.htm" TargetMode="External"/><Relationship Id="rId136" Type="http://schemas.openxmlformats.org/officeDocument/2006/relationships/hyperlink" Target="https://www.sec.gov/Archives/edgar/data/1232524/000119312521027577/d117870dex21.htm" TargetMode="External"/><Relationship Id="rId137" Type="http://schemas.openxmlformats.org/officeDocument/2006/relationships/hyperlink" Target="http://www.sec.gov/Archives/edgar/data/1232524/000123252416000303/jazzq22016ex31.htm" TargetMode="External"/><Relationship Id="rId138" Type="http://schemas.openxmlformats.org/officeDocument/2006/relationships/hyperlink" Target="http://www.sec.gov/Archives/edgar/data/1232524/000119312514308406/d773171dex41.htm" TargetMode="External"/><Relationship Id="rId139" Type="http://schemas.openxmlformats.org/officeDocument/2006/relationships/hyperlink" Target="http://www.sec.gov/Archives/edgar/data/1232524/000119312517265654/d641007dex41.htm" TargetMode="External"/><Relationship Id="rId142" Type="http://schemas.openxmlformats.org/officeDocument/2006/relationships/hyperlink" Target="http://www.sec.gov/Archives/edgar/data/1232524/000119312520166658/d945191dex41.htm" TargetMode="External"/><Relationship Id="rId143" Type="http://schemas.openxmlformats.org/officeDocument/2006/relationships/hyperlink" Target="https://www.sec.gov/Archives/edgar/data/0001232524/000119312521140517/d191392dex41.htm" TargetMode="External"/><Relationship Id="rId144" Type="http://schemas.openxmlformats.org/officeDocument/2006/relationships/hyperlink" Target="https://www.sec.gov/Archives/edgar/data/1232524/000119312521151714/d186026dex101.htm" TargetMode="External"/><Relationship Id="rId145" Type="http://schemas.openxmlformats.org/officeDocument/2006/relationships/hyperlink" Target="https://www.sec.gov/Archives/edgar/data/1351288/000119312520153199/d87547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2021-08-03T16:27:00Z</dcterms:created>
  <dcterms:modified xsi:type="dcterms:W3CDTF">2021-08-03T16:27:00Z</dcterms:modified>
</cp:coreProperties>
</file>