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154305</wp:posOffset>
            </wp:positionV>
            <wp:extent cx="3831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147955</wp:posOffset>
            </wp:positionV>
            <wp:extent cx="3831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001-33500</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JAZZ PHARMACEUTICALS PUBLIC LIMITED COMPANY</w:t>
      </w:r>
    </w:p>
    <w:p>
      <w:pPr>
        <w:spacing w:after="0" w:line="73" w:lineRule="exact"/>
        <w:rPr>
          <w:sz w:val="24"/>
          <w:szCs w:val="24"/>
          <w:color w:val="auto"/>
        </w:rPr>
      </w:pPr>
    </w:p>
    <w:tbl>
      <w:tblPr>
        <w:tblLayout w:type="fixed"/>
        <w:tblInd w:w="1860" w:type="dxa"/>
        <w:tblCellMar>
          <w:top w:w="0" w:type="dxa"/>
          <w:left w:w="0" w:type="dxa"/>
          <w:bottom w:w="0" w:type="dxa"/>
          <w:right w:w="0" w:type="dxa"/>
        </w:tblCellMar>
      </w:tblPr>
      <w:tr>
        <w:trPr>
          <w:trHeight w:val="190"/>
        </w:trPr>
        <w:tc>
          <w:tcPr>
            <w:tcW w:w="2020" w:type="dxa"/>
            <w:vAlign w:val="bottom"/>
          </w:tcPr>
          <w:p>
            <w:pPr>
              <w:spacing w:after="0"/>
              <w:rPr>
                <w:sz w:val="16"/>
                <w:szCs w:val="16"/>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50"/>
        </w:trPr>
        <w:tc>
          <w:tcPr>
            <w:tcW w:w="202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5080" w:type="dxa"/>
            <w:vAlign w:val="bottom"/>
          </w:tcPr>
          <w:p>
            <w:pPr>
              <w:jc w:val="center"/>
              <w:ind w:left="3864"/>
              <w:spacing w:after="0"/>
              <w:rPr>
                <w:sz w:val="20"/>
                <w:szCs w:val="20"/>
                <w:color w:val="auto"/>
              </w:rPr>
            </w:pPr>
            <w:r>
              <w:rPr>
                <w:rFonts w:ascii="Times New Roman" w:cs="Times New Roman" w:eastAsia="Times New Roman" w:hAnsi="Times New Roman"/>
                <w:sz w:val="18"/>
                <w:szCs w:val="18"/>
                <w:b w:val="1"/>
                <w:bCs w:val="1"/>
                <w:color w:val="auto"/>
                <w:w w:val="98"/>
              </w:rPr>
              <w:t>98-1032470</w:t>
            </w:r>
          </w:p>
        </w:tc>
      </w:tr>
      <w:tr>
        <w:trPr>
          <w:trHeight w:val="148"/>
        </w:trPr>
        <w:tc>
          <w:tcPr>
            <w:tcW w:w="202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80" w:type="dxa"/>
            <w:vAlign w:val="bottom"/>
          </w:tcPr>
          <w:p>
            <w:pPr>
              <w:jc w:val="center"/>
              <w:ind w:left="388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080" w:type="dxa"/>
            <w:vAlign w:val="bottom"/>
          </w:tcPr>
          <w:p>
            <w:pPr>
              <w:jc w:val="center"/>
              <w:ind w:left="386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Fifth Floor, Waterloo Exchange,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Waterloo Road, Dublin 4, Ireland D04 E5W7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011-353-1-634-7800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116205</wp:posOffset>
            </wp:positionV>
            <wp:extent cx="3831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8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$0.0001 per share</w:t>
            </w:r>
          </w:p>
        </w:tc>
        <w:tc>
          <w:tcPr>
            <w:tcW w:w="21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JAZZ</w:t>
            </w:r>
          </w:p>
        </w:tc>
        <w:tc>
          <w:tcPr>
            <w:tcW w:w="4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8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Accelerated filer</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16" w:lineRule="exact"/>
        <w:rPr>
          <w:sz w:val="24"/>
          <w:szCs w:val="24"/>
          <w:color w:val="auto"/>
        </w:rPr>
      </w:pPr>
    </w:p>
    <w:p>
      <w:pPr>
        <w:ind w:right="4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1" w:name="page2"/>
    <w:bookmarkEnd w:id="1"/>
    <w:p>
      <w:pPr>
        <w:ind w:right="479"/>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26, 2026, 64,189,052 ordinary shares of the registrant, nominal value $0.0001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262255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79"/>
          </w:cols>
          <w:pgMar w:left="780" w:top="97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QUARTER ENDED SEPTEMBER 30, 2026</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318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6500" w:type="dxa"/>
            <w:vAlign w:val="bottom"/>
            <w:gridSpan w:val="10"/>
            <w:vMerge w:val="restart"/>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180" w:type="dxa"/>
            <w:vAlign w:val="bottom"/>
            <w:tcBorders>
              <w:bottom w:val="single" w:sz="8" w:color="0000FF"/>
            </w:tcBorders>
            <w:gridSpan w:val="12"/>
            <w:vMerge w:val="continue"/>
          </w:tcPr>
          <w:p>
            <w:pPr>
              <w:spacing w:after="0"/>
              <w:rPr>
                <w:sz w:val="14"/>
                <w:szCs w:val="14"/>
                <w:color w:val="auto"/>
              </w:rPr>
            </w:pPr>
          </w:p>
        </w:tc>
        <w:tc>
          <w:tcPr>
            <w:tcW w:w="6500" w:type="dxa"/>
            <w:vAlign w:val="bottom"/>
            <w:gridSpan w:val="10"/>
            <w:vMerge w:val="continue"/>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20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7"/>
              </w:rPr>
              <w:t>Defined Terms and Products</w:t>
            </w:r>
          </w:p>
        </w:tc>
        <w:tc>
          <w:tcPr>
            <w:tcW w:w="6520" w:type="dxa"/>
            <w:vAlign w:val="bottom"/>
            <w:gridSpan w:val="11"/>
          </w:tcPr>
          <w:p>
            <w:pPr>
              <w:spacing w:after="0"/>
              <w:rPr>
                <w:sz w:val="22"/>
                <w:szCs w:val="22"/>
                <w:color w:val="auto"/>
              </w:rPr>
            </w:pP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3</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0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520" w:type="dxa"/>
            <w:vAlign w:val="bottom"/>
            <w:gridSpan w:val="11"/>
          </w:tcPr>
          <w:p>
            <w:pPr>
              <w:spacing w:after="0"/>
              <w:rPr>
                <w:sz w:val="18"/>
                <w:szCs w:val="18"/>
                <w:color w:val="auto"/>
              </w:rPr>
            </w:pP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 September 30, 2026 and December 31, 2025</w:t>
            </w: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(Loss) – Three and Nine Months Ended September 30, 2026 and 2025</w:t>
            </w: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 Three and Nine Months Ended September</w:t>
            </w:r>
          </w:p>
        </w:tc>
        <w:tc>
          <w:tcPr>
            <w:tcW w:w="80" w:type="dxa"/>
            <w:vAlign w:val="bottom"/>
          </w:tcPr>
          <w:p>
            <w:pPr>
              <w:spacing w:after="0"/>
              <w:rPr>
                <w:sz w:val="18"/>
                <w:szCs w:val="18"/>
                <w:color w:val="auto"/>
              </w:rPr>
            </w:pPr>
          </w:p>
        </w:tc>
        <w:tc>
          <w:tcPr>
            <w:tcW w:w="840" w:type="dxa"/>
            <w:vAlign w:val="bottom"/>
            <w:gridSpan w:val="4"/>
            <w:vMerge w:val="restart"/>
          </w:tcPr>
          <w:p>
            <w:pPr>
              <w:jc w:val="center"/>
              <w:ind w:left="592"/>
              <w:spacing w:after="0"/>
              <w:rPr>
                <w:sz w:val="20"/>
                <w:szCs w:val="20"/>
                <w:color w:val="auto"/>
              </w:rPr>
            </w:pPr>
            <w:r>
              <w:rPr>
                <w:rFonts w:ascii="Times New Roman" w:cs="Times New Roman" w:eastAsia="Times New Roman" w:hAnsi="Times New Roman"/>
                <w:sz w:val="18"/>
                <w:szCs w:val="18"/>
                <w:color w:val="0000FF"/>
                <w:w w:val="88"/>
              </w:rPr>
              <w:t>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30, 2026 and 2025</w:t>
            </w:r>
          </w:p>
        </w:tc>
        <w:tc>
          <w:tcPr>
            <w:tcW w:w="6940" w:type="dxa"/>
            <w:vAlign w:val="bottom"/>
            <w:tcBorders>
              <w:top w:val="single" w:sz="8" w:color="0000FF"/>
            </w:tcBorders>
            <w:gridSpan w:val="13"/>
          </w:tcPr>
          <w:p>
            <w:pPr>
              <w:spacing w:after="0"/>
              <w:rPr>
                <w:sz w:val="13"/>
                <w:szCs w:val="13"/>
                <w:color w:val="auto"/>
              </w:rPr>
            </w:pPr>
          </w:p>
        </w:tc>
        <w:tc>
          <w:tcPr>
            <w:tcW w:w="280" w:type="dxa"/>
            <w:vAlign w:val="bottom"/>
            <w:gridSpan w:val="2"/>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5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 Three and Nine Months Ended September 30, 2026</w:t>
            </w: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20" w:type="dxa"/>
            <w:vAlign w:val="bottom"/>
          </w:tcPr>
          <w:p>
            <w:pPr>
              <w:spacing w:after="0"/>
              <w:rPr>
                <w:sz w:val="17"/>
                <w:szCs w:val="17"/>
                <w:color w:val="auto"/>
              </w:rPr>
            </w:pPr>
          </w:p>
        </w:tc>
        <w:tc>
          <w:tcPr>
            <w:tcW w:w="8560" w:type="dxa"/>
            <w:vAlign w:val="bottom"/>
            <w:gridSpan w:val="21"/>
            <w:vMerge w:val="continue"/>
          </w:tcPr>
          <w:p>
            <w:pPr>
              <w:spacing w:after="0"/>
              <w:rPr>
                <w:sz w:val="17"/>
                <w:szCs w:val="17"/>
                <w:color w:val="auto"/>
              </w:rPr>
            </w:pPr>
          </w:p>
        </w:tc>
        <w:tc>
          <w:tcPr>
            <w:tcW w:w="660" w:type="dxa"/>
            <w:vAlign w:val="bottom"/>
            <w:vMerge w:val="restart"/>
          </w:tcPr>
          <w:p>
            <w:pPr>
              <w:spacing w:after="0"/>
              <w:rPr>
                <w:sz w:val="17"/>
                <w:szCs w:val="17"/>
                <w:color w:val="auto"/>
              </w:rPr>
            </w:pPr>
          </w:p>
        </w:tc>
        <w:tc>
          <w:tcPr>
            <w:tcW w:w="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88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and 2025</w:t>
            </w:r>
          </w:p>
        </w:tc>
        <w:tc>
          <w:tcPr>
            <w:tcW w:w="7380" w:type="dxa"/>
            <w:vAlign w:val="bottom"/>
            <w:tcBorders>
              <w:top w:val="single" w:sz="8" w:color="0000FF"/>
            </w:tcBorders>
            <w:gridSpan w:val="15"/>
          </w:tcPr>
          <w:p>
            <w:pPr>
              <w:spacing w:after="0"/>
              <w:rPr>
                <w:sz w:val="14"/>
                <w:szCs w:val="14"/>
                <w:color w:val="auto"/>
              </w:rPr>
            </w:pPr>
          </w:p>
        </w:tc>
        <w:tc>
          <w:tcPr>
            <w:tcW w:w="300" w:type="dxa"/>
            <w:vAlign w:val="bottom"/>
            <w:gridSpan w:val="3"/>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Borders>
              <w:bottom w:val="single" w:sz="8" w:color="0000FF"/>
            </w:tcBorders>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Nine Months Ended September 30, 2026 and 2025</w:t>
            </w:r>
          </w:p>
        </w:tc>
        <w:tc>
          <w:tcPr>
            <w:tcW w:w="840" w:type="dxa"/>
            <w:vAlign w:val="bottom"/>
            <w:gridSpan w:val="4"/>
          </w:tcPr>
          <w:p>
            <w:pPr>
              <w:jc w:val="center"/>
              <w:ind w:left="572"/>
              <w:spacing w:after="0"/>
              <w:rPr>
                <w:sz w:val="20"/>
                <w:szCs w:val="20"/>
                <w:color w:val="auto"/>
              </w:rPr>
            </w:pPr>
            <w:r>
              <w:rPr>
                <w:rFonts w:ascii="Times New Roman" w:cs="Times New Roman" w:eastAsia="Times New Roman" w:hAnsi="Times New Roman"/>
                <w:sz w:val="18"/>
                <w:szCs w:val="18"/>
                <w:color w:val="0000FF"/>
                <w:w w:val="99"/>
              </w:rPr>
              <w:t>12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9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540" w:type="dxa"/>
            <w:vAlign w:val="bottom"/>
            <w:tcBorders>
              <w:top w:val="single" w:sz="8" w:color="0000FF"/>
            </w:tcBorders>
            <w:gridSpan w:val="5"/>
          </w:tcPr>
          <w:p>
            <w:pPr>
              <w:spacing w:after="0"/>
              <w:rPr>
                <w:sz w:val="18"/>
                <w:szCs w:val="18"/>
                <w:color w:val="auto"/>
              </w:rPr>
            </w:pPr>
          </w:p>
        </w:tc>
        <w:tc>
          <w:tcPr>
            <w:tcW w:w="1040" w:type="dxa"/>
            <w:vAlign w:val="bottom"/>
            <w:gridSpan w:val="4"/>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120" w:type="dxa"/>
            <w:vAlign w:val="bottom"/>
            <w:gridSpan w:val="5"/>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220" w:type="dxa"/>
            <w:vAlign w:val="bottom"/>
            <w:gridSpan w:val="7"/>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6800" w:type="dxa"/>
            <w:vAlign w:val="bottom"/>
            <w:gridSpan w:val="12"/>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420" w:type="dxa"/>
            <w:vAlign w:val="bottom"/>
            <w:tcBorders>
              <w:top w:val="single" w:sz="8" w:color="0000FF"/>
            </w:tcBorders>
            <w:gridSpan w:val="3"/>
          </w:tcPr>
          <w:p>
            <w:pPr>
              <w:spacing w:after="0"/>
              <w:rPr>
                <w:sz w:val="22"/>
                <w:szCs w:val="22"/>
                <w:color w:val="auto"/>
              </w:rPr>
            </w:pPr>
          </w:p>
        </w:tc>
        <w:tc>
          <w:tcPr>
            <w:tcW w:w="6820" w:type="dxa"/>
            <w:vAlign w:val="bottom"/>
            <w:gridSpan w:val="13"/>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40" w:type="dxa"/>
            <w:vAlign w:val="bottom"/>
            <w:gridSpan w:val="4"/>
          </w:tcPr>
          <w:p>
            <w:pPr>
              <w:jc w:val="center"/>
              <w:ind w:left="572"/>
              <w:spacing w:after="0"/>
              <w:rPr>
                <w:sz w:val="20"/>
                <w:szCs w:val="20"/>
                <w:color w:val="auto"/>
              </w:rPr>
            </w:pPr>
            <w:r>
              <w:rPr>
                <w:rFonts w:ascii="Times New Roman" w:cs="Times New Roman" w:eastAsia="Times New Roman" w:hAnsi="Times New Roman"/>
                <w:sz w:val="18"/>
                <w:szCs w:val="18"/>
                <w:color w:val="0000FF"/>
                <w:w w:val="99"/>
              </w:rPr>
              <w:t>53</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40" w:type="dxa"/>
            <w:vAlign w:val="bottom"/>
            <w:gridSpan w:val="4"/>
          </w:tcPr>
          <w:p>
            <w:pPr>
              <w:jc w:val="center"/>
              <w:ind w:left="572"/>
              <w:spacing w:after="0"/>
              <w:rPr>
                <w:sz w:val="20"/>
                <w:szCs w:val="20"/>
                <w:color w:val="auto"/>
              </w:rPr>
            </w:pPr>
            <w:r>
              <w:rPr>
                <w:rFonts w:ascii="Times New Roman" w:cs="Times New Roman" w:eastAsia="Times New Roman" w:hAnsi="Times New Roman"/>
                <w:sz w:val="18"/>
                <w:szCs w:val="18"/>
                <w:color w:val="0000FF"/>
                <w:w w:val="99"/>
              </w:rPr>
              <w:t>55</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3020" w:type="dxa"/>
            <w:vAlign w:val="bottom"/>
            <w:tcBorders>
              <w:top w:val="single" w:sz="8" w:color="0000FF"/>
            </w:tcBorders>
            <w:gridSpan w:val="9"/>
          </w:tcPr>
          <w:p>
            <w:pPr>
              <w:spacing w:after="0"/>
              <w:rPr>
                <w:sz w:val="22"/>
                <w:szCs w:val="22"/>
                <w:color w:val="auto"/>
              </w:rPr>
            </w:pPr>
          </w:p>
        </w:tc>
        <w:tc>
          <w:tcPr>
            <w:tcW w:w="4240" w:type="dxa"/>
            <w:vAlign w:val="bottom"/>
            <w:gridSpan w:val="8"/>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3"/>
              </w:rPr>
              <w:t>Exhibits</w:t>
            </w:r>
          </w:p>
        </w:tc>
        <w:tc>
          <w:tcPr>
            <w:tcW w:w="7980" w:type="dxa"/>
            <w:vAlign w:val="bottom"/>
            <w:gridSpan w:val="20"/>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57</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8560" w:type="dxa"/>
            <w:vAlign w:val="bottom"/>
            <w:gridSpan w:val="21"/>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58</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terms</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use several terms in this Form 10-Q, including but not limited to those that are finance, regulation and disease-state related as well as names of other companies, which are given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 exchangeable senior notes due 2026</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3.125% exchangeable senior notes due 2030</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 Notes</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1.875% exchangeable senior notes due 2032</w:t>
            </w:r>
          </w:p>
        </w:tc>
        <w:tc>
          <w:tcPr>
            <w:tcW w:w="0" w:type="dxa"/>
            <w:vAlign w:val="bottom"/>
          </w:tcPr>
          <w:p>
            <w:pPr>
              <w:spacing w:after="0"/>
              <w:rPr>
                <w:sz w:val="1"/>
                <w:szCs w:val="1"/>
                <w:color w:val="auto"/>
              </w:rPr>
            </w:pPr>
          </w:p>
        </w:tc>
      </w:tr>
      <w:tr>
        <w:trPr>
          <w:trHeight w:val="338"/>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AbCellera</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AbCellera Biologics Inc.</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Actio</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Actio Biosciences, Inc.</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Actio Acquisition</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our acquisition of Actio on September 15, 2026</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authorized generic</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Alkermes</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Alkermes plc</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acute lymphoblastic leukemia</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Almaject</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Almaject Inc., Alvogen, Inc., and Alvogen PB Research and Development LLC</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Amended Credit Agreement</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Agreement amended to include Amendment No. 1, Amendment No. 2, Amendment No. 3 and Amendment No. 4</w:t>
            </w: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Revolving Credit</w:t>
            </w:r>
          </w:p>
        </w:tc>
        <w:tc>
          <w:tcPr>
            <w:tcW w:w="9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Revolving credit facility amended to increase the Initial Revolving Credit Facility to $885.0 million and extend the</w:t>
            </w:r>
          </w:p>
        </w:tc>
        <w:tc>
          <w:tcPr>
            <w:tcW w:w="0" w:type="dxa"/>
            <w:vAlign w:val="bottom"/>
          </w:tcPr>
          <w:p>
            <w:pPr>
              <w:spacing w:after="0"/>
              <w:rPr>
                <w:sz w:val="1"/>
                <w:szCs w:val="1"/>
                <w:color w:val="auto"/>
              </w:rPr>
            </w:pPr>
          </w:p>
        </w:tc>
      </w:tr>
      <w:tr>
        <w:trPr>
          <w:trHeight w:val="23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maturity date</w:t>
            </w: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 No. 1</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amendment to the Credit Agreement entered into by Jazz Lux in January 2024</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 to the Credit Agreement entered into by Jazz Lux in July 2024</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 No. 3</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amendment to the Credit Agreement entered into by Jazz Lux in November 2024</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4</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 to the Credit Agreement entered into by Jazz Lux in September 2026</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Amneal</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Amneal Pharmaceuticals LLC</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ANDA</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abbreviated NDA</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Ascent</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Ascent Pharmaceuticals, Inc.</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ASD</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ASD Specialty Healthcare LLC</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Avadel</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Avadel Pharmaceuticals plc</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Axsome</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Axsome Therapeutics, Inc.</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Biologics License Application</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Borrowers</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Jazz Pharmaceuticals plc, Jazz Lux, and certain of our other subsidiaries, as borrowers under the Credit Agreement</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BTC</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biliary tract cancers</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BTD</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Breakthrough Therapy designation</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CBD</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cannabidiol</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Chimerix</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Chimerix, Inc.</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Chimerix Acquisition</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our acquisition of Chimerix on April 21, 2025</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ClpP</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mitochondrial caseinolytic protease P</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CMS</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Centers for Medicare &amp; Medicaid Services</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CNX Therapeutics</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CNX Therapeutics Limited</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CODM</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operating decision maker</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CRC</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colorectal cancer</w:t>
            </w:r>
          </w:p>
        </w:tc>
        <w:tc>
          <w:tcPr>
            <w:tcW w:w="0" w:type="dxa"/>
            <w:vAlign w:val="bottom"/>
          </w:tcPr>
          <w:p>
            <w:pPr>
              <w:spacing w:after="0"/>
              <w:rPr>
                <w:sz w:val="1"/>
                <w:szCs w:val="1"/>
                <w:color w:val="auto"/>
              </w:rPr>
            </w:pPr>
          </w:p>
        </w:tc>
      </w:tr>
      <w:tr>
        <w:trPr>
          <w:trHeight w:val="175"/>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9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Credit Agreement entered into on May 5, 2021, by and among us, Jazz Lux, and certain of our other subsidiaries, as</w:t>
            </w:r>
          </w:p>
        </w:tc>
        <w:tc>
          <w:tcPr>
            <w:tcW w:w="0" w:type="dxa"/>
            <w:vAlign w:val="bottom"/>
          </w:tcPr>
          <w:p>
            <w:pPr>
              <w:spacing w:after="0"/>
              <w:rPr>
                <w:sz w:val="1"/>
                <w:szCs w:val="1"/>
                <w:color w:val="auto"/>
              </w:rPr>
            </w:pPr>
          </w:p>
        </w:tc>
      </w:tr>
      <w:tr>
        <w:trPr>
          <w:trHeight w:val="184"/>
        </w:trPr>
        <w:tc>
          <w:tcPr>
            <w:tcW w:w="2200" w:type="dxa"/>
            <w:vAlign w:val="bottom"/>
            <w:vMerge w:val="continue"/>
          </w:tcPr>
          <w:p>
            <w:pPr>
              <w:spacing w:after="0"/>
              <w:rPr>
                <w:sz w:val="16"/>
                <w:szCs w:val="16"/>
                <w:color w:val="auto"/>
              </w:rPr>
            </w:pPr>
          </w:p>
        </w:tc>
        <w:tc>
          <w:tcPr>
            <w:tcW w:w="90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borrowers, the lenders and issuing banks from time to time party thereto, Bank of America, N.A., as administrative agent</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U.S. Bank Trust Company, National Association, as collateral trustee</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Drug Enforcement Administration</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DOJ</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Department of Justice</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Dollar Term Loan</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our former seven-year $3.1 billion term loan B facility under the Credit Agreement</w:t>
            </w: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DRD2</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dopamine D2 receptor</w:t>
            </w:r>
          </w:p>
        </w:tc>
        <w:tc>
          <w:tcPr>
            <w:tcW w:w="0" w:type="dxa"/>
            <w:vAlign w:val="bottom"/>
          </w:tcPr>
          <w:p>
            <w:pPr>
              <w:spacing w:after="0"/>
              <w:rPr>
                <w:sz w:val="1"/>
                <w:szCs w:val="1"/>
                <w:color w:val="auto"/>
              </w:rPr>
            </w:pPr>
          </w:p>
        </w:tc>
      </w:tr>
      <w:tr>
        <w:trPr>
          <w:trHeight w:val="859"/>
        </w:trPr>
        <w:tc>
          <w:tcPr>
            <w:tcW w:w="2200" w:type="dxa"/>
            <w:vAlign w:val="bottom"/>
          </w:tcPr>
          <w:p>
            <w:pPr>
              <w:spacing w:after="0"/>
              <w:rPr>
                <w:sz w:val="24"/>
                <w:szCs w:val="24"/>
                <w:color w:val="auto"/>
              </w:rPr>
            </w:pPr>
          </w:p>
        </w:tc>
        <w:tc>
          <w:tcPr>
            <w:tcW w:w="90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9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Table of Content</w:t>
            </w:r>
          </w:p>
        </w:tc>
        <w:tc>
          <w:tcPr>
            <w:tcW w:w="960" w:type="dxa"/>
            <w:vAlign w:val="bottom"/>
          </w:tcPr>
          <w:p>
            <w:pPr>
              <w:spacing w:after="0"/>
              <w:rPr>
                <w:sz w:val="17"/>
                <w:szCs w:val="17"/>
                <w:color w:val="auto"/>
              </w:rPr>
            </w:pPr>
          </w:p>
        </w:tc>
        <w:tc>
          <w:tcPr>
            <w:tcW w:w="9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Dravet syndrome</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EC</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European Commission</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excessive daytime sleepiness</w:t>
            </w:r>
          </w:p>
        </w:tc>
        <w:tc>
          <w:tcPr>
            <w:tcW w:w="0" w:type="dxa"/>
            <w:vAlign w:val="bottom"/>
          </w:tcPr>
          <w:p>
            <w:pPr>
              <w:spacing w:after="0"/>
              <w:rPr>
                <w:sz w:val="1"/>
                <w:szCs w:val="1"/>
                <w:color w:val="auto"/>
              </w:rPr>
            </w:pPr>
          </w:p>
        </w:tc>
      </w:tr>
      <w:tr>
        <w:trPr>
          <w:trHeight w:val="175"/>
        </w:trPr>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Epidiolex ANDA Filers</w:t>
            </w:r>
          </w:p>
        </w:tc>
        <w:tc>
          <w:tcPr>
            <w:tcW w:w="90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Teva; Padagis US LLC; Apotex Inc.; API Pharma Tech LLC and InvaGen; Lupin Limited; Taro Pharmaceutical Industries</w:t>
            </w:r>
          </w:p>
        </w:tc>
        <w:tc>
          <w:tcPr>
            <w:tcW w:w="0" w:type="dxa"/>
            <w:vAlign w:val="bottom"/>
          </w:tcPr>
          <w:p>
            <w:pPr>
              <w:spacing w:after="0"/>
              <w:rPr>
                <w:sz w:val="1"/>
                <w:szCs w:val="1"/>
                <w:color w:val="auto"/>
              </w:rPr>
            </w:pPr>
          </w:p>
        </w:tc>
      </w:tr>
      <w:tr>
        <w:trPr>
          <w:trHeight w:val="184"/>
        </w:trPr>
        <w:tc>
          <w:tcPr>
            <w:tcW w:w="2180" w:type="dxa"/>
            <w:vAlign w:val="bottom"/>
            <w:gridSpan w:val="2"/>
            <w:vMerge w:val="continue"/>
          </w:tcPr>
          <w:p>
            <w:pPr>
              <w:spacing w:after="0"/>
              <w:rPr>
                <w:sz w:val="16"/>
                <w:szCs w:val="16"/>
                <w:color w:val="auto"/>
              </w:rPr>
            </w:pPr>
          </w:p>
        </w:tc>
        <w:tc>
          <w:tcPr>
            <w:tcW w:w="90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Ltd.; Zenara Pharma Private Limited and Biophore Pharma, Inc.; MSN Laboratories Pvt. Ltd. and MSN Pharmaceuticals,</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 Alkem Laboratories Ltd.; and Ascent</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ES-SCLC</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extensive-stage small cell lung cancer</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Amended and Restated 2007 Employee Stock Purchase Plan</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ESSDS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Express Scripts Specialty Distribution Services, Inc.</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essential tremor</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European Union</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 Term Loan</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our now repaid seven-year €625.0 million term loan B facility under the Credit Agreement</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Exchangeable Senior Notes</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our 2030 Notes and 2032 Notes</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step-up expense</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acquisition accounting inventory fair value step-up expense</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Food and Drug Administration</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Act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Finance (No. 2) Act of 2023</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FTC</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 Trade Commission</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gram</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GEA</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gastroesophageal adenocarcinoma</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Granules</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Granules India Limited</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GW</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GW Pharmaceuticals plc</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GW Acquisition</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our acquisition of GW in May 2021</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HER2</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human epidermal growth factor receptor 2</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HHS</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Department of Health and Human Services</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Hikma</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Hikma Pharmaceuticals PLC</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IFNα</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interferon alpha</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IH</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idiopathic hypersomnia</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IHC3+</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immunohistochemistry 3+</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intramuscular</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investigational NDA</w:t>
            </w:r>
          </w:p>
        </w:tc>
        <w:tc>
          <w:tcPr>
            <w:tcW w:w="0" w:type="dxa"/>
            <w:vAlign w:val="bottom"/>
          </w:tcPr>
          <w:p>
            <w:pPr>
              <w:spacing w:after="0"/>
              <w:rPr>
                <w:sz w:val="1"/>
                <w:szCs w:val="1"/>
                <w:color w:val="auto"/>
              </w:rPr>
            </w:pPr>
          </w:p>
        </w:tc>
      </w:tr>
      <w:tr>
        <w:trPr>
          <w:trHeight w:val="175"/>
        </w:trPr>
        <w:tc>
          <w:tcPr>
            <w:tcW w:w="21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Initial Revolving Credit</w:t>
            </w:r>
          </w:p>
        </w:tc>
        <w:tc>
          <w:tcPr>
            <w:tcW w:w="90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our five-year $500.0 million revolving credit facility under the Credit Agreement entered into in May 2021</w:t>
            </w:r>
          </w:p>
        </w:tc>
        <w:tc>
          <w:tcPr>
            <w:tcW w:w="0" w:type="dxa"/>
            <w:vAlign w:val="bottom"/>
          </w:tcPr>
          <w:p>
            <w:pPr>
              <w:spacing w:after="0"/>
              <w:rPr>
                <w:sz w:val="1"/>
                <w:szCs w:val="1"/>
                <w:color w:val="auto"/>
              </w:rPr>
            </w:pPr>
          </w:p>
        </w:tc>
      </w:tr>
      <w:tr>
        <w:trPr>
          <w:trHeight w:val="148"/>
        </w:trPr>
        <w:tc>
          <w:tcPr>
            <w:tcW w:w="2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9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80" w:type="dxa"/>
            <w:vAlign w:val="bottom"/>
            <w:gridSpan w:val="2"/>
            <w:vMerge w:val="continue"/>
            <w:shd w:val="clear" w:color="auto" w:fill="CCEEFF"/>
          </w:tcPr>
          <w:p>
            <w:pPr>
              <w:spacing w:after="0"/>
              <w:rPr>
                <w:sz w:val="8"/>
                <w:szCs w:val="8"/>
                <w:color w:val="auto"/>
              </w:rPr>
            </w:pPr>
          </w:p>
        </w:tc>
        <w:tc>
          <w:tcPr>
            <w:tcW w:w="90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InvaGen</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InvaGen Pharmaceuticals, Inc.</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IPR</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 partes review</w:t>
            </w:r>
          </w:p>
        </w:tc>
        <w:tc>
          <w:tcPr>
            <w:tcW w:w="0" w:type="dxa"/>
            <w:vAlign w:val="bottom"/>
          </w:tcPr>
          <w:p>
            <w:pPr>
              <w:spacing w:after="0"/>
              <w:rPr>
                <w:sz w:val="1"/>
                <w:szCs w:val="1"/>
                <w:color w:val="auto"/>
              </w:rPr>
            </w:pPr>
          </w:p>
        </w:tc>
      </w:tr>
      <w:tr>
        <w:trPr>
          <w:trHeight w:val="338"/>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IRA</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Inflation Reduction Act of 2022</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Jazz Investments</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Jazz Investments I Limited</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Jazz Lux</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Jazz Financing Lux S.à.r.l.</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KCNT1</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Potassium channel subfamily T, member 1</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LBL</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lymphoblastic lymphoma</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LGS</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Lennox-Gastaut syndrome</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Lupin</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Lupin Inc.</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MAPK</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mitogen-activated protein kinase</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McKesson</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McKesson Corporation</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MDS</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Myelodysplastic Syndrome</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MFN</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Most-Favored-Nation</w:t>
            </w:r>
          </w:p>
        </w:tc>
        <w:tc>
          <w:tcPr>
            <w:tcW w:w="0" w:type="dxa"/>
            <w:vAlign w:val="bottom"/>
          </w:tcPr>
          <w:p>
            <w:pPr>
              <w:spacing w:after="0"/>
              <w:rPr>
                <w:sz w:val="1"/>
                <w:szCs w:val="1"/>
                <w:color w:val="auto"/>
              </w:rPr>
            </w:pPr>
          </w:p>
        </w:tc>
      </w:tr>
      <w:tr>
        <w:trPr>
          <w:trHeight w:val="864"/>
        </w:trPr>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6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9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Table of Content</w:t>
            </w:r>
          </w:p>
        </w:tc>
        <w:tc>
          <w:tcPr>
            <w:tcW w:w="1040" w:type="dxa"/>
            <w:vAlign w:val="bottom"/>
          </w:tcPr>
          <w:p>
            <w:pPr>
              <w:spacing w:after="0"/>
              <w:rPr>
                <w:sz w:val="17"/>
                <w:szCs w:val="17"/>
                <w:color w:val="auto"/>
              </w:rPr>
            </w:pPr>
          </w:p>
        </w:tc>
        <w:tc>
          <w:tcPr>
            <w:tcW w:w="8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mg</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milligram</w:t>
            </w:r>
          </w:p>
        </w:tc>
        <w:tc>
          <w:tcPr>
            <w:tcW w:w="0" w:type="dxa"/>
            <w:vAlign w:val="bottom"/>
          </w:tcPr>
          <w:p>
            <w:pPr>
              <w:spacing w:after="0"/>
              <w:rPr>
                <w:sz w:val="1"/>
                <w:szCs w:val="1"/>
                <w:color w:val="auto"/>
              </w:rPr>
            </w:pPr>
          </w:p>
        </w:tc>
      </w:tr>
      <w:tr>
        <w:trPr>
          <w:trHeight w:val="229"/>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mGEA</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metastatic gastroesophageal adenocarcinoma</w:t>
            </w:r>
          </w:p>
        </w:tc>
        <w:tc>
          <w:tcPr>
            <w:tcW w:w="0" w:type="dxa"/>
            <w:vAlign w:val="bottom"/>
          </w:tcPr>
          <w:p>
            <w:pPr>
              <w:spacing w:after="0"/>
              <w:rPr>
                <w:sz w:val="1"/>
                <w:szCs w:val="1"/>
                <w:color w:val="auto"/>
              </w:rPr>
            </w:pPr>
          </w:p>
        </w:tc>
      </w:tr>
      <w:tr>
        <w:trPr>
          <w:trHeight w:val="23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MHRA</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Medicines and Healthcare products Regulatory Agency</w:t>
            </w:r>
          </w:p>
        </w:tc>
        <w:tc>
          <w:tcPr>
            <w:tcW w:w="0" w:type="dxa"/>
            <w:vAlign w:val="bottom"/>
          </w:tcPr>
          <w:p>
            <w:pPr>
              <w:spacing w:after="0"/>
              <w:rPr>
                <w:sz w:val="1"/>
                <w:szCs w:val="1"/>
                <w:color w:val="auto"/>
              </w:rPr>
            </w:pPr>
          </w:p>
        </w:tc>
      </w:tr>
      <w:tr>
        <w:trPr>
          <w:trHeight w:val="229"/>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NDA</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New Drug Application</w:t>
            </w:r>
          </w:p>
        </w:tc>
        <w:tc>
          <w:tcPr>
            <w:tcW w:w="0" w:type="dxa"/>
            <w:vAlign w:val="bottom"/>
          </w:tcPr>
          <w:p>
            <w:pPr>
              <w:spacing w:after="0"/>
              <w:rPr>
                <w:sz w:val="1"/>
                <w:szCs w:val="1"/>
                <w:color w:val="auto"/>
              </w:rPr>
            </w:pPr>
          </w:p>
        </w:tc>
      </w:tr>
      <w:tr>
        <w:trPr>
          <w:trHeight w:val="22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Nippon Zoki</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Nippon Zoki Pharmaceutical Co., Ltd.</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ODE</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Orphan Drug Exclusivity in the U.S.</w:t>
            </w:r>
          </w:p>
        </w:tc>
        <w:tc>
          <w:tcPr>
            <w:tcW w:w="0" w:type="dxa"/>
            <w:vAlign w:val="bottom"/>
          </w:tcPr>
          <w:p>
            <w:pPr>
              <w:spacing w:after="0"/>
              <w:rPr>
                <w:sz w:val="1"/>
                <w:szCs w:val="1"/>
                <w:color w:val="auto"/>
              </w:rPr>
            </w:pPr>
          </w:p>
        </w:tc>
      </w:tr>
      <w:tr>
        <w:trPr>
          <w:trHeight w:val="22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OECD</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Organization for Economic Co-operation and Development</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 Book</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FDA’s publication “Approved Drug Products with Therapeutic Equivalence Evaluations”</w:t>
            </w:r>
          </w:p>
        </w:tc>
        <w:tc>
          <w:tcPr>
            <w:tcW w:w="0" w:type="dxa"/>
            <w:vAlign w:val="bottom"/>
          </w:tcPr>
          <w:p>
            <w:pPr>
              <w:spacing w:after="0"/>
              <w:rPr>
                <w:sz w:val="1"/>
                <w:szCs w:val="1"/>
                <w:color w:val="auto"/>
              </w:rPr>
            </w:pPr>
          </w:p>
        </w:tc>
      </w:tr>
      <w:tr>
        <w:trPr>
          <w:trHeight w:val="22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OS</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overall survival</w:t>
            </w:r>
          </w:p>
        </w:tc>
        <w:tc>
          <w:tcPr>
            <w:tcW w:w="0" w:type="dxa"/>
            <w:vAlign w:val="bottom"/>
          </w:tcPr>
          <w:p>
            <w:pPr>
              <w:spacing w:after="0"/>
              <w:rPr>
                <w:sz w:val="1"/>
                <w:szCs w:val="1"/>
                <w:color w:val="auto"/>
              </w:rPr>
            </w:pPr>
          </w:p>
        </w:tc>
      </w:tr>
      <w:tr>
        <w:trPr>
          <w:trHeight w:val="229"/>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Par Pharmaceutical, Inc.</w:t>
            </w:r>
          </w:p>
        </w:tc>
        <w:tc>
          <w:tcPr>
            <w:tcW w:w="0" w:type="dxa"/>
            <w:vAlign w:val="bottom"/>
          </w:tcPr>
          <w:p>
            <w:pPr>
              <w:spacing w:after="0"/>
              <w:rPr>
                <w:sz w:val="1"/>
                <w:szCs w:val="1"/>
                <w:color w:val="auto"/>
              </w:rPr>
            </w:pPr>
          </w:p>
        </w:tc>
      </w:tr>
      <w:tr>
        <w:trPr>
          <w:trHeight w:val="23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Patheon</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Patheon Pharmaceuticals Inc., together with its affiliates</w:t>
            </w:r>
          </w:p>
        </w:tc>
        <w:tc>
          <w:tcPr>
            <w:tcW w:w="0" w:type="dxa"/>
            <w:vAlign w:val="bottom"/>
          </w:tcPr>
          <w:p>
            <w:pPr>
              <w:spacing w:after="0"/>
              <w:rPr>
                <w:sz w:val="1"/>
                <w:szCs w:val="1"/>
                <w:color w:val="auto"/>
              </w:rPr>
            </w:pPr>
          </w:p>
        </w:tc>
      </w:tr>
      <w:tr>
        <w:trPr>
          <w:trHeight w:val="229"/>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PBMs</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pharmacy benefit managers</w:t>
            </w:r>
          </w:p>
        </w:tc>
        <w:tc>
          <w:tcPr>
            <w:tcW w:w="0" w:type="dxa"/>
            <w:vAlign w:val="bottom"/>
          </w:tcPr>
          <w:p>
            <w:pPr>
              <w:spacing w:after="0"/>
              <w:rPr>
                <w:sz w:val="1"/>
                <w:szCs w:val="1"/>
                <w:color w:val="auto"/>
              </w:rPr>
            </w:pPr>
          </w:p>
        </w:tc>
      </w:tr>
      <w:tr>
        <w:trPr>
          <w:trHeight w:val="22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PD-L1</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programmed death-ligand 1</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PDUFA</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Prescription Drug User Fee Act</w:t>
            </w:r>
          </w:p>
        </w:tc>
        <w:tc>
          <w:tcPr>
            <w:tcW w:w="0" w:type="dxa"/>
            <w:vAlign w:val="bottom"/>
          </w:tcPr>
          <w:p>
            <w:pPr>
              <w:spacing w:after="0"/>
              <w:rPr>
                <w:sz w:val="1"/>
                <w:szCs w:val="1"/>
                <w:color w:val="auto"/>
              </w:rPr>
            </w:pPr>
          </w:p>
        </w:tc>
      </w:tr>
      <w:tr>
        <w:trPr>
          <w:trHeight w:val="22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PharmaMar</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Pharma Mar, S.A.</w:t>
            </w:r>
          </w:p>
        </w:tc>
        <w:tc>
          <w:tcPr>
            <w:tcW w:w="0" w:type="dxa"/>
            <w:vAlign w:val="bottom"/>
          </w:tcPr>
          <w:p>
            <w:pPr>
              <w:spacing w:after="0"/>
              <w:rPr>
                <w:sz w:val="1"/>
                <w:szCs w:val="1"/>
                <w:color w:val="auto"/>
              </w:rPr>
            </w:pPr>
          </w:p>
        </w:tc>
      </w:tr>
      <w:tr>
        <w:trPr>
          <w:trHeight w:val="176"/>
        </w:trPr>
        <w:tc>
          <w:tcPr>
            <w:tcW w:w="2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Pillar Two</w:t>
            </w:r>
          </w:p>
        </w:tc>
        <w:tc>
          <w:tcPr>
            <w:tcW w:w="89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the OECD framework proposal to implement a two-pillar plan on global tax reform, including a global minimum tax rate</w:t>
            </w:r>
          </w:p>
        </w:tc>
        <w:tc>
          <w:tcPr>
            <w:tcW w:w="0" w:type="dxa"/>
            <w:vAlign w:val="bottom"/>
          </w:tcPr>
          <w:p>
            <w:pPr>
              <w:spacing w:after="0"/>
              <w:rPr>
                <w:sz w:val="1"/>
                <w:szCs w:val="1"/>
                <w:color w:val="auto"/>
              </w:rPr>
            </w:pPr>
          </w:p>
        </w:tc>
      </w:tr>
      <w:tr>
        <w:trPr>
          <w:trHeight w:val="148"/>
        </w:trPr>
        <w:tc>
          <w:tcPr>
            <w:tcW w:w="2260" w:type="dxa"/>
            <w:vAlign w:val="bottom"/>
            <w:gridSpan w:val="2"/>
            <w:vMerge w:val="continue"/>
            <w:shd w:val="clear" w:color="auto" w:fill="CCEEFF"/>
          </w:tcPr>
          <w:p>
            <w:pPr>
              <w:spacing w:after="0"/>
              <w:rPr>
                <w:sz w:val="12"/>
                <w:szCs w:val="12"/>
                <w:color w:val="auto"/>
              </w:rPr>
            </w:pPr>
          </w:p>
        </w:tc>
        <w:tc>
          <w:tcPr>
            <w:tcW w:w="8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 15% for large multinational corporations on a jurisdiction-by-jurisdiction basis</w:t>
            </w:r>
          </w:p>
        </w:tc>
        <w:tc>
          <w:tcPr>
            <w:tcW w:w="0" w:type="dxa"/>
            <w:vAlign w:val="bottom"/>
          </w:tcPr>
          <w:p>
            <w:pPr>
              <w:spacing w:after="0"/>
              <w:rPr>
                <w:sz w:val="1"/>
                <w:szCs w:val="1"/>
                <w:color w:val="auto"/>
              </w:rPr>
            </w:pPr>
          </w:p>
        </w:tc>
      </w:tr>
      <w:tr>
        <w:trPr>
          <w:trHeight w:val="94"/>
        </w:trPr>
        <w:tc>
          <w:tcPr>
            <w:tcW w:w="12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89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Praxis</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Praxis Precision Medicines, Inc.</w:t>
            </w:r>
          </w:p>
        </w:tc>
        <w:tc>
          <w:tcPr>
            <w:tcW w:w="0" w:type="dxa"/>
            <w:vAlign w:val="bottom"/>
          </w:tcPr>
          <w:p>
            <w:pPr>
              <w:spacing w:after="0"/>
              <w:rPr>
                <w:sz w:val="1"/>
                <w:szCs w:val="1"/>
                <w:color w:val="auto"/>
              </w:rPr>
            </w:pPr>
          </w:p>
        </w:tc>
      </w:tr>
      <w:tr>
        <w:trPr>
          <w:trHeight w:val="229"/>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PRC</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0" w:type="dxa"/>
            <w:vAlign w:val="bottom"/>
          </w:tcPr>
          <w:p>
            <w:pPr>
              <w:spacing w:after="0"/>
              <w:rPr>
                <w:sz w:val="1"/>
                <w:szCs w:val="1"/>
                <w:color w:val="auto"/>
              </w:rPr>
            </w:pPr>
          </w:p>
        </w:tc>
      </w:tr>
      <w:tr>
        <w:trPr>
          <w:trHeight w:val="23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0" w:type="dxa"/>
            <w:vAlign w:val="bottom"/>
          </w:tcPr>
          <w:p>
            <w:pPr>
              <w:spacing w:after="0"/>
              <w:rPr>
                <w:sz w:val="1"/>
                <w:szCs w:val="1"/>
                <w:color w:val="auto"/>
              </w:rPr>
            </w:pPr>
          </w:p>
        </w:tc>
      </w:tr>
      <w:tr>
        <w:trPr>
          <w:trHeight w:val="229"/>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PRV</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priority review voucher received in connection with the approval of Modeyso in August 2025</w:t>
            </w:r>
          </w:p>
        </w:tc>
        <w:tc>
          <w:tcPr>
            <w:tcW w:w="0" w:type="dxa"/>
            <w:vAlign w:val="bottom"/>
          </w:tcPr>
          <w:p>
            <w:pPr>
              <w:spacing w:after="0"/>
              <w:rPr>
                <w:sz w:val="1"/>
                <w:szCs w:val="1"/>
                <w:color w:val="auto"/>
              </w:rPr>
            </w:pPr>
          </w:p>
        </w:tc>
      </w:tr>
      <w:tr>
        <w:trPr>
          <w:trHeight w:val="22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PTAB</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Patent Trial and Appeal Board of the USPTO</w:t>
            </w:r>
          </w:p>
        </w:tc>
        <w:tc>
          <w:tcPr>
            <w:tcW w:w="0" w:type="dxa"/>
            <w:vAlign w:val="bottom"/>
          </w:tcPr>
          <w:p>
            <w:pPr>
              <w:spacing w:after="0"/>
              <w:rPr>
                <w:sz w:val="1"/>
                <w:szCs w:val="1"/>
                <w:color w:val="auto"/>
              </w:rPr>
            </w:pPr>
          </w:p>
        </w:tc>
      </w:tr>
      <w:tr>
        <w:trPr>
          <w:trHeight w:val="338"/>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Qilu</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Qilu Pharmaceutical (Hainan) Co., Ltd.</w:t>
            </w:r>
          </w:p>
        </w:tc>
        <w:tc>
          <w:tcPr>
            <w:tcW w:w="0" w:type="dxa"/>
            <w:vAlign w:val="bottom"/>
          </w:tcPr>
          <w:p>
            <w:pPr>
              <w:spacing w:after="0"/>
              <w:rPr>
                <w:sz w:val="1"/>
                <w:szCs w:val="1"/>
                <w:color w:val="auto"/>
              </w:rPr>
            </w:pP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Quarterly Report on Form 10-</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this Quarterly Report on Form 10-Q for the quarter ended September 30, 2026</w:t>
            </w:r>
          </w:p>
        </w:tc>
        <w:tc>
          <w:tcPr>
            <w:tcW w:w="0" w:type="dxa"/>
            <w:vAlign w:val="bottom"/>
          </w:tcPr>
          <w:p>
            <w:pPr>
              <w:spacing w:after="0"/>
              <w:rPr>
                <w:sz w:val="1"/>
                <w:szCs w:val="1"/>
                <w:color w:val="auto"/>
              </w:rPr>
            </w:pPr>
          </w:p>
        </w:tc>
      </w:tr>
      <w:tr>
        <w:trPr>
          <w:trHeight w:val="149"/>
        </w:trPr>
        <w:tc>
          <w:tcPr>
            <w:tcW w:w="22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7"/>
                <w:szCs w:val="17"/>
                <w:color w:val="auto"/>
              </w:rPr>
              <w:t>Q</w:t>
            </w:r>
          </w:p>
        </w:tc>
        <w:tc>
          <w:tcPr>
            <w:tcW w:w="8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2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Redx</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Redx Pharma plc</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REMS</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risk evaluation and mitigation strategy</w:t>
            </w:r>
          </w:p>
        </w:tc>
        <w:tc>
          <w:tcPr>
            <w:tcW w:w="0" w:type="dxa"/>
            <w:vAlign w:val="bottom"/>
          </w:tcPr>
          <w:p>
            <w:pPr>
              <w:spacing w:after="0"/>
              <w:rPr>
                <w:sz w:val="1"/>
                <w:szCs w:val="1"/>
                <w:color w:val="auto"/>
              </w:rPr>
            </w:pPr>
          </w:p>
        </w:tc>
      </w:tr>
      <w:tr>
        <w:trPr>
          <w:trHeight w:val="23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Program</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our share repurchase program announced on July 31, 2024</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RK Pharma</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RK Pharma, Inc., Apicore US LLC, Archis Pharma LLC, Vgyaan Pharmaceuticals LLC, Dr. Reddy's Laboratories, Inc.</w:t>
            </w:r>
          </w:p>
        </w:tc>
        <w:tc>
          <w:tcPr>
            <w:tcW w:w="0" w:type="dxa"/>
            <w:vAlign w:val="bottom"/>
          </w:tcPr>
          <w:p>
            <w:pPr>
              <w:spacing w:after="0"/>
              <w:rPr>
                <w:sz w:val="1"/>
                <w:szCs w:val="1"/>
                <w:color w:val="auto"/>
              </w:rPr>
            </w:pPr>
          </w:p>
        </w:tc>
      </w:tr>
      <w:tr>
        <w:trPr>
          <w:trHeight w:val="22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stock units</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Saniona</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Saniona A/S</w:t>
            </w:r>
          </w:p>
        </w:tc>
        <w:tc>
          <w:tcPr>
            <w:tcW w:w="0" w:type="dxa"/>
            <w:vAlign w:val="bottom"/>
          </w:tcPr>
          <w:p>
            <w:pPr>
              <w:spacing w:after="0"/>
              <w:rPr>
                <w:sz w:val="1"/>
                <w:szCs w:val="1"/>
                <w:color w:val="auto"/>
              </w:rPr>
            </w:pPr>
          </w:p>
        </w:tc>
      </w:tr>
      <w:tr>
        <w:trPr>
          <w:trHeight w:val="23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sBLA</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supplemental BLA</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SCLC</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small cell lung cancer</w:t>
            </w:r>
          </w:p>
        </w:tc>
        <w:tc>
          <w:tcPr>
            <w:tcW w:w="0" w:type="dxa"/>
            <w:vAlign w:val="bottom"/>
          </w:tcPr>
          <w:p>
            <w:pPr>
              <w:spacing w:after="0"/>
              <w:rPr>
                <w:sz w:val="1"/>
                <w:szCs w:val="1"/>
                <w:color w:val="auto"/>
              </w:rPr>
            </w:pPr>
          </w:p>
        </w:tc>
      </w:tr>
      <w:tr>
        <w:trPr>
          <w:trHeight w:val="22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our issued $1.5 billion in aggregate principal amount of 4.375% senior secured notes, due 2029</w:t>
            </w:r>
          </w:p>
        </w:tc>
        <w:tc>
          <w:tcPr>
            <w:tcW w:w="0" w:type="dxa"/>
            <w:vAlign w:val="bottom"/>
          </w:tcPr>
          <w:p>
            <w:pPr>
              <w:spacing w:after="0"/>
              <w:rPr>
                <w:sz w:val="1"/>
                <w:szCs w:val="1"/>
                <w:color w:val="auto"/>
              </w:rPr>
            </w:pPr>
          </w:p>
        </w:tc>
      </w:tr>
      <w:tr>
        <w:trPr>
          <w:trHeight w:val="23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Securities Act of 1933, as amended</w:t>
            </w:r>
          </w:p>
        </w:tc>
        <w:tc>
          <w:tcPr>
            <w:tcW w:w="0" w:type="dxa"/>
            <w:vAlign w:val="bottom"/>
          </w:tcPr>
          <w:p>
            <w:pPr>
              <w:spacing w:after="0"/>
              <w:rPr>
                <w:sz w:val="1"/>
                <w:szCs w:val="1"/>
                <w:color w:val="auto"/>
              </w:rPr>
            </w:pPr>
          </w:p>
        </w:tc>
      </w:tr>
      <w:tr>
        <w:trPr>
          <w:trHeight w:val="175"/>
        </w:trPr>
        <w:tc>
          <w:tcPr>
            <w:tcW w:w="1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9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During any calendar quarter commencing after the calendar quarter ending on December 31, 2024 (and only during such</w:t>
            </w:r>
          </w:p>
        </w:tc>
        <w:tc>
          <w:tcPr>
            <w:tcW w:w="0" w:type="dxa"/>
            <w:vAlign w:val="bottom"/>
          </w:tcPr>
          <w:p>
            <w:pPr>
              <w:spacing w:after="0"/>
              <w:rPr>
                <w:sz w:val="1"/>
                <w:szCs w:val="1"/>
                <w:color w:val="auto"/>
              </w:rPr>
            </w:pPr>
          </w:p>
        </w:tc>
      </w:tr>
      <w:tr>
        <w:trPr>
          <w:trHeight w:val="184"/>
        </w:trPr>
        <w:tc>
          <w:tcPr>
            <w:tcW w:w="1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98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calendar quarter), if the last reported sale price of our ordinary shares for at least 20 trading days (whether or not</w:t>
            </w:r>
          </w:p>
        </w:tc>
        <w:tc>
          <w:tcPr>
            <w:tcW w:w="0" w:type="dxa"/>
            <w:vAlign w:val="bottom"/>
          </w:tcPr>
          <w:p>
            <w:pPr>
              <w:spacing w:after="0"/>
              <w:rPr>
                <w:sz w:val="1"/>
                <w:szCs w:val="1"/>
                <w:color w:val="auto"/>
              </w:rPr>
            </w:pPr>
          </w:p>
        </w:tc>
      </w:tr>
      <w:tr>
        <w:trPr>
          <w:trHeight w:val="180"/>
        </w:trPr>
        <w:tc>
          <w:tcPr>
            <w:tcW w:w="22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Share price condition</w:t>
            </w:r>
          </w:p>
        </w:tc>
        <w:tc>
          <w:tcPr>
            <w:tcW w:w="898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consecutive) during the period of 30 consecutive trading days ending on, and including, the last trading day of the</w:t>
            </w:r>
          </w:p>
        </w:tc>
        <w:tc>
          <w:tcPr>
            <w:tcW w:w="0" w:type="dxa"/>
            <w:vAlign w:val="bottom"/>
          </w:tcPr>
          <w:p>
            <w:pPr>
              <w:spacing w:after="0"/>
              <w:rPr>
                <w:sz w:val="1"/>
                <w:szCs w:val="1"/>
                <w:color w:val="auto"/>
              </w:rPr>
            </w:pPr>
          </w:p>
        </w:tc>
      </w:tr>
      <w:tr>
        <w:trPr>
          <w:trHeight w:val="175"/>
        </w:trPr>
        <w:tc>
          <w:tcPr>
            <w:tcW w:w="1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9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immediately preceding calendar quarter is greater than or equal to 130% of the exchange price on each applicable trading</w:t>
            </w:r>
          </w:p>
        </w:tc>
        <w:tc>
          <w:tcPr>
            <w:tcW w:w="0" w:type="dxa"/>
            <w:vAlign w:val="bottom"/>
          </w:tcPr>
          <w:p>
            <w:pPr>
              <w:spacing w:after="0"/>
              <w:rPr>
                <w:sz w:val="1"/>
                <w:szCs w:val="1"/>
                <w:color w:val="auto"/>
              </w:rPr>
            </w:pPr>
          </w:p>
        </w:tc>
      </w:tr>
      <w:tr>
        <w:trPr>
          <w:trHeight w:val="243"/>
        </w:trPr>
        <w:tc>
          <w:tcPr>
            <w:tcW w:w="1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day.</w:t>
            </w:r>
          </w:p>
        </w:tc>
        <w:tc>
          <w:tcPr>
            <w:tcW w:w="0" w:type="dxa"/>
            <w:vAlign w:val="bottom"/>
          </w:tcPr>
          <w:p>
            <w:pPr>
              <w:spacing w:after="0"/>
              <w:rPr>
                <w:sz w:val="1"/>
                <w:szCs w:val="1"/>
                <w:color w:val="auto"/>
              </w:rPr>
            </w:pPr>
          </w:p>
        </w:tc>
      </w:tr>
      <w:tr>
        <w:trPr>
          <w:trHeight w:val="23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T-DXd</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trastuzumab deruxtecan</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Takeda</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Takeda Pharmaceutical Company Limited</w:t>
            </w:r>
          </w:p>
        </w:tc>
        <w:tc>
          <w:tcPr>
            <w:tcW w:w="0" w:type="dxa"/>
            <w:vAlign w:val="bottom"/>
          </w:tcPr>
          <w:p>
            <w:pPr>
              <w:spacing w:after="0"/>
              <w:rPr>
                <w:sz w:val="1"/>
                <w:szCs w:val="1"/>
                <w:color w:val="auto"/>
              </w:rPr>
            </w:pPr>
          </w:p>
        </w:tc>
      </w:tr>
      <w:tr>
        <w:trPr>
          <w:trHeight w:val="22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Dollar Term Loans, Tranche B-1 Dollar Term Loans, Tranche B-2 Dollar Term Loans, and Tranche B-3 Dollar Term Loans</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Teva</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Teva Pharmaceuticals, Inc.</w:t>
            </w:r>
          </w:p>
        </w:tc>
        <w:tc>
          <w:tcPr>
            <w:tcW w:w="0" w:type="dxa"/>
            <w:vAlign w:val="bottom"/>
          </w:tcPr>
          <w:p>
            <w:pPr>
              <w:spacing w:after="0"/>
              <w:rPr>
                <w:sz w:val="1"/>
                <w:szCs w:val="1"/>
                <w:color w:val="auto"/>
              </w:rPr>
            </w:pPr>
          </w:p>
        </w:tc>
      </w:tr>
      <w:tr>
        <w:trPr>
          <w:trHeight w:val="176"/>
        </w:trPr>
        <w:tc>
          <w:tcPr>
            <w:tcW w:w="22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Tranche B-1 Dollar Term</w:t>
            </w:r>
          </w:p>
        </w:tc>
        <w:tc>
          <w:tcPr>
            <w:tcW w:w="898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upon entry into Amendment No. 1, the then outstanding Dollar Term Loan was refinanced into a new tranche of U.S.</w:t>
            </w:r>
          </w:p>
        </w:tc>
        <w:tc>
          <w:tcPr>
            <w:tcW w:w="0" w:type="dxa"/>
            <w:vAlign w:val="bottom"/>
          </w:tcPr>
          <w:p>
            <w:pPr>
              <w:spacing w:after="0"/>
              <w:rPr>
                <w:sz w:val="1"/>
                <w:szCs w:val="1"/>
                <w:color w:val="auto"/>
              </w:rPr>
            </w:pPr>
          </w:p>
        </w:tc>
      </w:tr>
      <w:tr>
        <w:trPr>
          <w:trHeight w:val="23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8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dollar term loans</w:t>
            </w:r>
          </w:p>
        </w:tc>
        <w:tc>
          <w:tcPr>
            <w:tcW w:w="0" w:type="dxa"/>
            <w:vAlign w:val="bottom"/>
          </w:tcPr>
          <w:p>
            <w:pPr>
              <w:spacing w:after="0"/>
              <w:rPr>
                <w:sz w:val="1"/>
                <w:szCs w:val="1"/>
                <w:color w:val="auto"/>
              </w:rPr>
            </w:pPr>
          </w:p>
        </w:tc>
      </w:tr>
      <w:tr>
        <w:trPr>
          <w:trHeight w:val="873"/>
        </w:trPr>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98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Table of Content</w:t>
            </w:r>
          </w:p>
        </w:tc>
        <w:tc>
          <w:tcPr>
            <w:tcW w:w="880" w:type="dxa"/>
            <w:vAlign w:val="bottom"/>
          </w:tcPr>
          <w:p>
            <w:pPr>
              <w:spacing w:after="0"/>
              <w:rPr>
                <w:sz w:val="17"/>
                <w:szCs w:val="17"/>
                <w:color w:val="auto"/>
              </w:rPr>
            </w:pPr>
          </w:p>
        </w:tc>
        <w:tc>
          <w:tcPr>
            <w:tcW w:w="9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21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Tranche B-2 Dollar Term</w:t>
            </w:r>
          </w:p>
        </w:tc>
        <w:tc>
          <w:tcPr>
            <w:tcW w:w="91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upon entry into Amendment No. 2, the then outstanding Tranche B-1 Dollar Term Loans were refinanced into a new</w:t>
            </w:r>
          </w:p>
        </w:tc>
        <w:tc>
          <w:tcPr>
            <w:tcW w:w="0" w:type="dxa"/>
            <w:vAlign w:val="bottom"/>
          </w:tcPr>
          <w:p>
            <w:pPr>
              <w:spacing w:after="0"/>
              <w:rPr>
                <w:sz w:val="1"/>
                <w:szCs w:val="1"/>
                <w:color w:val="auto"/>
              </w:rPr>
            </w:pPr>
          </w:p>
        </w:tc>
      </w:tr>
      <w:tr>
        <w:trPr>
          <w:trHeight w:val="243"/>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tranche of U.S. dollar term loans</w:t>
            </w:r>
          </w:p>
        </w:tc>
        <w:tc>
          <w:tcPr>
            <w:tcW w:w="0" w:type="dxa"/>
            <w:vAlign w:val="bottom"/>
          </w:tcPr>
          <w:p>
            <w:pPr>
              <w:spacing w:after="0"/>
              <w:rPr>
                <w:sz w:val="1"/>
                <w:szCs w:val="1"/>
                <w:color w:val="auto"/>
              </w:rPr>
            </w:pPr>
          </w:p>
        </w:tc>
      </w:tr>
      <w:tr>
        <w:trPr>
          <w:trHeight w:val="175"/>
        </w:trPr>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Tranche B-3 Dollar Term</w:t>
            </w:r>
          </w:p>
        </w:tc>
        <w:tc>
          <w:tcPr>
            <w:tcW w:w="91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upon entry into Amendment No. 4, the then outstanding Tranche B-2 Dollar Term Loans were refinanced into a new</w:t>
            </w:r>
          </w:p>
        </w:tc>
        <w:tc>
          <w:tcPr>
            <w:tcW w:w="0" w:type="dxa"/>
            <w:vAlign w:val="bottom"/>
          </w:tcPr>
          <w:p>
            <w:pPr>
              <w:spacing w:after="0"/>
              <w:rPr>
                <w:sz w:val="1"/>
                <w:szCs w:val="1"/>
                <w:color w:val="auto"/>
              </w:rPr>
            </w:pPr>
          </w:p>
        </w:tc>
      </w:tr>
      <w:tr>
        <w:trPr>
          <w:trHeight w:val="239"/>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tranche of U.S. dollar term loans</w:t>
            </w:r>
          </w:p>
        </w:tc>
        <w:tc>
          <w:tcPr>
            <w:tcW w:w="0" w:type="dxa"/>
            <w:vAlign w:val="bottom"/>
          </w:tcPr>
          <w:p>
            <w:pPr>
              <w:spacing w:after="0"/>
              <w:rPr>
                <w:sz w:val="1"/>
                <w:szCs w:val="1"/>
                <w:color w:val="auto"/>
              </w:rPr>
            </w:pPr>
          </w:p>
        </w:tc>
      </w:tr>
      <w:tr>
        <w:trPr>
          <w:trHeight w:val="234"/>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Tris Pharma</w:t>
            </w:r>
          </w:p>
        </w:tc>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Tris Pharma, Inc.</w:t>
            </w:r>
          </w:p>
        </w:tc>
        <w:tc>
          <w:tcPr>
            <w:tcW w:w="0" w:type="dxa"/>
            <w:vAlign w:val="bottom"/>
          </w:tcPr>
          <w:p>
            <w:pPr>
              <w:spacing w:after="0"/>
              <w:rPr>
                <w:sz w:val="1"/>
                <w:szCs w:val="1"/>
                <w:color w:val="auto"/>
              </w:rPr>
            </w:pPr>
          </w:p>
        </w:tc>
      </w:tr>
      <w:tr>
        <w:trPr>
          <w:trHeight w:val="230"/>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TSC</w:t>
            </w:r>
          </w:p>
        </w:tc>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tuberous sclerosis complex</w:t>
            </w:r>
          </w:p>
        </w:tc>
        <w:tc>
          <w:tcPr>
            <w:tcW w:w="0" w:type="dxa"/>
            <w:vAlign w:val="bottom"/>
          </w:tcPr>
          <w:p>
            <w:pPr>
              <w:spacing w:after="0"/>
              <w:rPr>
                <w:sz w:val="1"/>
                <w:szCs w:val="1"/>
                <w:color w:val="auto"/>
              </w:rPr>
            </w:pPr>
          </w:p>
        </w:tc>
      </w:tr>
      <w:tr>
        <w:trPr>
          <w:trHeight w:val="229"/>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230"/>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generally accepted accounting principles</w:t>
            </w:r>
          </w:p>
        </w:tc>
        <w:tc>
          <w:tcPr>
            <w:tcW w:w="0" w:type="dxa"/>
            <w:vAlign w:val="bottom"/>
          </w:tcPr>
          <w:p>
            <w:pPr>
              <w:spacing w:after="0"/>
              <w:rPr>
                <w:sz w:val="1"/>
                <w:szCs w:val="1"/>
                <w:color w:val="auto"/>
              </w:rPr>
            </w:pPr>
          </w:p>
        </w:tc>
      </w:tr>
      <w:tr>
        <w:trPr>
          <w:trHeight w:val="229"/>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USAO</w:t>
            </w:r>
          </w:p>
        </w:tc>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Attorney's Office</w:t>
            </w:r>
          </w:p>
        </w:tc>
        <w:tc>
          <w:tcPr>
            <w:tcW w:w="0" w:type="dxa"/>
            <w:vAlign w:val="bottom"/>
          </w:tcPr>
          <w:p>
            <w:pPr>
              <w:spacing w:after="0"/>
              <w:rPr>
                <w:sz w:val="1"/>
                <w:szCs w:val="1"/>
                <w:color w:val="auto"/>
              </w:rPr>
            </w:pPr>
          </w:p>
        </w:tc>
      </w:tr>
      <w:tr>
        <w:trPr>
          <w:trHeight w:val="230"/>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USPTO</w:t>
            </w:r>
          </w:p>
        </w:tc>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Patent and Trademark Office</w:t>
            </w:r>
          </w:p>
        </w:tc>
        <w:tc>
          <w:tcPr>
            <w:tcW w:w="0" w:type="dxa"/>
            <w:vAlign w:val="bottom"/>
          </w:tcPr>
          <w:p>
            <w:pPr>
              <w:spacing w:after="0"/>
              <w:rPr>
                <w:sz w:val="1"/>
                <w:szCs w:val="1"/>
                <w:color w:val="auto"/>
              </w:rPr>
            </w:pPr>
          </w:p>
        </w:tc>
      </w:tr>
      <w:tr>
        <w:trPr>
          <w:trHeight w:val="229"/>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Werewolf</w:t>
            </w:r>
          </w:p>
        </w:tc>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Werewolf Therapeutics, Inc.</w:t>
            </w:r>
          </w:p>
        </w:tc>
        <w:tc>
          <w:tcPr>
            <w:tcW w:w="0" w:type="dxa"/>
            <w:vAlign w:val="bottom"/>
          </w:tcPr>
          <w:p>
            <w:pPr>
              <w:spacing w:after="0"/>
              <w:rPr>
                <w:sz w:val="1"/>
                <w:szCs w:val="1"/>
                <w:color w:val="auto"/>
              </w:rPr>
            </w:pPr>
          </w:p>
        </w:tc>
      </w:tr>
      <w:tr>
        <w:trPr>
          <w:trHeight w:val="176"/>
        </w:trPr>
        <w:tc>
          <w:tcPr>
            <w:tcW w:w="2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Zepzelca ANDA Filers</w:t>
            </w:r>
          </w:p>
        </w:tc>
        <w:tc>
          <w:tcPr>
            <w:tcW w:w="91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Sandoz Inc., InvaGen, CIPLA USA, Inc., CIPLA (EU) Limited, CIPLA Limited, Zydus Lifesciences Global FZE, Zydus</w:t>
            </w:r>
          </w:p>
        </w:tc>
        <w:tc>
          <w:tcPr>
            <w:tcW w:w="0" w:type="dxa"/>
            <w:vAlign w:val="bottom"/>
          </w:tcPr>
          <w:p>
            <w:pPr>
              <w:spacing w:after="0"/>
              <w:rPr>
                <w:sz w:val="1"/>
                <w:szCs w:val="1"/>
                <w:color w:val="auto"/>
              </w:rPr>
            </w:pPr>
          </w:p>
        </w:tc>
      </w:tr>
      <w:tr>
        <w:trPr>
          <w:trHeight w:val="184"/>
        </w:trPr>
        <w:tc>
          <w:tcPr>
            <w:tcW w:w="2100" w:type="dxa"/>
            <w:vAlign w:val="bottom"/>
            <w:gridSpan w:val="2"/>
            <w:vMerge w:val="continue"/>
            <w:shd w:val="clear" w:color="auto" w:fill="CCEEFF"/>
          </w:tcPr>
          <w:p>
            <w:pPr>
              <w:spacing w:after="0"/>
              <w:rPr>
                <w:sz w:val="16"/>
                <w:szCs w:val="16"/>
                <w:color w:val="auto"/>
              </w:rPr>
            </w:pPr>
          </w:p>
        </w:tc>
        <w:tc>
          <w:tcPr>
            <w:tcW w:w="914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Pharmaceuticals (USA) Inc., Zydus Lifesciences Limited, RK Pharma, MSN Pharmaceuticals Inc., MSN Laboratories</w:t>
            </w:r>
          </w:p>
        </w:tc>
        <w:tc>
          <w:tcPr>
            <w:tcW w:w="0" w:type="dxa"/>
            <w:vAlign w:val="bottom"/>
          </w:tcPr>
          <w:p>
            <w:pPr>
              <w:spacing w:after="0"/>
              <w:rPr>
                <w:sz w:val="1"/>
                <w:szCs w:val="1"/>
                <w:color w:val="auto"/>
              </w:rPr>
            </w:pPr>
          </w:p>
        </w:tc>
      </w:tr>
      <w:tr>
        <w:trPr>
          <w:trHeight w:val="234"/>
        </w:trPr>
        <w:tc>
          <w:tcPr>
            <w:tcW w:w="1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PVT. LTD., Qilu Pharmaceutical (Hainan) Co. Ltd., and Qilu Pharma, Inc.</w:t>
            </w:r>
          </w:p>
        </w:tc>
        <w:tc>
          <w:tcPr>
            <w:tcW w:w="0" w:type="dxa"/>
            <w:vAlign w:val="bottom"/>
          </w:tcPr>
          <w:p>
            <w:pPr>
              <w:spacing w:after="0"/>
              <w:rPr>
                <w:sz w:val="1"/>
                <w:szCs w:val="1"/>
                <w:color w:val="auto"/>
              </w:rPr>
            </w:pPr>
          </w:p>
        </w:tc>
      </w:tr>
      <w:tr>
        <w:trPr>
          <w:trHeight w:val="23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Zymeworks</w:t>
            </w:r>
          </w:p>
        </w:tc>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Zymeworks Inc.</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brand names of our products, our delivery devices and certain of our product candidates and their associated generic names are given below.</w:t>
      </w:r>
    </w:p>
    <w:p>
      <w:pPr>
        <w:sectPr>
          <w:pgSz w:w="11900" w:h="16838" w:orient="portrait"/>
          <w:cols w:equalWidth="0" w:num="1">
            <w:col w:w="11240"/>
          </w:cols>
          <w:pgMar w:left="320" w:top="108" w:right="339" w:bottom="1440" w:gutter="0" w:footer="0" w:header="0"/>
        </w:sect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CombiPlex</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Defitelio</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Epidiolex</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Modeyso</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Rylaze</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Sativex*</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Vyxeos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Xyrem</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Xywav</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Zepzelca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Ziihera</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19685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CombiPlex® (delivery technology platform)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Defitelio® (defibrotide sodium), Defitelio® (defibrotide)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14605</wp:posOffset>
            </wp:positionV>
            <wp:extent cx="7132320" cy="266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3" w:lineRule="exact"/>
        <w:rPr>
          <w:sz w:val="20"/>
          <w:szCs w:val="20"/>
          <w:color w:val="auto"/>
        </w:rPr>
      </w:pPr>
    </w:p>
    <w:p>
      <w:pPr>
        <w:ind w:right="360"/>
        <w:spacing w:after="0" w:line="234" w:lineRule="auto"/>
        <w:rPr>
          <w:sz w:val="20"/>
          <w:szCs w:val="20"/>
          <w:color w:val="auto"/>
        </w:rPr>
      </w:pPr>
      <w:r>
        <w:rPr>
          <w:rFonts w:ascii="Times New Roman" w:cs="Times New Roman" w:eastAsia="Times New Roman" w:hAnsi="Times New Roman"/>
          <w:sz w:val="18"/>
          <w:szCs w:val="18"/>
          <w:color w:val="auto"/>
        </w:rPr>
        <w:t>Epidiolex® (cannabidiol) oral solution, Epidyolex® (the trade name in Europe and other countries outside the U.S. for Epidiolex)</w:t>
      </w:r>
    </w:p>
    <w:p>
      <w:pPr>
        <w:spacing w:after="0" w:line="235" w:lineRule="auto"/>
        <w:rPr>
          <w:sz w:val="20"/>
          <w:szCs w:val="20"/>
          <w:color w:val="auto"/>
        </w:rPr>
      </w:pPr>
      <w:r>
        <w:rPr>
          <w:rFonts w:ascii="Times New Roman" w:cs="Times New Roman" w:eastAsia="Times New Roman" w:hAnsi="Times New Roman"/>
          <w:sz w:val="18"/>
          <w:szCs w:val="18"/>
          <w:color w:val="auto"/>
        </w:rPr>
        <w:t>Modeyso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(dordaviprone)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-8890</wp:posOffset>
            </wp:positionV>
            <wp:extent cx="7132320" cy="266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right="600"/>
        <w:spacing w:after="0" w:line="226" w:lineRule="auto"/>
        <w:rPr>
          <w:sz w:val="20"/>
          <w:szCs w:val="20"/>
          <w:color w:val="auto"/>
        </w:rPr>
      </w:pPr>
      <w:r>
        <w:rPr>
          <w:rFonts w:ascii="Times New Roman" w:cs="Times New Roman" w:eastAsia="Times New Roman" w:hAnsi="Times New Roman"/>
          <w:sz w:val="18"/>
          <w:szCs w:val="18"/>
          <w:color w:val="auto"/>
        </w:rPr>
        <w:t>Rylaze® (asparaginase erwinia chrysanthemi (recombinant)-rywn), Enrylaze® (the trade name in Europe and other countries outside the U.S. and Canada for Rylaze)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Sativex® (nabiximols) oral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17145</wp:posOffset>
            </wp:positionV>
            <wp:extent cx="7132320" cy="26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7"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Vyxeos® (daunorubicin and cytarabine) liposome for injection, Vyxeos® liposomal 44 mg/100 mg powder for concentrate for solution for infusion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Xyrem® (sodium oxybate) oral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17145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Xywav® (calcium, magnesium, potassium, and sodium oxybates) oral solution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Zepzelca® (lurbinectedin)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14605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Ziihera® (zanidatamab-hrii)</w:t>
      </w:r>
    </w:p>
    <w:p>
      <w:pPr>
        <w:spacing w:after="0" w:line="85" w:lineRule="exact"/>
        <w:rPr>
          <w:sz w:val="20"/>
          <w:szCs w:val="20"/>
          <w:color w:val="auto"/>
        </w:rPr>
      </w:pPr>
    </w:p>
    <w:p>
      <w:pPr>
        <w:sectPr>
          <w:pgSz w:w="11900" w:h="16838" w:orient="portrait"/>
          <w:cols w:equalWidth="0" w:num="2">
            <w:col w:w="1620" w:space="720"/>
            <w:col w:w="8900"/>
          </w:cols>
          <w:pgMar w:left="320" w:top="1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*On October 31, 2025, we completed the sale of Sativex to CNX Therapeutics.</w:t>
      </w:r>
    </w:p>
    <w:p>
      <w:pPr>
        <w:spacing w:after="0" w:line="252"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7"/>
          <w:szCs w:val="17"/>
          <w:color w:val="auto"/>
        </w:rPr>
        <w:t>We own or have rights to various copyrights, trademarks, and trade names used in our business in the U.S. and/or other countries, including the following: Jazz Pharmaceuticals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Xywav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(calcium, magnesium, potassium, and sodium oxybates) oral solution, Xyrem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(sodium oxybate) oral solution, Epidiolex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(cannabidiol) oral solution, Epidyolex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(the trade name in Europe and other countries outside the U.S. for Epidiolex), Ziihera® (zanidatamab-hrii), Modeyso</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(dordaviprone), Zepzelca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(lurbinectedin), Rylaze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(asparaginase erwinia chrysanthemi (recombinant)-rywn), Enrylaze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(the trade name in Europe and other countries outside the U.S. and Canada for Rylaze), Defitelio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(defibrotide sodium), Defitelio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(defibrotide), Vyxeos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(daunorubicin and cytarabine) liposome for injection, Vyxeos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(liposomal 44 mg/100 mg powder for concentrate for solution for infusion), and CombiPlex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w:t>
      </w:r>
    </w:p>
    <w:p>
      <w:pPr>
        <w:spacing w:after="0" w:line="146" w:lineRule="exact"/>
        <w:rPr>
          <w:sz w:val="20"/>
          <w:szCs w:val="20"/>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This Quarterly Report on Form 10-Q also includes trademarks, service marks and trade names of other companies. Trademarks, service marks and trade names appearing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are the property of their respective owners.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4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4,166.0</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1,829.3</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23"/>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4,328.4</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Ordinary shares</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Non-voting euro deferred shares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redemption reserve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4,318.6</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11,997.7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11,659.3</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2,889.4</w:t>
            </w: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Royalties and contract revenues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r>
      <w:tr>
        <w:trPr>
          <w:trHeight w:val="22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3,069.6</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76"/>
        </w:trPr>
        <w:tc>
          <w:tcPr>
            <w:tcW w:w="56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product sales (excluding amortization of acquired developed</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technologies)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1,403.0</w:t>
            </w: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w:t>
            </w: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w:t>
            </w: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priority review voucher</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3,348.8</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3,754.4</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155"/>
        </w:trPr>
        <w:tc>
          <w:tcPr>
            <w:tcW w:w="56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(loss) before income tax expense (benefit) and equity in loss of</w:t>
            </w: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investees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(836.4)</w:t>
            </w: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 loss of investees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1"/>
        </w:trPr>
        <w:tc>
          <w:tcPr>
            <w:tcW w:w="56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(559.6)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ordinary share: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9"/>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4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Weighted-average ordinary shares used in per share calculations - basic</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61.0</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8"/>
        </w:trPr>
        <w:tc>
          <w:tcPr>
            <w:tcW w:w="5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ordinary shares used in per share calculations - diluted</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44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5"/>
        </w:trPr>
        <w:tc>
          <w:tcPr>
            <w:tcW w:w="5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225"/>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on cash flow hedging activities, net of income tax expense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1"/>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 $— $— and $— respectively</w:t>
            </w:r>
          </w:p>
        </w:tc>
        <w:tc>
          <w:tcPr>
            <w:tcW w:w="3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176"/>
        </w:trPr>
        <w:tc>
          <w:tcPr>
            <w:tcW w:w="56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Loss (gain) on cash flow hedging activities reclassified from accumulated</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4"/>
        </w:trPr>
        <w:tc>
          <w:tcPr>
            <w:tcW w:w="566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other comprehensive loss to interest expense, net of income tax (benefit)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34"/>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 of $—, $0.2, $(0.1) and $0.4 respectively</w:t>
            </w: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80" w:type="dxa"/>
            <w:vAlign w:val="bottom"/>
          </w:tcPr>
          <w:p>
            <w:pPr>
              <w:spacing w:after="0"/>
              <w:rPr>
                <w:sz w:val="16"/>
                <w:szCs w:val="16"/>
                <w:color w:val="auto"/>
              </w:rPr>
            </w:pPr>
          </w:p>
        </w:tc>
        <w:tc>
          <w:tcPr>
            <w:tcW w:w="17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Non-voting Euro Deferred</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restart"/>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Redemption</w:t>
            </w: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5"/>
                <w:szCs w:val="5"/>
                <w:color w:val="auto"/>
              </w:rPr>
            </w:pPr>
          </w:p>
        </w:tc>
        <w:tc>
          <w:tcPr>
            <w:tcW w:w="1280" w:type="dxa"/>
            <w:vAlign w:val="bottom"/>
            <w:gridSpan w:val="2"/>
            <w:vMerge w:val="restart"/>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line="108"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60" w:type="dxa"/>
            <w:vAlign w:val="bottom"/>
          </w:tcPr>
          <w:p>
            <w:pPr>
              <w:spacing w:after="0"/>
              <w:rPr>
                <w:sz w:val="5"/>
                <w:szCs w:val="5"/>
                <w:color w:val="auto"/>
              </w:rPr>
            </w:pPr>
          </w:p>
        </w:tc>
        <w:tc>
          <w:tcPr>
            <w:tcW w:w="740" w:type="dxa"/>
            <w:vAlign w:val="bottom"/>
            <w:vMerge w:val="restart"/>
          </w:tcPr>
          <w:p>
            <w:pPr>
              <w:jc w:val="right"/>
              <w:ind w:right="228"/>
              <w:spacing w:after="0" w:line="10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line="20" w:lineRule="exact"/>
              <w:rPr>
                <w:sz w:val="1"/>
                <w:szCs w:val="1"/>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line="20" w:lineRule="exact"/>
              <w:rPr>
                <w:sz w:val="1"/>
                <w:szCs w:val="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4,318.6</w:t>
            </w:r>
          </w:p>
        </w:tc>
        <w:tc>
          <w:tcPr>
            <w:tcW w:w="0" w:type="dxa"/>
            <w:vAlign w:val="bottom"/>
          </w:tcPr>
          <w:p>
            <w:pPr>
              <w:spacing w:after="0"/>
              <w:rPr>
                <w:sz w:val="1"/>
                <w:szCs w:val="1"/>
                <w:color w:val="auto"/>
              </w:rPr>
            </w:pPr>
          </w:p>
        </w:tc>
      </w:tr>
      <w:tr>
        <w:trPr>
          <w:trHeight w:val="139"/>
        </w:trPr>
        <w:tc>
          <w:tcPr>
            <w:tcW w:w="2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performance-based restricted stock</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0" w:type="dxa"/>
            <w:vAlign w:val="bottom"/>
          </w:tcPr>
          <w:p>
            <w:pPr>
              <w:spacing w:after="0"/>
              <w:rPr>
                <w:sz w:val="1"/>
                <w:szCs w:val="1"/>
                <w:color w:val="auto"/>
              </w:rPr>
            </w:pPr>
          </w:p>
        </w:tc>
      </w:tr>
      <w:tr>
        <w:trPr>
          <w:trHeight w:val="196"/>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293.1</w:t>
            </w:r>
          </w:p>
        </w:tc>
        <w:tc>
          <w:tcPr>
            <w:tcW w:w="0" w:type="dxa"/>
            <w:vAlign w:val="bottom"/>
          </w:tcPr>
          <w:p>
            <w:pPr>
              <w:spacing w:after="0"/>
              <w:rPr>
                <w:sz w:val="1"/>
                <w:szCs w:val="1"/>
                <w:color w:val="auto"/>
              </w:rPr>
            </w:pPr>
          </w:p>
        </w:tc>
      </w:tr>
      <w:tr>
        <w:trPr>
          <w:trHeight w:val="203"/>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4,532.3</w:t>
            </w:r>
          </w:p>
        </w:tc>
        <w:tc>
          <w:tcPr>
            <w:tcW w:w="0" w:type="dxa"/>
            <w:vAlign w:val="bottom"/>
          </w:tcPr>
          <w:p>
            <w:pPr>
              <w:spacing w:after="0"/>
              <w:rPr>
                <w:sz w:val="1"/>
                <w:szCs w:val="1"/>
                <w:color w:val="auto"/>
              </w:rPr>
            </w:pPr>
          </w:p>
        </w:tc>
      </w:tr>
      <w:tr>
        <w:trPr>
          <w:trHeight w:val="139"/>
        </w:trPr>
        <w:tc>
          <w:tcPr>
            <w:tcW w:w="2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conjunction with 2026 Notes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under</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93"/>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96"/>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w:t>
            </w:r>
          </w:p>
        </w:tc>
        <w:tc>
          <w:tcPr>
            <w:tcW w:w="0" w:type="dxa"/>
            <w:vAlign w:val="bottom"/>
          </w:tcPr>
          <w:p>
            <w:pPr>
              <w:spacing w:after="0"/>
              <w:rPr>
                <w:sz w:val="1"/>
                <w:szCs w:val="1"/>
                <w:color w:val="auto"/>
              </w:rPr>
            </w:pPr>
          </w:p>
        </w:tc>
      </w:tr>
      <w:tr>
        <w:trPr>
          <w:trHeight w:val="203"/>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2026</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4,801.7</w:t>
            </w:r>
          </w:p>
        </w:tc>
        <w:tc>
          <w:tcPr>
            <w:tcW w:w="0" w:type="dxa"/>
            <w:vAlign w:val="bottom"/>
          </w:tcPr>
          <w:p>
            <w:pPr>
              <w:spacing w:after="0"/>
              <w:rPr>
                <w:sz w:val="1"/>
                <w:szCs w:val="1"/>
                <w:color w:val="auto"/>
              </w:rPr>
            </w:pPr>
          </w:p>
        </w:tc>
      </w:tr>
      <w:tr>
        <w:trPr>
          <w:trHeight w:val="139"/>
        </w:trPr>
        <w:tc>
          <w:tcPr>
            <w:tcW w:w="2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96"/>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(483.4)</w:t>
            </w:r>
          </w:p>
        </w:tc>
        <w:tc>
          <w:tcPr>
            <w:tcW w:w="0" w:type="dxa"/>
            <w:vAlign w:val="bottom"/>
          </w:tcPr>
          <w:p>
            <w:pPr>
              <w:spacing w:after="0"/>
              <w:rPr>
                <w:sz w:val="1"/>
                <w:szCs w:val="1"/>
                <w:color w:val="auto"/>
              </w:rPr>
            </w:pPr>
          </w:p>
        </w:tc>
      </w:tr>
      <w:tr>
        <w:trPr>
          <w:trHeight w:val="228"/>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4,191.8</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80" w:type="dxa"/>
            <w:vAlign w:val="bottom"/>
          </w:tcPr>
          <w:p>
            <w:pPr>
              <w:spacing w:after="0"/>
              <w:rPr>
                <w:sz w:val="16"/>
                <w:szCs w:val="16"/>
                <w:color w:val="auto"/>
              </w:rPr>
            </w:pPr>
          </w:p>
        </w:tc>
        <w:tc>
          <w:tcPr>
            <w:tcW w:w="17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Non-voting Euro Deferred</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restart"/>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Redemption</w:t>
            </w: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5"/>
                <w:szCs w:val="5"/>
                <w:color w:val="auto"/>
              </w:rPr>
            </w:pPr>
          </w:p>
        </w:tc>
        <w:tc>
          <w:tcPr>
            <w:tcW w:w="1280" w:type="dxa"/>
            <w:vAlign w:val="bottom"/>
            <w:gridSpan w:val="2"/>
            <w:vMerge w:val="restart"/>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line="108"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60" w:type="dxa"/>
            <w:vAlign w:val="bottom"/>
          </w:tcPr>
          <w:p>
            <w:pPr>
              <w:spacing w:after="0"/>
              <w:rPr>
                <w:sz w:val="5"/>
                <w:szCs w:val="5"/>
                <w:color w:val="auto"/>
              </w:rPr>
            </w:pPr>
          </w:p>
        </w:tc>
        <w:tc>
          <w:tcPr>
            <w:tcW w:w="740" w:type="dxa"/>
            <w:vAlign w:val="bottom"/>
            <w:vMerge w:val="restart"/>
          </w:tcPr>
          <w:p>
            <w:pPr>
              <w:jc w:val="right"/>
              <w:ind w:right="228"/>
              <w:spacing w:after="0" w:line="10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line="20" w:lineRule="exact"/>
              <w:rPr>
                <w:sz w:val="1"/>
                <w:szCs w:val="1"/>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line="20" w:lineRule="exact"/>
              <w:rPr>
                <w:sz w:val="1"/>
                <w:szCs w:val="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4,093.7</w:t>
            </w:r>
          </w:p>
        </w:tc>
        <w:tc>
          <w:tcPr>
            <w:tcW w:w="0" w:type="dxa"/>
            <w:vAlign w:val="bottom"/>
          </w:tcPr>
          <w:p>
            <w:pPr>
              <w:spacing w:after="0"/>
              <w:rPr>
                <w:sz w:val="1"/>
                <w:szCs w:val="1"/>
                <w:color w:val="auto"/>
              </w:rPr>
            </w:pPr>
          </w:p>
        </w:tc>
      </w:tr>
      <w:tr>
        <w:trPr>
          <w:trHeight w:val="139"/>
        </w:trPr>
        <w:tc>
          <w:tcPr>
            <w:tcW w:w="2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performance-based restricted stock</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0" w:type="dxa"/>
            <w:vAlign w:val="bottom"/>
          </w:tcPr>
          <w:p>
            <w:pPr>
              <w:spacing w:after="0"/>
              <w:rPr>
                <w:sz w:val="1"/>
                <w:szCs w:val="1"/>
                <w:color w:val="auto"/>
              </w:rPr>
            </w:pPr>
          </w:p>
        </w:tc>
      </w:tr>
      <w:tr>
        <w:trPr>
          <w:trHeight w:val="196"/>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203"/>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4,174.8</w:t>
            </w:r>
          </w:p>
        </w:tc>
        <w:tc>
          <w:tcPr>
            <w:tcW w:w="0" w:type="dxa"/>
            <w:vAlign w:val="bottom"/>
          </w:tcPr>
          <w:p>
            <w:pPr>
              <w:spacing w:after="0"/>
              <w:rPr>
                <w:sz w:val="1"/>
                <w:szCs w:val="1"/>
                <w:color w:val="auto"/>
              </w:rPr>
            </w:pPr>
          </w:p>
        </w:tc>
      </w:tr>
      <w:tr>
        <w:trPr>
          <w:trHeight w:val="139"/>
        </w:trPr>
        <w:tc>
          <w:tcPr>
            <w:tcW w:w="2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under</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93"/>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(718.5)</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4,000.3</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(485.8)</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3,706.4</w:t>
            </w:r>
          </w:p>
        </w:tc>
        <w:tc>
          <w:tcPr>
            <w:tcW w:w="0" w:type="dxa"/>
            <w:vAlign w:val="bottom"/>
          </w:tcPr>
          <w:p>
            <w:pPr>
              <w:spacing w:after="0"/>
              <w:rPr>
                <w:sz w:val="1"/>
                <w:szCs w:val="1"/>
                <w:color w:val="auto"/>
              </w:rPr>
            </w:pPr>
          </w:p>
        </w:tc>
      </w:tr>
      <w:tr>
        <w:trPr>
          <w:trHeight w:val="146"/>
        </w:trPr>
        <w:tc>
          <w:tcPr>
            <w:tcW w:w="20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0" w:type="dxa"/>
            <w:vAlign w:val="bottom"/>
          </w:tcPr>
          <w:p>
            <w:pPr>
              <w:spacing w:after="0"/>
              <w:rPr>
                <w:sz w:val="1"/>
                <w:szCs w:val="1"/>
                <w:color w:val="auto"/>
              </w:rPr>
            </w:pPr>
          </w:p>
        </w:tc>
      </w:tr>
      <w:tr>
        <w:trPr>
          <w:trHeight w:val="196"/>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0" w:type="dxa"/>
            <w:vAlign w:val="bottom"/>
          </w:tcPr>
          <w:p>
            <w:pPr>
              <w:spacing w:after="0"/>
              <w:rPr>
                <w:sz w:val="1"/>
                <w:szCs w:val="1"/>
                <w:color w:val="auto"/>
              </w:rPr>
            </w:pPr>
          </w:p>
        </w:tc>
      </w:tr>
      <w:tr>
        <w:trPr>
          <w:trHeight w:val="228"/>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3,959.1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(559.6)</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operating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947.9</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Intangible asset amortization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484.9</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220.3</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 accounting inventory fair value step-up adjustment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Provision for losses on accounts receivable and inventory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on sale of priority review voucher</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tax benefit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(381.7)</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non-cash transactions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Accrued liabilities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Income taxes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liabilities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993.3</w:t>
            </w:r>
          </w:p>
        </w:tc>
      </w:tr>
      <w:tr>
        <w:trPr>
          <w:trHeight w:val="21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 of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(1,320.2)</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 acquisition, net of cash acquired</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(858.1)</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priority review voucher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related to sale of priority review voucher</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an asset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maturity of investments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1,180.0</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 of intangible assets</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r>
      <w:tr>
        <w:trPr>
          <w:trHeight w:val="227"/>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(1,137.8)</w:t>
            </w:r>
          </w:p>
        </w:tc>
      </w:tr>
      <w:tr>
        <w:trPr>
          <w:trHeight w:val="208"/>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1"/>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2026 Notes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 repurchases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 of employee withholding taxes related to share-based awards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(773.3)</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 of debt modification costs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employee equity incentive and purchase plans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proceeds from issuance of 2032 Notes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1,225.9</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(948.8)</w:t>
            </w: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(1,086.8)</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2,412.9</w:t>
            </w:r>
          </w:p>
        </w:tc>
      </w:tr>
      <w:tr>
        <w:trPr>
          <w:trHeight w:val="227"/>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period</w:t>
            </w: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1,326.1</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Summary of Significant Accounting Policies</w:t>
      </w:r>
    </w:p>
    <w:p>
      <w:pPr>
        <w:spacing w:after="0" w:line="121"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Jazz Pharmaceuticals plc is a global biopharmaceutical company whose purpose is to innovate to transform the lives of patients and their families. We are dedicated to developing life-changing medicines for people with rare disease - often with limited or no therapeutic options. We have a diverse portfolio of medicines, including leading therapies addressing epilepsies, cancers and sleep disorders. Our patient-focused and science-driven approach powers pioneering R&amp;D advancements across our robust pipeline of innovative therapeutics.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Throughout this Quarterly Report on Form 10-Q, unless otherwise indicated or the context otherwise requires, all references to “Jazz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Pharmaceuticals plc,” “the registrant,” “the Company,” “we,” “us,” and “our” refer to Jazz Pharmaceuticals plc and its consolidated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this Quarterly Report on Form 10-Q, all references to “ordinary shares” refer to Jazz Pharmaceuticals plc’s ordinary shares.</w:t>
      </w: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40" w:firstLine="445"/>
        <w:spacing w:after="0" w:line="227" w:lineRule="exact"/>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following the requirements of the SEC for interim reporting. As permitted under those rules, certain footnotes and other financial information that are normally required by U.S. GAAP can be condensed or omitted. The information included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should be read in conjunction with our annual audited consolidated financial statements and accompanying notes included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w:t>
      </w:r>
    </w:p>
    <w:p>
      <w:pPr>
        <w:spacing w:after="0" w:line="65" w:lineRule="exact"/>
        <w:rPr>
          <w:sz w:val="20"/>
          <w:szCs w:val="20"/>
          <w:color w:val="auto"/>
        </w:rPr>
      </w:pPr>
    </w:p>
    <w:p>
      <w:pPr>
        <w:ind w:right="580" w:firstLine="445"/>
        <w:spacing w:after="0" w:line="261" w:lineRule="auto"/>
        <w:rPr>
          <w:sz w:val="20"/>
          <w:szCs w:val="20"/>
          <w:color w:val="auto"/>
        </w:rPr>
      </w:pPr>
      <w:r>
        <w:rPr>
          <w:rFonts w:ascii="Times New Roman" w:cs="Times New Roman" w:eastAsia="Times New Roman" w:hAnsi="Times New Roman"/>
          <w:sz w:val="18"/>
          <w:szCs w:val="18"/>
          <w:color w:val="auto"/>
        </w:rPr>
        <w:t>In the opinion of management, these condensed consolidated financial statements have been prepared on the same basis as the annual audited consolidated financial statements and include all adjustments, consisting only of normal recurring adjustments, considered necessary for the fair presentation of our financial position and operating results. The results for the three and nine months ended September 30, 2026, are not necessarily indicative of the results to be expected for the year ending December 31, 2026, for any other interim period or for any future period.</w:t>
      </w:r>
    </w:p>
    <w:p>
      <w:pPr>
        <w:spacing w:after="0" w:line="31" w:lineRule="exact"/>
        <w:rPr>
          <w:sz w:val="20"/>
          <w:szCs w:val="20"/>
          <w:color w:val="auto"/>
        </w:rPr>
      </w:pPr>
    </w:p>
    <w:p>
      <w:pPr>
        <w:ind w:right="100" w:firstLine="445"/>
        <w:spacing w:after="0" w:line="245" w:lineRule="exact"/>
        <w:rPr>
          <w:sz w:val="20"/>
          <w:szCs w:val="20"/>
          <w:color w:val="auto"/>
        </w:rPr>
      </w:pPr>
      <w:r>
        <w:rPr>
          <w:rFonts w:ascii="Times New Roman" w:cs="Times New Roman" w:eastAsia="Times New Roman" w:hAnsi="Times New Roman"/>
          <w:sz w:val="18"/>
          <w:szCs w:val="18"/>
          <w:color w:val="auto"/>
        </w:rPr>
        <w:t>Our significant accounting policies have not changed substantially from those previously described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w:t>
      </w:r>
    </w:p>
    <w:p>
      <w:pPr>
        <w:spacing w:after="0" w:line="91"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Jazz Pharmaceuticals plc and our subsidiaries. Intercompany transactions and balances have been eliminated.</w:t>
      </w:r>
    </w:p>
    <w:p>
      <w:pPr>
        <w:spacing w:after="0" w:line="54"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Commencing in 2026, we changed the presentation of our financial statements and accompanying footnote disclosures from thousands to millions. This change did not materially impact previously reported financial information; however, certain prior period amounts have insignificant differences due to rounding.</w:t>
      </w:r>
    </w:p>
    <w:p>
      <w:pPr>
        <w:spacing w:after="0" w:line="68"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Our operating segment is reported in a manner consistent with the internal reporting provided to the CODM. Our CODM has been identified as our President and Chief Executive Officer. We have determined that we operate in one business segment, which is the identification, development and commercialization of meaningful pharmaceutical products that address unmet medical needs. The CODM assesses segment performance and decides how to allocate resources for the segment based on net income (loss) and a measure of segment assets which are on the condensed consolidated statements of income (loss) and condensed consolidated balance sheet.</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2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2024-04, “Induced Conversions of Convertible Debt Instruments,” which clarifies the requirements for determining whether certain settlements of convertible debt instruments should be accounted for as an induced conversion or extinguishment of convertible debt. ASU 2024-04 was effective for the Company from January 1, 2026, and is effective on a prospective basis. The adoption did not have a material impact on our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00" w:firstLine="445"/>
        <w:spacing w:after="0" w:line="281"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220-04) - Disaggregation of Income Statement Expenses”, which requires additional disclosure in the notes to the financial statements of the nature of certain expenses included in the income statement. The amendments are effective on a prospective basis, with the option to apply them retrospectively, for fiscal years beginning after December 15, 2026. We are currently evaluating the impact of adopting this new accounting guidance.</w:t>
      </w:r>
    </w:p>
    <w:p>
      <w:pPr>
        <w:spacing w:after="0" w:line="56"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which modernizes the recognition and disclosure framework for internal-use software costs, removing the previous “development stage” model and introducing a more judgment-based approach. The standard is effective for annual periods beginning after December 15, 2027, and interim periods within those annual periods. We are currently evaluating the impact of adopting this new accounting guidance.</w:t>
      </w:r>
    </w:p>
    <w:p>
      <w:pPr>
        <w:spacing w:after="0" w:line="314" w:lineRule="exact"/>
        <w:rPr>
          <w:sz w:val="20"/>
          <w:szCs w:val="20"/>
          <w:color w:val="auto"/>
        </w:rPr>
      </w:pPr>
    </w:p>
    <w:p>
      <w:pPr>
        <w:ind w:left="220" w:right="7180" w:hanging="212"/>
        <w:spacing w:after="0" w:line="377" w:lineRule="auto"/>
        <w:tabs>
          <w:tab w:leader="none" w:pos="19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Asset Acquisitions, Collaborations and Disposition </w:t>
      </w:r>
      <w:r>
        <w:rPr>
          <w:rFonts w:ascii="Times New Roman" w:cs="Times New Roman" w:eastAsia="Times New Roman" w:hAnsi="Times New Roman"/>
          <w:sz w:val="18"/>
          <w:szCs w:val="18"/>
          <w:b w:val="1"/>
          <w:bCs w:val="1"/>
          <w:i w:val="1"/>
          <w:iCs w:val="1"/>
          <w:color w:val="auto"/>
        </w:rPr>
        <w:t>Asset Acquisition</w:t>
      </w:r>
    </w:p>
    <w:p>
      <w:pPr>
        <w:spacing w:after="0" w:line="2"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In September 2026, we completed the acquisition of Actio, a privately-held company for an upfront payment of $820.0 million, net of cash acquired, with a potential for an additional payment of up to $500.0 million upon the achievement of certain regulatory and commercial milestones, for a total potential consideration of $1.3 billion. The acquisition was funded with existing cash and cash equivalents. As a result of the acquisition, we added ABS-1230 (JZP6979), a novel, first-in-class small molecule precision therapy KCNT1 ion channel inhibitor, to our clinical pipeline and Actio became our wholly owned subsidiary.</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part of the transaction, Actio spun out a new privately-held entity to which certain non-ABS-1230 (JZP6979) programs of Actio were transferred.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independent private company is funded by existing investors, with us receiving a minority stake and certain related rights.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Actio Acquisition was accounted for as an asset acquisition because it did not meet the definition of a business.</w:t>
            </w: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24"/>
        </w:trPr>
        <w:tc>
          <w:tcPr>
            <w:tcW w:w="9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total consideration paid and the allocation to assets acquired and liabilities assumed was (in millions):</w:t>
            </w: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5"/>
        </w:trPr>
        <w:tc>
          <w:tcPr>
            <w:tcW w:w="9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Upfront payment</w:t>
            </w: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acquired</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consideration paid to Actio</w:t>
            </w: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850.7</w:t>
            </w:r>
          </w:p>
        </w:tc>
      </w:tr>
      <w:tr>
        <w:trPr>
          <w:trHeight w:val="20"/>
        </w:trPr>
        <w:tc>
          <w:tcPr>
            <w:tcW w:w="95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95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 and Liabilities Assumed</w:t>
            </w: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value attributed to IPR&amp;D related to ABS-1230 (JZP6979) and was expensed as it was determined to have no alternative future use at the time of the acquisition.</w:t>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w:t>
      </w:r>
    </w:p>
    <w:p>
      <w:pPr>
        <w:spacing w:after="0" w:line="121"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In June 2026, we entered into a preclinical research collaboration and license agreement with AbCellera, granting us rights to opt into exclusive, worldwide rights to develop and commercialize two initial next-generation T-cell engaging multispecific antibody programs. In addition, under the agreement we have a commitment to initiate a third discovery program within 12 months and may mutually agree to initiate up to two additional discovery programs.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we made an upfront payment of $56.0 million for the first two research programs, which was recorded as acquired IPR&amp;D expense in our consolidated statements of income (loss) in the nine months ended September 30, 2026. An additional $28.0 million is due upon initiation of the third program. Should we exercise our option for development, AbCellera is eligible to receive up to $792.0 million per program in option fees, development, regulatory, and commercial sales milestone payments along with tiered royalties on net sales ranging from mid-single-digits to low-double-digits.</w:t>
      </w:r>
    </w:p>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Agreement</w:t>
      </w:r>
    </w:p>
    <w:p>
      <w:pPr>
        <w:spacing w:after="0" w:line="121"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In May 2026, we entered into an asset purchase agreement with Werewolf, under which we acquired all remaining rights to JZP898, a differentiated, conditionally-activated IFNα INDUKINE™ molecule. At closing, the original license and collaboration agreement entered into with Werewolf in May 2022 was terminated.</w:t>
      </w:r>
    </w:p>
    <w:p>
      <w:pPr>
        <w:spacing w:after="0" w:line="68"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we made an upfront payment of $21.0 million, which was recorded as acquired IPR&amp;D expense in our consolidated statements of income (loss) in the nine months ended September 30, 2026. Werewolf is eligible to receive a contingent milestone payment of $2.0 million upon consent to the partial assignment of a license agreement relating to the JZP898 program.</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PRV</w:t>
      </w:r>
    </w:p>
    <w:p>
      <w:pPr>
        <w:spacing w:after="0" w:line="12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January 2026, we completed the sale of our rare pediatric disease PRV for total cash consideration of $200.0 million. We received 50% of the post-tax proceeds with the remainder paid to the former stockholders of Oncoceutics, Inc., which was acquired by Chimerix in 2021. We received the PRV in connection with the approval of Modeyso by FDA for the treatment of adult and pediatric patients 1 year of age and older with diffuse midline glioma harboring an H3 K27M mutation in August 2025.</w:t>
      </w:r>
    </w:p>
    <w:p>
      <w:pPr>
        <w:spacing w:after="0" w:line="72"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Upon closing, we recognized a pre-tax gain on disposal of $122.8 million in our consolidated statements of income (loss) in the nine months ended September 30, 2026, representing the total cash consideration received of $200.0 million, less the post-tax proceeds paid to the former stockholders of Oncoceutics, Inc.</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and Available-for-Sale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cash equivalents and investments consisted of the following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1"/>
                <w:szCs w:val="11"/>
                <w:color w:val="auto"/>
              </w:rPr>
            </w:pPr>
          </w:p>
        </w:tc>
        <w:tc>
          <w:tcPr>
            <w:tcW w:w="11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2"/>
                <w:szCs w:val="12"/>
                <w:color w:val="auto"/>
              </w:rPr>
            </w:pPr>
          </w:p>
        </w:tc>
        <w:tc>
          <w:tcPr>
            <w:tcW w:w="9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8"/>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1"/>
                <w:szCs w:val="11"/>
                <w:color w:val="auto"/>
              </w:rPr>
            </w:pPr>
          </w:p>
        </w:tc>
        <w:tc>
          <w:tcPr>
            <w:tcW w:w="11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2"/>
                <w:szCs w:val="12"/>
                <w:color w:val="auto"/>
              </w:rPr>
            </w:pPr>
          </w:p>
        </w:tc>
        <w:tc>
          <w:tcPr>
            <w:tcW w:w="9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Cash equivalents and investments are considered available-for-sale securities. We use the specific-identification method for calculating realized gains and losses on securities sold and include them in interest expense, net in the condensed consolidated statements of income (loss). Our investment balances represent time deposits with original maturities of greater than three months and less than one year. Interest income from available-for-sale securities was $23.3 million and $72.0 million in the three and nine months ended September 30, 2026, respectively, and $18.6 million and $65.3 million in the three and nine months ended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by major security type, our available-for-sale securities and derivative contracts as of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that were measured at fair value on a recurring basis and were categorized using the fair value hierarchy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9"/>
              <w:spacing w:after="0" w:line="146"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8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8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99"/>
              <w:spacing w:after="0" w:line="13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98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7"/>
                <w:szCs w:val="17"/>
                <w:color w:val="auto"/>
              </w:rPr>
            </w:pPr>
          </w:p>
        </w:tc>
        <w:tc>
          <w:tcPr>
            <w:tcW w:w="9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4"/>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1,765.5</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As of September 30, 2026 and December 31, 2025, our available-for-sale securities included money market funds and time deposits and their carrying values were approximately equal to their fair values. Money market funds were measured using quoted prices in active markets, which represent Level 1 inputs and time deposits were measured at fair value using Level 2 inputs. Level 2 inputs are obtained from various third party data providers and represent quoted prices for similar assets in active markets, or these inputs were derived from observable market data, or if not directly observable, were derived from or corroborated by other observable market data.</w:t>
      </w:r>
    </w:p>
    <w:p>
      <w:pPr>
        <w:spacing w:after="0" w:line="75"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between the different levels of the fair value hierarchy in 2026 or 2025.</w:t>
      </w:r>
    </w:p>
    <w:p>
      <w:pPr>
        <w:spacing w:after="0" w:line="117" w:lineRule="exact"/>
        <w:rPr>
          <w:sz w:val="20"/>
          <w:szCs w:val="20"/>
          <w:color w:val="auto"/>
        </w:rPr>
      </w:pPr>
    </w:p>
    <w:p>
      <w:pPr>
        <w:ind w:right="380" w:firstLine="445"/>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carrying amount of investments measured using the measurement alternative for equity investments without a readily determinable fair value was $15.6 million and $4.3 million, respectively. The carrying amount, which is recorded within other non-current assets, is based on the latest observable transaction price.</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2026, the estimated fair values of the 2030 Notes, 2032 Notes, Secured Notes, and the Tranche B-3 Dollar Term Loans were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billion, $1.2 billion, $1.4 billion and $1.9 billion, respectively. As of December 31, 2025, the estimated fair values of the 2026 Notes, the 2030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Secured Notes and the Tranche B-2 Dollar Term Loans were $1.2 billion, $1.3 billion, $1.5 billion and $1.9 billion, respectively. The fair value 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these debt facilities was estimated using quoted market prices obtained from brokers (Level 2).</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w:t>
      </w:r>
    </w:p>
    <w:p>
      <w:pPr>
        <w:spacing w:after="0" w:line="121" w:lineRule="exact"/>
        <w:rPr>
          <w:sz w:val="20"/>
          <w:szCs w:val="20"/>
          <w:color w:val="auto"/>
        </w:rPr>
      </w:pPr>
    </w:p>
    <w:p>
      <w:pPr>
        <w:ind w:firstLine="445"/>
        <w:spacing w:after="0" w:line="281" w:lineRule="auto"/>
        <w:rPr>
          <w:sz w:val="20"/>
          <w:szCs w:val="20"/>
          <w:color w:val="auto"/>
        </w:rPr>
      </w:pPr>
      <w:r>
        <w:rPr>
          <w:rFonts w:ascii="Times New Roman" w:cs="Times New Roman" w:eastAsia="Times New Roman" w:hAnsi="Times New Roman"/>
          <w:sz w:val="17"/>
          <w:szCs w:val="17"/>
          <w:color w:val="auto"/>
        </w:rPr>
        <w:t>We are exposed to certain risks arising from operating internationally, including fluctuations in foreign exchange rates primarily related to the translation of sterling and euro denominated net monetary liabilities, including intercompany balances, held by subsidiaries with a U.S. dollar functional currency and fluctuations in interest rates on our outstanding term loan borrowings. We manage these exposures within specified guidelines through the use of derivatives. All of our derivative instruments are utilized for risk management purposes, and we do not use derivatives for speculative trading purposes.</w:t>
      </w:r>
    </w:p>
    <w:p>
      <w:pPr>
        <w:spacing w:after="0" w:line="56"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September 30, 2026 and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December 31, 2025, the notional amounts of foreign exchange contracts for which hedge accounting was not applied were $655.2 million and $575.9 million, respectively.</w:t>
      </w:r>
    </w:p>
    <w:p>
      <w:pPr>
        <w:spacing w:after="0" w:line="54"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The foreign exchange gain (loss) in our condensed consolidated statements of income (loss) included the following gains (losses) associated with foreign exchange contracts not designated as hedging instruments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80" w:type="dxa"/>
            <w:vAlign w:val="bottom"/>
            <w:gridSpan w:val="4"/>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4"/>
        </w:trPr>
        <w:tc>
          <w:tcPr>
            <w:tcW w:w="52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6"/>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Forward Contracts:</w:t>
            </w: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229"/>
        </w:trPr>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recognized in foreign exchange gain (loss)</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bl>
    <w:p>
      <w:pPr>
        <w:spacing w:after="0" w:line="200" w:lineRule="exact"/>
        <w:rPr>
          <w:sz w:val="20"/>
          <w:szCs w:val="20"/>
          <w:color w:val="auto"/>
        </w:rPr>
      </w:pPr>
    </w:p>
    <w:p>
      <w:pPr>
        <w:spacing w:after="0" w:line="3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the fair value of outstanding derivatives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37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CCEEFF"/>
            </w:tcBorders>
          </w:tcPr>
          <w:p>
            <w:pPr>
              <w:spacing w:after="0"/>
              <w:rPr>
                <w:sz w:val="17"/>
                <w:szCs w:val="17"/>
                <w:color w:val="auto"/>
              </w:rPr>
            </w:pPr>
          </w:p>
        </w:tc>
        <w:tc>
          <w:tcPr>
            <w:tcW w:w="3740" w:type="dxa"/>
            <w:vAlign w:val="bottom"/>
            <w:tcBorders>
              <w:bottom w:val="single" w:sz="8" w:color="CCEEFF"/>
            </w:tcBorders>
            <w:vMerge w:val="continue"/>
          </w:tcPr>
          <w:p>
            <w:pPr>
              <w:spacing w:after="0"/>
              <w:rPr>
                <w:sz w:val="17"/>
                <w:szCs w:val="17"/>
                <w:color w:val="auto"/>
              </w:rPr>
            </w:pPr>
          </w:p>
        </w:tc>
        <w:tc>
          <w:tcPr>
            <w:tcW w:w="12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1220" w:type="dxa"/>
            <w:vAlign w:val="bottom"/>
            <w:tcBorders>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derivative asset instruments</w:t>
            </w:r>
          </w:p>
        </w:tc>
        <w:tc>
          <w:tcPr>
            <w:tcW w:w="3740" w:type="dxa"/>
            <w:vAlign w:val="bottom"/>
          </w:tcPr>
          <w:p>
            <w:pPr>
              <w:spacing w:after="0"/>
              <w:rPr>
                <w:sz w:val="19"/>
                <w:szCs w:val="19"/>
                <w:color w:val="auto"/>
              </w:rPr>
            </w:pPr>
          </w:p>
        </w:tc>
        <w:tc>
          <w:tcPr>
            <w:tcW w:w="122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0.7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shd w:val="clear" w:color="auto" w:fill="CCEEFF"/>
          </w:tcPr>
          <w:p>
            <w:pPr>
              <w:spacing w:after="0"/>
              <w:rPr>
                <w:sz w:val="19"/>
                <w:szCs w:val="19"/>
                <w:color w:val="auto"/>
              </w:rPr>
            </w:pPr>
          </w:p>
        </w:tc>
        <w:tc>
          <w:tcPr>
            <w:tcW w:w="37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7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liabilities</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7.1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7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w:t>
            </w:r>
          </w:p>
        </w:tc>
        <w:tc>
          <w:tcPr>
            <w:tcW w:w="3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liabilities</w:t>
            </w:r>
          </w:p>
        </w:tc>
        <w:tc>
          <w:tcPr>
            <w:tcW w:w="122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8"/>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derivative liability instruments</w:t>
            </w:r>
          </w:p>
        </w:tc>
        <w:tc>
          <w:tcPr>
            <w:tcW w:w="37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tables summarize the potential effect on our condensed consolidated balance sheets of offsetting our interest rate and foreign exchange forward contracts subject to such provisions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gridSpan w:val="7"/>
          </w:tcPr>
          <w:p>
            <w:pPr>
              <w:jc w:val="center"/>
              <w:ind w:right="56"/>
              <w:spacing w:after="0" w:line="158" w:lineRule="exact"/>
              <w:rPr>
                <w:sz w:val="20"/>
                <w:szCs w:val="20"/>
                <w:color w:val="auto"/>
              </w:rPr>
            </w:pPr>
            <w:r>
              <w:rPr>
                <w:rFonts w:ascii="Times New Roman" w:cs="Times New Roman" w:eastAsia="Times New Roman" w:hAnsi="Times New Roman"/>
                <w:sz w:val="14"/>
                <w:szCs w:val="14"/>
                <w:b w:val="1"/>
                <w:bCs w:val="1"/>
                <w:color w:val="auto"/>
              </w:rPr>
              <w:t>Gross Amounts Not Offset in the Consolidated Balance</w:t>
            </w:r>
          </w:p>
        </w:tc>
        <w:tc>
          <w:tcPr>
            <w:tcW w:w="0" w:type="dxa"/>
            <w:vAlign w:val="bottom"/>
          </w:tcPr>
          <w:p>
            <w:pPr>
              <w:spacing w:after="0"/>
              <w:rPr>
                <w:sz w:val="1"/>
                <w:szCs w:val="1"/>
                <w:color w:val="auto"/>
              </w:rPr>
            </w:pPr>
          </w:p>
        </w:tc>
      </w:tr>
      <w:tr>
        <w:trPr>
          <w:trHeight w:val="194"/>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3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0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Assets/ Liabilities</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3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160" w:type="dxa"/>
            <w:vAlign w:val="bottom"/>
          </w:tcPr>
          <w:p>
            <w:pPr>
              <w:spacing w:after="0"/>
              <w:rPr>
                <w:sz w:val="11"/>
                <w:szCs w:val="11"/>
                <w:color w:val="auto"/>
              </w:rPr>
            </w:pPr>
          </w:p>
        </w:tc>
        <w:tc>
          <w:tcPr>
            <w:tcW w:w="10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8"/>
        </w:trPr>
        <w:tc>
          <w:tcPr>
            <w:tcW w:w="3560" w:type="dxa"/>
            <w:vAlign w:val="bottom"/>
            <w:vMerge w:val="continue"/>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7"/>
              </w:rPr>
              <w:t>0.7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center"/>
              <w:ind w:left="642"/>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center"/>
              <w:ind w:left="56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center"/>
              <w:ind w:left="496"/>
              <w:spacing w:after="0"/>
              <w:rPr>
                <w:sz w:val="20"/>
                <w:szCs w:val="20"/>
                <w:color w:val="auto"/>
              </w:rPr>
            </w:pPr>
            <w:r>
              <w:rPr>
                <w:rFonts w:ascii="Times New Roman" w:cs="Times New Roman" w:eastAsia="Times New Roman" w:hAnsi="Times New Roman"/>
                <w:sz w:val="18"/>
                <w:szCs w:val="18"/>
                <w:color w:val="auto"/>
                <w:w w:val="98"/>
              </w:rPr>
              <w:t>(7.1)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tcPr>
          <w:p>
            <w:pPr>
              <w:jc w:val="center"/>
              <w:ind w:left="622"/>
              <w:spacing w:after="0"/>
              <w:rPr>
                <w:sz w:val="20"/>
                <w:szCs w:val="20"/>
                <w:color w:val="auto"/>
              </w:rPr>
            </w:pPr>
            <w:r>
              <w:rPr>
                <w:rFonts w:ascii="Times New Roman" w:cs="Times New Roman" w:eastAsia="Times New Roman" w:hAnsi="Times New Roman"/>
                <w:sz w:val="18"/>
                <w:szCs w:val="18"/>
                <w:color w:val="auto"/>
                <w:w w:val="98"/>
              </w:rPr>
              <w:t>(7.1)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left="582"/>
              <w:spacing w:after="0"/>
              <w:rPr>
                <w:sz w:val="20"/>
                <w:szCs w:val="20"/>
                <w:color w:val="auto"/>
              </w:rPr>
            </w:pPr>
            <w:r>
              <w:rPr>
                <w:rFonts w:ascii="Times New Roman" w:cs="Times New Roman" w:eastAsia="Times New Roman" w:hAnsi="Times New Roman"/>
                <w:sz w:val="18"/>
                <w:szCs w:val="18"/>
                <w:color w:val="auto"/>
                <w:w w:val="97"/>
              </w:rPr>
              <w:t>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404"/>
        </w:trPr>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gridSpan w:val="7"/>
          </w:tcPr>
          <w:p>
            <w:pPr>
              <w:jc w:val="center"/>
              <w:ind w:right="56"/>
              <w:spacing w:after="0" w:line="158" w:lineRule="exact"/>
              <w:rPr>
                <w:sz w:val="20"/>
                <w:szCs w:val="20"/>
                <w:color w:val="auto"/>
              </w:rPr>
            </w:pPr>
            <w:r>
              <w:rPr>
                <w:rFonts w:ascii="Times New Roman" w:cs="Times New Roman" w:eastAsia="Times New Roman" w:hAnsi="Times New Roman"/>
                <w:sz w:val="14"/>
                <w:szCs w:val="14"/>
                <w:b w:val="1"/>
                <w:bCs w:val="1"/>
                <w:color w:val="auto"/>
              </w:rPr>
              <w:t>Gross Amounts Not Offset in the Consolidated Balance</w:t>
            </w:r>
          </w:p>
        </w:tc>
        <w:tc>
          <w:tcPr>
            <w:tcW w:w="0" w:type="dxa"/>
            <w:vAlign w:val="bottom"/>
          </w:tcPr>
          <w:p>
            <w:pPr>
              <w:spacing w:after="0"/>
              <w:rPr>
                <w:sz w:val="1"/>
                <w:szCs w:val="1"/>
                <w:color w:val="auto"/>
              </w:rPr>
            </w:pPr>
          </w:p>
        </w:tc>
      </w:tr>
      <w:tr>
        <w:trPr>
          <w:trHeight w:val="194"/>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3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0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Assets/ Liabilities</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3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2"/>
                <w:szCs w:val="12"/>
                <w:color w:val="auto"/>
              </w:rPr>
            </w:pPr>
          </w:p>
        </w:tc>
        <w:tc>
          <w:tcPr>
            <w:tcW w:w="11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160" w:type="dxa"/>
            <w:vAlign w:val="bottom"/>
          </w:tcPr>
          <w:p>
            <w:pPr>
              <w:spacing w:after="0"/>
              <w:rPr>
                <w:sz w:val="12"/>
                <w:szCs w:val="12"/>
                <w:color w:val="auto"/>
              </w:rPr>
            </w:pPr>
          </w:p>
        </w:tc>
        <w:tc>
          <w:tcPr>
            <w:tcW w:w="10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8"/>
        </w:trPr>
        <w:tc>
          <w:tcPr>
            <w:tcW w:w="3560" w:type="dxa"/>
            <w:vAlign w:val="bottom"/>
            <w:vMerge w:val="continue"/>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7"/>
              </w:rPr>
              <w:t>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center"/>
              <w:ind w:left="642"/>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center"/>
              <w:ind w:left="56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center"/>
              <w:ind w:left="496"/>
              <w:spacing w:after="0"/>
              <w:rPr>
                <w:sz w:val="20"/>
                <w:szCs w:val="20"/>
                <w:color w:val="auto"/>
              </w:rPr>
            </w:pPr>
            <w:r>
              <w:rPr>
                <w:rFonts w:ascii="Times New Roman" w:cs="Times New Roman" w:eastAsia="Times New Roman" w:hAnsi="Times New Roman"/>
                <w:sz w:val="18"/>
                <w:szCs w:val="18"/>
                <w:color w:val="auto"/>
                <w:w w:val="98"/>
              </w:rPr>
              <w:t>(4.2)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tcPr>
          <w:p>
            <w:pPr>
              <w:jc w:val="center"/>
              <w:ind w:left="622"/>
              <w:spacing w:after="0"/>
              <w:rPr>
                <w:sz w:val="20"/>
                <w:szCs w:val="20"/>
                <w:color w:val="auto"/>
              </w:rPr>
            </w:pPr>
            <w:r>
              <w:rPr>
                <w:rFonts w:ascii="Times New Roman" w:cs="Times New Roman" w:eastAsia="Times New Roman" w:hAnsi="Times New Roman"/>
                <w:sz w:val="18"/>
                <w:szCs w:val="18"/>
                <w:color w:val="auto"/>
                <w:w w:val="98"/>
              </w:rPr>
              <w:t>(4.2)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left="582"/>
              <w:spacing w:after="0"/>
              <w:rPr>
                <w:sz w:val="20"/>
                <w:szCs w:val="20"/>
                <w:color w:val="auto"/>
              </w:rPr>
            </w:pPr>
            <w:r>
              <w:rPr>
                <w:rFonts w:ascii="Times New Roman" w:cs="Times New Roman" w:eastAsia="Times New Roman" w:hAnsi="Times New Roman"/>
                <w:sz w:val="18"/>
                <w:szCs w:val="18"/>
                <w:color w:val="auto"/>
                <w:w w:val="97"/>
              </w:rPr>
              <w:t>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consisted of the following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4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w:t>
            </w:r>
          </w:p>
        </w:tc>
      </w:tr>
      <w:tr>
        <w:trPr>
          <w:trHeight w:val="20"/>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of December 31, 2025, inventories included $54.1 million related to the purchase accounting inventory fair value step-up on inventory acquired as part of our GW Acquisition. During the nine months ended September 30, 2026, this fair value step-up was fully recognized in cost of product sales, and no related balance remained in inventory as of September 30, 2026.</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gross carrying amount of goodwill was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1,829.3</w:t>
            </w:r>
          </w:p>
        </w:tc>
        <w:tc>
          <w:tcPr>
            <w:tcW w:w="0" w:type="dxa"/>
            <w:vAlign w:val="bottom"/>
          </w:tcPr>
          <w:p>
            <w:pPr>
              <w:spacing w:after="0"/>
              <w:rPr>
                <w:sz w:val="1"/>
                <w:szCs w:val="1"/>
                <w:color w:val="auto"/>
              </w:rPr>
            </w:pPr>
          </w:p>
        </w:tc>
      </w:tr>
      <w:tr>
        <w:trPr>
          <w:trHeight w:val="229"/>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48"/>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1,802.8</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bottom w:val="single" w:sz="8" w:color="CCEEFF"/>
            </w:tcBorders>
            <w:gridSpan w:val="15"/>
            <w:vMerge w:val="restart"/>
          </w:tcPr>
          <w:p>
            <w:pPr>
              <w:ind w:left="460"/>
              <w:spacing w:after="0"/>
              <w:rPr>
                <w:sz w:val="20"/>
                <w:szCs w:val="20"/>
                <w:color w:val="auto"/>
              </w:rPr>
            </w:pPr>
            <w:r>
              <w:rPr>
                <w:rFonts w:ascii="Times New Roman" w:cs="Times New Roman" w:eastAsia="Times New Roman" w:hAnsi="Times New Roman"/>
                <w:sz w:val="18"/>
                <w:szCs w:val="18"/>
                <w:color w:val="auto"/>
              </w:rPr>
              <w:t>The gross carrying amounts and net book values of our intangible assets were as follows (in millions):</w:t>
            </w: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760" w:type="dxa"/>
            <w:vAlign w:val="bottom"/>
            <w:gridSpan w:val="15"/>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13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00" w:type="dxa"/>
            <w:vAlign w:val="bottom"/>
          </w:tcPr>
          <w:p>
            <w:pPr>
              <w:spacing w:after="0"/>
              <w:rPr>
                <w:sz w:val="12"/>
                <w:szCs w:val="12"/>
                <w:color w:val="auto"/>
              </w:rPr>
            </w:pPr>
          </w:p>
        </w:tc>
        <w:tc>
          <w:tcPr>
            <w:tcW w:w="13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37"/>
        </w:trPr>
        <w:tc>
          <w:tcPr>
            <w:tcW w:w="2300" w:type="dxa"/>
            <w:vAlign w:val="bottom"/>
          </w:tcPr>
          <w:p>
            <w:pPr>
              <w:spacing w:after="0"/>
              <w:rPr>
                <w:sz w:val="11"/>
                <w:szCs w:val="11"/>
                <w:color w:val="auto"/>
              </w:rPr>
            </w:pPr>
          </w:p>
        </w:tc>
        <w:tc>
          <w:tcPr>
            <w:tcW w:w="136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Life</w:t>
            </w: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9"/>
        </w:trPr>
        <w:tc>
          <w:tcPr>
            <w:tcW w:w="230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Acquired developed</w:t>
            </w: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technologies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4,429.5</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contracts</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23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finite-lived intangible</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8,402.4</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(4,228.7)</w:t>
            </w:r>
          </w:p>
        </w:tc>
        <w:tc>
          <w:tcPr>
            <w:tcW w:w="12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4,173.7</w:t>
            </w:r>
          </w:p>
        </w:tc>
        <w:tc>
          <w:tcPr>
            <w:tcW w:w="100" w:type="dxa"/>
            <w:vAlign w:val="bottom"/>
          </w:tcPr>
          <w:p>
            <w:pPr>
              <w:spacing w:after="0"/>
              <w:rPr>
                <w:sz w:val="14"/>
                <w:szCs w:val="14"/>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8,210.1</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(3,780.6)</w:t>
            </w:r>
          </w:p>
        </w:tc>
        <w:tc>
          <w:tcPr>
            <w:tcW w:w="12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4,429.5</w:t>
            </w:r>
          </w:p>
        </w:tc>
        <w:tc>
          <w:tcPr>
            <w:tcW w:w="0" w:type="dxa"/>
            <w:vAlign w:val="bottom"/>
          </w:tcPr>
          <w:p>
            <w:pPr>
              <w:spacing w:after="0"/>
              <w:rPr>
                <w:sz w:val="1"/>
                <w:szCs w:val="1"/>
                <w:color w:val="auto"/>
              </w:rPr>
            </w:pPr>
          </w:p>
        </w:tc>
      </w:tr>
      <w:tr>
        <w:trPr>
          <w:trHeight w:val="212"/>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increase in the gross carrying amount of intangible assets as of September 30, 2026, compared to December 31, 2025, primarily relates to the intangible asset arising from the $250.0 million milestone payment triggered upon FDA approval of Ziihera in GEA, partially offset by the negative impact of foreign currency translation adjustments, primarily driven by the weakening of sterling against the U.S. dollar.</w:t>
      </w:r>
    </w:p>
    <w:p>
      <w:pPr>
        <w:spacing w:after="0" w:line="68"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Based on finite-lived intangible assets recorded as of September 30, 2026, and assuming the underlying assets will not be impaired and that we will not change the expected lives of the assets, future amortization expenses were estimated as follows (in millions):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78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c>
          <w:tcPr>
            <w:tcW w:w="0" w:type="dxa"/>
            <w:vAlign w:val="bottom"/>
          </w:tcPr>
          <w:p>
            <w:pPr>
              <w:spacing w:after="0"/>
              <w:rPr>
                <w:sz w:val="1"/>
                <w:szCs w:val="1"/>
                <w:color w:val="auto"/>
              </w:rPr>
            </w:pPr>
          </w:p>
        </w:tc>
      </w:tr>
      <w:tr>
        <w:trPr>
          <w:trHeight w:val="151"/>
        </w:trPr>
        <w:tc>
          <w:tcPr>
            <w:tcW w:w="1660" w:type="dxa"/>
            <w:vAlign w:val="bottom"/>
            <w:tcBorders>
              <w:bottom w:val="single" w:sz="8" w:color="auto"/>
            </w:tcBorders>
            <w:vMerge w:val="continue"/>
          </w:tcPr>
          <w:p>
            <w:pPr>
              <w:spacing w:after="0"/>
              <w:rPr>
                <w:sz w:val="12"/>
                <w:szCs w:val="12"/>
                <w:color w:val="auto"/>
              </w:rPr>
            </w:pPr>
          </w:p>
        </w:tc>
        <w:tc>
          <w:tcPr>
            <w:tcW w:w="7880" w:type="dxa"/>
            <w:vAlign w:val="bottom"/>
          </w:tcPr>
          <w:p>
            <w:pPr>
              <w:spacing w:after="0"/>
              <w:rPr>
                <w:sz w:val="12"/>
                <w:szCs w:val="12"/>
                <w:color w:val="auto"/>
              </w:rPr>
            </w:pPr>
          </w:p>
        </w:tc>
        <w:tc>
          <w:tcPr>
            <w:tcW w:w="16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2026 (remainder)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Certain Balance Sheet Items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Property, plant and equipment consisted of the following (in millions):</w:t>
      </w:r>
    </w:p>
    <w:p>
      <w:pPr>
        <w:spacing w:after="0" w:line="20" w:lineRule="exact"/>
        <w:rPr>
          <w:sz w:val="20"/>
          <w:szCs w:val="20"/>
          <w:color w:val="auto"/>
        </w:rPr>
      </w:pPr>
      <w:r>
        <w:rPr>
          <w:sz w:val="20"/>
          <w:szCs w:val="20"/>
          <w:color w:val="auto"/>
        </w:rPr>
        <w:br w:type="column"/>
      </w:r>
    </w:p>
    <w:p>
      <w:pPr>
        <w:ind w:left="2520" w:hanging="11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183.8</w:t>
      </w:r>
    </w:p>
    <w:p>
      <w:pPr>
        <w:spacing w:after="0" w:line="34" w:lineRule="exact"/>
        <w:rPr>
          <w:rFonts w:ascii="Times New Roman" w:cs="Times New Roman" w:eastAsia="Times New Roman" w:hAnsi="Times New Roman"/>
          <w:sz w:val="17"/>
          <w:szCs w:val="17"/>
          <w:color w:val="auto"/>
        </w:rPr>
      </w:pPr>
    </w:p>
    <w:p>
      <w:pPr>
        <w:ind w:left="2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731.7</w:t>
      </w:r>
    </w:p>
    <w:p>
      <w:pPr>
        <w:spacing w:after="0" w:line="34" w:lineRule="exact"/>
        <w:rPr>
          <w:rFonts w:ascii="Times New Roman" w:cs="Times New Roman" w:eastAsia="Times New Roman" w:hAnsi="Times New Roman"/>
          <w:sz w:val="17"/>
          <w:szCs w:val="17"/>
          <w:color w:val="auto"/>
        </w:rPr>
      </w:pPr>
    </w:p>
    <w:p>
      <w:pPr>
        <w:ind w:left="2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706.9</w:t>
      </w:r>
    </w:p>
    <w:p>
      <w:pPr>
        <w:spacing w:after="0" w:line="34" w:lineRule="exact"/>
        <w:rPr>
          <w:rFonts w:ascii="Times New Roman" w:cs="Times New Roman" w:eastAsia="Times New Roman" w:hAnsi="Times New Roman"/>
          <w:sz w:val="17"/>
          <w:szCs w:val="17"/>
          <w:color w:val="auto"/>
        </w:rPr>
      </w:pPr>
    </w:p>
    <w:p>
      <w:pPr>
        <w:ind w:left="2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703.3</w:t>
      </w:r>
    </w:p>
    <w:p>
      <w:pPr>
        <w:spacing w:after="0" w:line="34" w:lineRule="exact"/>
        <w:rPr>
          <w:rFonts w:ascii="Times New Roman" w:cs="Times New Roman" w:eastAsia="Times New Roman" w:hAnsi="Times New Roman"/>
          <w:sz w:val="17"/>
          <w:szCs w:val="17"/>
          <w:color w:val="auto"/>
        </w:rPr>
      </w:pPr>
    </w:p>
    <w:p>
      <w:pPr>
        <w:ind w:left="2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628.5</w:t>
      </w:r>
    </w:p>
    <w:p>
      <w:pPr>
        <w:spacing w:after="0" w:line="3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1,219.5</w:t>
      </w:r>
    </w:p>
    <w:p>
      <w:pPr>
        <w:spacing w:after="0" w:line="31" w:lineRule="exact"/>
        <w:rPr>
          <w:sz w:val="20"/>
          <w:szCs w:val="20"/>
          <w:color w:val="auto"/>
        </w:rPr>
      </w:pPr>
    </w:p>
    <w:p>
      <w:pPr>
        <w:ind w:left="2380" w:hanging="1016"/>
        <w:spacing w:after="0"/>
        <w:tabs>
          <w:tab w:leader="none" w:pos="2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43180</wp:posOffset>
            </wp:positionV>
            <wp:extent cx="10458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4"/>
          <w:szCs w:val="14"/>
          <w:b w:val="1"/>
          <w:bCs w:val="1"/>
          <w:color w:val="auto"/>
        </w:rPr>
        <w:t>September 30,</w:t>
      </w:r>
      <w:r>
        <w:rPr>
          <w:sz w:val="20"/>
          <w:szCs w:val="20"/>
          <w:color w:val="auto"/>
        </w:rPr>
        <w:tab/>
      </w:r>
      <w:r>
        <w:rPr>
          <w:rFonts w:ascii="Times New Roman" w:cs="Times New Roman" w:eastAsia="Times New Roman" w:hAnsi="Times New Roman"/>
          <w:sz w:val="14"/>
          <w:szCs w:val="14"/>
          <w:b w:val="1"/>
          <w:bCs w:val="1"/>
          <w:color w:val="auto"/>
        </w:rPr>
        <w:t>December 31,</w:t>
      </w:r>
    </w:p>
    <w:p>
      <w:pPr>
        <w:ind w:left="300"/>
        <w:spacing w:after="0"/>
        <w:tabs>
          <w:tab w:leader="none" w:pos="20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15" w:lineRule="exact"/>
        <w:rPr>
          <w:sz w:val="20"/>
          <w:szCs w:val="20"/>
          <w:color w:val="auto"/>
        </w:rPr>
      </w:pPr>
    </w:p>
    <w:p>
      <w:pPr>
        <w:sectPr>
          <w:pgSz w:w="11900" w:h="16838" w:orient="portrait"/>
          <w:cols w:equalWidth="0" w:num="2">
            <w:col w:w="7500" w:space="720"/>
            <w:col w:w="30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equipment and machinery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Accrued liabilities consisted of the following (in millions):</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7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23"/>
                <w:szCs w:val="23"/>
                <w:color w:val="auto"/>
              </w:rPr>
            </w:pPr>
          </w:p>
        </w:tc>
        <w:tc>
          <w:tcPr>
            <w:tcW w:w="14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8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Rebates and other sales deductions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milestones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 accruals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accruals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return reserve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Inventory-related accruals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development expenses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construction-in-progress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carrying amount of our indebtedness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4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0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Unamortized - debt issuance costs</w:t>
            </w: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74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net</w:t>
            </w: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w:t>
            </w:r>
          </w:p>
        </w:tc>
      </w:tr>
      <w:tr>
        <w:trPr>
          <w:trHeight w:val="270"/>
        </w:trPr>
        <w:tc>
          <w:tcPr>
            <w:tcW w:w="40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7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 debt issuance costs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r>
      <w:tr>
        <w:trPr>
          <w:trHeight w:val="270"/>
        </w:trPr>
        <w:tc>
          <w:tcPr>
            <w:tcW w:w="40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 debt issuance costs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0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w:t>
            </w:r>
          </w:p>
        </w:tc>
      </w:tr>
      <w:tr>
        <w:trPr>
          <w:trHeight w:val="270"/>
        </w:trPr>
        <w:tc>
          <w:tcPr>
            <w:tcW w:w="780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1,887.9</w:t>
            </w:r>
          </w:p>
        </w:tc>
      </w:tr>
      <w:tr>
        <w:trPr>
          <w:trHeight w:val="22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5,358.3</w:t>
            </w:r>
          </w:p>
        </w:tc>
      </w:tr>
      <w:tr>
        <w:trPr>
          <w:trHeight w:val="230"/>
        </w:trPr>
        <w:tc>
          <w:tcPr>
            <w:tcW w:w="7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current portion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w:t>
            </w:r>
          </w:p>
        </w:tc>
      </w:tr>
      <w:tr>
        <w:trPr>
          <w:trHeight w:val="22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4,328.4</w:t>
            </w:r>
          </w:p>
        </w:tc>
      </w:tr>
      <w:tr>
        <w:trPr>
          <w:trHeight w:val="21"/>
        </w:trPr>
        <w:tc>
          <w:tcPr>
            <w:tcW w:w="4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32" w:lineRule="exact"/>
        <w:rPr>
          <w:sz w:val="20"/>
          <w:szCs w:val="20"/>
          <w:color w:val="auto"/>
        </w:rPr>
      </w:pPr>
    </w:p>
    <w:p>
      <w:pPr>
        <w:ind w:right="640" w:firstLine="8"/>
        <w:spacing w:after="0" w:line="257" w:lineRule="auto"/>
        <w:tabs>
          <w:tab w:leader="none" w:pos="22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as of September 30, 2026 includes the 2030 Notes since the share price condition was met during the quarter ended September 30, 2026. Balance as of December 31, 2025 included the 2026 Notes since they matured in June 2026.</w:t>
      </w:r>
    </w:p>
    <w:p>
      <w:pPr>
        <w:spacing w:after="0" w:line="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jc w:val="both"/>
        <w:ind w:right="160" w:firstLine="445"/>
        <w:spacing w:after="0" w:line="261" w:lineRule="auto"/>
        <w:rPr>
          <w:sz w:val="20"/>
          <w:szCs w:val="20"/>
          <w:color w:val="auto"/>
        </w:rPr>
      </w:pPr>
      <w:r>
        <w:rPr>
          <w:rFonts w:ascii="Times New Roman" w:cs="Times New Roman" w:eastAsia="Times New Roman" w:hAnsi="Times New Roman"/>
          <w:sz w:val="18"/>
          <w:szCs w:val="18"/>
          <w:color w:val="auto"/>
        </w:rPr>
        <w:t>On May 5, 2021, Jazz Pharmaceuticals plc, Jazz Lux, and certain of our other subsidiaries, as borrowers, or, collectively with Jazz Pharmaceuticals plc and Jazz Lux, the “Borrowers”, entered into the Credit Agreement. The Credit Agreement initially provided for (i) the Dollar Term Loan, which was drawn by Jazz Lux on the closing date thereof in U.S. dollars (ii) the Euro Term Loan, which was drawn by Jazz Lux on the closing date thereof in Euros and (iii) the Initial Revolving Credit Facility.</w:t>
      </w:r>
    </w:p>
    <w:p>
      <w:pPr>
        <w:spacing w:after="0" w:line="72"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 Borrowers have entered into amendments to reprice the Term Loans in January 2024 (Amendment No. 1), July 2024 (Amendment No. 2) and in September 2026 (Amendment No. 4) pursuant to which the outstanding Term Loans were converted into, and/or repaid with the proceeds, of a new tranche of dollar term loans. Most recently in September 2026, the Borrowers entered into an Amendment No. 4 to the Credit Agreement pursuant to which the then outstanding Tranche B-2 Dollar Term Loans were converted into, and/or repaid with the proceeds of Tranche B-3 Dollar Term Loans. In addition, in November 2024, the Borrowers entered into Amendment No. 3 to the Credit Agreement, to increase the Initial Revolving Credit Facility from $500.0 million to $885.0 million and extend the maturity date thereof from May 5, 2026 to November 26, 2029.</w:t>
      </w:r>
    </w:p>
    <w:p>
      <w:pPr>
        <w:spacing w:after="0" w:line="79" w:lineRule="exact"/>
        <w:rPr>
          <w:sz w:val="20"/>
          <w:szCs w:val="20"/>
          <w:color w:val="auto"/>
        </w:rPr>
      </w:pPr>
    </w:p>
    <w:p>
      <w:pPr>
        <w:ind w:right="220" w:firstLine="445"/>
        <w:spacing w:after="0" w:line="256" w:lineRule="auto"/>
        <w:rPr>
          <w:sz w:val="20"/>
          <w:szCs w:val="20"/>
          <w:color w:val="auto"/>
        </w:rPr>
      </w:pPr>
      <w:r>
        <w:rPr>
          <w:rFonts w:ascii="Times New Roman" w:cs="Times New Roman" w:eastAsia="Times New Roman" w:hAnsi="Times New Roman"/>
          <w:sz w:val="18"/>
          <w:szCs w:val="18"/>
          <w:color w:val="auto"/>
        </w:rPr>
        <w:t>The Tranche B-3 Dollar Term Loans are a separate class of term loans under the Amended Credit Agreement, with substantially the same material terms (including with respect to prepayment, security, covenants and events of default) as the previously outstanding Tranche B-2 Dollar Term Loans incurred on July 19, 2024, the Tranche B-1 Dollar Term Loans incurred on January 19, 2024, and the initial Dollar Term Loan incurred on May 5, 2021, with the interest rate amended as described below. The principal amount of Tranche B-2 Dollar Term Loans outstanding immediately prior to the Amendment No. 4 and the outstanding principal amount of Tranche B-3 Dollar Term Loans immediately following the Amendment No.4, each totaled $1.9 billion.</w:t>
      </w:r>
    </w:p>
    <w:p>
      <w:pPr>
        <w:spacing w:after="0" w:line="7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Tranche B-3 Dollar Term Loans bear interest at a rate equal to either (a) Term SOFR or (b) the prime lending rate, in each case, plus an applicable margin. The applicable margin for the Tranche B-3 Dollar Term Loans is 1.75% (in the case of Term SOFR borrowings) and 0.75% (in the case of borrowings at the prime lending rate), a decrease of 50 basis points from the applicable margin on the Tranche B-2 Dollar Term Loans. The Tranche B-3 Dollar Term Loans are subject to a Term SOFR</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floor of 0.50%. As of September 30, 2026, the interest rate and effective interest rate on the Tranche B-3 Dollar Term Loans were 5.65% and 5.94%, respectively.</w:t>
      </w:r>
    </w:p>
    <w:p>
      <w:pPr>
        <w:spacing w:after="0" w:line="5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Tranche B-3 Dollar Term Loans will amortize in quarterly installments equal to 0.25% of the initial principal amount thereof, with the remaining balance payable on May 5, 2033.</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2032 Notes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August 2026, Jazz Investments, or the Issuer, a wholly-owned finance subsidiary of Jazz Pharmaceuticals plc., completed a private offering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billion aggregate principal amount of the 2032 Notes. The 2032 Notes are senior unsecured obligations of the Issuer and are fully and unconditionally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guaranteed on a senior unsecured basis by Jazz Pharmaceuticals plc. No subsidiary of Jazz Pharmaceuticals plc guaranteed the 2032 Notes.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local law restrictions on payment of dividends, among other things, and potential negative tax consequences, we are not aware of any significant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on the ability of Jazz Pharmaceuticals plc to obtain funds from the Issuer or Jazz Pharmaceuticals plc’s other subsidiaries by dividend or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legal or economic restrictions on the ability of the Issuer or Jazz Pharmaceuticals plc’s other subsidiaries to transfer funds to Jazz Pharmaceuticals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plc in the form of cash dividends, loans or advances. There is no assurance that in the future such restrictions will not be adopted.</w:t>
      </w:r>
    </w:p>
    <w:p>
      <w:pPr>
        <w:spacing w:after="0" w:line="99"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total liability of the 2032 Notes is reflected net of issuance costs of $24.1 million, which will be amortized over the term of the 2032 Notes. The effective interest rate of the 2032 Notes is 2.21%. During the three and nine months ended September 30, 2026, we recognized interest expense of $2.3 million, of which $2.0 million related to the contractual coupon rate and $0.3 million related to the amortization of debt issuance costs.</w:t>
      </w:r>
    </w:p>
    <w:p>
      <w:pPr>
        <w:spacing w:after="0" w:line="68"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Interest on the 2032 Notes is payable semi-annually in cash in arrears on March 15 and September 15 of each year, beginning on March 15, 2027, at a rate of 1.875% per year. In certain circumstances, we may be required to pay additional amounts as a result of any applicable tax withholding or deductions required in respect of payments on the 2032 Notes. The 2032 Notes mature on September 15, 2032, unless earlier exchanged, redeemed or repurchased.</w:t>
      </w:r>
    </w:p>
    <w:p>
      <w:pPr>
        <w:spacing w:after="0" w:line="72"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The holders of the 2032 Notes have the ability to require us to repurchase all or a portion of their 2032 Notes for cash at a fundamental change repurchase price equal to 100% of the principal amount of the notes to be repurchased, plus accrued and unpaid interest to, but excluding, the fundamental change repurchase date in the event we undergo a fundamental change (as defined in the indenture related to the 2032 Notes),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w:t>
      </w:r>
    </w:p>
    <w:p>
      <w:pPr>
        <w:spacing w:after="0" w:line="75"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Additionally, the terms and covenants in the indenture related to the 2032 Notes include certain events of default after which the 2032 Notes may be due and payable immediately.</w:t>
      </w:r>
    </w:p>
    <w:p>
      <w:pPr>
        <w:spacing w:after="0" w:line="54" w:lineRule="exact"/>
        <w:rPr>
          <w:sz w:val="20"/>
          <w:szCs w:val="20"/>
          <w:color w:val="auto"/>
        </w:rPr>
      </w:pPr>
    </w:p>
    <w:p>
      <w:pPr>
        <w:ind w:right="120" w:firstLine="445"/>
        <w:spacing w:after="0" w:line="254" w:lineRule="auto"/>
        <w:rPr>
          <w:sz w:val="20"/>
          <w:szCs w:val="20"/>
          <w:color w:val="auto"/>
        </w:rPr>
      </w:pPr>
      <w:r>
        <w:rPr>
          <w:rFonts w:ascii="Times New Roman" w:cs="Times New Roman" w:eastAsia="Times New Roman" w:hAnsi="Times New Roman"/>
          <w:sz w:val="18"/>
          <w:szCs w:val="18"/>
          <w:color w:val="auto"/>
        </w:rPr>
        <w:t>Prior to September 15, 2032, we may redeem the 2032 Notes, in whole but not in part, in connection with certain tax-related events. We also may redeem the 2032 Notes on or after September 20, 2029, in whole or in part (subject to the partial redemption limitation described below and in the indenture related to the 2032 Notes), if the last reported sale price of the ordinary shares has been at least 130% of the exchange price then in effect for at least 20 trading days (whether or not consecutive) during any 30 consecutive trading day period ending on, and including, the trading day immediately preceding the date on which we provide notice of redemption. Subject to the conditions described in the indenture related to the 2032 Notes, we may also redeem all, but not less than all, of the 2032 Notes at our option at any time if the principal amount of the 2032 Notes outstanding at such time is less than $100.0 million. The redemption price for any redemption will be 100% of the principal amount of the notes to be redeemed, plus accrued and unpaid interest to, but excluding, the redemption date.</w:t>
      </w:r>
    </w:p>
    <w:p>
      <w:pPr>
        <w:spacing w:after="0" w:line="84"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The exchange rate for the 2032 Notes is initially 2.8150 ordinary shares per $1,000 principal amount of 2032 Notes, which is equivalent to an initial exchange price of approximately $355.24 per ordinary share. Upon exchange of the 2032 Notes, we will pay cash up to the aggregate principal amount of the 2032 Notes to be exchanged and pay or deliver, as the case may be, cash, ordinary shares or a combination of cash and ordinary shares, at our election, in respect of the remainder, if any, of our exchange obligation in excess of the aggregate principal amount of the 2032 Notes being exchanged. The exchange rate is subject to adjustment in some events but will not be adjusted for any accrued and unpaid interest. In addition, following certain make-whole fundamental changes (as defined in the indenture related to the 2032 Notes) that occur prior to the maturity date or upon our issuance of a notice of redemption, we will, in certain circumstances, increase the exchange rate for a holder who elects to exchange its 2032 Notes in connection with that make-whole fundamental change or exchange its 2032 Notes called (or deemed called, in the case of an optional redemption) for redemption during the related redemption period, as the case may be. Prior to June 15, 2032, the 2032 Notes will be exchangeable only upon satisfaction of certain conditions and during certain periods, and thereafter, at any time until the close of business on the second scheduled trading day immediately preceding the maturity date.</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2030 Notes</w:t>
      </w:r>
    </w:p>
    <w:p>
      <w:pPr>
        <w:spacing w:after="0" w:line="121"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The 2030 Notes were issued by Jazz Investments. The 2030 Notes are senior unsecured obligations of the Issuer and are fully and unconditionally guaranteed on a senior unsecured basis by Jazz Pharmaceuticals plc. No subsidiary of Jazz Pharmaceuticals plc guaranteed the 2030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79"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The total liability of the 2030 Notes is reflected net of issuance costs of $19.2 million, which will be amortized over the term of the 2030 Notes. The effective interest rate of the 2030 Notes is 3.47%. During the three months ended September 30, 2026 and 2025, we recognized interest expense of</w:t>
      </w:r>
    </w:p>
    <w:p>
      <w:pPr>
        <w:ind w:right="320"/>
        <w:spacing w:after="0" w:line="255" w:lineRule="auto"/>
        <w:rPr>
          <w:sz w:val="20"/>
          <w:szCs w:val="20"/>
          <w:color w:val="auto"/>
        </w:rPr>
      </w:pPr>
      <w:r>
        <w:rPr>
          <w:rFonts w:ascii="Times New Roman" w:cs="Times New Roman" w:eastAsia="Times New Roman" w:hAnsi="Times New Roman"/>
          <w:sz w:val="18"/>
          <w:szCs w:val="18"/>
          <w:color w:val="auto"/>
        </w:rPr>
        <w:t>$8.7 million, of which $7.8 million related to the contractual coupon rate and $0.9 million related to the amortization of debt issuance costs. During the nine months ended September 30, 2026 and 2025, we recognized interest expense of $25.7 million, of which $23.4 million related to the contractual coupon rate and $2.3 million related to the amortization of debt issuance costs.</w:t>
      </w:r>
    </w:p>
    <w:p>
      <w:pPr>
        <w:spacing w:after="0" w:line="78"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Prior to June 15, 2030, the 2030 Notes will be exchangeable only upon satisfaction of certain conditions, including a condition tied to our share price that is measured as of the end of each quarter, and during certain periods, and thereafter, at any time until the close of business on the second scheduled trading day immediately preceding the maturity date.</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quarter ended September 30, 2026, the closing price of our ordinary shares exceeded 130% of the conversion price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$153.05) of the 2030 Notes for more than 20 trading days of the last 30 consecutive trading days of the quarter. As a result, the share price condition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 and the 2030 Notes are exchangeable at the option of the holders during the quarter ended December 31, 2026. Accordingly, the carrying value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2030 Notes has been included in current liabilities in our condensed consolidated balance sheet as of September 30, 2026. As of the date of this filing, none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2030 Notes have been exchanged by the holders.</w:t>
      </w: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2026 Notes</w:t>
      </w:r>
    </w:p>
    <w:p>
      <w:pPr>
        <w:spacing w:after="0" w:line="121" w:lineRule="exact"/>
        <w:rPr>
          <w:sz w:val="20"/>
          <w:szCs w:val="20"/>
          <w:color w:val="auto"/>
        </w:rPr>
      </w:pPr>
    </w:p>
    <w:p>
      <w:pPr>
        <w:ind w:right="80" w:firstLine="445"/>
        <w:spacing w:after="0" w:line="274" w:lineRule="auto"/>
        <w:rPr>
          <w:sz w:val="20"/>
          <w:szCs w:val="20"/>
          <w:color w:val="auto"/>
        </w:rPr>
      </w:pPr>
      <w:r>
        <w:rPr>
          <w:rFonts w:ascii="Times New Roman" w:cs="Times New Roman" w:eastAsia="Times New Roman" w:hAnsi="Times New Roman"/>
          <w:sz w:val="17"/>
          <w:szCs w:val="17"/>
          <w:color w:val="auto"/>
        </w:rPr>
        <w:t>On June 15, 2026, the maturity date for the 2026 Notes, we repaid the $1.0 billion aggregate principal amount and accrued and unpaid interest thereon and issued 1,890,193 ordinary shares representing the conversion premium. During the three months ended September 30, 2025, we recognized interest expense of $5.7 million, of which $5.0 million related to the contractual coupon rate and $0.7 million related to the amortization of debt issuance costs. During the nine months ended September 30, 2026, we recognized interest expense of $10.3 million, of which $9.2 million related to the contractual coupon rate and $1.1 million related to the amortization of debt issuance costs. During the nine months ended September 30, 2025, we recognized interest expense of $16.8 million, of which $15.0 million related to the contractual coupon rate and $1.8 million related to the amortization of debt issuance costs.</w:t>
      </w: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Maturities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Scheduled maturities with respect to our long-term debt principal balances outstanding as of September 30, 2026, were as follows (in millions):</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20" w:type="dxa"/>
            <w:vAlign w:val="bottom"/>
          </w:tcPr>
          <w:p>
            <w:pPr>
              <w:spacing w:after="0"/>
              <w:rPr>
                <w:sz w:val="13"/>
                <w:szCs w:val="13"/>
                <w:color w:val="auto"/>
              </w:rPr>
            </w:pPr>
          </w:p>
        </w:tc>
        <w:tc>
          <w:tcPr>
            <w:tcW w:w="15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Scheduled Long-Term</w:t>
            </w:r>
          </w:p>
        </w:tc>
        <w:tc>
          <w:tcPr>
            <w:tcW w:w="0" w:type="dxa"/>
            <w:vAlign w:val="bottom"/>
          </w:tcPr>
          <w:p>
            <w:pPr>
              <w:spacing w:after="0"/>
              <w:rPr>
                <w:sz w:val="1"/>
                <w:szCs w:val="1"/>
                <w:color w:val="auto"/>
              </w:rPr>
            </w:pPr>
          </w:p>
        </w:tc>
      </w:tr>
      <w:tr>
        <w:trPr>
          <w:trHeight w:val="195"/>
        </w:trPr>
        <w:tc>
          <w:tcPr>
            <w:tcW w:w="95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Debt Maturities</w:t>
            </w:r>
          </w:p>
        </w:tc>
        <w:tc>
          <w:tcPr>
            <w:tcW w:w="0" w:type="dxa"/>
            <w:vAlign w:val="bottom"/>
          </w:tcPr>
          <w:p>
            <w:pPr>
              <w:spacing w:after="0"/>
              <w:rPr>
                <w:sz w:val="1"/>
                <w:szCs w:val="1"/>
                <w:color w:val="auto"/>
              </w:rPr>
            </w:pPr>
          </w:p>
        </w:tc>
      </w:tr>
      <w:tr>
        <w:trPr>
          <w:trHeight w:val="228"/>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(remainder)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0" w:type="dxa"/>
            <w:vAlign w:val="bottom"/>
          </w:tcPr>
          <w:p>
            <w:pPr>
              <w:spacing w:after="0"/>
              <w:rPr>
                <w:sz w:val="1"/>
                <w:szCs w:val="1"/>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0" w:type="dxa"/>
            <w:vAlign w:val="bottom"/>
          </w:tcPr>
          <w:p>
            <w:pPr>
              <w:spacing w:after="0"/>
              <w:rPr>
                <w:sz w:val="1"/>
                <w:szCs w:val="1"/>
                <w:color w:val="auto"/>
              </w:rPr>
            </w:pPr>
          </w:p>
        </w:tc>
      </w:tr>
      <w:tr>
        <w:trPr>
          <w:trHeight w:val="23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3,005.5</w:t>
            </w:r>
          </w:p>
        </w:tc>
        <w:tc>
          <w:tcPr>
            <w:tcW w:w="0" w:type="dxa"/>
            <w:vAlign w:val="bottom"/>
          </w:tcPr>
          <w:p>
            <w:pPr>
              <w:spacing w:after="0"/>
              <w:rPr>
                <w:sz w:val="1"/>
                <w:szCs w:val="1"/>
                <w:color w:val="auto"/>
              </w:rPr>
            </w:pP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5,637.3</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2"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September 30, 2026 and December 31, 2025.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involved in legal proceedings, including the following matters:</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 Infringement Litigation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Xywav Patent Litigation</w:t>
      </w:r>
    </w:p>
    <w:p>
      <w:pPr>
        <w:spacing w:after="0" w:line="11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w:t>
      </w:r>
    </w:p>
    <w:p>
      <w:pPr>
        <w:spacing w:after="0" w:line="7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On July 28, 2021, we filed a patent infringement suit against Lupin in the U.S.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In June 2021, FDA recognized seven years of Orphan Drug Exclusivity for Xywav through July 21, 2027. In October 2021, Lupin filed an answer to the ANDA complaint and asserted counterclaims that the patents are invalid or not enforceable, and that its product, if approved, will not infringe our patents.</w:t>
      </w:r>
    </w:p>
    <w:p>
      <w:pPr>
        <w:spacing w:after="0" w:line="75"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April 2022, we received notice from Lupin that it had filed a paragraph IV certification regarding a newly-issued patent listed in the Orange Book for Xywav. On May 11, 2022, we filed an additional lawsuit against Lupin in the U.S. District Court for the District of New Jersey alleging that by filing its ANDA, Lupin infringed the newly-issued patent related to a method of treatment when Xywav is administered concomitantly with certain other medications. The suit seeks a permanent injunction to prevent Lupin from introducing a generic version of Xywav that would infringe our patent. In June 2022, the U.S. District Court for the District of New Jersey consolidated the two lawsuits we filed against Lupin.</w:t>
      </w:r>
    </w:p>
    <w:p>
      <w:pPr>
        <w:spacing w:after="0" w:line="7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November 2022, we received notice from Lupin that it had filed a paragraph IV certification regarding a newly-issued patent listed in the Orange Book for Xywav. On January 19, 2023, we filed an additional lawsuit against Lupin in the U.S. District Court for the District of New Jersey alleging that by filing its ANDA, Lupin infringed the newly-issued patent referenced in its November 2022 paragraph IV certification, as well as another patent that issued in January 2023. The suit seeks a permanent injunction to prevent Lupin from introducing a generic version of Xywav that would infringe the two patents in suit. In February 2023, the U.S. District Court for the District of New Jersey consolidated the new lawsuit with the two suits we previously filed against Lupin.</w:t>
      </w:r>
    </w:p>
    <w:p>
      <w:pPr>
        <w:spacing w:after="0" w:line="7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February 2023, we received notice from Teva that it had filed with FDA an ANDA for a generic version of Xywav. The notice from Teva included a paragraph IV certification with respect to thirteen of our patents listed in FDA’s Orange Book for Xywav on the date of the receipt of the notice. The asserted patents relate generally to the composition and method of use of Xywav, and methods of treatment when Xywav is administered concomitantly with certain other medications.</w:t>
      </w:r>
    </w:p>
    <w:p>
      <w:pPr>
        <w:spacing w:after="0" w:line="72"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On March 21, 2023, we filed a patent infringement suit against Teva in the U.S. District Court for the District of New Jersey. The complaint alleges that by filing its ANDA, Teva has infringed thirteen of our Orange Book listed patents. We are seeking a permanent injunction to prevent Teva from introducing a generic version of Xywav that would infringe our patents.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May 2023, Teva filed an answer to the complaint and asserted counterclaims that the patents are invalid or not enforceable, and that its product, if approved, will not infringe our patents.</w:t>
      </w:r>
    </w:p>
    <w:p>
      <w:pPr>
        <w:spacing w:after="0" w:line="54"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In December 2023, based on a stipulation between all parties, the U.S. District Court for the District of New Jersey consolidated the Lupin lawsuits and the Teva lawsuit for all purposes. No trial date has been set in the consolidated case.</w:t>
      </w:r>
    </w:p>
    <w:p>
      <w:pPr>
        <w:spacing w:after="0" w:line="54" w:lineRule="exact"/>
        <w:rPr>
          <w:sz w:val="20"/>
          <w:szCs w:val="20"/>
          <w:color w:val="auto"/>
        </w:rPr>
      </w:pPr>
    </w:p>
    <w:p>
      <w:pPr>
        <w:ind w:right="60" w:firstLine="445"/>
        <w:spacing w:after="0" w:line="281" w:lineRule="auto"/>
        <w:rPr>
          <w:sz w:val="20"/>
          <w:szCs w:val="20"/>
          <w:color w:val="auto"/>
        </w:rPr>
      </w:pPr>
      <w:r>
        <w:rPr>
          <w:rFonts w:ascii="Times New Roman" w:cs="Times New Roman" w:eastAsia="Times New Roman" w:hAnsi="Times New Roman"/>
          <w:sz w:val="17"/>
          <w:szCs w:val="17"/>
          <w:color w:val="auto"/>
        </w:rPr>
        <w:t>In July 2024, we received notices from Lupin and Teva that they had each filed a paragraph IV certification regarding a newly-issued patent listed in the Orange Book for Xywav. On August 27, 2024, we filed an additional lawsuit in the U.S. District Court for the District of New Jersey against each of Lupin and Teva, alleging that, by filing its ANDA, each party infringed the newly-issued patent related to a method of treatment using Xywav. The suits seek orders that the effective date of FDA approval of each defendant’s application shall be a date no earlier than the expiration of the newly-issued patent.</w:t>
      </w:r>
    </w:p>
    <w:p>
      <w:pPr>
        <w:spacing w:after="0" w:line="56"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July 2025, we received notice from Granules that it has filed with FDA an ANDA for a generic version of Xywav. The notice from Granules included a paragraph IV certification with respect to fourteen of our patents listed in FDA’s Orange Book for Xywav on the date of the receipt of the notice. The asserted patents relate generally to the composition and method of use of Xywav, and methods of treatment when Xywav is administered concomitantly with certain other medications.</w:t>
      </w:r>
    </w:p>
    <w:p>
      <w:pPr>
        <w:spacing w:after="0" w:line="72"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On August 13, 2025, we filed a patent infringement suit against Granules in the U.S. District Court for the District of New Jersey. In March 2026, we entered into a settlement agreement with Granules that resolved our patent litigation with Granules related to Xywav. Under the settlement agreement, we granted a license to certain of the patents listed in the Orange Book for Xywav that could, under certain circumstances, allow Granules to launch its generic version of Xywav prior to the expiration of the licensed patents. The specific terms of the Granules settlement agreement are confidential.</w:t>
      </w:r>
    </w:p>
    <w:p>
      <w:pPr>
        <w:spacing w:after="0" w:line="72" w:lineRule="exact"/>
        <w:rPr>
          <w:sz w:val="20"/>
          <w:szCs w:val="20"/>
          <w:color w:val="auto"/>
        </w:rPr>
      </w:pPr>
    </w:p>
    <w:p>
      <w:pPr>
        <w:ind w:right="380" w:firstLine="445"/>
        <w:spacing w:after="0" w:line="266" w:lineRule="auto"/>
        <w:rPr>
          <w:sz w:val="20"/>
          <w:szCs w:val="20"/>
          <w:color w:val="auto"/>
        </w:rPr>
      </w:pPr>
      <w:r>
        <w:rPr>
          <w:rFonts w:ascii="Times New Roman" w:cs="Times New Roman" w:eastAsia="Times New Roman" w:hAnsi="Times New Roman"/>
          <w:sz w:val="18"/>
          <w:szCs w:val="18"/>
          <w:color w:val="auto"/>
        </w:rPr>
        <w:t>The settlement with Granules does not resolve the litigation against Lupin or Teva, which is ongoing. We cannot predict the specific timing or outcome of events in these matters with respect to the remaining defendants or the impact of developments involving any specific parties or patents on other ongoing proceedings with Lupin or Teva.</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Zepzelca Patent Litigation</w:t>
      </w:r>
    </w:p>
    <w:p>
      <w:pPr>
        <w:spacing w:after="0" w:line="11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In July and August 2024, and in May 2026, we received notices from the Zepzelca ANDA Filers that they have each filed with FDA an ANDA for a generic version of Zepzelca (lurbinectedin). As of the date of this filing, we are not aware of other ANDA filers. The notices from the Zepzelca ANDA Filers each included a paragraph IV certification with respect to one or more patents listed in the Orange Book for Zepzelca on the date of the receipt of the notice. The listed patents relate to the drug substance, drug product and approved use of Zepzelca. We are the exclusive licensee to the asserted Zepzelca patents pursuant to an agreement with PharmaMar. A paragraph IV certification is a certification by a generic applicant that alleges that the patent covering the branded product is invalid, unenforceable, and/or will not be infringed by the manufacture, use or sale of the generic product.</w:t>
      </w:r>
    </w:p>
    <w:p>
      <w:pPr>
        <w:spacing w:after="0" w:line="79"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On September 11, 2024, we and PharmaMar filed the first patent infringement suit against certain of the Zepzelca ANDA Filers in the U.S. District Court for the District of New Jersey. The complaint alleges that by filing their ANDAs, the Zepzelca ANDA Filers have infringed the Orange Book listed patent for Zepzelca, and seeks an order that the effective date of FDA approval of the ANDAs shall be a date no earlier than the expiration of the asserted patent. As a result of this lawsuit FDA approval of each Zepzelca ANDA Filer's ANDA became subject to a statutory stay of approval under the Hatch-Waxman Act of up to seven and a half years from the date of initial FDA approval of Zepzelca.</w:t>
      </w:r>
    </w:p>
    <w:p>
      <w:pPr>
        <w:spacing w:after="0" w:line="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 December 2024, we received the Zepzelca ANDA Filers’ answers to the complaint. The answers include defenses and counterclaims asserting that the Zepzelca ANDA Filers’ products, if launched, would not infringe our patents and that our patents are invalid.</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March 2025, we and Sandoz Inc. stipulated to the dismissal of our lawsuit against Sandoz Inc. without prejudice.</w:t>
      </w:r>
    </w:p>
    <w:p>
      <w:pPr>
        <w:spacing w:after="0" w:line="117"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On September 12, 2024, we and PharmaMar filed a patent infringement suit against RK Pharma, in the U.S. District Court for the District of Delaware. The complaint alleges that by filing its ANDA, RK Pharma has infringed the Orange Book listed patent for Zepzelca, and seeks an order that the effective date of FDA approval of RK Pharma’s ANDA shall be no earlier than the expiration of the asserted patent. In November 2024, we voluntarily dismissed this action against RK Pharma in the U.S. District Court for the District of Delaware. RK Pharma remains a defendant in the litigation referenced above in the U.S. District Court for the District of New Jersey.</w:t>
      </w:r>
    </w:p>
    <w:p>
      <w:pPr>
        <w:spacing w:after="0" w:line="75" w:lineRule="exact"/>
        <w:rPr>
          <w:sz w:val="20"/>
          <w:szCs w:val="20"/>
          <w:color w:val="auto"/>
        </w:rPr>
      </w:pPr>
    </w:p>
    <w:p>
      <w:pPr>
        <w:ind w:right="180" w:firstLine="445"/>
        <w:spacing w:after="0" w:line="256" w:lineRule="auto"/>
        <w:rPr>
          <w:sz w:val="20"/>
          <w:szCs w:val="20"/>
          <w:color w:val="auto"/>
        </w:rPr>
      </w:pPr>
      <w:r>
        <w:rPr>
          <w:rFonts w:ascii="Times New Roman" w:cs="Times New Roman" w:eastAsia="Times New Roman" w:hAnsi="Times New Roman"/>
          <w:sz w:val="18"/>
          <w:szCs w:val="18"/>
          <w:color w:val="auto"/>
        </w:rPr>
        <w:t>In July 2025, we received notice from InvaGen that it had filed a paragraph IV certification regarding a newly-issued patent listed in the Orange Book for Zepzelca on the date of the receipt of the notice. On September 4, 2025, we and PharmaMar filed a second lawsuit in the U.S. District Court for the District of New Jersey against certain of the Zepzelca ANDA Filers, alleging that, by filing its ANDA, each party infringed the newly-issued patent related to a method of treatment using Zepzelca. In November 2025, we and PharmaMar amended the complaint to assert two additional patents listed in the Orange Book for Zepzelca on the date of the amended complaint against the defendants. The asserted patents related to a method of treatment using Zepzelca. The suit seeks orders that the effective date of FDA approval for each defendant’s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application shall be no earlier than the expiration of the asserted patents. In March 2026, the U.S. District Court for the District of New Jersey consolidated the first and second actions for all purposes.</w:t>
      </w:r>
    </w:p>
    <w:p>
      <w:pPr>
        <w:spacing w:after="0" w:line="54"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In May 2026, we received notice from Qilu that it had filed an ANDA for a generic version of Zepzelca with a paragraph IV certification to one or more of the patents listed in the Orange Book for Zepzelca on the date of the receipt of the notice. On June 26, 2026, we and PharmaMar filed a lawsuit in the U.S. District Court for the District of New Jersey, alleging that, by filing its ANDA, Qilu infringed certain patents listed in the Orange Book for Zepzelca. The asserted patents relate to a method of treatment using Zepzelca. The suit seeks an order that the effective date of FDA approval for Qilu’s ANDA shall be no earlier than the expiration of the asserted patents. As a result of this lawsuit, FDA approval of Qilu's ANDA became subject to a statutory stay of up to 30 months under the Hatch-Waxman Act. No trial date has been set in any of the Zepzelca patent litigation matters.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Defitelio Patent Litigation</w:t>
      </w:r>
    </w:p>
    <w:p>
      <w:pPr>
        <w:spacing w:after="0" w:line="119"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In March 2025, we received a notice from Almaject that it had filed with FDA an ANDA for a generic version of Defitelio (defibrotide sodium). The notice from Almaject included a paragraph IV certification with respect to certain of our patents listed in FDA’s Orange Book for Defitelio on the date of the notice. The listed patents relate generally to the Defitelio drug product and its approved use. On April 16, 2025, we filed a patent infringement lawsuit against Almaject in the U.S. District Court for the District of New Jersey. The complaint alleges that by filing its ANDA, Almaject has infringed certain of our Orange Book listed patents, and seeks an order that the effective date of FDA approval for the Almaject ANDA shall be on a date no earlier than the expiration of the last to expire of the asserted patents. As a result of this lawsuit, FDA approval of Almaject's ANDA became subject to a statutory stay of up to 30 months under the Hatch-Waxman Act.</w:t>
      </w:r>
    </w:p>
    <w:p>
      <w:pPr>
        <w:spacing w:after="0" w:line="81"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March 2026, we filed a second patent infringement lawsuit against Almaject in the U.S. District Court for the District of New Jersey based on two additional patents listed in the Orange Book for Defitelio. The patents relate generally to the Defitelio drug product. The complaint alleges that by filing its ANDA, Almaject has infringed the patents, and seeks an order that the effective date of FDA approval for the Almaject ANDA shall be on a date no earlier than the expiration of the last to expire of the asserted patents. On October 2, 2026, the U.S. District Court for the District of New Jersey issued a written opinion and order resolving the parties' claim construction disputes. No trial date has been set in any of the Defitelio patent litigation.</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Tris Pharma Patent Litigation</w:t>
      </w:r>
    </w:p>
    <w:p>
      <w:pPr>
        <w:spacing w:after="0" w:line="119"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In January 2026, we received notices from Tris Pharma that it had filed with FDA a Section 505(b)(2) NDA with Xyrem and Xywav as reference listed drugs. The first notice included a paragraph IV certification with respect to seven patents listed in FDA’s Orange Book for Xyrem, and the second notice included a paragraph IV certification with respect to fifteen patents listed in FDA’s Orange Book for Xywav on the date of our receipt of the notice. Seven of the listed patents relate generally to methods of treatment when Xywav or Xyrem is administered concomitantly with certain other medications, and the remaining eight relate generally to the composition and method of use of Xywav.</w:t>
      </w:r>
    </w:p>
    <w:p>
      <w:pPr>
        <w:spacing w:after="0" w:line="7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On February 20, 2026, we filed two patent infringement suits against Tris Pharma in the U.S. District Court for the District of New Jersey. The complaints allege that by filing its Section 505(b)(2) NDA, Tris Pharma infringed certain of our patents listed in FDA’s Orange Book for Xyrem and certain of our patents listed in FDA’s Orange Book for Xywav, respectively. Each lawsuit seeks an order that the effective date of FDA approval of Tris Pharma’s Section 505(b)(2) NDA shall be a date no earlier than the expiration of the last to expire of the asserted patents. As a result of this lawsuit, FDA approval of Tris Pharma's Section 505(b)(2) NDA became subject to a statutory stay of up to 30 months under the Hatch-Waxman Act. In April 2026, Tris Pharma filed motions to dismiss the complaints. In July 2026, the U.S. District Court for the District of New Jersey denied the motions and subsequently, Tris Pharma filed answers and counterclaims alleging that the asserted patents are invalid and not infringed. No trial date has been set in the Tris Pharma patent litigation.</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Qui Tam Matters</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In July 2022, we received a subpoena from the USAO for the District of Massachusetts requesting documents related to Xyrem and U.S. Patent No. 8,772,306 (“Method of Administration of Gamma Hydroxybutyrate with Monocarboxylate Transporters”), product labeling changes for Xyrem, communications with FDA and the USPTO, pricing of Xyrem, and other related documents. In July 2024, the U.S. District Court for the District of Massachusetts unsealed a qui tam whistleblower lawsuit underlying the USAO’s subpoena. The public docket in this matter indicates that on May 24 and June 7, 2024, respectively, the U.S. and a number of states named in the whistleblower complaint declined to intervene in this matter. Private whistleblower litigation then proceeded in the U.S. District Court for the District of Massachusetts. On September 23, 2025, the U.S. District Court for the District of Massachusetts granted our motion and dismissed the plaintiff’s federal claims with prejudice and state-law claims without prejudice.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40" w:firstLine="445"/>
        <w:spacing w:after="0" w:line="258" w:lineRule="auto"/>
        <w:rPr>
          <w:sz w:val="20"/>
          <w:szCs w:val="20"/>
          <w:color w:val="auto"/>
        </w:rPr>
      </w:pPr>
      <w:r>
        <w:rPr>
          <w:rFonts w:ascii="Times New Roman" w:cs="Times New Roman" w:eastAsia="Times New Roman" w:hAnsi="Times New Roman"/>
          <w:sz w:val="18"/>
          <w:szCs w:val="18"/>
          <w:color w:val="auto"/>
        </w:rPr>
        <w:t>On January 23, 2026, the U.S. District Court for the Southern District of New York unsealed a lawsuit filed by a qui tam whistleblower against us under the New York state False Claims Act. The docket reflects that the New York Attorney General declined to participate in the litigation. This lawsuit repeats almost verbatim allegations asserted by this same whistleblower against us in the case that was dismissed in September 2025, by the U.S. District Court for the District of Massachusetts. In May 2026, the plaintiff amended its complaint. In July 2026, we moved to dismiss the amended complaint with prejudice. In August 2026, the plaintiff voluntarily dismissed this lawsuit without prejudice.</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Praxis Trade Secret and Breach of Contract Litigation</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On October 14, 2025, Praxis filed a lawsuit in the U.S. District Court for the District of Delaware against Actio and David B. Goldstein, Ph.D., Actio's co-founder and former CEO. The complaint alleges, among other things, that Dr. Goldstein breached a Master Advisory Agreement with Praxis and that Actio and Dr. Goldstein misappropriated Praxis' trade secrets relating to certain KCNT1 inhibitor compounds. Praxis seeks declaratory relief, injunctive relief, assignment of intellectual property allegedly derived from Praxis’ confidential and trade secret information, unspecified compensatory and exemplary damages, attorneys’ fees and costs, and an accounting and disgorgement of defendants’ alleged unjust enrichment.</w:t>
      </w:r>
    </w:p>
    <w:p>
      <w:pPr>
        <w:spacing w:after="0" w:line="75"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On December 5, 2025, defendants filed a joint motion to dismiss the complaint, which the U.S. District Court for the District of Delaware denied on September 3, 2026. On September 24, 2026, we filed our answer to the complaint and affirmative defenses. Trial in this matter is scheduled to begin July 31, 2028. We will continue to vigorously defend against these claims.</w:t>
      </w:r>
    </w:p>
    <w:p>
      <w:pPr>
        <w:spacing w:after="0" w:line="68"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Shareholders’ Equity</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July 2024, our board of directors authorized the Repurchase Program, to repurchase ordinary shares having an aggregate purchase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 million, exclusive of any brokerage commissions. The Repurchase Program, which has no expiration date, allows us to repurchase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by any methods and/or structures permitted by applicable law. The timing and amount of repurchases will depend on a variety of factors,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price of our ordinary shares, alternative investment opportunities, restrictions under the Amended Credit Agreement and the indenture for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Notes, corporate and regulatory requirements and market conditions. The Repurchase Program may be modified, suspended or discontinued at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without our prior notice. During the three and nine months ended September 30, 2026, we spent a total of $225.0 million to repurchase 0.9 million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under the Repurchase Program at a purchase price, including commissions, of $249.29 per share. The repurchases during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2026, were effected in privately negotiated transactions with or through one of the initial purchasers of the 2032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concurrently with the pricing of the offering of the 2032 Notes. During the three months ended September 30, 2025, no shares were repurchased.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nine months ended September 30, 2025, we spent a total of $125.0 million to repurchase 1.1 million of our ordinary shares under the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at a purchase price, including commissions, of $109.52 per share. As of September 30, 2026, we had fully utilized the amount authorized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under the Repurchase Program.</w:t>
      </w:r>
    </w:p>
    <w:p>
      <w:pPr>
        <w:spacing w:after="0" w:line="99"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In October 2026, our board of directors approved a new share repurchase program with no expiration date pursuant to which we may repurchase our ordinary shares for up to an aggregate purchase price of $500.0 million, exclusive of any brokerage commissions. The timing and amount of repurchases under the program will depend on a variety of factors, including the amount and timing of corporate development transactions, repayment of debt, restrictions under our credit agreement, corporate and regulatory requirements, market conditions and the price of our ordinary shares.</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21"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accumulated other comprehensive loss was $646.6 million and $568.6 million, respectively, and primarily related to cumulative foreign currency translation adjustments.</w:t>
      </w:r>
    </w:p>
    <w:p>
      <w:pPr>
        <w:spacing w:after="0" w:line="54"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other comprehensive income (loss) primarily reflected the negative impact of foreign currency translation adjustments, primarily due to the weakening of sterling against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(Loss) per Ordinary Share</w:t>
      </w:r>
    </w:p>
    <w:p>
      <w:pPr>
        <w:spacing w:after="0" w:line="121"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and diluted net income (loss) per ordinary share were computed as follows (in millions, except per share amounts):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440" w:type="dxa"/>
            <w:vAlign w:val="bottom"/>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(483.4)</w:t>
            </w:r>
          </w:p>
        </w:tc>
        <w:tc>
          <w:tcPr>
            <w:tcW w:w="100" w:type="dxa"/>
            <w:vAlign w:val="bottom"/>
          </w:tcPr>
          <w:p>
            <w:pPr>
              <w:spacing w:after="0"/>
              <w:rPr>
                <w:sz w:val="19"/>
                <w:szCs w:val="19"/>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Weighted-average ordinary shares used in per share calculations -</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 of employee equity incentive and purchase plans</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the 2030 Notes and the 2026 Notes</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5200" w:type="dxa"/>
            <w:vAlign w:val="bottom"/>
          </w:tcPr>
          <w:p>
            <w:pPr>
              <w:ind w:left="40"/>
              <w:spacing w:after="0" w:line="156" w:lineRule="exact"/>
              <w:rPr>
                <w:sz w:val="20"/>
                <w:szCs w:val="20"/>
                <w:color w:val="auto"/>
              </w:rPr>
            </w:pPr>
            <w:r>
              <w:rPr>
                <w:rFonts w:ascii="Times New Roman" w:cs="Times New Roman" w:eastAsia="Times New Roman" w:hAnsi="Times New Roman"/>
                <w:sz w:val="18"/>
                <w:szCs w:val="18"/>
                <w:color w:val="auto"/>
              </w:rPr>
              <w:t>Weighted-average ordinary shares used in per share calculations -</w:t>
            </w:r>
          </w:p>
        </w:tc>
        <w:tc>
          <w:tcPr>
            <w:tcW w:w="8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16"/>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ordinary share:</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880" w:type="dxa"/>
            <w:vAlign w:val="bottom"/>
            <w:tcBorders>
              <w:bottom w:val="single" w:sz="8" w:color="auto"/>
            </w:tcBorders>
            <w:shd w:val="clear" w:color="auto" w:fill="CCEEFF"/>
          </w:tcPr>
          <w:p>
            <w:pPr>
              <w:jc w:val="right"/>
              <w:ind w:right="677"/>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695"/>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880" w:type="dxa"/>
            <w:vAlign w:val="bottom"/>
            <w:tcBorders>
              <w:bottom w:val="single" w:sz="8" w:color="auto"/>
            </w:tcBorders>
          </w:tcPr>
          <w:p>
            <w:pPr>
              <w:jc w:val="right"/>
              <w:ind w:right="677"/>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695"/>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120" w:firstLine="445"/>
        <w:spacing w:after="0" w:line="312" w:lineRule="auto"/>
        <w:rPr>
          <w:sz w:val="20"/>
          <w:szCs w:val="20"/>
          <w:color w:val="auto"/>
        </w:rPr>
      </w:pPr>
      <w:r>
        <w:rPr>
          <w:rFonts w:ascii="Times New Roman" w:cs="Times New Roman" w:eastAsia="Times New Roman" w:hAnsi="Times New Roman"/>
          <w:sz w:val="17"/>
          <w:szCs w:val="17"/>
          <w:color w:val="auto"/>
        </w:rPr>
        <w:t>Potentially dilutive ordinary shares from our employee equity incentive and purchase plans are determined by applying the treasury stock method to the assumed vesting of outstanding RSUs and PRSUs, the assumed exercise of share options and the assumed issuance of ordinary shares under our ESPP.</w:t>
      </w:r>
    </w:p>
    <w:p>
      <w:pPr>
        <w:spacing w:after="0" w:line="32"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On June 15, 2026, the maturity date of the 2026 Notes, we repaid $1.0 billion aggregate principal amount in cash and issued 1,890,193 ordinary shares representing the conversion premium. For the period the 2026 Notes were outstanding, the dilutive effect of the 2026 Notes was included in the calculation of diluted net income per share for the nine months ended September 30, 2026, when the average market price of our ordinary shares in that period exceeded the conversion price, of approximately $155.81 per ordinary share. The average market price of our ordinary shares for the three and nine months ended September 30, 2025, did not exceed the conversion price of the 2026 Notes.</w:t>
      </w:r>
    </w:p>
    <w:p>
      <w:pPr>
        <w:spacing w:after="0" w:line="75"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For the 2030 Notes and the 2032 Notes, we are required to settle the principal amount in cash and have the option to settle the conversion feature for the amount above the conversion price, or the conversion spread, in cash, ordinary shares or a combination of cash and ordinary shares. The conversion spread will have a dilutive impact on diluted net income per ordinary share when the average market price of our ordinary shares for a given period exceeds the conversion price, of approximately $153.05 per ordinary share, of the 2030 Notes and of approximately $355.24 per ordinary share, of the 2032 Notes. The average market price of our ordinary shares for the three and nine months ended September 30, 2025 did not exceed the conversion price of the 2030 Notes. The average market price of our ordinary shares, for the period the 2032 Notes were outstanding, did not exceed the conversion price of the 2032 Notes.</w:t>
      </w:r>
    </w:p>
    <w:p>
      <w:pPr>
        <w:spacing w:after="0" w:line="8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weighted-average ordinary shares that were excluded from the calculation of diluted net income (loss) per ordinary share for the periods presented because including them would have an anti-dilutive effect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520" w:type="dxa"/>
            <w:vAlign w:val="bottom"/>
            <w:gridSpan w:val="4"/>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6"/>
        </w:trPr>
        <w:tc>
          <w:tcPr>
            <w:tcW w:w="52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22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22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equity incentive and purchase plans</w:t>
            </w:r>
          </w:p>
        </w:tc>
        <w:tc>
          <w:tcPr>
            <w:tcW w:w="9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0" w:type="dxa"/>
            <w:vAlign w:val="bottom"/>
            <w:gridSpan w:val="3"/>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Xywav</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Xyrem</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2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Sleep</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1,299.8</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Epidiolex/Epidyolex</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772.0</w:t>
            </w:r>
          </w:p>
        </w:tc>
      </w:tr>
      <w:tr>
        <w:trPr>
          <w:trHeight w:val="22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Epilepsy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Zepzelca</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Rylaze/Enrylaze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Defitelio/defibrotide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Modeyso</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Vyxeos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Ziihera</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Oncology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w:t>
            </w: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3,377.9</w:t>
            </w: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High-sodium oxybate AG royalty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royalty and contract revenues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90"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Sativex net product sales for the three and nine months ended September 30, 2025.</w:t>
      </w:r>
    </w:p>
    <w:p>
      <w:pPr>
        <w:spacing w:after="0" w:line="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attributed to geographic sources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2,755.3</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3,520.2</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3,069.6</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the percentage of total revenues from customers that represented more than 10% of our total revenues: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3"/>
                <w:szCs w:val="13"/>
                <w:color w:val="auto"/>
              </w:rPr>
            </w:pPr>
          </w:p>
        </w:tc>
      </w:tr>
      <w:tr>
        <w:trPr>
          <w:trHeight w:val="195"/>
        </w:trPr>
        <w:tc>
          <w:tcPr>
            <w:tcW w:w="49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5"/>
        </w:trPr>
        <w:tc>
          <w:tcPr>
            <w:tcW w:w="49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ESSDS</w:t>
            </w:r>
          </w:p>
        </w:tc>
        <w:tc>
          <w:tcPr>
            <w:tcW w:w="9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McKesson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percentage of trade receivables by customers who individually accounted for 10% or more of our trade receivables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3160" w:type="dxa"/>
            <w:vAlign w:val="bottom"/>
          </w:tcPr>
          <w:p>
            <w:pPr>
              <w:spacing w:after="0"/>
              <w:rPr>
                <w:sz w:val="17"/>
                <w:szCs w:val="17"/>
                <w:color w:val="auto"/>
              </w:rPr>
            </w:pPr>
          </w:p>
        </w:tc>
        <w:tc>
          <w:tcPr>
            <w:tcW w:w="640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5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ESSDS</w:t>
            </w:r>
          </w:p>
        </w:tc>
        <w:tc>
          <w:tcPr>
            <w:tcW w:w="48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McKesson</w:t>
            </w:r>
          </w:p>
        </w:tc>
        <w:tc>
          <w:tcPr>
            <w:tcW w:w="6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ASD</w:t>
            </w:r>
          </w:p>
        </w:tc>
        <w:tc>
          <w:tcPr>
            <w:tcW w:w="6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850"/>
        </w:trPr>
        <w:tc>
          <w:tcPr>
            <w:tcW w:w="3160" w:type="dxa"/>
            <w:vAlign w:val="bottom"/>
          </w:tcPr>
          <w:p>
            <w:pPr>
              <w:spacing w:after="0"/>
              <w:rPr>
                <w:sz w:val="24"/>
                <w:szCs w:val="24"/>
                <w:color w:val="auto"/>
              </w:rPr>
            </w:pPr>
          </w:p>
        </w:tc>
        <w:tc>
          <w:tcPr>
            <w:tcW w:w="4840" w:type="dxa"/>
            <w:vAlign w:val="bottom"/>
          </w:tcPr>
          <w:p>
            <w:pPr>
              <w:jc w:val="right"/>
              <w:ind w:right="2195"/>
              <w:spacing w:after="0"/>
              <w:rPr>
                <w:sz w:val="20"/>
                <w:szCs w:val="20"/>
                <w:color w:val="auto"/>
              </w:rPr>
            </w:pPr>
            <w:r>
              <w:rPr>
                <w:rFonts w:ascii="Times New Roman" w:cs="Times New Roman" w:eastAsia="Times New Roman" w:hAnsi="Times New Roman"/>
                <w:sz w:val="18"/>
                <w:szCs w:val="18"/>
                <w:color w:val="auto"/>
              </w:rPr>
              <w:t>28</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Financing and payment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payment terms vary by the type and location of our customer but payment is generally required in a term ranging from 30 to 65 days.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Share-Based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Share-based compensation expense was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2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6"/>
        </w:trPr>
        <w:tc>
          <w:tcPr>
            <w:tcW w:w="5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2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share-based compensation expense, pre-tax</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from share-based compensation expense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 net of tax</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1"/>
        </w:trPr>
        <w:tc>
          <w:tcPr>
            <w:tcW w:w="5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2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Our income tax expense was $24.5 million and $48.7 million for the three and nine months ended September 30, 2026, compared to an income tax benefit of $242.4 million and $277.4 million for the three and nine months ended September 30, 2025, relating to tax arising on income or losses in Ireland, the U.K., the U.S. and certain other foreign jurisdictions and Pillar Two top-up taxes, offset by deductions on subsidiary equity, patent box and foreign-derived deduction eligible income benefits and tax credits. The income tax benefit for the three and nine months ended September 30, 2025, was primarily due to the reversal of a valuation allowance against certain U.S. federal and state deferred tax assets acquired through the Chimerix Acquisition and the income tax benefit for the nine months ended September 30, 2025 also included the tax impact of certain Xyrem antitrust litigation settlements. The income tax expense for the nine months ended September 30, 2026 included tax arising on the gain on sale of the PRV.</w:t>
      </w:r>
    </w:p>
    <w:p>
      <w:pPr>
        <w:spacing w:after="0" w:line="81"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Our net deferred tax asset comprises U.S. federal and state and foreign net operating loss carryforwards and other temporary differences and is net of deferred tax liabilities primarily related to acquired intangible assets. We maintain a valuation allowance against certain deferred tax assets. Each reporting period, we evaluate the need for a valuation allowance on our deferred tax assets by jurisdiction and adjust our estimates as more information becomes available.</w:t>
      </w:r>
    </w:p>
    <w:p>
      <w:pPr>
        <w:spacing w:after="0" w:line="72"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We file income tax returns in multiple tax jurisdictions, the most significant of which are Ireland, the U.K. and the U.S. (both at the federal level and in various state jurisdictions). For Ireland, we are no longer subject to income tax examinations by taxing authorities for the years prior to 2021. For the U.K., we are no longer subject to income tax examinations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2021 and earlier may still be adjusted upon examination by the taxing authorities. Certain of our subsidiaries are under examination by the Italian tax authorities for the years ended December 31, 2019 to 2025. Certain of our subsidiaries are under examination by the U.K. tax authorities for the year ended December 31, 2023. Certain of our subsidiaries are under examination by the U.S. tax authorities for the year ended December 31, 2023.</w:t>
      </w:r>
    </w:p>
    <w:p>
      <w:pPr>
        <w:spacing w:after="0" w:line="86"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Government of Ireland, the jurisdiction in which Jazz Pharmaceuticals plc is incorporated, transposed the Global Minimum Tax Pillar Two rules into domestic legislation as part of the Finance Act. The Finance Act closely follows the EU Minimum Tax Directive and certain OECD Guidance released to date. The Company is within the scope of these rules, which took effect from January 1, 2024. Under the legislation, we are liable to pay top-up taxes for the difference between the Pillar Two effective tax rate per jurisdiction and the 15% minimum rate. The rules on how to calculate the Pillar Two effective tax rate are detailed and highly complex and specific adjustments envisaged in the Pillar Two legislation can give rise to different effective tax rates compared to those calculated for accounting purposes. We account for Pillar Two top-up taxes as a current tax when they are incurred. The income tax expense for the nine months ended September 30, 2026, included an amount for forecasted Pillar Two top-up taxes, as required under the applicable rules. The proportion of our profit before tax which is subject to the top-up tax and our exposure to Pillar Two top-up taxes in future years will depend on factors such as future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revenues, costs and foreign currency exchange rates. We will continue to monitor changes in law and guidance in relation to Pillar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60" w:firstLine="648"/>
        <w:spacing w:after="0" w:line="218" w:lineRule="exact"/>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the condensed consolidated financial statements and the notes to the condensed consolidated financial statements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This discussion contains forward-looking statements that involve risks and uncertainties. You should review the risks and uncertainties described in “Risk Factors” in Part I, Item 1A of our Annual Report on Form 10-K for the year ended December 31, 2025, as supplemented by the risks and uncertainties described in “Risk Factors” in Part II, Item 1A of this Quarterly Report on Form 10-Q for a discussion of important factors that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(unless another date is indicated), and we undertake no obligation to update or revise these statements in light of future developments.</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Jazz Pharmaceuticals plc is a global biopharmaceutical company whose purpose is to innovate to transform the lives of patients and their families. We are dedicated to developing life-changing medicines for people with rare disease – often with limited or no therapeutic options. We have a diverse portfolio of medicines, including leading therapies addressing epilepsies, cancers and sleep disorders. Our patient-focused and science-driven approach powers pioneering R&amp;D advancements across our robust pipeline of innovative therapeutics.</w:t>
      </w:r>
    </w:p>
    <w:p>
      <w:pPr>
        <w:spacing w:after="0" w:line="72"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Our strategy for growth is rooted in executing commercial launches and ongoing commercialization initiatives, advancing robust R&amp;D programs and delivering impactful clinical results, effectively deploying capital to strengthen the prospects of achieving our short- and long-term goals through strategic corporate development, and delivering strong financial performance. We focus on rare diseases, which often have high unmet needs and small patient populations, resulting in efficient, concentrated call points. We seek to identify and develop highly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continue to invest in pipeline programs that further our rare disease strategy.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lead marketed products, listed below, are approved in countries around the world to improve patient care.</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Initial Approval Date</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0" w:type="dxa"/>
            <w:vAlign w:val="bottom"/>
          </w:tcPr>
          <w:p>
            <w:pPr>
              <w:spacing w:after="0"/>
              <w:rPr>
                <w:sz w:val="1"/>
                <w:szCs w:val="1"/>
                <w:color w:val="auto"/>
              </w:rPr>
            </w:pPr>
          </w:p>
        </w:tc>
      </w:tr>
      <w:tr>
        <w:trPr>
          <w:trHeight w:val="20"/>
        </w:trPr>
        <w:tc>
          <w:tcPr>
            <w:tcW w:w="640" w:type="dxa"/>
            <w:vAlign w:val="bottom"/>
            <w:tcBorders>
              <w:top w:val="single" w:sz="8" w:color="auto"/>
              <w:bottom w:val="single" w:sz="8" w:color="B6B6B6"/>
            </w:tcBorders>
          </w:tcPr>
          <w:p>
            <w:pPr>
              <w:spacing w:after="0" w:line="20" w:lineRule="exact"/>
              <w:rPr>
                <w:sz w:val="1"/>
                <w:szCs w:val="1"/>
                <w:color w:val="auto"/>
              </w:rPr>
            </w:pPr>
          </w:p>
        </w:tc>
        <w:tc>
          <w:tcPr>
            <w:tcW w:w="2000" w:type="dxa"/>
            <w:vAlign w:val="bottom"/>
            <w:tcBorders>
              <w:bottom w:val="single" w:sz="8" w:color="B6B6B6"/>
            </w:tcBorders>
          </w:tcPr>
          <w:p>
            <w:pPr>
              <w:spacing w:after="0" w:line="20" w:lineRule="exact"/>
              <w:rPr>
                <w:sz w:val="1"/>
                <w:szCs w:val="1"/>
                <w:color w:val="auto"/>
              </w:rPr>
            </w:pPr>
          </w:p>
        </w:tc>
        <w:tc>
          <w:tcPr>
            <w:tcW w:w="860" w:type="dxa"/>
            <w:vAlign w:val="bottom"/>
            <w:tcBorders>
              <w:top w:val="single" w:sz="8" w:color="auto"/>
              <w:bottom w:val="single" w:sz="8" w:color="B6B6B6"/>
            </w:tcBorders>
          </w:tcPr>
          <w:p>
            <w:pPr>
              <w:spacing w:after="0" w:line="20" w:lineRule="exact"/>
              <w:rPr>
                <w:sz w:val="1"/>
                <w:szCs w:val="1"/>
                <w:color w:val="auto"/>
              </w:rPr>
            </w:pPr>
          </w:p>
        </w:tc>
        <w:tc>
          <w:tcPr>
            <w:tcW w:w="2820" w:type="dxa"/>
            <w:vAlign w:val="bottom"/>
            <w:tcBorders>
              <w:bottom w:val="single" w:sz="8" w:color="B6B6B6"/>
            </w:tcBorders>
          </w:tcPr>
          <w:p>
            <w:pPr>
              <w:spacing w:after="0" w:line="20" w:lineRule="exact"/>
              <w:rPr>
                <w:sz w:val="1"/>
                <w:szCs w:val="1"/>
                <w:color w:val="auto"/>
              </w:rPr>
            </w:pPr>
          </w:p>
        </w:tc>
        <w:tc>
          <w:tcPr>
            <w:tcW w:w="1640" w:type="dxa"/>
            <w:vAlign w:val="bottom"/>
            <w:tcBorders>
              <w:top w:val="single" w:sz="8" w:color="auto"/>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640" w:type="dxa"/>
            <w:vAlign w:val="bottom"/>
            <w:tcBorders>
              <w:top w:val="single" w:sz="8" w:color="auto"/>
              <w:bottom w:val="single" w:sz="8" w:color="B6B6B6"/>
            </w:tcBorders>
          </w:tcPr>
          <w:p>
            <w:pPr>
              <w:spacing w:after="0" w:line="20" w:lineRule="exact"/>
              <w:rPr>
                <w:sz w:val="1"/>
                <w:szCs w:val="1"/>
                <w:color w:val="auto"/>
              </w:rPr>
            </w:pPr>
          </w:p>
        </w:tc>
        <w:tc>
          <w:tcPr>
            <w:tcW w:w="21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shd w:val="clear" w:color="auto" w:fill="CCEEFF"/>
          </w:tcPr>
          <w:p>
            <w:pPr>
              <w:spacing w:after="0"/>
              <w:rPr>
                <w:sz w:val="14"/>
                <w:szCs w:val="14"/>
                <w:color w:val="auto"/>
              </w:rPr>
            </w:pPr>
          </w:p>
        </w:tc>
        <w:tc>
          <w:tcPr>
            <w:tcW w:w="2000" w:type="dxa"/>
            <w:vAlign w:val="bottom"/>
            <w:tcBorders>
              <w:right w:val="single" w:sz="8" w:color="B6B6B6"/>
            </w:tcBorders>
            <w:shd w:val="clear" w:color="auto" w:fill="CCEEFF"/>
          </w:tcPr>
          <w:p>
            <w:pPr>
              <w:spacing w:after="0"/>
              <w:rPr>
                <w:sz w:val="14"/>
                <w:szCs w:val="14"/>
                <w:color w:val="auto"/>
              </w:rPr>
            </w:pPr>
          </w:p>
        </w:tc>
        <w:tc>
          <w:tcPr>
            <w:tcW w:w="368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cataplexy or EDS in patients seven</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July 2020</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tcBorders>
            <w:shd w:val="clear" w:color="auto" w:fill="CCEEFF"/>
          </w:tcPr>
          <w:p>
            <w:pPr>
              <w:spacing w:after="0"/>
              <w:rPr>
                <w:sz w:val="20"/>
                <w:szCs w:val="20"/>
                <w:color w:val="auto"/>
              </w:rPr>
            </w:pPr>
          </w:p>
        </w:tc>
        <w:tc>
          <w:tcPr>
            <w:tcW w:w="2000" w:type="dxa"/>
            <w:vAlign w:val="bottom"/>
            <w:tcBorders>
              <w:right w:val="single" w:sz="8" w:color="B6B6B6"/>
            </w:tcBorders>
            <w:shd w:val="clear" w:color="auto" w:fill="CCEEFF"/>
          </w:tcPr>
          <w:p>
            <w:pPr>
              <w:spacing w:after="0"/>
              <w:rPr>
                <w:sz w:val="20"/>
                <w:szCs w:val="20"/>
                <w:color w:val="auto"/>
              </w:rPr>
            </w:pPr>
          </w:p>
        </w:tc>
        <w:tc>
          <w:tcPr>
            <w:tcW w:w="368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 of age and older with narcolepsy.</w:t>
            </w:r>
          </w:p>
        </w:tc>
        <w:tc>
          <w:tcPr>
            <w:tcW w:w="1640" w:type="dxa"/>
            <w:vAlign w:val="bottom"/>
            <w:shd w:val="clear" w:color="auto" w:fill="CCEEFF"/>
          </w:tcPr>
          <w:p>
            <w:pPr>
              <w:spacing w:after="0"/>
              <w:rPr>
                <w:sz w:val="20"/>
                <w:szCs w:val="20"/>
                <w:color w:val="auto"/>
              </w:rPr>
            </w:pPr>
          </w:p>
        </w:tc>
        <w:tc>
          <w:tcPr>
            <w:tcW w:w="500" w:type="dxa"/>
            <w:vAlign w:val="bottom"/>
            <w:tcBorders>
              <w:right w:val="single" w:sz="8" w:color="B6B6B6"/>
            </w:tcBorders>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160" w:type="dxa"/>
            <w:vAlign w:val="bottom"/>
            <w:tcBorders>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640" w:type="dxa"/>
            <w:vAlign w:val="bottom"/>
            <w:tcBorders>
              <w:left w:val="single" w:sz="8" w:color="B6B6B6"/>
              <w:bottom w:val="single" w:sz="8" w:color="CCEEFF"/>
              <w:right w:val="single" w:sz="8" w:color="B6B6B6"/>
            </w:tcBorders>
            <w:gridSpan w:val="2"/>
            <w:shd w:val="clear" w:color="auto" w:fill="CCEEFF"/>
          </w:tcPr>
          <w:p>
            <w:pPr>
              <w:ind w:left="40"/>
              <w:spacing w:after="0" w:line="164" w:lineRule="exact"/>
              <w:rPr>
                <w:sz w:val="20"/>
                <w:szCs w:val="20"/>
                <w:color w:val="auto"/>
              </w:rPr>
            </w:pPr>
            <w:r>
              <w:rPr>
                <w:rFonts w:ascii="Times New Roman" w:cs="Times New Roman" w:eastAsia="Times New Roman" w:hAnsi="Times New Roman"/>
                <w:sz w:val="18"/>
                <w:szCs w:val="18"/>
                <w:color w:val="auto"/>
              </w:rPr>
              <w:t>Xywav® (calcium, magnesium,</w:t>
            </w:r>
          </w:p>
        </w:tc>
        <w:tc>
          <w:tcPr>
            <w:tcW w:w="860" w:type="dxa"/>
            <w:vAlign w:val="bottom"/>
            <w:tcBorders>
              <w:bottom w:val="single" w:sz="8" w:color="B6B6B6"/>
            </w:tcBorders>
            <w:shd w:val="clear" w:color="auto" w:fill="CCEEFF"/>
          </w:tcPr>
          <w:p>
            <w:pPr>
              <w:spacing w:after="0"/>
              <w:rPr>
                <w:sz w:val="14"/>
                <w:szCs w:val="14"/>
                <w:color w:val="auto"/>
              </w:rPr>
            </w:pPr>
          </w:p>
        </w:tc>
        <w:tc>
          <w:tcPr>
            <w:tcW w:w="2820" w:type="dxa"/>
            <w:vAlign w:val="bottom"/>
            <w:tcBorders>
              <w:bottom w:val="single" w:sz="8" w:color="B6B6B6"/>
              <w:right w:val="single" w:sz="8" w:color="B6B6B6"/>
            </w:tcBorders>
            <w:shd w:val="clear" w:color="auto" w:fill="CCEEFF"/>
          </w:tcPr>
          <w:p>
            <w:pPr>
              <w:spacing w:after="0"/>
              <w:rPr>
                <w:sz w:val="14"/>
                <w:szCs w:val="14"/>
                <w:color w:val="auto"/>
              </w:rPr>
            </w:pPr>
          </w:p>
        </w:tc>
        <w:tc>
          <w:tcPr>
            <w:tcW w:w="1640" w:type="dxa"/>
            <w:vAlign w:val="bottom"/>
            <w:tcBorders>
              <w:bottom w:val="single" w:sz="8" w:color="B6B6B6"/>
            </w:tcBorders>
            <w:shd w:val="clear" w:color="auto" w:fill="CCEEFF"/>
          </w:tcPr>
          <w:p>
            <w:pPr>
              <w:spacing w:after="0"/>
              <w:rPr>
                <w:sz w:val="14"/>
                <w:szCs w:val="14"/>
                <w:color w:val="auto"/>
              </w:rPr>
            </w:pPr>
          </w:p>
        </w:tc>
        <w:tc>
          <w:tcPr>
            <w:tcW w:w="500" w:type="dxa"/>
            <w:vAlign w:val="bottom"/>
            <w:tcBorders>
              <w:bottom w:val="single" w:sz="8" w:color="B6B6B6"/>
              <w:right w:val="single" w:sz="8" w:color="B6B6B6"/>
            </w:tcBorders>
            <w:shd w:val="clear" w:color="auto" w:fill="CCEEFF"/>
          </w:tcPr>
          <w:p>
            <w:pPr>
              <w:spacing w:after="0"/>
              <w:rPr>
                <w:sz w:val="14"/>
                <w:szCs w:val="14"/>
                <w:color w:val="auto"/>
              </w:rPr>
            </w:pPr>
          </w:p>
        </w:tc>
        <w:tc>
          <w:tcPr>
            <w:tcW w:w="640" w:type="dxa"/>
            <w:vAlign w:val="bottom"/>
            <w:tcBorders>
              <w:bottom w:val="single" w:sz="8" w:color="B6B6B6"/>
            </w:tcBorders>
            <w:shd w:val="clear" w:color="auto" w:fill="CCEEFF"/>
          </w:tcPr>
          <w:p>
            <w:pPr>
              <w:spacing w:after="0"/>
              <w:rPr>
                <w:sz w:val="14"/>
                <w:szCs w:val="14"/>
                <w:color w:val="auto"/>
              </w:rPr>
            </w:pPr>
          </w:p>
        </w:tc>
        <w:tc>
          <w:tcPr>
            <w:tcW w:w="2160" w:type="dxa"/>
            <w:vAlign w:val="bottom"/>
            <w:tcBorders>
              <w:bottom w:val="single" w:sz="8" w:color="B6B6B6"/>
              <w:right w:val="single" w:sz="8" w:color="B6B6B6"/>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40" w:type="dxa"/>
            <w:vAlign w:val="bottom"/>
            <w:tcBorders>
              <w:left w:val="single" w:sz="8" w:color="B6B6B6"/>
              <w:bottom w:val="single" w:sz="8" w:color="CCEEFF"/>
              <w:right w:val="single" w:sz="8" w:color="B6B6B6"/>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potassium, and sodium oxybates)</w:t>
            </w:r>
          </w:p>
        </w:tc>
        <w:tc>
          <w:tcPr>
            <w:tcW w:w="368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Treatment of IH in adults.</w:t>
            </w:r>
          </w:p>
        </w:tc>
        <w:tc>
          <w:tcPr>
            <w:tcW w:w="214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2021</w:t>
            </w:r>
          </w:p>
        </w:tc>
        <w:tc>
          <w:tcPr>
            <w:tcW w:w="2800" w:type="dxa"/>
            <w:vAlign w:val="bottom"/>
            <w:tcBorders>
              <w:bottom w:val="single" w:sz="8" w:color="B6B6B6"/>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368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Treatment of cataplexy in patients with</w:t>
            </w:r>
          </w:p>
        </w:tc>
        <w:tc>
          <w:tcPr>
            <w:tcW w:w="214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May 2023</w:t>
            </w:r>
          </w:p>
        </w:tc>
        <w:tc>
          <w:tcPr>
            <w:tcW w:w="2800" w:type="dxa"/>
            <w:vAlign w:val="bottom"/>
            <w:tcBorders>
              <w:right w:val="single" w:sz="8" w:color="B6B6B6"/>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39"/>
        </w:trPr>
        <w:tc>
          <w:tcPr>
            <w:tcW w:w="640" w:type="dxa"/>
            <w:vAlign w:val="bottom"/>
            <w:tcBorders>
              <w:left w:val="single" w:sz="8" w:color="B6B6B6"/>
              <w:bottom w:val="single" w:sz="8" w:color="B6B6B6"/>
            </w:tcBorders>
            <w:shd w:val="clear" w:color="auto" w:fill="CCEEFF"/>
          </w:tcPr>
          <w:p>
            <w:pPr>
              <w:spacing w:after="0"/>
              <w:rPr>
                <w:sz w:val="20"/>
                <w:szCs w:val="20"/>
                <w:color w:val="auto"/>
              </w:rPr>
            </w:pPr>
          </w:p>
        </w:tc>
        <w:tc>
          <w:tcPr>
            <w:tcW w:w="2000" w:type="dxa"/>
            <w:vAlign w:val="bottom"/>
            <w:tcBorders>
              <w:bottom w:val="single" w:sz="8" w:color="B6B6B6"/>
              <w:right w:val="single" w:sz="8" w:color="B6B6B6"/>
            </w:tcBorders>
            <w:shd w:val="clear" w:color="auto" w:fill="CCEEFF"/>
          </w:tcPr>
          <w:p>
            <w:pPr>
              <w:spacing w:after="0"/>
              <w:rPr>
                <w:sz w:val="20"/>
                <w:szCs w:val="20"/>
                <w:color w:val="auto"/>
              </w:rPr>
            </w:pPr>
          </w:p>
        </w:tc>
        <w:tc>
          <w:tcPr>
            <w:tcW w:w="368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narcolepsy.</w:t>
            </w:r>
          </w:p>
        </w:tc>
        <w:tc>
          <w:tcPr>
            <w:tcW w:w="1640" w:type="dxa"/>
            <w:vAlign w:val="bottom"/>
            <w:tcBorders>
              <w:bottom w:val="single" w:sz="8" w:color="B6B6B6"/>
            </w:tcBorders>
            <w:shd w:val="clear" w:color="auto" w:fill="CCEEFF"/>
          </w:tcPr>
          <w:p>
            <w:pPr>
              <w:spacing w:after="0"/>
              <w:rPr>
                <w:sz w:val="20"/>
                <w:szCs w:val="20"/>
                <w:color w:val="auto"/>
              </w:rPr>
            </w:pPr>
          </w:p>
        </w:tc>
        <w:tc>
          <w:tcPr>
            <w:tcW w:w="50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216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368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Treatment of seizures associated with LGS, DS,</w:t>
            </w:r>
          </w:p>
        </w:tc>
        <w:tc>
          <w:tcPr>
            <w:tcW w:w="214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June 2018 and July 2020</w:t>
            </w:r>
          </w:p>
        </w:tc>
        <w:tc>
          <w:tcPr>
            <w:tcW w:w="2800" w:type="dxa"/>
            <w:vAlign w:val="bottom"/>
            <w:tcBorders>
              <w:right w:val="single" w:sz="8" w:color="B6B6B6"/>
            </w:tcBorders>
            <w:gridSpan w:val="2"/>
          </w:tcPr>
          <w:p>
            <w:pPr>
              <w:spacing w:after="0" w:line="173"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tcBorders>
          </w:tcPr>
          <w:p>
            <w:pPr>
              <w:spacing w:after="0"/>
              <w:rPr>
                <w:sz w:val="20"/>
                <w:szCs w:val="20"/>
                <w:color w:val="auto"/>
              </w:rPr>
            </w:pPr>
          </w:p>
        </w:tc>
        <w:tc>
          <w:tcPr>
            <w:tcW w:w="2000" w:type="dxa"/>
            <w:vAlign w:val="bottom"/>
            <w:tcBorders>
              <w:right w:val="single" w:sz="8" w:color="B6B6B6"/>
            </w:tcBorders>
          </w:tcPr>
          <w:p>
            <w:pPr>
              <w:spacing w:after="0"/>
              <w:rPr>
                <w:sz w:val="20"/>
                <w:szCs w:val="20"/>
                <w:color w:val="auto"/>
              </w:rPr>
            </w:pPr>
          </w:p>
        </w:tc>
        <w:tc>
          <w:tcPr>
            <w:tcW w:w="368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or TSC in patients 1 year of age and older.</w:t>
            </w:r>
          </w:p>
        </w:tc>
        <w:tc>
          <w:tcPr>
            <w:tcW w:w="1640" w:type="dxa"/>
            <w:vAlign w:val="bottom"/>
          </w:tcPr>
          <w:p>
            <w:pPr>
              <w:spacing w:after="0"/>
              <w:rPr>
                <w:sz w:val="20"/>
                <w:szCs w:val="20"/>
                <w:color w:val="auto"/>
              </w:rPr>
            </w:pPr>
          </w:p>
        </w:tc>
        <w:tc>
          <w:tcPr>
            <w:tcW w:w="500" w:type="dxa"/>
            <w:vAlign w:val="bottom"/>
            <w:tcBorders>
              <w:right w:val="single" w:sz="8" w:color="B6B6B6"/>
            </w:tcBorders>
          </w:tcPr>
          <w:p>
            <w:pPr>
              <w:spacing w:after="0"/>
              <w:rPr>
                <w:sz w:val="20"/>
                <w:szCs w:val="20"/>
                <w:color w:val="auto"/>
              </w:rPr>
            </w:pPr>
          </w:p>
        </w:tc>
        <w:tc>
          <w:tcPr>
            <w:tcW w:w="640" w:type="dxa"/>
            <w:vAlign w:val="bottom"/>
          </w:tcPr>
          <w:p>
            <w:pPr>
              <w:spacing w:after="0"/>
              <w:rPr>
                <w:sz w:val="20"/>
                <w:szCs w:val="20"/>
                <w:color w:val="auto"/>
              </w:rPr>
            </w:pPr>
          </w:p>
        </w:tc>
        <w:tc>
          <w:tcPr>
            <w:tcW w:w="2160" w:type="dxa"/>
            <w:vAlign w:val="bottom"/>
            <w:tcBorders>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2820" w:type="dxa"/>
            <w:vAlign w:val="bottom"/>
            <w:tcBorders>
              <w:bottom w:val="single" w:sz="8" w:color="B6B6B6"/>
              <w:right w:val="single" w:sz="8" w:color="B6B6B6"/>
            </w:tcBorders>
          </w:tcPr>
          <w:p>
            <w:pPr>
              <w:spacing w:after="0"/>
              <w:rPr>
                <w:sz w:val="14"/>
                <w:szCs w:val="14"/>
                <w:color w:val="auto"/>
              </w:rPr>
            </w:pPr>
          </w:p>
        </w:tc>
        <w:tc>
          <w:tcPr>
            <w:tcW w:w="1640" w:type="dxa"/>
            <w:vAlign w:val="bottom"/>
            <w:tcBorders>
              <w:bottom w:val="single" w:sz="8" w:color="B6B6B6"/>
            </w:tcBorders>
          </w:tcPr>
          <w:p>
            <w:pPr>
              <w:spacing w:after="0"/>
              <w:rPr>
                <w:sz w:val="14"/>
                <w:szCs w:val="14"/>
                <w:color w:val="auto"/>
              </w:rPr>
            </w:pPr>
          </w:p>
        </w:tc>
        <w:tc>
          <w:tcPr>
            <w:tcW w:w="500" w:type="dxa"/>
            <w:vAlign w:val="bottom"/>
            <w:tcBorders>
              <w:bottom w:val="single" w:sz="8" w:color="B6B6B6"/>
              <w:right w:val="single" w:sz="8" w:color="B6B6B6"/>
            </w:tcBorders>
          </w:tcPr>
          <w:p>
            <w:pPr>
              <w:spacing w:after="0"/>
              <w:rPr>
                <w:sz w:val="14"/>
                <w:szCs w:val="14"/>
                <w:color w:val="auto"/>
              </w:rPr>
            </w:pPr>
          </w:p>
        </w:tc>
        <w:tc>
          <w:tcPr>
            <w:tcW w:w="640" w:type="dxa"/>
            <w:vAlign w:val="bottom"/>
            <w:tcBorders>
              <w:bottom w:val="single" w:sz="8" w:color="B6B6B6"/>
            </w:tcBorders>
          </w:tcPr>
          <w:p>
            <w:pPr>
              <w:spacing w:after="0"/>
              <w:rPr>
                <w:sz w:val="14"/>
                <w:szCs w:val="14"/>
                <w:color w:val="auto"/>
              </w:rPr>
            </w:pPr>
          </w:p>
        </w:tc>
        <w:tc>
          <w:tcPr>
            <w:tcW w:w="2160" w:type="dxa"/>
            <w:vAlign w:val="bottom"/>
            <w:tcBorders>
              <w:bottom w:val="single" w:sz="8" w:color="B6B6B6"/>
              <w:right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368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Adjunctive therapy of seizures associated with</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April and October 2021</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Israel</w:t>
            </w:r>
          </w:p>
        </w:tc>
        <w:tc>
          <w:tcPr>
            <w:tcW w:w="0" w:type="dxa"/>
            <w:vAlign w:val="bottom"/>
          </w:tcPr>
          <w:p>
            <w:pPr>
              <w:spacing w:after="0"/>
              <w:rPr>
                <w:sz w:val="1"/>
                <w:szCs w:val="1"/>
                <w:color w:val="auto"/>
              </w:rPr>
            </w:pPr>
          </w:p>
        </w:tc>
      </w:tr>
      <w:tr>
        <w:trPr>
          <w:trHeight w:val="189"/>
        </w:trPr>
        <w:tc>
          <w:tcPr>
            <w:tcW w:w="2640" w:type="dxa"/>
            <w:vAlign w:val="bottom"/>
            <w:tcBorders>
              <w:left w:val="single" w:sz="8" w:color="B6B6B6"/>
              <w:right w:val="single" w:sz="8" w:color="B6B6B6"/>
            </w:tcBorders>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Epidiolex® (cannabidiol)</w:t>
            </w:r>
          </w:p>
        </w:tc>
        <w:tc>
          <w:tcPr>
            <w:tcW w:w="3680" w:type="dxa"/>
            <w:vAlign w:val="bottom"/>
            <w:tcBorders>
              <w:right w:val="single" w:sz="8" w:color="B6B6B6"/>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LGS, DS, or TSC in patients 1 year of age and</w:t>
            </w:r>
          </w:p>
        </w:tc>
        <w:tc>
          <w:tcPr>
            <w:tcW w:w="164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B6B6B6"/>
            </w:tcBorders>
          </w:tcPr>
          <w:p>
            <w:pPr>
              <w:spacing w:after="0"/>
              <w:rPr>
                <w:sz w:val="19"/>
                <w:szCs w:val="19"/>
                <w:color w:val="auto"/>
              </w:rPr>
            </w:pPr>
          </w:p>
        </w:tc>
        <w:tc>
          <w:tcPr>
            <w:tcW w:w="2000" w:type="dxa"/>
            <w:vAlign w:val="bottom"/>
            <w:tcBorders>
              <w:right w:val="single" w:sz="8" w:color="B6B6B6"/>
            </w:tcBorders>
          </w:tcPr>
          <w:p>
            <w:pPr>
              <w:spacing w:after="0"/>
              <w:rPr>
                <w:sz w:val="19"/>
                <w:szCs w:val="19"/>
                <w:color w:val="auto"/>
              </w:rPr>
            </w:pPr>
          </w:p>
        </w:tc>
        <w:tc>
          <w:tcPr>
            <w:tcW w:w="368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older.</w:t>
            </w:r>
          </w:p>
        </w:tc>
        <w:tc>
          <w:tcPr>
            <w:tcW w:w="1640" w:type="dxa"/>
            <w:vAlign w:val="bottom"/>
            <w:tcBorders>
              <w:bottom w:val="single" w:sz="8" w:color="B6B6B6"/>
            </w:tcBorders>
          </w:tcPr>
          <w:p>
            <w:pPr>
              <w:spacing w:after="0"/>
              <w:rPr>
                <w:sz w:val="19"/>
                <w:szCs w:val="19"/>
                <w:color w:val="auto"/>
              </w:rPr>
            </w:pPr>
          </w:p>
        </w:tc>
        <w:tc>
          <w:tcPr>
            <w:tcW w:w="500" w:type="dxa"/>
            <w:vAlign w:val="bottom"/>
            <w:tcBorders>
              <w:bottom w:val="single" w:sz="8" w:color="B6B6B6"/>
              <w:right w:val="single" w:sz="8" w:color="B6B6B6"/>
            </w:tcBorders>
          </w:tcPr>
          <w:p>
            <w:pPr>
              <w:spacing w:after="0"/>
              <w:rPr>
                <w:sz w:val="19"/>
                <w:szCs w:val="19"/>
                <w:color w:val="auto"/>
              </w:rPr>
            </w:pPr>
          </w:p>
        </w:tc>
        <w:tc>
          <w:tcPr>
            <w:tcW w:w="640" w:type="dxa"/>
            <w:vAlign w:val="bottom"/>
            <w:tcBorders>
              <w:bottom w:val="single" w:sz="8" w:color="B6B6B6"/>
            </w:tcBorders>
          </w:tcPr>
          <w:p>
            <w:pPr>
              <w:spacing w:after="0"/>
              <w:rPr>
                <w:sz w:val="19"/>
                <w:szCs w:val="19"/>
                <w:color w:val="auto"/>
              </w:rPr>
            </w:pPr>
          </w:p>
        </w:tc>
        <w:tc>
          <w:tcPr>
            <w:tcW w:w="2160" w:type="dxa"/>
            <w:vAlign w:val="bottom"/>
            <w:tcBorders>
              <w:bottom w:val="single" w:sz="8" w:color="B6B6B6"/>
              <w:right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368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For adjunctive therapy of seizures associated with</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November 2023</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2000" w:type="dxa"/>
            <w:vAlign w:val="bottom"/>
            <w:tcBorders>
              <w:right w:val="single" w:sz="8" w:color="B6B6B6"/>
            </w:tcBorders>
          </w:tcPr>
          <w:p>
            <w:pPr>
              <w:spacing w:after="0"/>
              <w:rPr>
                <w:sz w:val="16"/>
                <w:szCs w:val="16"/>
                <w:color w:val="auto"/>
              </w:rPr>
            </w:pPr>
          </w:p>
        </w:tc>
        <w:tc>
          <w:tcPr>
            <w:tcW w:w="368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LGS, DS or TSC for patients 2 years of age and</w:t>
            </w:r>
          </w:p>
        </w:tc>
        <w:tc>
          <w:tcPr>
            <w:tcW w:w="164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368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older.</w:t>
            </w:r>
          </w:p>
        </w:tc>
        <w:tc>
          <w:tcPr>
            <w:tcW w:w="1640" w:type="dxa"/>
            <w:vAlign w:val="bottom"/>
            <w:tcBorders>
              <w:bottom w:val="single" w:sz="8" w:color="B6B6B6"/>
            </w:tcBorders>
          </w:tcPr>
          <w:p>
            <w:pPr>
              <w:spacing w:after="0"/>
              <w:rPr>
                <w:sz w:val="20"/>
                <w:szCs w:val="20"/>
                <w:color w:val="auto"/>
              </w:rPr>
            </w:pPr>
          </w:p>
        </w:tc>
        <w:tc>
          <w:tcPr>
            <w:tcW w:w="50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shd w:val="clear" w:color="auto" w:fill="CCEEFF"/>
          </w:tcPr>
          <w:p>
            <w:pPr>
              <w:spacing w:after="0"/>
              <w:rPr>
                <w:sz w:val="14"/>
                <w:szCs w:val="14"/>
                <w:color w:val="auto"/>
              </w:rPr>
            </w:pPr>
          </w:p>
        </w:tc>
        <w:tc>
          <w:tcPr>
            <w:tcW w:w="2000" w:type="dxa"/>
            <w:vAlign w:val="bottom"/>
            <w:tcBorders>
              <w:right w:val="single" w:sz="8" w:color="B6B6B6"/>
            </w:tcBorders>
            <w:shd w:val="clear" w:color="auto" w:fill="CCEEFF"/>
          </w:tcPr>
          <w:p>
            <w:pPr>
              <w:spacing w:after="0"/>
              <w:rPr>
                <w:sz w:val="14"/>
                <w:szCs w:val="14"/>
                <w:color w:val="auto"/>
              </w:rPr>
            </w:pPr>
          </w:p>
        </w:tc>
        <w:tc>
          <w:tcPr>
            <w:tcW w:w="368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 adjunctive therapy of seizures associated with</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September 2019</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EU, U.K., Switzerland, Australia, and</w:t>
            </w:r>
          </w:p>
        </w:tc>
        <w:tc>
          <w:tcPr>
            <w:tcW w:w="0" w:type="dxa"/>
            <w:vAlign w:val="bottom"/>
          </w:tcPr>
          <w:p>
            <w:pPr>
              <w:spacing w:after="0"/>
              <w:rPr>
                <w:sz w:val="1"/>
                <w:szCs w:val="1"/>
                <w:color w:val="auto"/>
              </w:rPr>
            </w:pPr>
          </w:p>
        </w:tc>
      </w:tr>
      <w:tr>
        <w:trPr>
          <w:trHeight w:val="181"/>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3680" w:type="dxa"/>
            <w:vAlign w:val="bottom"/>
            <w:tcBorders>
              <w:right w:val="single" w:sz="8" w:color="B6B6B6"/>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LGS or DS, in conjunction with clobazam, for</w:t>
            </w:r>
          </w:p>
        </w:tc>
        <w:tc>
          <w:tcPr>
            <w:tcW w:w="1640" w:type="dxa"/>
            <w:vAlign w:val="bottom"/>
            <w:shd w:val="clear" w:color="auto" w:fill="CCEEFF"/>
          </w:tcPr>
          <w:p>
            <w:pPr>
              <w:spacing w:after="0"/>
              <w:rPr>
                <w:sz w:val="15"/>
                <w:szCs w:val="15"/>
                <w:color w:val="auto"/>
              </w:rPr>
            </w:pPr>
          </w:p>
        </w:tc>
        <w:tc>
          <w:tcPr>
            <w:tcW w:w="500" w:type="dxa"/>
            <w:vAlign w:val="bottom"/>
            <w:tcBorders>
              <w:right w:val="single" w:sz="8" w:color="B6B6B6"/>
            </w:tcBorders>
            <w:shd w:val="clear" w:color="auto" w:fill="CCEEFF"/>
          </w:tcPr>
          <w:p>
            <w:pPr>
              <w:spacing w:after="0"/>
              <w:rPr>
                <w:sz w:val="15"/>
                <w:szCs w:val="15"/>
                <w:color w:val="auto"/>
              </w:rPr>
            </w:pPr>
          </w:p>
        </w:tc>
        <w:tc>
          <w:tcPr>
            <w:tcW w:w="2800" w:type="dxa"/>
            <w:vAlign w:val="bottom"/>
            <w:tcBorders>
              <w:right w:val="single" w:sz="8" w:color="B6B6B6"/>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other markets</w:t>
            </w:r>
          </w:p>
        </w:tc>
        <w:tc>
          <w:tcPr>
            <w:tcW w:w="0" w:type="dxa"/>
            <w:vAlign w:val="bottom"/>
          </w:tcPr>
          <w:p>
            <w:pPr>
              <w:spacing w:after="0"/>
              <w:rPr>
                <w:sz w:val="1"/>
                <w:szCs w:val="1"/>
                <w:color w:val="auto"/>
              </w:rPr>
            </w:pPr>
          </w:p>
        </w:tc>
      </w:tr>
      <w:tr>
        <w:trPr>
          <w:trHeight w:val="306"/>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Epidyolex® (cannabidiol)</w:t>
            </w:r>
          </w:p>
        </w:tc>
        <w:tc>
          <w:tcPr>
            <w:tcW w:w="368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patients 2 years of age and older.</w:t>
            </w:r>
            <w:r>
              <w:rPr>
                <w:rFonts w:ascii="Times New Roman" w:cs="Times New Roman" w:eastAsia="Times New Roman" w:hAnsi="Times New Roman"/>
                <w:sz w:val="23"/>
                <w:szCs w:val="23"/>
                <w:color w:val="auto"/>
                <w:vertAlign w:val="superscript"/>
              </w:rPr>
              <w:t>1</w:t>
            </w:r>
          </w:p>
        </w:tc>
        <w:tc>
          <w:tcPr>
            <w:tcW w:w="1640" w:type="dxa"/>
            <w:vAlign w:val="bottom"/>
            <w:shd w:val="clear" w:color="auto" w:fill="CCEEFF"/>
          </w:tcPr>
          <w:p>
            <w:pPr>
              <w:spacing w:after="0"/>
              <w:rPr>
                <w:sz w:val="24"/>
                <w:szCs w:val="24"/>
                <w:color w:val="auto"/>
              </w:rPr>
            </w:pPr>
          </w:p>
        </w:tc>
        <w:tc>
          <w:tcPr>
            <w:tcW w:w="500" w:type="dxa"/>
            <w:vAlign w:val="bottom"/>
            <w:tcBorders>
              <w:right w:val="single" w:sz="8" w:color="B6B6B6"/>
            </w:tcBorders>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160" w:type="dxa"/>
            <w:vAlign w:val="bottom"/>
            <w:tcBorders>
              <w:right w:val="single" w:sz="8" w:color="B6B6B6"/>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640" w:type="dxa"/>
            <w:vAlign w:val="bottom"/>
            <w:tcBorders>
              <w:left w:val="single" w:sz="8" w:color="B6B6B6"/>
              <w:bottom w:val="single" w:sz="8" w:color="CCEEFF"/>
              <w:right w:val="single" w:sz="8" w:color="B6B6B6"/>
            </w:tcBorders>
            <w:gridSpan w:val="2"/>
            <w:vMerge w:val="continue"/>
            <w:shd w:val="clear" w:color="auto" w:fill="CCEEFF"/>
          </w:tcPr>
          <w:p>
            <w:pPr>
              <w:spacing w:after="0"/>
              <w:rPr>
                <w:sz w:val="10"/>
                <w:szCs w:val="10"/>
                <w:color w:val="auto"/>
              </w:rPr>
            </w:pPr>
          </w:p>
        </w:tc>
        <w:tc>
          <w:tcPr>
            <w:tcW w:w="860" w:type="dxa"/>
            <w:vAlign w:val="bottom"/>
            <w:tcBorders>
              <w:bottom w:val="single" w:sz="8" w:color="B6B6B6"/>
            </w:tcBorders>
            <w:shd w:val="clear" w:color="auto" w:fill="CCEEFF"/>
          </w:tcPr>
          <w:p>
            <w:pPr>
              <w:spacing w:after="0"/>
              <w:rPr>
                <w:sz w:val="10"/>
                <w:szCs w:val="10"/>
                <w:color w:val="auto"/>
              </w:rPr>
            </w:pPr>
          </w:p>
        </w:tc>
        <w:tc>
          <w:tcPr>
            <w:tcW w:w="2820" w:type="dxa"/>
            <w:vAlign w:val="bottom"/>
            <w:tcBorders>
              <w:bottom w:val="single" w:sz="8" w:color="B6B6B6"/>
              <w:right w:val="single" w:sz="8" w:color="B6B6B6"/>
            </w:tcBorders>
            <w:shd w:val="clear" w:color="auto" w:fill="CCEEFF"/>
          </w:tcPr>
          <w:p>
            <w:pPr>
              <w:spacing w:after="0"/>
              <w:rPr>
                <w:sz w:val="10"/>
                <w:szCs w:val="10"/>
                <w:color w:val="auto"/>
              </w:rPr>
            </w:pPr>
          </w:p>
        </w:tc>
        <w:tc>
          <w:tcPr>
            <w:tcW w:w="1640" w:type="dxa"/>
            <w:vAlign w:val="bottom"/>
            <w:tcBorders>
              <w:bottom w:val="single" w:sz="8" w:color="B6B6B6"/>
            </w:tcBorders>
            <w:shd w:val="clear" w:color="auto" w:fill="CCEEFF"/>
          </w:tcPr>
          <w:p>
            <w:pPr>
              <w:spacing w:after="0"/>
              <w:rPr>
                <w:sz w:val="10"/>
                <w:szCs w:val="10"/>
                <w:color w:val="auto"/>
              </w:rPr>
            </w:pPr>
          </w:p>
        </w:tc>
        <w:tc>
          <w:tcPr>
            <w:tcW w:w="500" w:type="dxa"/>
            <w:vAlign w:val="bottom"/>
            <w:tcBorders>
              <w:bottom w:val="single" w:sz="8" w:color="B6B6B6"/>
              <w:right w:val="single" w:sz="8" w:color="B6B6B6"/>
            </w:tcBorders>
            <w:shd w:val="clear" w:color="auto" w:fill="CCEEFF"/>
          </w:tcPr>
          <w:p>
            <w:pPr>
              <w:spacing w:after="0"/>
              <w:rPr>
                <w:sz w:val="10"/>
                <w:szCs w:val="10"/>
                <w:color w:val="auto"/>
              </w:rPr>
            </w:pPr>
          </w:p>
        </w:tc>
        <w:tc>
          <w:tcPr>
            <w:tcW w:w="640" w:type="dxa"/>
            <w:vAlign w:val="bottom"/>
            <w:tcBorders>
              <w:bottom w:val="single" w:sz="8" w:color="B6B6B6"/>
            </w:tcBorders>
            <w:shd w:val="clear" w:color="auto" w:fill="CCEEFF"/>
          </w:tcPr>
          <w:p>
            <w:pPr>
              <w:spacing w:after="0"/>
              <w:rPr>
                <w:sz w:val="10"/>
                <w:szCs w:val="10"/>
                <w:color w:val="auto"/>
              </w:rPr>
            </w:pPr>
          </w:p>
        </w:tc>
        <w:tc>
          <w:tcPr>
            <w:tcW w:w="2160" w:type="dxa"/>
            <w:vAlign w:val="bottom"/>
            <w:tcBorders>
              <w:bottom w:val="single" w:sz="8" w:color="B6B6B6"/>
              <w:right w:val="single" w:sz="8" w:color="B6B6B6"/>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shd w:val="clear" w:color="auto" w:fill="CCEEFF"/>
          </w:tcPr>
          <w:p>
            <w:pPr>
              <w:spacing w:after="0"/>
              <w:rPr>
                <w:sz w:val="14"/>
                <w:szCs w:val="14"/>
                <w:color w:val="auto"/>
              </w:rPr>
            </w:pPr>
          </w:p>
        </w:tc>
        <w:tc>
          <w:tcPr>
            <w:tcW w:w="2000" w:type="dxa"/>
            <w:vAlign w:val="bottom"/>
            <w:tcBorders>
              <w:right w:val="single" w:sz="8" w:color="B6B6B6"/>
            </w:tcBorders>
            <w:shd w:val="clear" w:color="auto" w:fill="CCEEFF"/>
          </w:tcPr>
          <w:p>
            <w:pPr>
              <w:spacing w:after="0"/>
              <w:rPr>
                <w:sz w:val="14"/>
                <w:szCs w:val="14"/>
                <w:color w:val="auto"/>
              </w:rPr>
            </w:pPr>
          </w:p>
        </w:tc>
        <w:tc>
          <w:tcPr>
            <w:tcW w:w="368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 adjunctive therapy of seizures associated with</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April 2021</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EU, U.K., Switzerland, and other</w:t>
            </w: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tcBorders>
            <w:shd w:val="clear" w:color="auto" w:fill="CCEEFF"/>
          </w:tcPr>
          <w:p>
            <w:pPr>
              <w:spacing w:after="0"/>
              <w:rPr>
                <w:sz w:val="20"/>
                <w:szCs w:val="20"/>
                <w:color w:val="auto"/>
              </w:rPr>
            </w:pPr>
          </w:p>
        </w:tc>
        <w:tc>
          <w:tcPr>
            <w:tcW w:w="2000" w:type="dxa"/>
            <w:vAlign w:val="bottom"/>
            <w:tcBorders>
              <w:right w:val="single" w:sz="8" w:color="B6B6B6"/>
            </w:tcBorders>
            <w:shd w:val="clear" w:color="auto" w:fill="CCEEFF"/>
          </w:tcPr>
          <w:p>
            <w:pPr>
              <w:spacing w:after="0"/>
              <w:rPr>
                <w:sz w:val="20"/>
                <w:szCs w:val="20"/>
                <w:color w:val="auto"/>
              </w:rPr>
            </w:pPr>
          </w:p>
        </w:tc>
        <w:tc>
          <w:tcPr>
            <w:tcW w:w="368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TSC for patients 2 years of age and older.</w:t>
            </w:r>
          </w:p>
        </w:tc>
        <w:tc>
          <w:tcPr>
            <w:tcW w:w="1640" w:type="dxa"/>
            <w:vAlign w:val="bottom"/>
            <w:shd w:val="clear" w:color="auto" w:fill="CCEEFF"/>
          </w:tcPr>
          <w:p>
            <w:pPr>
              <w:spacing w:after="0"/>
              <w:rPr>
                <w:sz w:val="20"/>
                <w:szCs w:val="20"/>
                <w:color w:val="auto"/>
              </w:rPr>
            </w:pPr>
          </w:p>
        </w:tc>
        <w:tc>
          <w:tcPr>
            <w:tcW w:w="500" w:type="dxa"/>
            <w:vAlign w:val="bottom"/>
            <w:tcBorders>
              <w:right w:val="single" w:sz="8" w:color="B6B6B6"/>
            </w:tcBorders>
            <w:shd w:val="clear" w:color="auto" w:fill="CCEEFF"/>
          </w:tcPr>
          <w:p>
            <w:pPr>
              <w:spacing w:after="0"/>
              <w:rPr>
                <w:sz w:val="20"/>
                <w:szCs w:val="20"/>
                <w:color w:val="auto"/>
              </w:rPr>
            </w:pPr>
          </w:p>
        </w:tc>
        <w:tc>
          <w:tcPr>
            <w:tcW w:w="2800" w:type="dxa"/>
            <w:vAlign w:val="bottom"/>
            <w:tcBorders>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markets</w:t>
            </w:r>
          </w:p>
        </w:tc>
        <w:tc>
          <w:tcPr>
            <w:tcW w:w="0" w:type="dxa"/>
            <w:vAlign w:val="bottom"/>
          </w:tcPr>
          <w:p>
            <w:pPr>
              <w:spacing w:after="0"/>
              <w:rPr>
                <w:sz w:val="1"/>
                <w:szCs w:val="1"/>
                <w:color w:val="auto"/>
              </w:rPr>
            </w:pPr>
          </w:p>
        </w:tc>
      </w:tr>
      <w:tr>
        <w:trPr>
          <w:trHeight w:val="171"/>
        </w:trPr>
        <w:tc>
          <w:tcPr>
            <w:tcW w:w="640" w:type="dxa"/>
            <w:vAlign w:val="bottom"/>
            <w:tcBorders>
              <w:left w:val="single" w:sz="8" w:color="B6B6B6"/>
              <w:bottom w:val="single" w:sz="8" w:color="B6B6B6"/>
            </w:tcBorders>
            <w:shd w:val="clear" w:color="auto" w:fill="CCEEFF"/>
          </w:tcPr>
          <w:p>
            <w:pPr>
              <w:spacing w:after="0"/>
              <w:rPr>
                <w:sz w:val="14"/>
                <w:szCs w:val="14"/>
                <w:color w:val="auto"/>
              </w:rPr>
            </w:pPr>
          </w:p>
        </w:tc>
        <w:tc>
          <w:tcPr>
            <w:tcW w:w="2000" w:type="dxa"/>
            <w:vAlign w:val="bottom"/>
            <w:tcBorders>
              <w:bottom w:val="single" w:sz="8" w:color="B6B6B6"/>
              <w:right w:val="single" w:sz="8" w:color="B6B6B6"/>
            </w:tcBorders>
            <w:shd w:val="clear" w:color="auto" w:fill="CCEEFF"/>
          </w:tcPr>
          <w:p>
            <w:pPr>
              <w:spacing w:after="0"/>
              <w:rPr>
                <w:sz w:val="14"/>
                <w:szCs w:val="14"/>
                <w:color w:val="auto"/>
              </w:rPr>
            </w:pPr>
          </w:p>
        </w:tc>
        <w:tc>
          <w:tcPr>
            <w:tcW w:w="860" w:type="dxa"/>
            <w:vAlign w:val="bottom"/>
            <w:tcBorders>
              <w:bottom w:val="single" w:sz="8" w:color="B6B6B6"/>
            </w:tcBorders>
            <w:shd w:val="clear" w:color="auto" w:fill="CCEEFF"/>
          </w:tcPr>
          <w:p>
            <w:pPr>
              <w:spacing w:after="0"/>
              <w:rPr>
                <w:sz w:val="14"/>
                <w:szCs w:val="14"/>
                <w:color w:val="auto"/>
              </w:rPr>
            </w:pPr>
          </w:p>
        </w:tc>
        <w:tc>
          <w:tcPr>
            <w:tcW w:w="2820" w:type="dxa"/>
            <w:vAlign w:val="bottom"/>
            <w:tcBorders>
              <w:bottom w:val="single" w:sz="8" w:color="B6B6B6"/>
              <w:right w:val="single" w:sz="8" w:color="B6B6B6"/>
            </w:tcBorders>
            <w:shd w:val="clear" w:color="auto" w:fill="CCEEFF"/>
          </w:tcPr>
          <w:p>
            <w:pPr>
              <w:spacing w:after="0"/>
              <w:rPr>
                <w:sz w:val="14"/>
                <w:szCs w:val="14"/>
                <w:color w:val="auto"/>
              </w:rPr>
            </w:pPr>
          </w:p>
        </w:tc>
        <w:tc>
          <w:tcPr>
            <w:tcW w:w="1640" w:type="dxa"/>
            <w:vAlign w:val="bottom"/>
            <w:tcBorders>
              <w:bottom w:val="single" w:sz="8" w:color="B6B6B6"/>
            </w:tcBorders>
            <w:shd w:val="clear" w:color="auto" w:fill="CCEEFF"/>
          </w:tcPr>
          <w:p>
            <w:pPr>
              <w:spacing w:after="0"/>
              <w:rPr>
                <w:sz w:val="14"/>
                <w:szCs w:val="14"/>
                <w:color w:val="auto"/>
              </w:rPr>
            </w:pPr>
          </w:p>
        </w:tc>
        <w:tc>
          <w:tcPr>
            <w:tcW w:w="500" w:type="dxa"/>
            <w:vAlign w:val="bottom"/>
            <w:tcBorders>
              <w:bottom w:val="single" w:sz="8" w:color="B6B6B6"/>
              <w:right w:val="single" w:sz="8" w:color="B6B6B6"/>
            </w:tcBorders>
            <w:shd w:val="clear" w:color="auto" w:fill="CCEEFF"/>
          </w:tcPr>
          <w:p>
            <w:pPr>
              <w:spacing w:after="0"/>
              <w:rPr>
                <w:sz w:val="14"/>
                <w:szCs w:val="14"/>
                <w:color w:val="auto"/>
              </w:rPr>
            </w:pPr>
          </w:p>
        </w:tc>
        <w:tc>
          <w:tcPr>
            <w:tcW w:w="640" w:type="dxa"/>
            <w:vAlign w:val="bottom"/>
            <w:tcBorders>
              <w:bottom w:val="single" w:sz="8" w:color="B6B6B6"/>
            </w:tcBorders>
            <w:shd w:val="clear" w:color="auto" w:fill="CCEEFF"/>
          </w:tcPr>
          <w:p>
            <w:pPr>
              <w:spacing w:after="0"/>
              <w:rPr>
                <w:sz w:val="14"/>
                <w:szCs w:val="14"/>
                <w:color w:val="auto"/>
              </w:rPr>
            </w:pPr>
          </w:p>
        </w:tc>
        <w:tc>
          <w:tcPr>
            <w:tcW w:w="2160" w:type="dxa"/>
            <w:vAlign w:val="bottom"/>
            <w:tcBorders>
              <w:bottom w:val="single" w:sz="8" w:color="B6B6B6"/>
              <w:right w:val="single" w:sz="8" w:color="B6B6B6"/>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57"/>
        </w:trPr>
        <w:tc>
          <w:tcPr>
            <w:tcW w:w="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8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31</w:t>
            </w: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640" w:type="dxa"/>
            <w:vAlign w:val="bottom"/>
            <w:tcBorders>
              <w:top w:val="single" w:sz="8" w:color="B6B6B6"/>
              <w:left w:val="single" w:sz="8" w:color="B6B6B6"/>
              <w:right w:val="single" w:sz="8" w:color="B6B6B6"/>
            </w:tcBorders>
          </w:tcPr>
          <w:p>
            <w:pPr>
              <w:spacing w:after="0"/>
              <w:rPr>
                <w:sz w:val="16"/>
                <w:szCs w:val="16"/>
                <w:color w:val="auto"/>
              </w:rPr>
            </w:pPr>
          </w:p>
        </w:tc>
        <w:tc>
          <w:tcPr>
            <w:tcW w:w="3680" w:type="dxa"/>
            <w:vAlign w:val="bottom"/>
            <w:tcBorders>
              <w:top w:val="single" w:sz="8" w:color="B6B6B6"/>
              <w:right w:val="single" w:sz="8" w:color="B6B6B6"/>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Treatment of adults with previously treated,</w:t>
            </w:r>
          </w:p>
        </w:tc>
        <w:tc>
          <w:tcPr>
            <w:tcW w:w="2140" w:type="dxa"/>
            <w:vAlign w:val="bottom"/>
            <w:tcBorders>
              <w:top w:val="single" w:sz="8" w:color="B6B6B6"/>
              <w:right w:val="single" w:sz="8" w:color="B6B6B6"/>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November 2024</w:t>
            </w:r>
          </w:p>
        </w:tc>
        <w:tc>
          <w:tcPr>
            <w:tcW w:w="2800" w:type="dxa"/>
            <w:vAlign w:val="bottom"/>
            <w:tcBorders>
              <w:top w:val="single" w:sz="8" w:color="B6B6B6"/>
              <w:right w:val="single" w:sz="8" w:color="B6B6B6"/>
            </w:tcBorders>
          </w:tcPr>
          <w:p>
            <w:pPr>
              <w:spacing w:after="0" w:line="189" w:lineRule="exact"/>
              <w:rPr>
                <w:sz w:val="20"/>
                <w:szCs w:val="20"/>
                <w:color w:val="auto"/>
              </w:rPr>
            </w:pPr>
            <w:r>
              <w:rPr>
                <w:rFonts w:ascii="Times New Roman" w:cs="Times New Roman" w:eastAsia="Times New Roman" w:hAnsi="Times New Roman"/>
                <w:sz w:val="17"/>
                <w:szCs w:val="17"/>
                <w:color w:val="auto"/>
              </w:rPr>
              <w:t>U.S. (licensed from Zymeworks)</w:t>
            </w:r>
            <w:r>
              <w:rPr>
                <w:rFonts w:ascii="Times New Roman" w:cs="Times New Roman" w:eastAsia="Times New Roman" w:hAnsi="Times New Roman"/>
                <w:sz w:val="21"/>
                <w:szCs w:val="21"/>
                <w:color w:val="auto"/>
                <w:vertAlign w:val="superscript"/>
              </w:rPr>
              <w:t>2</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tcPr>
          <w:p>
            <w:pPr>
              <w:spacing w:after="0"/>
              <w:rPr>
                <w:sz w:val="16"/>
                <w:szCs w:val="16"/>
                <w:color w:val="auto"/>
              </w:rPr>
            </w:pPr>
          </w:p>
        </w:tc>
        <w:tc>
          <w:tcPr>
            <w:tcW w:w="3680" w:type="dxa"/>
            <w:vAlign w:val="bottom"/>
            <w:tcBorders>
              <w:right w:val="single" w:sz="8" w:color="B6B6B6"/>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unresectable or metastatic HER2-positive</w:t>
            </w:r>
          </w:p>
        </w:tc>
        <w:tc>
          <w:tcPr>
            <w:tcW w:w="2140" w:type="dxa"/>
            <w:vAlign w:val="bottom"/>
            <w:tcBorders>
              <w:right w:val="single" w:sz="8" w:color="B6B6B6"/>
            </w:tcBorders>
          </w:tcPr>
          <w:p>
            <w:pPr>
              <w:spacing w:after="0"/>
              <w:rPr>
                <w:sz w:val="16"/>
                <w:szCs w:val="16"/>
                <w:color w:val="auto"/>
              </w:rPr>
            </w:pPr>
          </w:p>
        </w:tc>
        <w:tc>
          <w:tcPr>
            <w:tcW w:w="28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40" w:type="dxa"/>
            <w:vAlign w:val="bottom"/>
            <w:tcBorders>
              <w:left w:val="single" w:sz="8" w:color="B6B6B6"/>
              <w:right w:val="single" w:sz="8" w:color="B6B6B6"/>
            </w:tcBorders>
          </w:tcPr>
          <w:p>
            <w:pPr>
              <w:spacing w:after="0"/>
              <w:rPr>
                <w:sz w:val="15"/>
                <w:szCs w:val="15"/>
                <w:color w:val="auto"/>
              </w:rPr>
            </w:pPr>
          </w:p>
        </w:tc>
        <w:tc>
          <w:tcPr>
            <w:tcW w:w="3680" w:type="dxa"/>
            <w:vAlign w:val="bottom"/>
            <w:tcBorders>
              <w:right w:val="single" w:sz="8" w:color="B6B6B6"/>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(IHC3+) BTC, as detected by an FDA-approved</w:t>
            </w:r>
          </w:p>
        </w:tc>
        <w:tc>
          <w:tcPr>
            <w:tcW w:w="2140" w:type="dxa"/>
            <w:vAlign w:val="bottom"/>
            <w:tcBorders>
              <w:right w:val="single" w:sz="8" w:color="B6B6B6"/>
            </w:tcBorders>
          </w:tcPr>
          <w:p>
            <w:pPr>
              <w:spacing w:after="0"/>
              <w:rPr>
                <w:sz w:val="15"/>
                <w:szCs w:val="15"/>
                <w:color w:val="auto"/>
              </w:rPr>
            </w:pPr>
          </w:p>
        </w:tc>
        <w:tc>
          <w:tcPr>
            <w:tcW w:w="280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640" w:type="dxa"/>
            <w:vAlign w:val="bottom"/>
            <w:tcBorders>
              <w:left w:val="single" w:sz="8" w:color="B6B6B6"/>
              <w:right w:val="single" w:sz="8" w:color="B6B6B6"/>
            </w:tcBorders>
          </w:tcPr>
          <w:p>
            <w:pPr>
              <w:spacing w:after="0"/>
              <w:rPr>
                <w:sz w:val="20"/>
                <w:szCs w:val="20"/>
                <w:color w:val="auto"/>
              </w:rPr>
            </w:pPr>
          </w:p>
        </w:tc>
        <w:tc>
          <w:tcPr>
            <w:tcW w:w="3680" w:type="dxa"/>
            <w:vAlign w:val="bottom"/>
            <w:tcBorders>
              <w:bottom w:val="single" w:sz="8" w:color="B6B6B6"/>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test.</w:t>
            </w:r>
          </w:p>
        </w:tc>
        <w:tc>
          <w:tcPr>
            <w:tcW w:w="2140" w:type="dxa"/>
            <w:vAlign w:val="bottom"/>
            <w:tcBorders>
              <w:bottom w:val="single" w:sz="8" w:color="B6B6B6"/>
              <w:right w:val="single" w:sz="8" w:color="B6B6B6"/>
            </w:tcBorders>
          </w:tcPr>
          <w:p>
            <w:pPr>
              <w:spacing w:after="0"/>
              <w:rPr>
                <w:sz w:val="20"/>
                <w:szCs w:val="20"/>
                <w:color w:val="auto"/>
              </w:rPr>
            </w:pPr>
          </w:p>
        </w:tc>
        <w:tc>
          <w:tcPr>
            <w:tcW w:w="2800" w:type="dxa"/>
            <w:vAlign w:val="bottom"/>
            <w:tcBorders>
              <w:bottom w:val="single" w:sz="8" w:color="929292"/>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640" w:type="dxa"/>
            <w:vAlign w:val="bottom"/>
            <w:tcBorders>
              <w:left w:val="single" w:sz="8" w:color="B6B6B6"/>
              <w:right w:val="single" w:sz="8" w:color="B6B6B6"/>
            </w:tcBorders>
          </w:tcPr>
          <w:p>
            <w:pPr>
              <w:spacing w:after="0"/>
              <w:rPr>
                <w:sz w:val="15"/>
                <w:szCs w:val="15"/>
                <w:color w:val="auto"/>
              </w:rPr>
            </w:pPr>
          </w:p>
        </w:tc>
        <w:tc>
          <w:tcPr>
            <w:tcW w:w="3680" w:type="dxa"/>
            <w:vAlign w:val="bottom"/>
            <w:tcBorders>
              <w:right w:val="single" w:sz="8" w:color="B6B6B6"/>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Treatment of adults with unresectable locally</w:t>
            </w:r>
          </w:p>
        </w:tc>
        <w:tc>
          <w:tcPr>
            <w:tcW w:w="2140" w:type="dxa"/>
            <w:vAlign w:val="bottom"/>
            <w:tcBorders>
              <w:right w:val="single" w:sz="8" w:color="B6B6B6"/>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June 2025</w:t>
            </w:r>
          </w:p>
        </w:tc>
        <w:tc>
          <w:tcPr>
            <w:tcW w:w="2800" w:type="dxa"/>
            <w:vAlign w:val="bottom"/>
            <w:tcBorders>
              <w:right w:val="single" w:sz="8" w:color="B6B6B6"/>
            </w:tcBorders>
          </w:tcPr>
          <w:p>
            <w:pPr>
              <w:spacing w:after="0" w:line="173" w:lineRule="exact"/>
              <w:rPr>
                <w:sz w:val="20"/>
                <w:szCs w:val="20"/>
                <w:color w:val="auto"/>
              </w:rPr>
            </w:pPr>
            <w:r>
              <w:rPr>
                <w:rFonts w:ascii="Times New Roman" w:cs="Times New Roman" w:eastAsia="Times New Roman" w:hAnsi="Times New Roman"/>
                <w:sz w:val="16"/>
                <w:szCs w:val="16"/>
                <w:color w:val="auto"/>
              </w:rPr>
              <w:t>EU (licensed from Zymeworks)</w:t>
            </w:r>
            <w:r>
              <w:rPr>
                <w:rFonts w:ascii="Times New Roman" w:cs="Times New Roman" w:eastAsia="Times New Roman" w:hAnsi="Times New Roman"/>
                <w:sz w:val="20"/>
                <w:szCs w:val="20"/>
                <w:color w:val="auto"/>
                <w:vertAlign w:val="superscript"/>
              </w:rPr>
              <w:t>3</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tcPr>
          <w:p>
            <w:pPr>
              <w:spacing w:after="0"/>
              <w:rPr>
                <w:sz w:val="16"/>
                <w:szCs w:val="16"/>
                <w:color w:val="auto"/>
              </w:rPr>
            </w:pPr>
          </w:p>
        </w:tc>
        <w:tc>
          <w:tcPr>
            <w:tcW w:w="3680" w:type="dxa"/>
            <w:vAlign w:val="bottom"/>
            <w:tcBorders>
              <w:right w:val="single" w:sz="8" w:color="B6B6B6"/>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advanced or metastatic HER2-positive (IHC3+)</w:t>
            </w:r>
          </w:p>
        </w:tc>
        <w:tc>
          <w:tcPr>
            <w:tcW w:w="2140" w:type="dxa"/>
            <w:vAlign w:val="bottom"/>
            <w:tcBorders>
              <w:right w:val="single" w:sz="8" w:color="B6B6B6"/>
            </w:tcBorders>
          </w:tcPr>
          <w:p>
            <w:pPr>
              <w:spacing w:after="0"/>
              <w:rPr>
                <w:sz w:val="16"/>
                <w:szCs w:val="16"/>
                <w:color w:val="auto"/>
              </w:rPr>
            </w:pPr>
          </w:p>
        </w:tc>
        <w:tc>
          <w:tcPr>
            <w:tcW w:w="28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40" w:type="dxa"/>
            <w:vAlign w:val="bottom"/>
            <w:tcBorders>
              <w:left w:val="single" w:sz="8" w:color="B6B6B6"/>
              <w:right w:val="single" w:sz="8" w:color="B6B6B6"/>
            </w:tcBorders>
          </w:tcPr>
          <w:p>
            <w:pPr>
              <w:spacing w:after="0"/>
              <w:rPr>
                <w:sz w:val="15"/>
                <w:szCs w:val="15"/>
                <w:color w:val="auto"/>
              </w:rPr>
            </w:pPr>
          </w:p>
        </w:tc>
        <w:tc>
          <w:tcPr>
            <w:tcW w:w="3680" w:type="dxa"/>
            <w:vAlign w:val="bottom"/>
            <w:tcBorders>
              <w:right w:val="single" w:sz="8" w:color="B6B6B6"/>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BTC previously treated with at least one prior line</w:t>
            </w:r>
          </w:p>
        </w:tc>
        <w:tc>
          <w:tcPr>
            <w:tcW w:w="2140" w:type="dxa"/>
            <w:vAlign w:val="bottom"/>
            <w:tcBorders>
              <w:right w:val="single" w:sz="8" w:color="B6B6B6"/>
            </w:tcBorders>
          </w:tcPr>
          <w:p>
            <w:pPr>
              <w:spacing w:after="0"/>
              <w:rPr>
                <w:sz w:val="15"/>
                <w:szCs w:val="15"/>
                <w:color w:val="auto"/>
              </w:rPr>
            </w:pPr>
          </w:p>
        </w:tc>
        <w:tc>
          <w:tcPr>
            <w:tcW w:w="280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640" w:type="dxa"/>
            <w:vAlign w:val="bottom"/>
            <w:tcBorders>
              <w:left w:val="single" w:sz="8" w:color="B6B6B6"/>
              <w:right w:val="single" w:sz="8" w:color="B6B6B6"/>
            </w:tcBorders>
          </w:tcPr>
          <w:p>
            <w:pPr>
              <w:spacing w:after="0"/>
              <w:rPr>
                <w:sz w:val="20"/>
                <w:szCs w:val="20"/>
                <w:color w:val="auto"/>
              </w:rPr>
            </w:pPr>
          </w:p>
        </w:tc>
        <w:tc>
          <w:tcPr>
            <w:tcW w:w="3680" w:type="dxa"/>
            <w:vAlign w:val="bottom"/>
            <w:tcBorders>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of systemic therapy.</w:t>
            </w:r>
          </w:p>
        </w:tc>
        <w:tc>
          <w:tcPr>
            <w:tcW w:w="2140" w:type="dxa"/>
            <w:vAlign w:val="bottom"/>
            <w:tcBorders>
              <w:right w:val="single" w:sz="8" w:color="B6B6B6"/>
            </w:tcBorders>
          </w:tcPr>
          <w:p>
            <w:pPr>
              <w:spacing w:after="0"/>
              <w:rPr>
                <w:sz w:val="20"/>
                <w:szCs w:val="20"/>
                <w:color w:val="auto"/>
              </w:rPr>
            </w:pPr>
          </w:p>
        </w:tc>
        <w:tc>
          <w:tcPr>
            <w:tcW w:w="2800" w:type="dxa"/>
            <w:vAlign w:val="bottom"/>
            <w:tcBorders>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640" w:type="dxa"/>
            <w:vAlign w:val="bottom"/>
            <w:tcBorders>
              <w:left w:val="single" w:sz="8" w:color="B6B6B6"/>
              <w:right w:val="single" w:sz="8" w:color="B6B6B6"/>
            </w:tcBorders>
          </w:tcPr>
          <w:p>
            <w:pPr>
              <w:spacing w:after="0"/>
              <w:rPr>
                <w:sz w:val="19"/>
                <w:szCs w:val="19"/>
                <w:color w:val="auto"/>
              </w:rPr>
            </w:pPr>
          </w:p>
        </w:tc>
        <w:tc>
          <w:tcPr>
            <w:tcW w:w="3680" w:type="dxa"/>
            <w:vAlign w:val="bottom"/>
            <w:tcBorders>
              <w:bottom w:val="single" w:sz="8" w:color="B6B6B6"/>
              <w:right w:val="single" w:sz="8" w:color="B6B6B6"/>
            </w:tcBorders>
          </w:tcPr>
          <w:p>
            <w:pPr>
              <w:spacing w:after="0"/>
              <w:rPr>
                <w:sz w:val="19"/>
                <w:szCs w:val="19"/>
                <w:color w:val="auto"/>
              </w:rPr>
            </w:pPr>
          </w:p>
        </w:tc>
        <w:tc>
          <w:tcPr>
            <w:tcW w:w="2140" w:type="dxa"/>
            <w:vAlign w:val="bottom"/>
            <w:tcBorders>
              <w:bottom w:val="single" w:sz="8" w:color="B6B6B6"/>
              <w:right w:val="single" w:sz="8" w:color="B6B6B6"/>
            </w:tcBorders>
          </w:tcPr>
          <w:p>
            <w:pPr>
              <w:spacing w:after="0"/>
              <w:rPr>
                <w:sz w:val="19"/>
                <w:szCs w:val="19"/>
                <w:color w:val="auto"/>
              </w:rPr>
            </w:pPr>
          </w:p>
        </w:tc>
        <w:tc>
          <w:tcPr>
            <w:tcW w:w="2800" w:type="dxa"/>
            <w:vAlign w:val="bottom"/>
            <w:tcBorders>
              <w:bottom w:val="single" w:sz="8" w:color="929292"/>
              <w:right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tcPr>
          <w:p>
            <w:pPr>
              <w:spacing w:after="0"/>
              <w:rPr>
                <w:sz w:val="14"/>
                <w:szCs w:val="14"/>
                <w:color w:val="auto"/>
              </w:rPr>
            </w:pPr>
          </w:p>
        </w:tc>
        <w:tc>
          <w:tcPr>
            <w:tcW w:w="3680" w:type="dxa"/>
            <w:vAlign w:val="bottom"/>
            <w:tcBorders>
              <w:right w:val="single" w:sz="8" w:color="B6B6B6"/>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adults with previously treated,</w:t>
            </w:r>
          </w:p>
        </w:tc>
        <w:tc>
          <w:tcPr>
            <w:tcW w:w="2140" w:type="dxa"/>
            <w:vAlign w:val="bottom"/>
            <w:tcBorders>
              <w:right w:val="single" w:sz="8" w:color="B6B6B6"/>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January 2026</w:t>
            </w:r>
          </w:p>
        </w:tc>
        <w:tc>
          <w:tcPr>
            <w:tcW w:w="2800" w:type="dxa"/>
            <w:vAlign w:val="bottom"/>
            <w:tcBorders>
              <w:right w:val="single" w:sz="8" w:color="B6B6B6"/>
            </w:tcBorders>
          </w:tcPr>
          <w:p>
            <w:pPr>
              <w:spacing w:after="0" w:line="169" w:lineRule="exact"/>
              <w:rPr>
                <w:sz w:val="20"/>
                <w:szCs w:val="20"/>
                <w:color w:val="auto"/>
              </w:rPr>
            </w:pPr>
            <w:r>
              <w:rPr>
                <w:rFonts w:ascii="Times New Roman" w:cs="Times New Roman" w:eastAsia="Times New Roman" w:hAnsi="Times New Roman"/>
                <w:sz w:val="15"/>
                <w:szCs w:val="15"/>
                <w:color w:val="auto"/>
              </w:rPr>
              <w:t>Canada (licensed from Zymeworks)</w:t>
            </w:r>
            <w:r>
              <w:rPr>
                <w:rFonts w:ascii="Times New Roman" w:cs="Times New Roman" w:eastAsia="Times New Roman" w:hAnsi="Times New Roman"/>
                <w:sz w:val="19"/>
                <w:szCs w:val="19"/>
                <w:color w:val="auto"/>
                <w:vertAlign w:val="superscript"/>
              </w:rPr>
              <w:t>4</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tcPr>
          <w:p>
            <w:pPr>
              <w:spacing w:after="0"/>
              <w:rPr>
                <w:sz w:val="16"/>
                <w:szCs w:val="16"/>
                <w:color w:val="auto"/>
              </w:rPr>
            </w:pPr>
          </w:p>
        </w:tc>
        <w:tc>
          <w:tcPr>
            <w:tcW w:w="3680" w:type="dxa"/>
            <w:vAlign w:val="bottom"/>
            <w:tcBorders>
              <w:right w:val="single" w:sz="8" w:color="B6B6B6"/>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unresectable locally advanced or metastatic</w:t>
            </w:r>
          </w:p>
        </w:tc>
        <w:tc>
          <w:tcPr>
            <w:tcW w:w="2140" w:type="dxa"/>
            <w:vAlign w:val="bottom"/>
            <w:tcBorders>
              <w:right w:val="single" w:sz="8" w:color="B6B6B6"/>
            </w:tcBorders>
          </w:tcPr>
          <w:p>
            <w:pPr>
              <w:spacing w:after="0"/>
              <w:rPr>
                <w:sz w:val="16"/>
                <w:szCs w:val="16"/>
                <w:color w:val="auto"/>
              </w:rPr>
            </w:pPr>
          </w:p>
        </w:tc>
        <w:tc>
          <w:tcPr>
            <w:tcW w:w="28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tcBorders>
              <w:left w:val="single" w:sz="8" w:color="B6B6B6"/>
              <w:right w:val="single" w:sz="8" w:color="B6B6B6"/>
            </w:tcBorders>
          </w:tcPr>
          <w:p>
            <w:pPr>
              <w:spacing w:after="0"/>
              <w:rPr>
                <w:sz w:val="20"/>
                <w:szCs w:val="20"/>
                <w:color w:val="auto"/>
              </w:rPr>
            </w:pPr>
          </w:p>
        </w:tc>
        <w:tc>
          <w:tcPr>
            <w:tcW w:w="3680" w:type="dxa"/>
            <w:vAlign w:val="bottom"/>
            <w:tcBorders>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HER2-positive (IHC3+) BTC, as monotherapy.</w:t>
            </w:r>
          </w:p>
        </w:tc>
        <w:tc>
          <w:tcPr>
            <w:tcW w:w="2140" w:type="dxa"/>
            <w:vAlign w:val="bottom"/>
            <w:tcBorders>
              <w:right w:val="single" w:sz="8" w:color="B6B6B6"/>
            </w:tcBorders>
          </w:tcPr>
          <w:p>
            <w:pPr>
              <w:spacing w:after="0"/>
              <w:rPr>
                <w:sz w:val="20"/>
                <w:szCs w:val="20"/>
                <w:color w:val="auto"/>
              </w:rPr>
            </w:pPr>
          </w:p>
        </w:tc>
        <w:tc>
          <w:tcPr>
            <w:tcW w:w="2800" w:type="dxa"/>
            <w:vAlign w:val="bottom"/>
            <w:tcBorders>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40" w:type="dxa"/>
            <w:vAlign w:val="bottom"/>
            <w:tcBorders>
              <w:left w:val="single" w:sz="8" w:color="B6B6B6"/>
              <w:right w:val="single" w:sz="8" w:color="B6B6B6"/>
            </w:tcBorders>
          </w:tcPr>
          <w:p>
            <w:pPr>
              <w:spacing w:after="0"/>
              <w:rPr>
                <w:sz w:val="16"/>
                <w:szCs w:val="16"/>
                <w:color w:val="auto"/>
              </w:rPr>
            </w:pPr>
          </w:p>
        </w:tc>
        <w:tc>
          <w:tcPr>
            <w:tcW w:w="3680" w:type="dxa"/>
            <w:vAlign w:val="bottom"/>
            <w:tcBorders>
              <w:bottom w:val="single" w:sz="8" w:color="B6B6B6"/>
              <w:right w:val="single" w:sz="8" w:color="B6B6B6"/>
            </w:tcBorders>
          </w:tcPr>
          <w:p>
            <w:pPr>
              <w:spacing w:after="0"/>
              <w:rPr>
                <w:sz w:val="16"/>
                <w:szCs w:val="16"/>
                <w:color w:val="auto"/>
              </w:rPr>
            </w:pPr>
          </w:p>
        </w:tc>
        <w:tc>
          <w:tcPr>
            <w:tcW w:w="2140" w:type="dxa"/>
            <w:vAlign w:val="bottom"/>
            <w:tcBorders>
              <w:bottom w:val="single" w:sz="8" w:color="B6B6B6"/>
              <w:right w:val="single" w:sz="8" w:color="B6B6B6"/>
            </w:tcBorders>
          </w:tcPr>
          <w:p>
            <w:pPr>
              <w:spacing w:after="0"/>
              <w:rPr>
                <w:sz w:val="16"/>
                <w:szCs w:val="16"/>
                <w:color w:val="auto"/>
              </w:rPr>
            </w:pPr>
          </w:p>
        </w:tc>
        <w:tc>
          <w:tcPr>
            <w:tcW w:w="2800" w:type="dxa"/>
            <w:vAlign w:val="bottom"/>
            <w:tcBorders>
              <w:bottom w:val="single" w:sz="8" w:color="929292"/>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tcPr>
          <w:p>
            <w:pPr>
              <w:spacing w:after="0"/>
              <w:rPr>
                <w:sz w:val="14"/>
                <w:szCs w:val="14"/>
                <w:color w:val="auto"/>
              </w:rPr>
            </w:pPr>
          </w:p>
        </w:tc>
        <w:tc>
          <w:tcPr>
            <w:tcW w:w="3680" w:type="dxa"/>
            <w:vAlign w:val="bottom"/>
            <w:tcBorders>
              <w:right w:val="single" w:sz="8" w:color="B6B6B6"/>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For treatment as a monotherapy of adults with</w:t>
            </w:r>
          </w:p>
        </w:tc>
        <w:tc>
          <w:tcPr>
            <w:tcW w:w="2140" w:type="dxa"/>
            <w:vAlign w:val="bottom"/>
            <w:tcBorders>
              <w:right w:val="single" w:sz="8" w:color="B6B6B6"/>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February 2026</w:t>
            </w:r>
          </w:p>
        </w:tc>
        <w:tc>
          <w:tcPr>
            <w:tcW w:w="2800" w:type="dxa"/>
            <w:vAlign w:val="bottom"/>
            <w:tcBorders>
              <w:right w:val="single" w:sz="8" w:color="B6B6B6"/>
            </w:tcBorders>
          </w:tcPr>
          <w:p>
            <w:pPr>
              <w:spacing w:after="0" w:line="169" w:lineRule="exact"/>
              <w:rPr>
                <w:sz w:val="20"/>
                <w:szCs w:val="20"/>
                <w:color w:val="auto"/>
              </w:rPr>
            </w:pPr>
            <w:r>
              <w:rPr>
                <w:rFonts w:ascii="Times New Roman" w:cs="Times New Roman" w:eastAsia="Times New Roman" w:hAnsi="Times New Roman"/>
                <w:sz w:val="15"/>
                <w:szCs w:val="15"/>
                <w:color w:val="auto"/>
              </w:rPr>
              <w:t>U.K. (licensed from Zymeworks)</w:t>
            </w:r>
            <w:r>
              <w:rPr>
                <w:rFonts w:ascii="Times New Roman" w:cs="Times New Roman" w:eastAsia="Times New Roman" w:hAnsi="Times New Roman"/>
                <w:sz w:val="19"/>
                <w:szCs w:val="19"/>
                <w:color w:val="auto"/>
                <w:vertAlign w:val="superscript"/>
              </w:rPr>
              <w:t>5</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tcPr>
          <w:p>
            <w:pPr>
              <w:spacing w:after="0"/>
              <w:rPr>
                <w:sz w:val="16"/>
                <w:szCs w:val="16"/>
                <w:color w:val="auto"/>
              </w:rPr>
            </w:pPr>
          </w:p>
        </w:tc>
        <w:tc>
          <w:tcPr>
            <w:tcW w:w="3680" w:type="dxa"/>
            <w:vAlign w:val="bottom"/>
            <w:tcBorders>
              <w:right w:val="single" w:sz="8" w:color="B6B6B6"/>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unresectable locally advanced or metastatic</w:t>
            </w:r>
          </w:p>
        </w:tc>
        <w:tc>
          <w:tcPr>
            <w:tcW w:w="2140" w:type="dxa"/>
            <w:vAlign w:val="bottom"/>
            <w:tcBorders>
              <w:right w:val="single" w:sz="8" w:color="B6B6B6"/>
            </w:tcBorders>
          </w:tcPr>
          <w:p>
            <w:pPr>
              <w:spacing w:after="0"/>
              <w:rPr>
                <w:sz w:val="16"/>
                <w:szCs w:val="16"/>
                <w:color w:val="auto"/>
              </w:rPr>
            </w:pPr>
          </w:p>
        </w:tc>
        <w:tc>
          <w:tcPr>
            <w:tcW w:w="28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40" w:type="dxa"/>
            <w:vAlign w:val="bottom"/>
            <w:tcBorders>
              <w:left w:val="single" w:sz="8" w:color="B6B6B6"/>
              <w:right w:val="single" w:sz="8" w:color="B6B6B6"/>
            </w:tcBorders>
          </w:tcPr>
          <w:p>
            <w:pPr>
              <w:spacing w:after="0"/>
              <w:rPr>
                <w:sz w:val="15"/>
                <w:szCs w:val="15"/>
                <w:color w:val="auto"/>
              </w:rPr>
            </w:pPr>
          </w:p>
        </w:tc>
        <w:tc>
          <w:tcPr>
            <w:tcW w:w="3680" w:type="dxa"/>
            <w:vAlign w:val="bottom"/>
            <w:tcBorders>
              <w:right w:val="single" w:sz="8" w:color="B6B6B6"/>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HER2-positive (IHC3+) BTC previously treated</w:t>
            </w:r>
          </w:p>
        </w:tc>
        <w:tc>
          <w:tcPr>
            <w:tcW w:w="2140" w:type="dxa"/>
            <w:vAlign w:val="bottom"/>
            <w:tcBorders>
              <w:right w:val="single" w:sz="8" w:color="B6B6B6"/>
            </w:tcBorders>
          </w:tcPr>
          <w:p>
            <w:pPr>
              <w:spacing w:after="0"/>
              <w:rPr>
                <w:sz w:val="15"/>
                <w:szCs w:val="15"/>
                <w:color w:val="auto"/>
              </w:rPr>
            </w:pPr>
          </w:p>
        </w:tc>
        <w:tc>
          <w:tcPr>
            <w:tcW w:w="280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640" w:type="dxa"/>
            <w:vAlign w:val="bottom"/>
            <w:tcBorders>
              <w:left w:val="single" w:sz="8" w:color="B6B6B6"/>
              <w:right w:val="single" w:sz="8" w:color="B6B6B6"/>
            </w:tcBorders>
          </w:tcPr>
          <w:p>
            <w:pPr>
              <w:spacing w:after="0"/>
              <w:rPr>
                <w:sz w:val="20"/>
                <w:szCs w:val="20"/>
                <w:color w:val="auto"/>
              </w:rPr>
            </w:pPr>
          </w:p>
        </w:tc>
        <w:tc>
          <w:tcPr>
            <w:tcW w:w="3680" w:type="dxa"/>
            <w:vAlign w:val="bottom"/>
            <w:tcBorders>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with at least one prior line of systemic therapy.</w:t>
            </w:r>
          </w:p>
        </w:tc>
        <w:tc>
          <w:tcPr>
            <w:tcW w:w="2140" w:type="dxa"/>
            <w:vAlign w:val="bottom"/>
            <w:tcBorders>
              <w:right w:val="single" w:sz="8" w:color="B6B6B6"/>
            </w:tcBorders>
          </w:tcPr>
          <w:p>
            <w:pPr>
              <w:spacing w:after="0"/>
              <w:rPr>
                <w:sz w:val="20"/>
                <w:szCs w:val="20"/>
                <w:color w:val="auto"/>
              </w:rPr>
            </w:pPr>
          </w:p>
        </w:tc>
        <w:tc>
          <w:tcPr>
            <w:tcW w:w="2800" w:type="dxa"/>
            <w:vAlign w:val="bottom"/>
            <w:tcBorders>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640" w:type="dxa"/>
            <w:vAlign w:val="bottom"/>
            <w:tcBorders>
              <w:left w:val="single" w:sz="8" w:color="B6B6B6"/>
              <w:right w:val="single" w:sz="8" w:color="B6B6B6"/>
            </w:tcBorders>
          </w:tcPr>
          <w:p>
            <w:pPr>
              <w:spacing w:after="0"/>
              <w:rPr>
                <w:sz w:val="19"/>
                <w:szCs w:val="19"/>
                <w:color w:val="auto"/>
              </w:rPr>
            </w:pPr>
          </w:p>
        </w:tc>
        <w:tc>
          <w:tcPr>
            <w:tcW w:w="3680" w:type="dxa"/>
            <w:vAlign w:val="bottom"/>
            <w:tcBorders>
              <w:bottom w:val="single" w:sz="8" w:color="B6B6B6"/>
              <w:right w:val="single" w:sz="8" w:color="B6B6B6"/>
            </w:tcBorders>
          </w:tcPr>
          <w:p>
            <w:pPr>
              <w:spacing w:after="0"/>
              <w:rPr>
                <w:sz w:val="19"/>
                <w:szCs w:val="19"/>
                <w:color w:val="auto"/>
              </w:rPr>
            </w:pPr>
          </w:p>
        </w:tc>
        <w:tc>
          <w:tcPr>
            <w:tcW w:w="2140" w:type="dxa"/>
            <w:vAlign w:val="bottom"/>
            <w:tcBorders>
              <w:bottom w:val="single" w:sz="8" w:color="B6B6B6"/>
              <w:right w:val="single" w:sz="8" w:color="B6B6B6"/>
            </w:tcBorders>
          </w:tcPr>
          <w:p>
            <w:pPr>
              <w:spacing w:after="0"/>
              <w:rPr>
                <w:sz w:val="19"/>
                <w:szCs w:val="19"/>
                <w:color w:val="auto"/>
              </w:rPr>
            </w:pPr>
          </w:p>
        </w:tc>
        <w:tc>
          <w:tcPr>
            <w:tcW w:w="2800" w:type="dxa"/>
            <w:vAlign w:val="bottom"/>
            <w:tcBorders>
              <w:bottom w:val="single" w:sz="8" w:color="929292"/>
              <w:right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Ziihera® (zanidatamab-hrii)</w:t>
            </w:r>
          </w:p>
        </w:tc>
        <w:tc>
          <w:tcPr>
            <w:tcW w:w="3680" w:type="dxa"/>
            <w:vAlign w:val="bottom"/>
            <w:tcBorders>
              <w:right w:val="single" w:sz="8" w:color="B6B6B6"/>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Gastroesophageal Adenocarcinoma (GEA):</w:t>
            </w:r>
          </w:p>
        </w:tc>
        <w:tc>
          <w:tcPr>
            <w:tcW w:w="2140" w:type="dxa"/>
            <w:vAlign w:val="bottom"/>
            <w:tcBorders>
              <w:right w:val="single" w:sz="8" w:color="B6B6B6"/>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August 2026</w:t>
            </w:r>
          </w:p>
        </w:tc>
        <w:tc>
          <w:tcPr>
            <w:tcW w:w="2800" w:type="dxa"/>
            <w:vAlign w:val="bottom"/>
            <w:tcBorders>
              <w:right w:val="single" w:sz="8" w:color="B6B6B6"/>
            </w:tcBorders>
          </w:tcPr>
          <w:p>
            <w:pPr>
              <w:spacing w:after="0" w:line="169" w:lineRule="exact"/>
              <w:rPr>
                <w:sz w:val="20"/>
                <w:szCs w:val="20"/>
                <w:color w:val="auto"/>
              </w:rPr>
            </w:pPr>
            <w:r>
              <w:rPr>
                <w:rFonts w:ascii="Times New Roman" w:cs="Times New Roman" w:eastAsia="Times New Roman" w:hAnsi="Times New Roman"/>
                <w:sz w:val="18"/>
                <w:szCs w:val="18"/>
                <w:color w:val="auto"/>
              </w:rPr>
              <w:t>U.S. (licensed from Zymeworks)</w:t>
            </w:r>
          </w:p>
        </w:tc>
        <w:tc>
          <w:tcPr>
            <w:tcW w:w="0" w:type="dxa"/>
            <w:vAlign w:val="bottom"/>
          </w:tcPr>
          <w:p>
            <w:pPr>
              <w:spacing w:after="0"/>
              <w:rPr>
                <w:sz w:val="1"/>
                <w:szCs w:val="1"/>
                <w:color w:val="auto"/>
              </w:rPr>
            </w:pPr>
          </w:p>
        </w:tc>
      </w:tr>
      <w:tr>
        <w:trPr>
          <w:trHeight w:val="135"/>
        </w:trPr>
        <w:tc>
          <w:tcPr>
            <w:tcW w:w="2640" w:type="dxa"/>
            <w:vAlign w:val="bottom"/>
            <w:tcBorders>
              <w:left w:val="single" w:sz="8" w:color="B6B6B6"/>
              <w:right w:val="single" w:sz="8" w:color="B6B6B6"/>
            </w:tcBorders>
            <w:vMerge w:val="continue"/>
          </w:tcPr>
          <w:p>
            <w:pPr>
              <w:spacing w:after="0"/>
              <w:rPr>
                <w:sz w:val="11"/>
                <w:szCs w:val="11"/>
                <w:color w:val="auto"/>
              </w:rPr>
            </w:pPr>
          </w:p>
        </w:tc>
        <w:tc>
          <w:tcPr>
            <w:tcW w:w="3680" w:type="dxa"/>
            <w:vAlign w:val="bottom"/>
            <w:tcBorders>
              <w:right w:val="single" w:sz="8" w:color="B6B6B6"/>
            </w:tcBorders>
            <w:vMerge w:val="restart"/>
          </w:tcPr>
          <w:p>
            <w:pPr>
              <w:ind w:left="20"/>
              <w:spacing w:after="0" w:line="184" w:lineRule="exact"/>
              <w:rPr>
                <w:sz w:val="20"/>
                <w:szCs w:val="20"/>
                <w:color w:val="auto"/>
              </w:rPr>
            </w:pPr>
            <w:r>
              <w:rPr>
                <w:rFonts w:ascii="Times New Roman" w:cs="Times New Roman" w:eastAsia="Times New Roman" w:hAnsi="Times New Roman"/>
                <w:sz w:val="18"/>
                <w:szCs w:val="18"/>
                <w:color w:val="auto"/>
              </w:rPr>
              <w:t>In combination with fluoropyrimidine- and</w:t>
            </w:r>
          </w:p>
        </w:tc>
        <w:tc>
          <w:tcPr>
            <w:tcW w:w="2140" w:type="dxa"/>
            <w:vAlign w:val="bottom"/>
            <w:tcBorders>
              <w:right w:val="single" w:sz="8" w:color="B6B6B6"/>
            </w:tcBorders>
          </w:tcPr>
          <w:p>
            <w:pPr>
              <w:spacing w:after="0"/>
              <w:rPr>
                <w:sz w:val="11"/>
                <w:szCs w:val="11"/>
                <w:color w:val="auto"/>
              </w:rPr>
            </w:pPr>
          </w:p>
        </w:tc>
        <w:tc>
          <w:tcPr>
            <w:tcW w:w="2800" w:type="dxa"/>
            <w:vAlign w:val="bottom"/>
            <w:tcBorders>
              <w:right w:val="single" w:sz="8" w:color="B6B6B6"/>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2640" w:type="dxa"/>
            <w:vAlign w:val="bottom"/>
            <w:tcBorders>
              <w:left w:val="single" w:sz="8" w:color="B6B6B6"/>
              <w:right w:val="single" w:sz="8" w:color="B6B6B6"/>
            </w:tcBorders>
          </w:tcPr>
          <w:p>
            <w:pPr>
              <w:spacing w:after="0"/>
              <w:rPr>
                <w:sz w:val="4"/>
                <w:szCs w:val="4"/>
                <w:color w:val="auto"/>
              </w:rPr>
            </w:pPr>
          </w:p>
        </w:tc>
        <w:tc>
          <w:tcPr>
            <w:tcW w:w="3680" w:type="dxa"/>
            <w:vAlign w:val="bottom"/>
            <w:tcBorders>
              <w:right w:val="single" w:sz="8" w:color="B6B6B6"/>
            </w:tcBorders>
            <w:vMerge w:val="continue"/>
          </w:tcPr>
          <w:p>
            <w:pPr>
              <w:spacing w:after="0"/>
              <w:rPr>
                <w:sz w:val="4"/>
                <w:szCs w:val="4"/>
                <w:color w:val="auto"/>
              </w:rPr>
            </w:pPr>
          </w:p>
        </w:tc>
        <w:tc>
          <w:tcPr>
            <w:tcW w:w="2140" w:type="dxa"/>
            <w:vAlign w:val="bottom"/>
            <w:tcBorders>
              <w:right w:val="single" w:sz="8" w:color="B6B6B6"/>
            </w:tcBorders>
          </w:tcPr>
          <w:p>
            <w:pPr>
              <w:spacing w:after="0"/>
              <w:rPr>
                <w:sz w:val="4"/>
                <w:szCs w:val="4"/>
                <w:color w:val="auto"/>
              </w:rPr>
            </w:pPr>
          </w:p>
        </w:tc>
        <w:tc>
          <w:tcPr>
            <w:tcW w:w="2800" w:type="dxa"/>
            <w:vAlign w:val="bottom"/>
            <w:tcBorders>
              <w:right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640" w:type="dxa"/>
            <w:vAlign w:val="bottom"/>
            <w:tcBorders>
              <w:left w:val="single" w:sz="8" w:color="B6B6B6"/>
              <w:right w:val="single" w:sz="8" w:color="B6B6B6"/>
            </w:tcBorders>
          </w:tcPr>
          <w:p>
            <w:pPr>
              <w:spacing w:after="0"/>
              <w:rPr>
                <w:sz w:val="15"/>
                <w:szCs w:val="15"/>
                <w:color w:val="auto"/>
              </w:rPr>
            </w:pPr>
          </w:p>
        </w:tc>
        <w:tc>
          <w:tcPr>
            <w:tcW w:w="3680" w:type="dxa"/>
            <w:vAlign w:val="bottom"/>
            <w:tcBorders>
              <w:right w:val="single" w:sz="8" w:color="B6B6B6"/>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platinum-containing chemotherapy, and</w:t>
            </w:r>
          </w:p>
        </w:tc>
        <w:tc>
          <w:tcPr>
            <w:tcW w:w="2140" w:type="dxa"/>
            <w:vAlign w:val="bottom"/>
            <w:tcBorders>
              <w:right w:val="single" w:sz="8" w:color="B6B6B6"/>
            </w:tcBorders>
          </w:tcPr>
          <w:p>
            <w:pPr>
              <w:spacing w:after="0"/>
              <w:rPr>
                <w:sz w:val="15"/>
                <w:szCs w:val="15"/>
                <w:color w:val="auto"/>
              </w:rPr>
            </w:pPr>
          </w:p>
        </w:tc>
        <w:tc>
          <w:tcPr>
            <w:tcW w:w="280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tcBorders>
              <w:left w:val="single" w:sz="8" w:color="B6B6B6"/>
              <w:right w:val="single" w:sz="8" w:color="B6B6B6"/>
            </w:tcBorders>
          </w:tcPr>
          <w:p>
            <w:pPr>
              <w:spacing w:after="0"/>
              <w:rPr>
                <w:sz w:val="15"/>
                <w:szCs w:val="15"/>
                <w:color w:val="auto"/>
              </w:rPr>
            </w:pPr>
          </w:p>
        </w:tc>
        <w:tc>
          <w:tcPr>
            <w:tcW w:w="3680" w:type="dxa"/>
            <w:vAlign w:val="bottom"/>
            <w:tcBorders>
              <w:right w:val="single" w:sz="8" w:color="B6B6B6"/>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tislelizumab-jsgr, is indicated for the first-line</w:t>
            </w:r>
          </w:p>
        </w:tc>
        <w:tc>
          <w:tcPr>
            <w:tcW w:w="2140" w:type="dxa"/>
            <w:vAlign w:val="bottom"/>
            <w:tcBorders>
              <w:right w:val="single" w:sz="8" w:color="B6B6B6"/>
            </w:tcBorders>
          </w:tcPr>
          <w:p>
            <w:pPr>
              <w:spacing w:after="0"/>
              <w:rPr>
                <w:sz w:val="15"/>
                <w:szCs w:val="15"/>
                <w:color w:val="auto"/>
              </w:rPr>
            </w:pPr>
          </w:p>
        </w:tc>
        <w:tc>
          <w:tcPr>
            <w:tcW w:w="280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tcPr>
          <w:p>
            <w:pPr>
              <w:spacing w:after="0"/>
              <w:rPr>
                <w:sz w:val="16"/>
                <w:szCs w:val="16"/>
                <w:color w:val="auto"/>
              </w:rPr>
            </w:pPr>
          </w:p>
        </w:tc>
        <w:tc>
          <w:tcPr>
            <w:tcW w:w="3680" w:type="dxa"/>
            <w:vAlign w:val="bottom"/>
            <w:tcBorders>
              <w:right w:val="single" w:sz="8" w:color="B6B6B6"/>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treatment of adult patients with HER2-positive</w:t>
            </w:r>
          </w:p>
        </w:tc>
        <w:tc>
          <w:tcPr>
            <w:tcW w:w="2140" w:type="dxa"/>
            <w:vAlign w:val="bottom"/>
            <w:tcBorders>
              <w:right w:val="single" w:sz="8" w:color="B6B6B6"/>
            </w:tcBorders>
          </w:tcPr>
          <w:p>
            <w:pPr>
              <w:spacing w:after="0"/>
              <w:rPr>
                <w:sz w:val="16"/>
                <w:szCs w:val="16"/>
                <w:color w:val="auto"/>
              </w:rPr>
            </w:pPr>
          </w:p>
        </w:tc>
        <w:tc>
          <w:tcPr>
            <w:tcW w:w="28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40" w:type="dxa"/>
            <w:vAlign w:val="bottom"/>
            <w:tcBorders>
              <w:left w:val="single" w:sz="8" w:color="B6B6B6"/>
              <w:right w:val="single" w:sz="8" w:color="B6B6B6"/>
            </w:tcBorders>
          </w:tcPr>
          <w:p>
            <w:pPr>
              <w:spacing w:after="0"/>
              <w:rPr>
                <w:sz w:val="15"/>
                <w:szCs w:val="15"/>
                <w:color w:val="auto"/>
              </w:rPr>
            </w:pPr>
          </w:p>
        </w:tc>
        <w:tc>
          <w:tcPr>
            <w:tcW w:w="3680" w:type="dxa"/>
            <w:vAlign w:val="bottom"/>
            <w:tcBorders>
              <w:right w:val="single" w:sz="8" w:color="B6B6B6"/>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(IHC 3+ or IHC 2+/ISH+) unresectable locally</w:t>
            </w:r>
          </w:p>
        </w:tc>
        <w:tc>
          <w:tcPr>
            <w:tcW w:w="2140" w:type="dxa"/>
            <w:vAlign w:val="bottom"/>
            <w:tcBorders>
              <w:right w:val="single" w:sz="8" w:color="B6B6B6"/>
            </w:tcBorders>
          </w:tcPr>
          <w:p>
            <w:pPr>
              <w:spacing w:after="0"/>
              <w:rPr>
                <w:sz w:val="15"/>
                <w:szCs w:val="15"/>
                <w:color w:val="auto"/>
              </w:rPr>
            </w:pPr>
          </w:p>
        </w:tc>
        <w:tc>
          <w:tcPr>
            <w:tcW w:w="280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tcBorders>
              <w:left w:val="single" w:sz="8" w:color="B6B6B6"/>
              <w:right w:val="single" w:sz="8" w:color="B6B6B6"/>
            </w:tcBorders>
          </w:tcPr>
          <w:p>
            <w:pPr>
              <w:spacing w:after="0"/>
              <w:rPr>
                <w:sz w:val="15"/>
                <w:szCs w:val="15"/>
                <w:color w:val="auto"/>
              </w:rPr>
            </w:pPr>
          </w:p>
        </w:tc>
        <w:tc>
          <w:tcPr>
            <w:tcW w:w="3680" w:type="dxa"/>
            <w:vAlign w:val="bottom"/>
            <w:tcBorders>
              <w:right w:val="single" w:sz="8" w:color="B6B6B6"/>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advanced or metastatic gastric, gastroesophageal</w:t>
            </w:r>
          </w:p>
        </w:tc>
        <w:tc>
          <w:tcPr>
            <w:tcW w:w="2140" w:type="dxa"/>
            <w:vAlign w:val="bottom"/>
            <w:tcBorders>
              <w:right w:val="single" w:sz="8" w:color="B6B6B6"/>
            </w:tcBorders>
          </w:tcPr>
          <w:p>
            <w:pPr>
              <w:spacing w:after="0"/>
              <w:rPr>
                <w:sz w:val="15"/>
                <w:szCs w:val="15"/>
                <w:color w:val="auto"/>
              </w:rPr>
            </w:pPr>
          </w:p>
        </w:tc>
        <w:tc>
          <w:tcPr>
            <w:tcW w:w="280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tcPr>
          <w:p>
            <w:pPr>
              <w:spacing w:after="0"/>
              <w:rPr>
                <w:sz w:val="16"/>
                <w:szCs w:val="16"/>
                <w:color w:val="auto"/>
              </w:rPr>
            </w:pPr>
          </w:p>
        </w:tc>
        <w:tc>
          <w:tcPr>
            <w:tcW w:w="3680" w:type="dxa"/>
            <w:vAlign w:val="bottom"/>
            <w:tcBorders>
              <w:right w:val="single" w:sz="8" w:color="B6B6B6"/>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junction, or esophageal adenocarcinoma, as</w:t>
            </w:r>
          </w:p>
        </w:tc>
        <w:tc>
          <w:tcPr>
            <w:tcW w:w="2140" w:type="dxa"/>
            <w:vAlign w:val="bottom"/>
            <w:tcBorders>
              <w:right w:val="single" w:sz="8" w:color="B6B6B6"/>
            </w:tcBorders>
          </w:tcPr>
          <w:p>
            <w:pPr>
              <w:spacing w:after="0"/>
              <w:rPr>
                <w:sz w:val="16"/>
                <w:szCs w:val="16"/>
                <w:color w:val="auto"/>
              </w:rPr>
            </w:pPr>
          </w:p>
        </w:tc>
        <w:tc>
          <w:tcPr>
            <w:tcW w:w="28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40" w:type="dxa"/>
            <w:vAlign w:val="bottom"/>
            <w:tcBorders>
              <w:left w:val="single" w:sz="8" w:color="B6B6B6"/>
              <w:right w:val="single" w:sz="8" w:color="B6B6B6"/>
            </w:tcBorders>
          </w:tcPr>
          <w:p>
            <w:pPr>
              <w:spacing w:after="0"/>
              <w:rPr>
                <w:sz w:val="15"/>
                <w:szCs w:val="15"/>
                <w:color w:val="auto"/>
              </w:rPr>
            </w:pPr>
          </w:p>
        </w:tc>
        <w:tc>
          <w:tcPr>
            <w:tcW w:w="3680" w:type="dxa"/>
            <w:vAlign w:val="bottom"/>
            <w:tcBorders>
              <w:right w:val="single" w:sz="8" w:color="B6B6B6"/>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detected by an FDA-approved test.</w:t>
            </w:r>
          </w:p>
        </w:tc>
        <w:tc>
          <w:tcPr>
            <w:tcW w:w="2140" w:type="dxa"/>
            <w:vAlign w:val="bottom"/>
            <w:tcBorders>
              <w:right w:val="single" w:sz="8" w:color="B6B6B6"/>
            </w:tcBorders>
          </w:tcPr>
          <w:p>
            <w:pPr>
              <w:spacing w:after="0"/>
              <w:rPr>
                <w:sz w:val="15"/>
                <w:szCs w:val="15"/>
                <w:color w:val="auto"/>
              </w:rPr>
            </w:pPr>
          </w:p>
        </w:tc>
        <w:tc>
          <w:tcPr>
            <w:tcW w:w="280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tcBorders>
              <w:left w:val="single" w:sz="8" w:color="B6B6B6"/>
              <w:right w:val="single" w:sz="8" w:color="B6B6B6"/>
            </w:tcBorders>
          </w:tcPr>
          <w:p>
            <w:pPr>
              <w:spacing w:after="0"/>
              <w:rPr>
                <w:sz w:val="15"/>
                <w:szCs w:val="15"/>
                <w:color w:val="auto"/>
              </w:rPr>
            </w:pPr>
          </w:p>
        </w:tc>
        <w:tc>
          <w:tcPr>
            <w:tcW w:w="3680" w:type="dxa"/>
            <w:vAlign w:val="bottom"/>
            <w:tcBorders>
              <w:right w:val="single" w:sz="8" w:color="B6B6B6"/>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In combination with fluoropyrimidine- and</w:t>
            </w:r>
          </w:p>
        </w:tc>
        <w:tc>
          <w:tcPr>
            <w:tcW w:w="2140" w:type="dxa"/>
            <w:vAlign w:val="bottom"/>
            <w:tcBorders>
              <w:right w:val="single" w:sz="8" w:color="B6B6B6"/>
            </w:tcBorders>
          </w:tcPr>
          <w:p>
            <w:pPr>
              <w:spacing w:after="0"/>
              <w:rPr>
                <w:sz w:val="15"/>
                <w:szCs w:val="15"/>
                <w:color w:val="auto"/>
              </w:rPr>
            </w:pPr>
          </w:p>
        </w:tc>
        <w:tc>
          <w:tcPr>
            <w:tcW w:w="280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tcPr>
          <w:p>
            <w:pPr>
              <w:spacing w:after="0"/>
              <w:rPr>
                <w:sz w:val="16"/>
                <w:szCs w:val="16"/>
                <w:color w:val="auto"/>
              </w:rPr>
            </w:pPr>
          </w:p>
        </w:tc>
        <w:tc>
          <w:tcPr>
            <w:tcW w:w="3680" w:type="dxa"/>
            <w:vAlign w:val="bottom"/>
            <w:tcBorders>
              <w:right w:val="single" w:sz="8" w:color="B6B6B6"/>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platinum-containing chemotherapy, is indicated</w:t>
            </w:r>
          </w:p>
        </w:tc>
        <w:tc>
          <w:tcPr>
            <w:tcW w:w="2140" w:type="dxa"/>
            <w:vAlign w:val="bottom"/>
            <w:tcBorders>
              <w:right w:val="single" w:sz="8" w:color="B6B6B6"/>
            </w:tcBorders>
          </w:tcPr>
          <w:p>
            <w:pPr>
              <w:spacing w:after="0"/>
              <w:rPr>
                <w:sz w:val="16"/>
                <w:szCs w:val="16"/>
                <w:color w:val="auto"/>
              </w:rPr>
            </w:pPr>
          </w:p>
        </w:tc>
        <w:tc>
          <w:tcPr>
            <w:tcW w:w="28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40" w:type="dxa"/>
            <w:vAlign w:val="bottom"/>
            <w:tcBorders>
              <w:left w:val="single" w:sz="8" w:color="B6B6B6"/>
              <w:right w:val="single" w:sz="8" w:color="B6B6B6"/>
            </w:tcBorders>
          </w:tcPr>
          <w:p>
            <w:pPr>
              <w:spacing w:after="0"/>
              <w:rPr>
                <w:sz w:val="15"/>
                <w:szCs w:val="15"/>
                <w:color w:val="auto"/>
              </w:rPr>
            </w:pPr>
          </w:p>
        </w:tc>
        <w:tc>
          <w:tcPr>
            <w:tcW w:w="3680" w:type="dxa"/>
            <w:vAlign w:val="bottom"/>
            <w:tcBorders>
              <w:right w:val="single" w:sz="8" w:color="B6B6B6"/>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for the first-line treatment of adult patients with</w:t>
            </w:r>
          </w:p>
        </w:tc>
        <w:tc>
          <w:tcPr>
            <w:tcW w:w="2140" w:type="dxa"/>
            <w:vAlign w:val="bottom"/>
            <w:tcBorders>
              <w:right w:val="single" w:sz="8" w:color="B6B6B6"/>
            </w:tcBorders>
          </w:tcPr>
          <w:p>
            <w:pPr>
              <w:spacing w:after="0"/>
              <w:rPr>
                <w:sz w:val="15"/>
                <w:szCs w:val="15"/>
                <w:color w:val="auto"/>
              </w:rPr>
            </w:pPr>
          </w:p>
        </w:tc>
        <w:tc>
          <w:tcPr>
            <w:tcW w:w="280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tcBorders>
              <w:left w:val="single" w:sz="8" w:color="B6B6B6"/>
              <w:right w:val="single" w:sz="8" w:color="B6B6B6"/>
            </w:tcBorders>
          </w:tcPr>
          <w:p>
            <w:pPr>
              <w:spacing w:after="0"/>
              <w:rPr>
                <w:sz w:val="15"/>
                <w:szCs w:val="15"/>
                <w:color w:val="auto"/>
              </w:rPr>
            </w:pPr>
          </w:p>
        </w:tc>
        <w:tc>
          <w:tcPr>
            <w:tcW w:w="3680" w:type="dxa"/>
            <w:vAlign w:val="bottom"/>
            <w:tcBorders>
              <w:right w:val="single" w:sz="8" w:color="B6B6B6"/>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HER2-positive (IHC 3+) unresectable locally</w:t>
            </w:r>
          </w:p>
        </w:tc>
        <w:tc>
          <w:tcPr>
            <w:tcW w:w="2140" w:type="dxa"/>
            <w:vAlign w:val="bottom"/>
            <w:tcBorders>
              <w:right w:val="single" w:sz="8" w:color="B6B6B6"/>
            </w:tcBorders>
          </w:tcPr>
          <w:p>
            <w:pPr>
              <w:spacing w:after="0"/>
              <w:rPr>
                <w:sz w:val="15"/>
                <w:szCs w:val="15"/>
                <w:color w:val="auto"/>
              </w:rPr>
            </w:pPr>
          </w:p>
        </w:tc>
        <w:tc>
          <w:tcPr>
            <w:tcW w:w="280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tcPr>
          <w:p>
            <w:pPr>
              <w:spacing w:after="0"/>
              <w:rPr>
                <w:sz w:val="16"/>
                <w:szCs w:val="16"/>
                <w:color w:val="auto"/>
              </w:rPr>
            </w:pPr>
          </w:p>
        </w:tc>
        <w:tc>
          <w:tcPr>
            <w:tcW w:w="3680" w:type="dxa"/>
            <w:vAlign w:val="bottom"/>
            <w:tcBorders>
              <w:right w:val="single" w:sz="8" w:color="B6B6B6"/>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advanced or metastatic gastric, gastroesophageal</w:t>
            </w:r>
          </w:p>
        </w:tc>
        <w:tc>
          <w:tcPr>
            <w:tcW w:w="2140" w:type="dxa"/>
            <w:vAlign w:val="bottom"/>
            <w:tcBorders>
              <w:right w:val="single" w:sz="8" w:color="B6B6B6"/>
            </w:tcBorders>
          </w:tcPr>
          <w:p>
            <w:pPr>
              <w:spacing w:after="0"/>
              <w:rPr>
                <w:sz w:val="16"/>
                <w:szCs w:val="16"/>
                <w:color w:val="auto"/>
              </w:rPr>
            </w:pPr>
          </w:p>
        </w:tc>
        <w:tc>
          <w:tcPr>
            <w:tcW w:w="28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40" w:type="dxa"/>
            <w:vAlign w:val="bottom"/>
            <w:tcBorders>
              <w:left w:val="single" w:sz="8" w:color="B6B6B6"/>
              <w:right w:val="single" w:sz="8" w:color="B6B6B6"/>
            </w:tcBorders>
          </w:tcPr>
          <w:p>
            <w:pPr>
              <w:spacing w:after="0"/>
              <w:rPr>
                <w:sz w:val="15"/>
                <w:szCs w:val="15"/>
                <w:color w:val="auto"/>
              </w:rPr>
            </w:pPr>
          </w:p>
        </w:tc>
        <w:tc>
          <w:tcPr>
            <w:tcW w:w="3680" w:type="dxa"/>
            <w:vAlign w:val="bottom"/>
            <w:tcBorders>
              <w:right w:val="single" w:sz="8" w:color="B6B6B6"/>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junction, or esophageal adenocarcinoma, as</w:t>
            </w:r>
          </w:p>
        </w:tc>
        <w:tc>
          <w:tcPr>
            <w:tcW w:w="2140" w:type="dxa"/>
            <w:vAlign w:val="bottom"/>
            <w:tcBorders>
              <w:right w:val="single" w:sz="8" w:color="B6B6B6"/>
            </w:tcBorders>
          </w:tcPr>
          <w:p>
            <w:pPr>
              <w:spacing w:after="0"/>
              <w:rPr>
                <w:sz w:val="15"/>
                <w:szCs w:val="15"/>
                <w:color w:val="auto"/>
              </w:rPr>
            </w:pPr>
          </w:p>
        </w:tc>
        <w:tc>
          <w:tcPr>
            <w:tcW w:w="280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640" w:type="dxa"/>
            <w:vAlign w:val="bottom"/>
            <w:tcBorders>
              <w:left w:val="single" w:sz="8" w:color="B6B6B6"/>
              <w:right w:val="single" w:sz="8" w:color="B6B6B6"/>
            </w:tcBorders>
          </w:tcPr>
          <w:p>
            <w:pPr>
              <w:spacing w:after="0"/>
              <w:rPr>
                <w:sz w:val="20"/>
                <w:szCs w:val="20"/>
                <w:color w:val="auto"/>
              </w:rPr>
            </w:pPr>
          </w:p>
        </w:tc>
        <w:tc>
          <w:tcPr>
            <w:tcW w:w="3680" w:type="dxa"/>
            <w:vAlign w:val="bottom"/>
            <w:tcBorders>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detected by an FDA-approved test.</w:t>
            </w:r>
          </w:p>
        </w:tc>
        <w:tc>
          <w:tcPr>
            <w:tcW w:w="2140" w:type="dxa"/>
            <w:vAlign w:val="bottom"/>
            <w:tcBorders>
              <w:right w:val="single" w:sz="8" w:color="B6B6B6"/>
            </w:tcBorders>
          </w:tcPr>
          <w:p>
            <w:pPr>
              <w:spacing w:after="0"/>
              <w:rPr>
                <w:sz w:val="20"/>
                <w:szCs w:val="20"/>
                <w:color w:val="auto"/>
              </w:rPr>
            </w:pPr>
          </w:p>
        </w:tc>
        <w:tc>
          <w:tcPr>
            <w:tcW w:w="2800" w:type="dxa"/>
            <w:vAlign w:val="bottom"/>
            <w:tcBorders>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114"/>
        </w:trPr>
        <w:tc>
          <w:tcPr>
            <w:tcW w:w="2640" w:type="dxa"/>
            <w:vAlign w:val="bottom"/>
            <w:tcBorders>
              <w:left w:val="single" w:sz="8" w:color="B6B6B6"/>
              <w:bottom w:val="single" w:sz="8" w:color="B6B6B6"/>
              <w:right w:val="single" w:sz="8" w:color="B6B6B6"/>
            </w:tcBorders>
          </w:tcPr>
          <w:p>
            <w:pPr>
              <w:spacing w:after="0"/>
              <w:rPr>
                <w:sz w:val="24"/>
                <w:szCs w:val="24"/>
                <w:color w:val="auto"/>
              </w:rPr>
            </w:pPr>
          </w:p>
        </w:tc>
        <w:tc>
          <w:tcPr>
            <w:tcW w:w="3680" w:type="dxa"/>
            <w:vAlign w:val="bottom"/>
            <w:tcBorders>
              <w:bottom w:val="single" w:sz="8" w:color="B6B6B6"/>
              <w:right w:val="single" w:sz="8" w:color="B6B6B6"/>
            </w:tcBorders>
          </w:tcPr>
          <w:p>
            <w:pPr>
              <w:spacing w:after="0"/>
              <w:rPr>
                <w:sz w:val="24"/>
                <w:szCs w:val="24"/>
                <w:color w:val="auto"/>
              </w:rPr>
            </w:pPr>
          </w:p>
        </w:tc>
        <w:tc>
          <w:tcPr>
            <w:tcW w:w="2140" w:type="dxa"/>
            <w:vAlign w:val="bottom"/>
            <w:tcBorders>
              <w:bottom w:val="single" w:sz="8" w:color="B6B6B6"/>
              <w:right w:val="single" w:sz="8" w:color="B6B6B6"/>
            </w:tcBorders>
          </w:tcPr>
          <w:p>
            <w:pPr>
              <w:spacing w:after="0"/>
              <w:rPr>
                <w:sz w:val="24"/>
                <w:szCs w:val="24"/>
                <w:color w:val="auto"/>
              </w:rPr>
            </w:pPr>
          </w:p>
        </w:tc>
        <w:tc>
          <w:tcPr>
            <w:tcW w:w="2800" w:type="dxa"/>
            <w:vAlign w:val="bottom"/>
            <w:tcBorders>
              <w:bottom w:val="single" w:sz="8" w:color="929292"/>
              <w:right w:val="single" w:sz="8" w:color="B6B6B6"/>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40" w:type="dxa"/>
            <w:vAlign w:val="bottom"/>
            <w:tcBorders>
              <w:top w:val="single" w:sz="8" w:color="B6B6B6"/>
              <w:left w:val="single" w:sz="8" w:color="B6B6B6"/>
              <w:right w:val="single" w:sz="8" w:color="B6B6B6"/>
            </w:tcBorders>
            <w:shd w:val="clear" w:color="auto" w:fill="CCEEFF"/>
          </w:tcPr>
          <w:p>
            <w:pPr>
              <w:spacing w:after="0"/>
              <w:rPr>
                <w:sz w:val="12"/>
                <w:szCs w:val="12"/>
                <w:color w:val="auto"/>
              </w:rPr>
            </w:pPr>
          </w:p>
        </w:tc>
        <w:tc>
          <w:tcPr>
            <w:tcW w:w="3680" w:type="dxa"/>
            <w:vAlign w:val="bottom"/>
            <w:tcBorders>
              <w:top w:val="single" w:sz="8" w:color="B6B6B6"/>
              <w:right w:val="single" w:sz="8" w:color="B6B6B6"/>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Treatment of adult and pediatric patients 1 year of</w:t>
            </w:r>
          </w:p>
        </w:tc>
        <w:tc>
          <w:tcPr>
            <w:tcW w:w="2140" w:type="dxa"/>
            <w:vAlign w:val="bottom"/>
            <w:tcBorders>
              <w:top w:val="single" w:sz="8" w:color="B6B6B6"/>
              <w:right w:val="single" w:sz="8" w:color="B6B6B6"/>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August 2025</w:t>
            </w:r>
          </w:p>
        </w:tc>
        <w:tc>
          <w:tcPr>
            <w:tcW w:w="2800" w:type="dxa"/>
            <w:vAlign w:val="bottom"/>
            <w:tcBorders>
              <w:top w:val="single" w:sz="8" w:color="CCEEFF"/>
              <w:right w:val="single" w:sz="8" w:color="B6B6B6"/>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U.S.</w:t>
            </w:r>
            <w:r>
              <w:rPr>
                <w:rFonts w:ascii="Times New Roman" w:cs="Times New Roman" w:eastAsia="Times New Roman" w:hAnsi="Times New Roman"/>
                <w:sz w:val="17"/>
                <w:szCs w:val="17"/>
                <w:color w:val="auto"/>
                <w:vertAlign w:val="superscript"/>
              </w:rPr>
              <w:t>2</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Modeyso™ (dordaviprone)</w:t>
            </w:r>
          </w:p>
        </w:tc>
        <w:tc>
          <w:tcPr>
            <w:tcW w:w="3680" w:type="dxa"/>
            <w:vAlign w:val="bottom"/>
            <w:tcBorders>
              <w:right w:val="single" w:sz="8" w:color="B6B6B6"/>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age and older with diffuse midline glioma</w:t>
            </w:r>
          </w:p>
        </w:tc>
        <w:tc>
          <w:tcPr>
            <w:tcW w:w="2140" w:type="dxa"/>
            <w:vAlign w:val="bottom"/>
            <w:tcBorders>
              <w:right w:val="single" w:sz="8" w:color="B6B6B6"/>
            </w:tcBorders>
            <w:shd w:val="clear" w:color="auto" w:fill="CCEEFF"/>
          </w:tcPr>
          <w:p>
            <w:pPr>
              <w:spacing w:after="0"/>
              <w:rPr>
                <w:sz w:val="16"/>
                <w:szCs w:val="16"/>
                <w:color w:val="auto"/>
              </w:rPr>
            </w:pPr>
          </w:p>
        </w:tc>
        <w:tc>
          <w:tcPr>
            <w:tcW w:w="280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40" w:type="dxa"/>
            <w:vAlign w:val="bottom"/>
            <w:tcBorders>
              <w:left w:val="single" w:sz="8" w:color="B6B6B6"/>
              <w:right w:val="single" w:sz="8" w:color="B6B6B6"/>
            </w:tcBorders>
            <w:vMerge w:val="continue"/>
            <w:shd w:val="clear" w:color="auto" w:fill="CCEEFF"/>
          </w:tcPr>
          <w:p>
            <w:pPr>
              <w:spacing w:after="0"/>
              <w:rPr>
                <w:sz w:val="12"/>
                <w:szCs w:val="12"/>
                <w:color w:val="auto"/>
              </w:rPr>
            </w:pPr>
          </w:p>
        </w:tc>
        <w:tc>
          <w:tcPr>
            <w:tcW w:w="3680" w:type="dxa"/>
            <w:vAlign w:val="bottom"/>
            <w:tcBorders>
              <w:right w:val="single" w:sz="8" w:color="B6B6B6"/>
            </w:tcBorders>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harboring an H3 K27M mutation with progressive</w:t>
            </w:r>
          </w:p>
        </w:tc>
        <w:tc>
          <w:tcPr>
            <w:tcW w:w="2140" w:type="dxa"/>
            <w:vAlign w:val="bottom"/>
            <w:tcBorders>
              <w:right w:val="single" w:sz="8" w:color="B6B6B6"/>
            </w:tcBorders>
            <w:shd w:val="clear" w:color="auto" w:fill="CCEEFF"/>
          </w:tcPr>
          <w:p>
            <w:pPr>
              <w:spacing w:after="0"/>
              <w:rPr>
                <w:sz w:val="12"/>
                <w:szCs w:val="12"/>
                <w:color w:val="auto"/>
              </w:rPr>
            </w:pPr>
          </w:p>
        </w:tc>
        <w:tc>
          <w:tcPr>
            <w:tcW w:w="2800" w:type="dxa"/>
            <w:vAlign w:val="bottom"/>
            <w:tcBorders>
              <w:right w:val="single" w:sz="8" w:color="B6B6B6"/>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640" w:type="dxa"/>
            <w:vAlign w:val="bottom"/>
            <w:tcBorders>
              <w:left w:val="single" w:sz="8" w:color="B6B6B6"/>
              <w:right w:val="single" w:sz="8" w:color="B6B6B6"/>
            </w:tcBorders>
            <w:shd w:val="clear" w:color="auto" w:fill="CCEEFF"/>
          </w:tcPr>
          <w:p>
            <w:pPr>
              <w:spacing w:after="0"/>
              <w:rPr>
                <w:sz w:val="3"/>
                <w:szCs w:val="3"/>
                <w:color w:val="auto"/>
              </w:rPr>
            </w:pPr>
          </w:p>
        </w:tc>
        <w:tc>
          <w:tcPr>
            <w:tcW w:w="3680" w:type="dxa"/>
            <w:vAlign w:val="bottom"/>
            <w:tcBorders>
              <w:right w:val="single" w:sz="8" w:color="B6B6B6"/>
            </w:tcBorders>
            <w:vMerge w:val="continue"/>
            <w:shd w:val="clear" w:color="auto" w:fill="CCEEFF"/>
          </w:tcPr>
          <w:p>
            <w:pPr>
              <w:spacing w:after="0"/>
              <w:rPr>
                <w:sz w:val="3"/>
                <w:szCs w:val="3"/>
                <w:color w:val="auto"/>
              </w:rPr>
            </w:pPr>
          </w:p>
        </w:tc>
        <w:tc>
          <w:tcPr>
            <w:tcW w:w="2140" w:type="dxa"/>
            <w:vAlign w:val="bottom"/>
            <w:tcBorders>
              <w:right w:val="single" w:sz="8" w:color="B6B6B6"/>
            </w:tcBorders>
            <w:shd w:val="clear" w:color="auto" w:fill="CCEEFF"/>
          </w:tcPr>
          <w:p>
            <w:pPr>
              <w:spacing w:after="0"/>
              <w:rPr>
                <w:sz w:val="3"/>
                <w:szCs w:val="3"/>
                <w:color w:val="auto"/>
              </w:rPr>
            </w:pPr>
          </w:p>
        </w:tc>
        <w:tc>
          <w:tcPr>
            <w:tcW w:w="2800" w:type="dxa"/>
            <w:vAlign w:val="bottom"/>
            <w:tcBorders>
              <w:right w:val="single" w:sz="8" w:color="B6B6B6"/>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640" w:type="dxa"/>
            <w:vAlign w:val="bottom"/>
            <w:tcBorders>
              <w:left w:val="single" w:sz="8" w:color="B6B6B6"/>
              <w:bottom w:val="single" w:sz="8" w:color="B6B6B6"/>
              <w:right w:val="single" w:sz="8" w:color="B6B6B6"/>
            </w:tcBorders>
            <w:shd w:val="clear" w:color="auto" w:fill="CCEEFF"/>
          </w:tcPr>
          <w:p>
            <w:pPr>
              <w:spacing w:after="0"/>
              <w:rPr>
                <w:sz w:val="19"/>
                <w:szCs w:val="19"/>
                <w:color w:val="auto"/>
              </w:rPr>
            </w:pPr>
          </w:p>
        </w:tc>
        <w:tc>
          <w:tcPr>
            <w:tcW w:w="3680" w:type="dxa"/>
            <w:vAlign w:val="bottom"/>
            <w:tcBorders>
              <w:bottom w:val="single" w:sz="8" w:color="B6B6B6"/>
              <w:right w:val="single" w:sz="8" w:color="B6B6B6"/>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disease following prior therapy.</w:t>
            </w:r>
          </w:p>
        </w:tc>
        <w:tc>
          <w:tcPr>
            <w:tcW w:w="2140" w:type="dxa"/>
            <w:vAlign w:val="bottom"/>
            <w:tcBorders>
              <w:bottom w:val="single" w:sz="8" w:color="B6B6B6"/>
              <w:right w:val="single" w:sz="8" w:color="B6B6B6"/>
            </w:tcBorders>
            <w:shd w:val="clear" w:color="auto" w:fill="CCEEFF"/>
          </w:tcPr>
          <w:p>
            <w:pPr>
              <w:spacing w:after="0"/>
              <w:rPr>
                <w:sz w:val="19"/>
                <w:szCs w:val="19"/>
                <w:color w:val="auto"/>
              </w:rPr>
            </w:pPr>
          </w:p>
        </w:tc>
        <w:tc>
          <w:tcPr>
            <w:tcW w:w="2800" w:type="dxa"/>
            <w:vAlign w:val="bottom"/>
            <w:tcBorders>
              <w:bottom w:val="single" w:sz="8" w:color="B6B6B6"/>
              <w:right w:val="single" w:sz="8" w:color="B6B6B6"/>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tcPr>
          <w:p>
            <w:pPr>
              <w:spacing w:after="0"/>
              <w:rPr>
                <w:sz w:val="14"/>
                <w:szCs w:val="14"/>
                <w:color w:val="auto"/>
              </w:rPr>
            </w:pPr>
          </w:p>
        </w:tc>
        <w:tc>
          <w:tcPr>
            <w:tcW w:w="3680" w:type="dxa"/>
            <w:vAlign w:val="bottom"/>
            <w:tcBorders>
              <w:right w:val="single" w:sz="8" w:color="B6B6B6"/>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adults with Stage III or metastatic</w:t>
            </w:r>
          </w:p>
        </w:tc>
        <w:tc>
          <w:tcPr>
            <w:tcW w:w="2140" w:type="dxa"/>
            <w:vAlign w:val="bottom"/>
            <w:tcBorders>
              <w:right w:val="single" w:sz="8" w:color="B6B6B6"/>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September 2021</w:t>
            </w:r>
          </w:p>
        </w:tc>
        <w:tc>
          <w:tcPr>
            <w:tcW w:w="2800" w:type="dxa"/>
            <w:vAlign w:val="bottom"/>
            <w:tcBorders>
              <w:right w:val="single" w:sz="8" w:color="B6B6B6"/>
            </w:tcBorders>
          </w:tcPr>
          <w:p>
            <w:pPr>
              <w:spacing w:after="0" w:line="169" w:lineRule="exact"/>
              <w:rPr>
                <w:sz w:val="20"/>
                <w:szCs w:val="20"/>
                <w:color w:val="auto"/>
              </w:rPr>
            </w:pPr>
            <w:r>
              <w:rPr>
                <w:rFonts w:ascii="Times New Roman" w:cs="Times New Roman" w:eastAsia="Times New Roman" w:hAnsi="Times New Roman"/>
                <w:sz w:val="15"/>
                <w:szCs w:val="15"/>
                <w:color w:val="auto"/>
              </w:rPr>
              <w:t>Canada (licensed from PharmaMar)</w:t>
            </w:r>
            <w:r>
              <w:rPr>
                <w:rFonts w:ascii="Times New Roman" w:cs="Times New Roman" w:eastAsia="Times New Roman" w:hAnsi="Times New Roman"/>
                <w:sz w:val="19"/>
                <w:szCs w:val="19"/>
                <w:color w:val="auto"/>
                <w:vertAlign w:val="superscript"/>
              </w:rPr>
              <w:t>4</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tcPr>
          <w:p>
            <w:pPr>
              <w:spacing w:after="0"/>
              <w:rPr>
                <w:sz w:val="16"/>
                <w:szCs w:val="16"/>
                <w:color w:val="auto"/>
              </w:rPr>
            </w:pPr>
          </w:p>
        </w:tc>
        <w:tc>
          <w:tcPr>
            <w:tcW w:w="3680" w:type="dxa"/>
            <w:vAlign w:val="bottom"/>
            <w:tcBorders>
              <w:right w:val="single" w:sz="8" w:color="B6B6B6"/>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SCLC who have progressed on or after platinum-</w:t>
            </w:r>
          </w:p>
        </w:tc>
        <w:tc>
          <w:tcPr>
            <w:tcW w:w="2140" w:type="dxa"/>
            <w:vAlign w:val="bottom"/>
            <w:tcBorders>
              <w:right w:val="single" w:sz="8" w:color="B6B6B6"/>
            </w:tcBorders>
          </w:tcPr>
          <w:p>
            <w:pPr>
              <w:spacing w:after="0"/>
              <w:rPr>
                <w:sz w:val="16"/>
                <w:szCs w:val="16"/>
                <w:color w:val="auto"/>
              </w:rPr>
            </w:pPr>
          </w:p>
        </w:tc>
        <w:tc>
          <w:tcPr>
            <w:tcW w:w="28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tcBorders>
              <w:left w:val="single" w:sz="8" w:color="B6B6B6"/>
              <w:right w:val="single" w:sz="8" w:color="B6B6B6"/>
            </w:tcBorders>
          </w:tcPr>
          <w:p>
            <w:pPr>
              <w:spacing w:after="0"/>
              <w:rPr>
                <w:sz w:val="20"/>
                <w:szCs w:val="20"/>
                <w:color w:val="auto"/>
              </w:rPr>
            </w:pPr>
          </w:p>
        </w:tc>
        <w:tc>
          <w:tcPr>
            <w:tcW w:w="3680" w:type="dxa"/>
            <w:vAlign w:val="bottom"/>
            <w:tcBorders>
              <w:bottom w:val="single" w:sz="8" w:color="B6B6B6"/>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containing therapy.</w:t>
            </w:r>
          </w:p>
        </w:tc>
        <w:tc>
          <w:tcPr>
            <w:tcW w:w="2140" w:type="dxa"/>
            <w:vAlign w:val="bottom"/>
            <w:tcBorders>
              <w:bottom w:val="single" w:sz="8" w:color="B6B6B6"/>
              <w:right w:val="single" w:sz="8" w:color="B6B6B6"/>
            </w:tcBorders>
          </w:tcPr>
          <w:p>
            <w:pPr>
              <w:spacing w:after="0"/>
              <w:rPr>
                <w:sz w:val="20"/>
                <w:szCs w:val="20"/>
                <w:color w:val="auto"/>
              </w:rPr>
            </w:pPr>
          </w:p>
        </w:tc>
        <w:tc>
          <w:tcPr>
            <w:tcW w:w="2800" w:type="dxa"/>
            <w:vAlign w:val="bottom"/>
            <w:tcBorders>
              <w:bottom w:val="single" w:sz="8" w:color="B6B6B6"/>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tcPr>
          <w:p>
            <w:pPr>
              <w:spacing w:after="0"/>
              <w:rPr>
                <w:sz w:val="14"/>
                <w:szCs w:val="14"/>
                <w:color w:val="auto"/>
              </w:rPr>
            </w:pPr>
          </w:p>
        </w:tc>
        <w:tc>
          <w:tcPr>
            <w:tcW w:w="3680" w:type="dxa"/>
            <w:vAlign w:val="bottom"/>
            <w:tcBorders>
              <w:right w:val="single" w:sz="8" w:color="B6B6B6"/>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In combination with atezolizumab or</w:t>
            </w:r>
          </w:p>
        </w:tc>
        <w:tc>
          <w:tcPr>
            <w:tcW w:w="2140" w:type="dxa"/>
            <w:vAlign w:val="bottom"/>
            <w:tcBorders>
              <w:right w:val="single" w:sz="8" w:color="B6B6B6"/>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October 2025</w:t>
            </w:r>
          </w:p>
        </w:tc>
        <w:tc>
          <w:tcPr>
            <w:tcW w:w="2800" w:type="dxa"/>
            <w:vAlign w:val="bottom"/>
            <w:tcBorders>
              <w:right w:val="single" w:sz="8" w:color="B6B6B6"/>
            </w:tcBorders>
          </w:tcPr>
          <w:p>
            <w:pPr>
              <w:spacing w:after="0" w:line="169" w:lineRule="exact"/>
              <w:rPr>
                <w:sz w:val="20"/>
                <w:szCs w:val="20"/>
                <w:color w:val="auto"/>
              </w:rPr>
            </w:pPr>
            <w:r>
              <w:rPr>
                <w:rFonts w:ascii="Times New Roman" w:cs="Times New Roman" w:eastAsia="Times New Roman" w:hAnsi="Times New Roman"/>
                <w:sz w:val="18"/>
                <w:szCs w:val="18"/>
                <w:color w:val="auto"/>
              </w:rPr>
              <w:t>U.S. (licensed from PharmaMar)</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tcPr>
          <w:p>
            <w:pPr>
              <w:spacing w:after="0"/>
              <w:rPr>
                <w:sz w:val="16"/>
                <w:szCs w:val="16"/>
                <w:color w:val="auto"/>
              </w:rPr>
            </w:pPr>
          </w:p>
        </w:tc>
        <w:tc>
          <w:tcPr>
            <w:tcW w:w="3680" w:type="dxa"/>
            <w:vAlign w:val="bottom"/>
            <w:tcBorders>
              <w:right w:val="single" w:sz="8" w:color="B6B6B6"/>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atezolizumab and hyaluronidase-tqjs for the</w:t>
            </w:r>
          </w:p>
        </w:tc>
        <w:tc>
          <w:tcPr>
            <w:tcW w:w="2140" w:type="dxa"/>
            <w:vAlign w:val="bottom"/>
            <w:tcBorders>
              <w:right w:val="single" w:sz="8" w:color="B6B6B6"/>
            </w:tcBorders>
          </w:tcPr>
          <w:p>
            <w:pPr>
              <w:spacing w:after="0"/>
              <w:rPr>
                <w:sz w:val="16"/>
                <w:szCs w:val="16"/>
                <w:color w:val="auto"/>
              </w:rPr>
            </w:pPr>
          </w:p>
        </w:tc>
        <w:tc>
          <w:tcPr>
            <w:tcW w:w="28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640" w:type="dxa"/>
            <w:vAlign w:val="bottom"/>
            <w:tcBorders>
              <w:left w:val="single" w:sz="8" w:color="B6B6B6"/>
              <w:right w:val="single" w:sz="8" w:color="B6B6B6"/>
            </w:tcBorders>
          </w:tcPr>
          <w:p>
            <w:pPr>
              <w:ind w:left="40"/>
              <w:spacing w:after="0"/>
              <w:rPr>
                <w:sz w:val="20"/>
                <w:szCs w:val="20"/>
                <w:color w:val="auto"/>
              </w:rPr>
            </w:pPr>
            <w:r>
              <w:rPr>
                <w:rFonts w:ascii="Times New Roman" w:cs="Times New Roman" w:eastAsia="Times New Roman" w:hAnsi="Times New Roman"/>
                <w:sz w:val="18"/>
                <w:szCs w:val="18"/>
                <w:color w:val="auto"/>
              </w:rPr>
              <w:t>Zepzelca® (lurbinectedin)</w:t>
            </w:r>
          </w:p>
        </w:tc>
        <w:tc>
          <w:tcPr>
            <w:tcW w:w="3680" w:type="dxa"/>
            <w:vAlign w:val="bottom"/>
            <w:tcBorders>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maintenance treatment of adult patients with</w:t>
            </w:r>
          </w:p>
        </w:tc>
        <w:tc>
          <w:tcPr>
            <w:tcW w:w="2140" w:type="dxa"/>
            <w:vAlign w:val="bottom"/>
            <w:tcBorders>
              <w:right w:val="single" w:sz="8" w:color="B6B6B6"/>
            </w:tcBorders>
          </w:tcPr>
          <w:p>
            <w:pPr>
              <w:spacing w:after="0"/>
              <w:rPr>
                <w:sz w:val="19"/>
                <w:szCs w:val="19"/>
                <w:color w:val="auto"/>
              </w:rPr>
            </w:pPr>
          </w:p>
        </w:tc>
        <w:tc>
          <w:tcPr>
            <w:tcW w:w="2800" w:type="dxa"/>
            <w:vAlign w:val="bottom"/>
            <w:tcBorders>
              <w:right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640" w:type="dxa"/>
            <w:vAlign w:val="bottom"/>
            <w:tcBorders>
              <w:left w:val="single" w:sz="8" w:color="B6B6B6"/>
              <w:right w:val="single" w:sz="8" w:color="B6B6B6"/>
            </w:tcBorders>
          </w:tcPr>
          <w:p>
            <w:pPr>
              <w:spacing w:after="0"/>
              <w:rPr>
                <w:sz w:val="11"/>
                <w:szCs w:val="11"/>
                <w:color w:val="auto"/>
              </w:rPr>
            </w:pPr>
          </w:p>
        </w:tc>
        <w:tc>
          <w:tcPr>
            <w:tcW w:w="3680" w:type="dxa"/>
            <w:vAlign w:val="bottom"/>
            <w:tcBorders>
              <w:right w:val="single" w:sz="8" w:color="B6B6B6"/>
            </w:tcBorders>
          </w:tcPr>
          <w:p>
            <w:pPr>
              <w:ind w:left="20"/>
              <w:spacing w:after="0" w:line="135" w:lineRule="exact"/>
              <w:rPr>
                <w:sz w:val="20"/>
                <w:szCs w:val="20"/>
                <w:color w:val="auto"/>
              </w:rPr>
            </w:pPr>
            <w:r>
              <w:rPr>
                <w:rFonts w:ascii="Times New Roman" w:cs="Times New Roman" w:eastAsia="Times New Roman" w:hAnsi="Times New Roman"/>
                <w:sz w:val="15"/>
                <w:szCs w:val="15"/>
                <w:color w:val="auto"/>
              </w:rPr>
              <w:t>extensive-stage SCLC whose disease has not</w:t>
            </w:r>
          </w:p>
        </w:tc>
        <w:tc>
          <w:tcPr>
            <w:tcW w:w="2140" w:type="dxa"/>
            <w:vAlign w:val="bottom"/>
            <w:tcBorders>
              <w:right w:val="single" w:sz="8" w:color="B6B6B6"/>
            </w:tcBorders>
          </w:tcPr>
          <w:p>
            <w:pPr>
              <w:spacing w:after="0"/>
              <w:rPr>
                <w:sz w:val="11"/>
                <w:szCs w:val="11"/>
                <w:color w:val="auto"/>
              </w:rPr>
            </w:pPr>
          </w:p>
        </w:tc>
        <w:tc>
          <w:tcPr>
            <w:tcW w:w="2800" w:type="dxa"/>
            <w:vAlign w:val="bottom"/>
            <w:tcBorders>
              <w:right w:val="single" w:sz="8" w:color="B6B6B6"/>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tcPr>
          <w:p>
            <w:pPr>
              <w:spacing w:after="0"/>
              <w:rPr>
                <w:sz w:val="16"/>
                <w:szCs w:val="16"/>
                <w:color w:val="auto"/>
              </w:rPr>
            </w:pPr>
          </w:p>
        </w:tc>
        <w:tc>
          <w:tcPr>
            <w:tcW w:w="3680" w:type="dxa"/>
            <w:vAlign w:val="bottom"/>
            <w:tcBorders>
              <w:right w:val="single" w:sz="8" w:color="B6B6B6"/>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progressed after first-line induction therapy with</w:t>
            </w:r>
          </w:p>
        </w:tc>
        <w:tc>
          <w:tcPr>
            <w:tcW w:w="2140" w:type="dxa"/>
            <w:vAlign w:val="bottom"/>
            <w:tcBorders>
              <w:right w:val="single" w:sz="8" w:color="B6B6B6"/>
            </w:tcBorders>
          </w:tcPr>
          <w:p>
            <w:pPr>
              <w:spacing w:after="0"/>
              <w:rPr>
                <w:sz w:val="16"/>
                <w:szCs w:val="16"/>
                <w:color w:val="auto"/>
              </w:rPr>
            </w:pPr>
          </w:p>
        </w:tc>
        <w:tc>
          <w:tcPr>
            <w:tcW w:w="28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40" w:type="dxa"/>
            <w:vAlign w:val="bottom"/>
            <w:tcBorders>
              <w:left w:val="single" w:sz="8" w:color="B6B6B6"/>
              <w:right w:val="single" w:sz="8" w:color="B6B6B6"/>
            </w:tcBorders>
          </w:tcPr>
          <w:p>
            <w:pPr>
              <w:spacing w:after="0"/>
              <w:rPr>
                <w:sz w:val="15"/>
                <w:szCs w:val="15"/>
                <w:color w:val="auto"/>
              </w:rPr>
            </w:pPr>
          </w:p>
        </w:tc>
        <w:tc>
          <w:tcPr>
            <w:tcW w:w="3680" w:type="dxa"/>
            <w:vAlign w:val="bottom"/>
            <w:tcBorders>
              <w:right w:val="single" w:sz="8" w:color="B6B6B6"/>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atezolizumab or atezolizumab and hyaluronidase-</w:t>
            </w:r>
          </w:p>
        </w:tc>
        <w:tc>
          <w:tcPr>
            <w:tcW w:w="2140" w:type="dxa"/>
            <w:vAlign w:val="bottom"/>
            <w:tcBorders>
              <w:right w:val="single" w:sz="8" w:color="B6B6B6"/>
            </w:tcBorders>
          </w:tcPr>
          <w:p>
            <w:pPr>
              <w:spacing w:after="0"/>
              <w:rPr>
                <w:sz w:val="15"/>
                <w:szCs w:val="15"/>
                <w:color w:val="auto"/>
              </w:rPr>
            </w:pPr>
          </w:p>
        </w:tc>
        <w:tc>
          <w:tcPr>
            <w:tcW w:w="280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640" w:type="dxa"/>
            <w:vAlign w:val="bottom"/>
            <w:tcBorders>
              <w:left w:val="single" w:sz="8" w:color="B6B6B6"/>
              <w:right w:val="single" w:sz="8" w:color="B6B6B6"/>
            </w:tcBorders>
          </w:tcPr>
          <w:p>
            <w:pPr>
              <w:spacing w:after="0"/>
              <w:rPr>
                <w:sz w:val="20"/>
                <w:szCs w:val="20"/>
                <w:color w:val="auto"/>
              </w:rPr>
            </w:pPr>
          </w:p>
        </w:tc>
        <w:tc>
          <w:tcPr>
            <w:tcW w:w="3680" w:type="dxa"/>
            <w:vAlign w:val="bottom"/>
            <w:tcBorders>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tqjs, carboplatin and etoposide.</w:t>
            </w:r>
          </w:p>
        </w:tc>
        <w:tc>
          <w:tcPr>
            <w:tcW w:w="2140" w:type="dxa"/>
            <w:vAlign w:val="bottom"/>
            <w:tcBorders>
              <w:right w:val="single" w:sz="8" w:color="B6B6B6"/>
            </w:tcBorders>
          </w:tcPr>
          <w:p>
            <w:pPr>
              <w:spacing w:after="0"/>
              <w:rPr>
                <w:sz w:val="20"/>
                <w:szCs w:val="20"/>
                <w:color w:val="auto"/>
              </w:rPr>
            </w:pPr>
          </w:p>
        </w:tc>
        <w:tc>
          <w:tcPr>
            <w:tcW w:w="2800" w:type="dxa"/>
            <w:vAlign w:val="bottom"/>
            <w:tcBorders>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640" w:type="dxa"/>
            <w:vAlign w:val="bottom"/>
            <w:tcBorders>
              <w:left w:val="single" w:sz="8" w:color="B6B6B6"/>
              <w:bottom w:val="single" w:sz="8" w:color="B6B6B6"/>
              <w:right w:val="single" w:sz="8" w:color="B6B6B6"/>
            </w:tcBorders>
          </w:tcPr>
          <w:p>
            <w:pPr>
              <w:spacing w:after="0"/>
              <w:rPr>
                <w:sz w:val="24"/>
                <w:szCs w:val="24"/>
                <w:color w:val="auto"/>
              </w:rPr>
            </w:pPr>
          </w:p>
        </w:tc>
        <w:tc>
          <w:tcPr>
            <w:tcW w:w="3680" w:type="dxa"/>
            <w:vAlign w:val="bottom"/>
            <w:tcBorders>
              <w:bottom w:val="single" w:sz="8" w:color="B6B6B6"/>
              <w:right w:val="single" w:sz="8" w:color="B6B6B6"/>
            </w:tcBorders>
          </w:tcPr>
          <w:p>
            <w:pPr>
              <w:spacing w:after="0"/>
              <w:rPr>
                <w:sz w:val="24"/>
                <w:szCs w:val="24"/>
                <w:color w:val="auto"/>
              </w:rPr>
            </w:pPr>
          </w:p>
        </w:tc>
        <w:tc>
          <w:tcPr>
            <w:tcW w:w="2140" w:type="dxa"/>
            <w:vAlign w:val="bottom"/>
            <w:tcBorders>
              <w:bottom w:val="single" w:sz="8" w:color="B6B6B6"/>
              <w:right w:val="single" w:sz="8" w:color="B6B6B6"/>
            </w:tcBorders>
          </w:tcPr>
          <w:p>
            <w:pPr>
              <w:spacing w:after="0"/>
              <w:rPr>
                <w:sz w:val="24"/>
                <w:szCs w:val="24"/>
                <w:color w:val="auto"/>
              </w:rPr>
            </w:pPr>
          </w:p>
        </w:tc>
        <w:tc>
          <w:tcPr>
            <w:tcW w:w="2800" w:type="dxa"/>
            <w:vAlign w:val="bottom"/>
            <w:tcBorders>
              <w:bottom w:val="single" w:sz="8" w:color="B6B6B6"/>
              <w:right w:val="single" w:sz="8" w:color="B6B6B6"/>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Rylaze® (asparaginase erwinia</w:t>
            </w:r>
          </w:p>
        </w:tc>
        <w:tc>
          <w:tcPr>
            <w:tcW w:w="3680" w:type="dxa"/>
            <w:vAlign w:val="bottom"/>
            <w:tcBorders>
              <w:right w:val="single" w:sz="8" w:color="B6B6B6"/>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 component of a multi-agent chemotherapeutic</w:t>
            </w:r>
          </w:p>
        </w:tc>
        <w:tc>
          <w:tcPr>
            <w:tcW w:w="2140" w:type="dxa"/>
            <w:vAlign w:val="bottom"/>
            <w:tcBorders>
              <w:right w:val="single" w:sz="8" w:color="B6B6B6"/>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June 2021</w:t>
            </w:r>
          </w:p>
        </w:tc>
        <w:tc>
          <w:tcPr>
            <w:tcW w:w="2800" w:type="dxa"/>
            <w:vAlign w:val="bottom"/>
            <w:tcBorders>
              <w:right w:val="single" w:sz="8" w:color="B6B6B6"/>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75"/>
        </w:trPr>
        <w:tc>
          <w:tcPr>
            <w:tcW w:w="2640" w:type="dxa"/>
            <w:vAlign w:val="bottom"/>
            <w:tcBorders>
              <w:left w:val="single" w:sz="8" w:color="B6B6B6"/>
              <w:right w:val="single" w:sz="8" w:color="B6B6B6"/>
            </w:tcBorders>
            <w:vMerge w:val="continue"/>
            <w:shd w:val="clear" w:color="auto" w:fill="CCEEFF"/>
          </w:tcPr>
          <w:p>
            <w:pPr>
              <w:spacing w:after="0"/>
              <w:rPr>
                <w:sz w:val="15"/>
                <w:szCs w:val="15"/>
                <w:color w:val="auto"/>
              </w:rPr>
            </w:pPr>
          </w:p>
        </w:tc>
        <w:tc>
          <w:tcPr>
            <w:tcW w:w="3680" w:type="dxa"/>
            <w:vAlign w:val="bottom"/>
            <w:tcBorders>
              <w:right w:val="single" w:sz="8" w:color="B6B6B6"/>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regimen for the treatment of ALL and LBL in</w:t>
            </w:r>
          </w:p>
        </w:tc>
        <w:tc>
          <w:tcPr>
            <w:tcW w:w="2140" w:type="dxa"/>
            <w:vAlign w:val="bottom"/>
            <w:tcBorders>
              <w:right w:val="single" w:sz="8" w:color="B6B6B6"/>
            </w:tcBorders>
            <w:shd w:val="clear" w:color="auto" w:fill="CCEEFF"/>
          </w:tcPr>
          <w:p>
            <w:pPr>
              <w:spacing w:after="0"/>
              <w:rPr>
                <w:sz w:val="15"/>
                <w:szCs w:val="15"/>
                <w:color w:val="auto"/>
              </w:rPr>
            </w:pPr>
          </w:p>
        </w:tc>
        <w:tc>
          <w:tcPr>
            <w:tcW w:w="280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40" w:type="dxa"/>
            <w:vAlign w:val="bottom"/>
            <w:tcBorders>
              <w:left w:val="single" w:sz="8" w:color="B6B6B6"/>
              <w:right w:val="single" w:sz="8" w:color="B6B6B6"/>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chrysanthemi (recombinant)-</w:t>
            </w:r>
          </w:p>
        </w:tc>
        <w:tc>
          <w:tcPr>
            <w:tcW w:w="3680" w:type="dxa"/>
            <w:vAlign w:val="bottom"/>
            <w:tcBorders>
              <w:right w:val="single" w:sz="8" w:color="B6B6B6"/>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adult and pediatric patients 1 month or older who</w:t>
            </w:r>
          </w:p>
        </w:tc>
        <w:tc>
          <w:tcPr>
            <w:tcW w:w="2140" w:type="dxa"/>
            <w:vAlign w:val="bottom"/>
            <w:tcBorders>
              <w:right w:val="single" w:sz="8" w:color="B6B6B6"/>
            </w:tcBorders>
            <w:shd w:val="clear" w:color="auto" w:fill="CCEEFF"/>
          </w:tcPr>
          <w:p>
            <w:pPr>
              <w:spacing w:after="0"/>
              <w:rPr>
                <w:sz w:val="16"/>
                <w:szCs w:val="16"/>
                <w:color w:val="auto"/>
              </w:rPr>
            </w:pPr>
          </w:p>
        </w:tc>
        <w:tc>
          <w:tcPr>
            <w:tcW w:w="280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40" w:type="dxa"/>
            <w:vAlign w:val="bottom"/>
            <w:tcBorders>
              <w:left w:val="single" w:sz="8" w:color="B6B6B6"/>
              <w:right w:val="single" w:sz="8" w:color="B6B6B6"/>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rywn)</w:t>
            </w:r>
          </w:p>
        </w:tc>
        <w:tc>
          <w:tcPr>
            <w:tcW w:w="3680" w:type="dxa"/>
            <w:vAlign w:val="bottom"/>
            <w:tcBorders>
              <w:right w:val="single" w:sz="8" w:color="B6B6B6"/>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have developed hypersensitivity to E. coli-derived</w:t>
            </w:r>
          </w:p>
        </w:tc>
        <w:tc>
          <w:tcPr>
            <w:tcW w:w="2140" w:type="dxa"/>
            <w:vAlign w:val="bottom"/>
            <w:tcBorders>
              <w:right w:val="single" w:sz="8" w:color="B6B6B6"/>
            </w:tcBorders>
            <w:shd w:val="clear" w:color="auto" w:fill="CCEEFF"/>
          </w:tcPr>
          <w:p>
            <w:pPr>
              <w:spacing w:after="0"/>
              <w:rPr>
                <w:sz w:val="15"/>
                <w:szCs w:val="15"/>
                <w:color w:val="auto"/>
              </w:rPr>
            </w:pPr>
          </w:p>
        </w:tc>
        <w:tc>
          <w:tcPr>
            <w:tcW w:w="280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640" w:type="dxa"/>
            <w:vAlign w:val="bottom"/>
            <w:tcBorders>
              <w:left w:val="single" w:sz="8" w:color="B6B6B6"/>
              <w:bottom w:val="single" w:sz="8" w:color="B6B6B6"/>
              <w:right w:val="single" w:sz="8" w:color="B6B6B6"/>
            </w:tcBorders>
            <w:shd w:val="clear" w:color="auto" w:fill="CCEEFF"/>
          </w:tcPr>
          <w:p>
            <w:pPr>
              <w:spacing w:after="0"/>
              <w:rPr>
                <w:sz w:val="20"/>
                <w:szCs w:val="20"/>
                <w:color w:val="auto"/>
              </w:rPr>
            </w:pPr>
          </w:p>
        </w:tc>
        <w:tc>
          <w:tcPr>
            <w:tcW w:w="3680" w:type="dxa"/>
            <w:vAlign w:val="bottom"/>
            <w:tcBorders>
              <w:bottom w:val="single" w:sz="8" w:color="B6B6B6"/>
              <w:right w:val="single" w:sz="8" w:color="B6B6B6"/>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asparaginase.</w:t>
            </w:r>
          </w:p>
        </w:tc>
        <w:tc>
          <w:tcPr>
            <w:tcW w:w="2140" w:type="dxa"/>
            <w:vAlign w:val="bottom"/>
            <w:tcBorders>
              <w:bottom w:val="single" w:sz="8" w:color="B6B6B6"/>
              <w:right w:val="single" w:sz="8" w:color="B6B6B6"/>
            </w:tcBorders>
            <w:shd w:val="clear" w:color="auto" w:fill="CCEEFF"/>
          </w:tcPr>
          <w:p>
            <w:pPr>
              <w:spacing w:after="0"/>
              <w:rPr>
                <w:sz w:val="20"/>
                <w:szCs w:val="20"/>
                <w:color w:val="auto"/>
              </w:rPr>
            </w:pPr>
          </w:p>
        </w:tc>
        <w:tc>
          <w:tcPr>
            <w:tcW w:w="280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640" w:type="dxa"/>
            <w:vAlign w:val="bottom"/>
            <w:tcBorders>
              <w:top w:val="single" w:sz="8" w:color="B6B6B6"/>
              <w:left w:val="single" w:sz="8" w:color="B6B6B6"/>
              <w:right w:val="single" w:sz="8" w:color="B6B6B6"/>
            </w:tcBorders>
          </w:tcPr>
          <w:p>
            <w:pPr>
              <w:spacing w:after="0"/>
              <w:rPr>
                <w:sz w:val="16"/>
                <w:szCs w:val="16"/>
                <w:color w:val="auto"/>
              </w:rPr>
            </w:pPr>
          </w:p>
        </w:tc>
        <w:tc>
          <w:tcPr>
            <w:tcW w:w="3680" w:type="dxa"/>
            <w:vAlign w:val="bottom"/>
            <w:tcBorders>
              <w:top w:val="single" w:sz="8" w:color="B6B6B6"/>
              <w:right w:val="single" w:sz="8" w:color="B6B6B6"/>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A component of a multi-agent chemotherapeutic</w:t>
            </w:r>
          </w:p>
        </w:tc>
        <w:tc>
          <w:tcPr>
            <w:tcW w:w="2140" w:type="dxa"/>
            <w:vAlign w:val="bottom"/>
            <w:tcBorders>
              <w:top w:val="single" w:sz="8" w:color="B6B6B6"/>
              <w:right w:val="single" w:sz="8" w:color="B6B6B6"/>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September 2022</w:t>
            </w:r>
          </w:p>
        </w:tc>
        <w:tc>
          <w:tcPr>
            <w:tcW w:w="2800" w:type="dxa"/>
            <w:vAlign w:val="bottom"/>
            <w:tcBorders>
              <w:top w:val="single" w:sz="8" w:color="B6B6B6"/>
              <w:right w:val="single" w:sz="8" w:color="B6B6B6"/>
            </w:tcBorders>
          </w:tcPr>
          <w:p>
            <w:pPr>
              <w:spacing w:after="0" w:line="189"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Rylaze® (crisantaspase</w:t>
            </w:r>
          </w:p>
        </w:tc>
        <w:tc>
          <w:tcPr>
            <w:tcW w:w="3680" w:type="dxa"/>
            <w:vAlign w:val="bottom"/>
            <w:tcBorders>
              <w:right w:val="single" w:sz="8" w:color="B6B6B6"/>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regimen for the treatment of ALL and LBL in</w:t>
            </w:r>
          </w:p>
        </w:tc>
        <w:tc>
          <w:tcPr>
            <w:tcW w:w="2140" w:type="dxa"/>
            <w:vAlign w:val="bottom"/>
            <w:tcBorders>
              <w:right w:val="single" w:sz="8" w:color="B6B6B6"/>
            </w:tcBorders>
          </w:tcPr>
          <w:p>
            <w:pPr>
              <w:spacing w:after="0"/>
              <w:rPr>
                <w:sz w:val="16"/>
                <w:szCs w:val="16"/>
                <w:color w:val="auto"/>
              </w:rPr>
            </w:pPr>
          </w:p>
        </w:tc>
        <w:tc>
          <w:tcPr>
            <w:tcW w:w="28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640" w:type="dxa"/>
            <w:vAlign w:val="bottom"/>
            <w:tcBorders>
              <w:left w:val="single" w:sz="8" w:color="B6B6B6"/>
              <w:right w:val="single" w:sz="8" w:color="B6B6B6"/>
            </w:tcBorders>
            <w:vMerge w:val="continue"/>
          </w:tcPr>
          <w:p>
            <w:pPr>
              <w:spacing w:after="0"/>
              <w:rPr>
                <w:sz w:val="7"/>
                <w:szCs w:val="7"/>
                <w:color w:val="auto"/>
              </w:rPr>
            </w:pPr>
          </w:p>
        </w:tc>
        <w:tc>
          <w:tcPr>
            <w:tcW w:w="3680" w:type="dxa"/>
            <w:vAlign w:val="bottom"/>
            <w:tcBorders>
              <w:right w:val="single" w:sz="8" w:color="B6B6B6"/>
            </w:tcBorders>
            <w:vMerge w:val="restart"/>
          </w:tcPr>
          <w:p>
            <w:pPr>
              <w:ind w:left="20"/>
              <w:spacing w:after="0" w:line="181" w:lineRule="exact"/>
              <w:rPr>
                <w:sz w:val="20"/>
                <w:szCs w:val="20"/>
                <w:color w:val="auto"/>
              </w:rPr>
            </w:pPr>
            <w:r>
              <w:rPr>
                <w:rFonts w:ascii="Times New Roman" w:cs="Times New Roman" w:eastAsia="Times New Roman" w:hAnsi="Times New Roman"/>
                <w:sz w:val="18"/>
                <w:szCs w:val="18"/>
                <w:color w:val="auto"/>
              </w:rPr>
              <w:t>adults and pediatric patients 1 year or older who</w:t>
            </w:r>
          </w:p>
        </w:tc>
        <w:tc>
          <w:tcPr>
            <w:tcW w:w="2140" w:type="dxa"/>
            <w:vAlign w:val="bottom"/>
            <w:tcBorders>
              <w:right w:val="single" w:sz="8" w:color="B6B6B6"/>
            </w:tcBorders>
          </w:tcPr>
          <w:p>
            <w:pPr>
              <w:spacing w:after="0"/>
              <w:rPr>
                <w:sz w:val="7"/>
                <w:szCs w:val="7"/>
                <w:color w:val="auto"/>
              </w:rPr>
            </w:pPr>
          </w:p>
        </w:tc>
        <w:tc>
          <w:tcPr>
            <w:tcW w:w="2800" w:type="dxa"/>
            <w:vAlign w:val="bottom"/>
            <w:tcBorders>
              <w:right w:val="single" w:sz="8" w:color="B6B6B6"/>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640" w:type="dxa"/>
            <w:vAlign w:val="bottom"/>
            <w:tcBorders>
              <w:left w:val="single" w:sz="8" w:color="B6B6B6"/>
              <w:right w:val="single" w:sz="8" w:color="B6B6B6"/>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recombinant)</w:t>
            </w:r>
          </w:p>
        </w:tc>
        <w:tc>
          <w:tcPr>
            <w:tcW w:w="3680" w:type="dxa"/>
            <w:vAlign w:val="bottom"/>
            <w:tcBorders>
              <w:right w:val="single" w:sz="8" w:color="B6B6B6"/>
            </w:tcBorders>
            <w:vMerge w:val="continue"/>
          </w:tcPr>
          <w:p>
            <w:pPr>
              <w:spacing w:after="0"/>
              <w:rPr>
                <w:sz w:val="8"/>
                <w:szCs w:val="8"/>
                <w:color w:val="auto"/>
              </w:rPr>
            </w:pPr>
          </w:p>
        </w:tc>
        <w:tc>
          <w:tcPr>
            <w:tcW w:w="2140" w:type="dxa"/>
            <w:vAlign w:val="bottom"/>
            <w:tcBorders>
              <w:right w:val="single" w:sz="8" w:color="B6B6B6"/>
            </w:tcBorders>
          </w:tcPr>
          <w:p>
            <w:pPr>
              <w:spacing w:after="0"/>
              <w:rPr>
                <w:sz w:val="8"/>
                <w:szCs w:val="8"/>
                <w:color w:val="auto"/>
              </w:rPr>
            </w:pPr>
          </w:p>
        </w:tc>
        <w:tc>
          <w:tcPr>
            <w:tcW w:w="2800" w:type="dxa"/>
            <w:vAlign w:val="bottom"/>
            <w:tcBorders>
              <w:right w:val="single" w:sz="8" w:color="B6B6B6"/>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40" w:type="dxa"/>
            <w:vAlign w:val="bottom"/>
            <w:tcBorders>
              <w:left w:val="single" w:sz="8" w:color="B6B6B6"/>
              <w:right w:val="single" w:sz="8" w:color="B6B6B6"/>
            </w:tcBorders>
            <w:vMerge w:val="continue"/>
          </w:tcPr>
          <w:p>
            <w:pPr>
              <w:spacing w:after="0"/>
              <w:rPr>
                <w:sz w:val="12"/>
                <w:szCs w:val="12"/>
                <w:color w:val="auto"/>
              </w:rPr>
            </w:pPr>
          </w:p>
        </w:tc>
        <w:tc>
          <w:tcPr>
            <w:tcW w:w="3680" w:type="dxa"/>
            <w:vAlign w:val="bottom"/>
            <w:tcBorders>
              <w:right w:val="single" w:sz="8" w:color="B6B6B6"/>
            </w:tcBorders>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have developed hypersensitivity to</w:t>
            </w:r>
          </w:p>
        </w:tc>
        <w:tc>
          <w:tcPr>
            <w:tcW w:w="2140" w:type="dxa"/>
            <w:vAlign w:val="bottom"/>
            <w:tcBorders>
              <w:right w:val="single" w:sz="8" w:color="B6B6B6"/>
            </w:tcBorders>
          </w:tcPr>
          <w:p>
            <w:pPr>
              <w:spacing w:after="0"/>
              <w:rPr>
                <w:sz w:val="12"/>
                <w:szCs w:val="12"/>
                <w:color w:val="auto"/>
              </w:rPr>
            </w:pPr>
          </w:p>
        </w:tc>
        <w:tc>
          <w:tcPr>
            <w:tcW w:w="2800" w:type="dxa"/>
            <w:vAlign w:val="bottom"/>
            <w:tcBorders>
              <w:right w:val="single" w:sz="8" w:color="B6B6B6"/>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640" w:type="dxa"/>
            <w:vAlign w:val="bottom"/>
            <w:tcBorders>
              <w:left w:val="single" w:sz="8" w:color="B6B6B6"/>
              <w:right w:val="single" w:sz="8" w:color="B6B6B6"/>
            </w:tcBorders>
          </w:tcPr>
          <w:p>
            <w:pPr>
              <w:spacing w:after="0"/>
              <w:rPr>
                <w:sz w:val="3"/>
                <w:szCs w:val="3"/>
                <w:color w:val="auto"/>
              </w:rPr>
            </w:pPr>
          </w:p>
        </w:tc>
        <w:tc>
          <w:tcPr>
            <w:tcW w:w="3680" w:type="dxa"/>
            <w:vAlign w:val="bottom"/>
            <w:tcBorders>
              <w:right w:val="single" w:sz="8" w:color="B6B6B6"/>
            </w:tcBorders>
            <w:vMerge w:val="continue"/>
          </w:tcPr>
          <w:p>
            <w:pPr>
              <w:spacing w:after="0"/>
              <w:rPr>
                <w:sz w:val="3"/>
                <w:szCs w:val="3"/>
                <w:color w:val="auto"/>
              </w:rPr>
            </w:pPr>
          </w:p>
        </w:tc>
        <w:tc>
          <w:tcPr>
            <w:tcW w:w="2140" w:type="dxa"/>
            <w:vAlign w:val="bottom"/>
            <w:tcBorders>
              <w:right w:val="single" w:sz="8" w:color="B6B6B6"/>
            </w:tcBorders>
          </w:tcPr>
          <w:p>
            <w:pPr>
              <w:spacing w:after="0"/>
              <w:rPr>
                <w:sz w:val="3"/>
                <w:szCs w:val="3"/>
                <w:color w:val="auto"/>
              </w:rPr>
            </w:pPr>
          </w:p>
        </w:tc>
        <w:tc>
          <w:tcPr>
            <w:tcW w:w="2800" w:type="dxa"/>
            <w:vAlign w:val="bottom"/>
            <w:tcBorders>
              <w:right w:val="single" w:sz="8" w:color="B6B6B6"/>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640" w:type="dxa"/>
            <w:vAlign w:val="bottom"/>
            <w:tcBorders>
              <w:left w:val="single" w:sz="8" w:color="B6B6B6"/>
              <w:bottom w:val="single" w:sz="8" w:color="929292"/>
              <w:right w:val="single" w:sz="8" w:color="B6B6B6"/>
            </w:tcBorders>
          </w:tcPr>
          <w:p>
            <w:pPr>
              <w:spacing w:after="0"/>
              <w:rPr>
                <w:sz w:val="20"/>
                <w:szCs w:val="20"/>
                <w:color w:val="auto"/>
              </w:rPr>
            </w:pPr>
          </w:p>
        </w:tc>
        <w:tc>
          <w:tcPr>
            <w:tcW w:w="3680" w:type="dxa"/>
            <w:vAlign w:val="bottom"/>
            <w:tcBorders>
              <w:bottom w:val="single" w:sz="8" w:color="B6B6B6"/>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E. coli-derived asparaginase.</w:t>
            </w:r>
          </w:p>
        </w:tc>
        <w:tc>
          <w:tcPr>
            <w:tcW w:w="2140" w:type="dxa"/>
            <w:vAlign w:val="bottom"/>
            <w:tcBorders>
              <w:bottom w:val="single" w:sz="8" w:color="B6B6B6"/>
              <w:right w:val="single" w:sz="8" w:color="B6B6B6"/>
            </w:tcBorders>
          </w:tcPr>
          <w:p>
            <w:pPr>
              <w:spacing w:after="0"/>
              <w:rPr>
                <w:sz w:val="20"/>
                <w:szCs w:val="20"/>
                <w:color w:val="auto"/>
              </w:rPr>
            </w:pPr>
          </w:p>
        </w:tc>
        <w:tc>
          <w:tcPr>
            <w:tcW w:w="2800" w:type="dxa"/>
            <w:vAlign w:val="bottom"/>
            <w:tcBorders>
              <w:bottom w:val="single" w:sz="8" w:color="929292"/>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640" w:type="dxa"/>
            <w:vAlign w:val="bottom"/>
            <w:tcBorders>
              <w:left w:val="single" w:sz="8" w:color="B6B6B6"/>
              <w:right w:val="single" w:sz="8" w:color="B6B6B6"/>
            </w:tcBorders>
            <w:shd w:val="clear" w:color="auto" w:fill="CCEEFF"/>
          </w:tcPr>
          <w:p>
            <w:pPr>
              <w:spacing w:after="0"/>
              <w:rPr>
                <w:sz w:val="15"/>
                <w:szCs w:val="15"/>
                <w:color w:val="auto"/>
              </w:rPr>
            </w:pPr>
          </w:p>
        </w:tc>
        <w:tc>
          <w:tcPr>
            <w:tcW w:w="3680" w:type="dxa"/>
            <w:vAlign w:val="bottom"/>
            <w:tcBorders>
              <w:right w:val="single" w:sz="8" w:color="B6B6B6"/>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A component of a multi-agent chemotherapeutic</w:t>
            </w:r>
          </w:p>
        </w:tc>
        <w:tc>
          <w:tcPr>
            <w:tcW w:w="2140" w:type="dxa"/>
            <w:vAlign w:val="bottom"/>
            <w:tcBorders>
              <w:right w:val="single" w:sz="8" w:color="B6B6B6"/>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September 2023</w:t>
            </w:r>
          </w:p>
        </w:tc>
        <w:tc>
          <w:tcPr>
            <w:tcW w:w="2800" w:type="dxa"/>
            <w:vAlign w:val="bottom"/>
            <w:tcBorders>
              <w:right w:val="single" w:sz="8" w:color="B6B6B6"/>
            </w:tcBorders>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EU, U.K., Switzerland, other markets</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Enrylaze® (recombinant</w:t>
            </w:r>
          </w:p>
        </w:tc>
        <w:tc>
          <w:tcPr>
            <w:tcW w:w="3680" w:type="dxa"/>
            <w:vAlign w:val="bottom"/>
            <w:tcBorders>
              <w:right w:val="single" w:sz="8" w:color="B6B6B6"/>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regimen for the treatment of ALL and LBL in</w:t>
            </w:r>
          </w:p>
        </w:tc>
        <w:tc>
          <w:tcPr>
            <w:tcW w:w="2140" w:type="dxa"/>
            <w:vAlign w:val="bottom"/>
            <w:tcBorders>
              <w:right w:val="single" w:sz="8" w:color="B6B6B6"/>
            </w:tcBorders>
            <w:shd w:val="clear" w:color="auto" w:fill="CCEEFF"/>
          </w:tcPr>
          <w:p>
            <w:pPr>
              <w:spacing w:after="0"/>
              <w:rPr>
                <w:sz w:val="16"/>
                <w:szCs w:val="16"/>
                <w:color w:val="auto"/>
              </w:rPr>
            </w:pPr>
          </w:p>
        </w:tc>
        <w:tc>
          <w:tcPr>
            <w:tcW w:w="280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640" w:type="dxa"/>
            <w:vAlign w:val="bottom"/>
            <w:tcBorders>
              <w:left w:val="single" w:sz="8" w:color="B6B6B6"/>
              <w:right w:val="single" w:sz="8" w:color="B6B6B6"/>
            </w:tcBorders>
            <w:vMerge w:val="continue"/>
            <w:shd w:val="clear" w:color="auto" w:fill="CCEEFF"/>
          </w:tcPr>
          <w:p>
            <w:pPr>
              <w:spacing w:after="0"/>
              <w:rPr>
                <w:sz w:val="7"/>
                <w:szCs w:val="7"/>
                <w:color w:val="auto"/>
              </w:rPr>
            </w:pPr>
          </w:p>
        </w:tc>
        <w:tc>
          <w:tcPr>
            <w:tcW w:w="3680" w:type="dxa"/>
            <w:vAlign w:val="bottom"/>
            <w:tcBorders>
              <w:right w:val="single" w:sz="8" w:color="B6B6B6"/>
            </w:tcBorders>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adult and pediatric patients (1 month and older)</w:t>
            </w:r>
          </w:p>
        </w:tc>
        <w:tc>
          <w:tcPr>
            <w:tcW w:w="2140" w:type="dxa"/>
            <w:vAlign w:val="bottom"/>
            <w:tcBorders>
              <w:right w:val="single" w:sz="8" w:color="B6B6B6"/>
            </w:tcBorders>
            <w:shd w:val="clear" w:color="auto" w:fill="CCEEFF"/>
          </w:tcPr>
          <w:p>
            <w:pPr>
              <w:spacing w:after="0"/>
              <w:rPr>
                <w:sz w:val="7"/>
                <w:szCs w:val="7"/>
                <w:color w:val="auto"/>
              </w:rPr>
            </w:pPr>
          </w:p>
        </w:tc>
        <w:tc>
          <w:tcPr>
            <w:tcW w:w="2800" w:type="dxa"/>
            <w:vAlign w:val="bottom"/>
            <w:tcBorders>
              <w:right w:val="single" w:sz="8" w:color="B6B6B6"/>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640" w:type="dxa"/>
            <w:vAlign w:val="bottom"/>
            <w:tcBorders>
              <w:left w:val="single" w:sz="8" w:color="B6B6B6"/>
              <w:right w:val="single" w:sz="8" w:color="B6B6B6"/>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crisantaspase)</w:t>
            </w:r>
          </w:p>
        </w:tc>
        <w:tc>
          <w:tcPr>
            <w:tcW w:w="3680" w:type="dxa"/>
            <w:vAlign w:val="bottom"/>
            <w:tcBorders>
              <w:right w:val="single" w:sz="8" w:color="B6B6B6"/>
            </w:tcBorders>
            <w:vMerge w:val="continue"/>
            <w:shd w:val="clear" w:color="auto" w:fill="CCEEFF"/>
          </w:tcPr>
          <w:p>
            <w:pPr>
              <w:spacing w:after="0"/>
              <w:rPr>
                <w:sz w:val="8"/>
                <w:szCs w:val="8"/>
                <w:color w:val="auto"/>
              </w:rPr>
            </w:pPr>
          </w:p>
        </w:tc>
        <w:tc>
          <w:tcPr>
            <w:tcW w:w="2140" w:type="dxa"/>
            <w:vAlign w:val="bottom"/>
            <w:tcBorders>
              <w:right w:val="single" w:sz="8" w:color="B6B6B6"/>
            </w:tcBorders>
            <w:shd w:val="clear" w:color="auto" w:fill="CCEEFF"/>
          </w:tcPr>
          <w:p>
            <w:pPr>
              <w:spacing w:after="0"/>
              <w:rPr>
                <w:sz w:val="8"/>
                <w:szCs w:val="8"/>
                <w:color w:val="auto"/>
              </w:rPr>
            </w:pPr>
          </w:p>
        </w:tc>
        <w:tc>
          <w:tcPr>
            <w:tcW w:w="2800" w:type="dxa"/>
            <w:vAlign w:val="bottom"/>
            <w:tcBorders>
              <w:right w:val="single" w:sz="8" w:color="B6B6B6"/>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40" w:type="dxa"/>
            <w:vAlign w:val="bottom"/>
            <w:tcBorders>
              <w:left w:val="single" w:sz="8" w:color="B6B6B6"/>
              <w:right w:val="single" w:sz="8" w:color="B6B6B6"/>
            </w:tcBorders>
            <w:vMerge w:val="continue"/>
            <w:shd w:val="clear" w:color="auto" w:fill="CCEEFF"/>
          </w:tcPr>
          <w:p>
            <w:pPr>
              <w:spacing w:after="0"/>
              <w:rPr>
                <w:sz w:val="12"/>
                <w:szCs w:val="12"/>
                <w:color w:val="auto"/>
              </w:rPr>
            </w:pPr>
          </w:p>
        </w:tc>
        <w:tc>
          <w:tcPr>
            <w:tcW w:w="3680" w:type="dxa"/>
            <w:vAlign w:val="bottom"/>
            <w:tcBorders>
              <w:right w:val="single" w:sz="8" w:color="B6B6B6"/>
            </w:tcBorders>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who have developed hypersensitivity or silent</w:t>
            </w:r>
          </w:p>
        </w:tc>
        <w:tc>
          <w:tcPr>
            <w:tcW w:w="2140" w:type="dxa"/>
            <w:vAlign w:val="bottom"/>
            <w:tcBorders>
              <w:right w:val="single" w:sz="8" w:color="B6B6B6"/>
            </w:tcBorders>
            <w:shd w:val="clear" w:color="auto" w:fill="CCEEFF"/>
          </w:tcPr>
          <w:p>
            <w:pPr>
              <w:spacing w:after="0"/>
              <w:rPr>
                <w:sz w:val="12"/>
                <w:szCs w:val="12"/>
                <w:color w:val="auto"/>
              </w:rPr>
            </w:pPr>
          </w:p>
        </w:tc>
        <w:tc>
          <w:tcPr>
            <w:tcW w:w="2800" w:type="dxa"/>
            <w:vAlign w:val="bottom"/>
            <w:tcBorders>
              <w:right w:val="single" w:sz="8" w:color="B6B6B6"/>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640" w:type="dxa"/>
            <w:vAlign w:val="bottom"/>
            <w:tcBorders>
              <w:left w:val="single" w:sz="8" w:color="B6B6B6"/>
              <w:right w:val="single" w:sz="8" w:color="B6B6B6"/>
            </w:tcBorders>
            <w:shd w:val="clear" w:color="auto" w:fill="CCEEFF"/>
          </w:tcPr>
          <w:p>
            <w:pPr>
              <w:spacing w:after="0"/>
              <w:rPr>
                <w:sz w:val="3"/>
                <w:szCs w:val="3"/>
                <w:color w:val="auto"/>
              </w:rPr>
            </w:pPr>
          </w:p>
        </w:tc>
        <w:tc>
          <w:tcPr>
            <w:tcW w:w="3680" w:type="dxa"/>
            <w:vAlign w:val="bottom"/>
            <w:tcBorders>
              <w:right w:val="single" w:sz="8" w:color="B6B6B6"/>
            </w:tcBorders>
            <w:vMerge w:val="continue"/>
            <w:shd w:val="clear" w:color="auto" w:fill="CCEEFF"/>
          </w:tcPr>
          <w:p>
            <w:pPr>
              <w:spacing w:after="0"/>
              <w:rPr>
                <w:sz w:val="3"/>
                <w:szCs w:val="3"/>
                <w:color w:val="auto"/>
              </w:rPr>
            </w:pPr>
          </w:p>
        </w:tc>
        <w:tc>
          <w:tcPr>
            <w:tcW w:w="2140" w:type="dxa"/>
            <w:vAlign w:val="bottom"/>
            <w:tcBorders>
              <w:right w:val="single" w:sz="8" w:color="B6B6B6"/>
            </w:tcBorders>
            <w:shd w:val="clear" w:color="auto" w:fill="CCEEFF"/>
          </w:tcPr>
          <w:p>
            <w:pPr>
              <w:spacing w:after="0"/>
              <w:rPr>
                <w:sz w:val="3"/>
                <w:szCs w:val="3"/>
                <w:color w:val="auto"/>
              </w:rPr>
            </w:pPr>
          </w:p>
        </w:tc>
        <w:tc>
          <w:tcPr>
            <w:tcW w:w="2800" w:type="dxa"/>
            <w:vAlign w:val="bottom"/>
            <w:tcBorders>
              <w:right w:val="single" w:sz="8" w:color="B6B6B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640" w:type="dxa"/>
            <w:vAlign w:val="bottom"/>
            <w:tcBorders>
              <w:left w:val="single" w:sz="8" w:color="B6B6B6"/>
              <w:bottom w:val="single" w:sz="8" w:color="B6B6B6"/>
              <w:right w:val="single" w:sz="8" w:color="B6B6B6"/>
            </w:tcBorders>
            <w:shd w:val="clear" w:color="auto" w:fill="CCEEFF"/>
          </w:tcPr>
          <w:p>
            <w:pPr>
              <w:spacing w:after="0"/>
              <w:rPr>
                <w:sz w:val="20"/>
                <w:szCs w:val="20"/>
                <w:color w:val="auto"/>
              </w:rPr>
            </w:pPr>
          </w:p>
        </w:tc>
        <w:tc>
          <w:tcPr>
            <w:tcW w:w="3680" w:type="dxa"/>
            <w:vAlign w:val="bottom"/>
            <w:tcBorders>
              <w:bottom w:val="single" w:sz="8" w:color="B6B6B6"/>
              <w:right w:val="single" w:sz="8" w:color="B6B6B6"/>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inactivation to E. coli-derived asparaginase.</w:t>
            </w:r>
          </w:p>
        </w:tc>
        <w:tc>
          <w:tcPr>
            <w:tcW w:w="2140" w:type="dxa"/>
            <w:vAlign w:val="bottom"/>
            <w:tcBorders>
              <w:bottom w:val="single" w:sz="8" w:color="B6B6B6"/>
              <w:right w:val="single" w:sz="8" w:color="B6B6B6"/>
            </w:tcBorders>
            <w:shd w:val="clear" w:color="auto" w:fill="CCEEFF"/>
          </w:tcPr>
          <w:p>
            <w:pPr>
              <w:spacing w:after="0"/>
              <w:rPr>
                <w:sz w:val="20"/>
                <w:szCs w:val="20"/>
                <w:color w:val="auto"/>
              </w:rPr>
            </w:pPr>
          </w:p>
        </w:tc>
        <w:tc>
          <w:tcPr>
            <w:tcW w:w="280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00" w:hanging="92"/>
        <w:spacing w:after="0"/>
        <w:tabs>
          <w:tab w:leader="none" w:pos="1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clobazam restriction limited to EU and U.K.</w:t>
      </w:r>
    </w:p>
    <w:p>
      <w:pPr>
        <w:spacing w:after="0" w:line="15" w:lineRule="exact"/>
        <w:rPr>
          <w:rFonts w:ascii="Times New Roman" w:cs="Times New Roman" w:eastAsia="Times New Roman" w:hAnsi="Times New Roman"/>
          <w:sz w:val="23"/>
          <w:szCs w:val="23"/>
          <w:color w:val="auto"/>
          <w:vertAlign w:val="superscript"/>
        </w:rPr>
      </w:pPr>
    </w:p>
    <w:p>
      <w:pPr>
        <w:spacing w:after="0" w:line="208"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Accelerated approval received from FDA</w:t>
      </w:r>
    </w:p>
    <w:p>
      <w:pPr>
        <w:spacing w:after="0" w:line="220"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Conditional marketing authorization granted by EC</w:t>
      </w:r>
    </w:p>
    <w:p>
      <w:pPr>
        <w:spacing w:after="0" w:line="208"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Conditional approval received from Health Canada</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Conditional marketing authorization granted by MHRA</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Rare Sleep Disorders</w:t>
      </w:r>
    </w:p>
    <w:p>
      <w:pPr>
        <w:spacing w:after="0" w:line="121" w:lineRule="exact"/>
        <w:rPr>
          <w:sz w:val="20"/>
          <w:szCs w:val="20"/>
          <w:color w:val="auto"/>
        </w:rPr>
      </w:pPr>
    </w:p>
    <w:p>
      <w:pPr>
        <w:jc w:val="both"/>
        <w:ind w:right="320" w:firstLine="445"/>
        <w:spacing w:after="0" w:line="289" w:lineRule="auto"/>
        <w:rPr>
          <w:sz w:val="20"/>
          <w:szCs w:val="20"/>
          <w:color w:val="auto"/>
        </w:rPr>
      </w:pPr>
      <w:r>
        <w:rPr>
          <w:rFonts w:ascii="Times New Roman" w:cs="Times New Roman" w:eastAsia="Times New Roman" w:hAnsi="Times New Roman"/>
          <w:sz w:val="17"/>
          <w:szCs w:val="17"/>
          <w:color w:val="auto"/>
        </w:rPr>
        <w:t>We are the leader in the development and commercialization of oxybate therapy for patients with rare sleep disorders. In 2020, we received FDA approval for Xywav for the treatment of cataplexy or EDS in patients seven years of age and older with narcolepsy. In August 2021, Xywav became the first and only therapy approved by FDA for the treatment of IH in adults. Xywav has become a standard of care for patients with narcolepsy and IH.</w:t>
      </w:r>
    </w:p>
    <w:p>
      <w:pPr>
        <w:spacing w:after="0" w:line="50" w:lineRule="exact"/>
        <w:rPr>
          <w:sz w:val="20"/>
          <w:szCs w:val="20"/>
          <w:color w:val="auto"/>
        </w:rPr>
      </w:pPr>
    </w:p>
    <w:p>
      <w:pPr>
        <w:jc w:val="both"/>
        <w:ind w:right="20" w:firstLine="445"/>
        <w:spacing w:after="0" w:line="261" w:lineRule="auto"/>
        <w:rPr>
          <w:sz w:val="20"/>
          <w:szCs w:val="20"/>
          <w:color w:val="auto"/>
        </w:rPr>
      </w:pPr>
      <w:r>
        <w:rPr>
          <w:rFonts w:ascii="Times New Roman" w:cs="Times New Roman" w:eastAsia="Times New Roman" w:hAnsi="Times New Roman"/>
          <w:sz w:val="18"/>
          <w:szCs w:val="18"/>
          <w:color w:val="auto"/>
        </w:rPr>
        <w:t>Since there is no cure for narcolepsy and long-term disease management is needed, we believe that Xywav represents an important therapeutic option for patients with this sleep disorder. Our first medicine in sleep was Xyrem, which was approved by FDA in 2002, and contains 1640 mg of sodium per 9 g dose per night. Xyrem is indicated for the treatment of cataplexy or EDS in patients seven years of age and older with narcolepsy. Xywav contains 92% less sodium than Xyrem and is the only approved oxybate therapy that does not carry a warning and precaution related to high sodium intake.</w:t>
      </w:r>
    </w:p>
    <w:p>
      <w:pPr>
        <w:spacing w:after="0" w:line="72"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Our commercial efforts are focused on educating patients and physicians on the strength of clinical evidence that supports the use of Xywav for treating narcolepsy and IH. Xywav has demonstrated efficacy for the treatment of cataplexy and EDS in narcolepsy and multiple daytime symptoms such as sleep inertia in IH. Analysis from the Phase 4 DUET trial showed improvements across multiple polysomnography measures in both narcolepsy and IH, suggesting Xywav improves measures of sleep fragmentation in these conditions. In addition, we are also focused on educating patients and physicians on the long-term health impacts of high sodium intake, and how the use of Xywav helps address a modifiable risk factor for cardiovascular morbidity. We view the continued adoption of Xywav in narcolepsy as a positive indication that physicians and patients appreciate the benefits of a low-sodium oxybate option.</w:t>
      </w:r>
    </w:p>
    <w:p>
      <w:pPr>
        <w:spacing w:after="0" w:line="81"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In June 2021, FDA recognized seven years of ODE for Xywav in EDS and cataplexy in narcolepsy through July 2027. Subsequently, FDA granted pediatric exclusivity, which extends the period of orphan exclusivity to January 2028. FDA continues to recognize seven years of ODE for Xywav in narcolepsy. In connection with granting ODE,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which is a high-sodium oxybate launched in the U.S. market in June 2023, is likely to be clinically meaningful in all patients with narcolepsy and that Xywav is safer than Lumryz in all such patients. Lumryz has the same sodium content as Xyrem.</w:t>
      </w:r>
    </w:p>
    <w:p>
      <w:pPr>
        <w:spacing w:after="0" w:line="84"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On August 12, 2021, FDA approved Xywav for the treatment of IH in adults. Xywav remains the first and only FDA-approved therapy to treat IH. We initiated the U.S. commercial launch of Xywav for the treatment of IH in adults in November 2021. In January 2022, we announced that FDA recognized seven years of ODE for Xywav in IH through August 2028. In connection with the global settlement agreement entered into in October 2025 with Avadel (now Alkermes), Alkermes agreed not to market, offer for sale, take orders for, distribute, promote, or provide patient support services with respect to indications of Lumryz not currently approved by FDA, including for treatment of IH, before March 1, 2028. IH is a debilitating neurologic sleep disorder characterized by chronic EDS (the inability to stay awake and alert during the day resulting in the irrepressible need to sleep or unplanned lapses into sleep or drowsiness), severe sleep inertia, and prolonged and non-restorative nighttime sleep. An estimated 37,000 people in the U.S. have been diagnosed with IH and are actively seeking healthcare.</w:t>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We have agreements in place for Xywav with all three major PBMs in the U.S. To date, we have entered into agreements with various entities and have achieved benefit coverage for Xywav in both narcolepsy and IH indications for approximately 90% of commercial lives.</w:t>
      </w:r>
    </w:p>
    <w:p>
      <w:pPr>
        <w:spacing w:after="0" w:line="54" w:lineRule="exact"/>
        <w:rPr>
          <w:sz w:val="20"/>
          <w:szCs w:val="20"/>
          <w:color w:val="auto"/>
        </w:rPr>
      </w:pPr>
    </w:p>
    <w:p>
      <w:pPr>
        <w:jc w:val="both"/>
        <w:ind w:right="160" w:firstLine="445"/>
        <w:spacing w:after="0" w:line="266" w:lineRule="auto"/>
        <w:rPr>
          <w:sz w:val="20"/>
          <w:szCs w:val="20"/>
          <w:color w:val="auto"/>
        </w:rPr>
      </w:pPr>
      <w:r>
        <w:rPr>
          <w:rFonts w:ascii="Times New Roman" w:cs="Times New Roman" w:eastAsia="Times New Roman" w:hAnsi="Times New Roman"/>
          <w:sz w:val="18"/>
          <w:szCs w:val="18"/>
          <w:color w:val="auto"/>
        </w:rPr>
        <w:t>Since Xywav's launch in November 2020, HCPs and patients continue to drive demand for safer, low-sodium Xywav, and we have seen strong new patient growth in IH since its launch in November 2021. Exiting the third quarter of 2026, there were approximately 17,550 active patients taking Xywav, including approximately 11,375 patients with narcolepsy and approximately 6,175 patients with IH.</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Rare Epilepsies</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We acquired Epidiolex (Epidyolex in certain markets outside the U.S.) in May 2021 as part of the GW Acquisition, which added a durable and long-lived asset in epilepsies to our portfolio.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the other indications, LGS and DS, to patients one year of age and older. In September 2019, the EC granted marketing authorization under the trade name Epidyolex for use as adjunctive therapy of seizures associated with LGS or DS, in conjunction with clobazam, for patients two years of age and older. The clobazam restriction is limited to the EU and U.K. Epidyolex was also approved for adjunctive therapy of seizures associated with TSC for patients 2 years of age and older in the EU in April 2021 and U.K. in August 2021, and is approved for this indication in other markets. Epidyolex is now launched and reimbursed in more than 45 countries.</w:t>
      </w:r>
    </w:p>
    <w:p>
      <w:pPr>
        <w:spacing w:after="0" w:line="84" w:lineRule="exact"/>
        <w:rPr>
          <w:sz w:val="20"/>
          <w:szCs w:val="20"/>
          <w:color w:val="auto"/>
        </w:rPr>
      </w:pPr>
    </w:p>
    <w:p>
      <w:pPr>
        <w:ind w:right="320" w:firstLine="445"/>
        <w:spacing w:after="0" w:line="261" w:lineRule="auto"/>
        <w:rPr>
          <w:sz w:val="20"/>
          <w:szCs w:val="20"/>
          <w:color w:val="auto"/>
        </w:rPr>
      </w:pPr>
      <w:r>
        <w:rPr>
          <w:rFonts w:ascii="Times New Roman" w:cs="Times New Roman" w:eastAsia="Times New Roman" w:hAnsi="Times New Roman"/>
          <w:sz w:val="18"/>
          <w:szCs w:val="18"/>
          <w:color w:val="auto"/>
        </w:rPr>
        <w:t>Following the top-line readout of the Phase 3 trial for Epidyolex for LGS, DS and TSC patients in Japan in August 2024, we continue to generate data from the trial and work with Japanese regulatory authorities. In April 2026, we entered into an agreement with Nippon Zoki to bring Epidyolex to appropriate patients with high unmet needs in Japan. Nippon Zoki will be responsible for importation, secondary packaging, regulatory activities and commercialization, following the completion of the ongoing clinical trial and potential regulatory approval.</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Rare Oncology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Ziihera</w:t>
      </w:r>
    </w:p>
    <w:p>
      <w:pPr>
        <w:spacing w:after="0" w:line="121"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We acquired exclusive development and commercialization rights to Ziihera in 2022 through an exclusive licensing and collaboration agreement with a subsidiary of Zymeworks providing development and commercialization rights to zanidatamab across all indications in the U.S., Europe, Japan and all other territories except for those Asia/Pacific territories previously licensed by Zymeworks. The term of the license agreement extends on a licensed product-by-licensed product and country-by-country basis until the expiration of the royalty term for such licensed product in such country. We have the right to terminate the amended license agreement at will upon a specified notice period, and either party can terminate the amended license agreement for the other party’s uncured material breach or bankruptcy.</w:t>
      </w:r>
    </w:p>
    <w:p>
      <w:pPr>
        <w:spacing w:after="0" w:line="79"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Ziihera is a bispecific HER2-directed antibody that binds to two extracellular sites on HER2. Binding of zanidatamab-hrii with HER2 results in internalization leading to a reduction of the receptor on the tumor cell surface. In the U.S., Ziihera was granted accelerated approval by FDA in November 2024 and is indicated for the treatment of adults with previously treated, unresectable or metastatic HER2-positive (IHC3+) BTC, as detected by an FDA-approved test. Ziihera was launched in December 2024. Continued approval for this indication may be contingent upon verification and description of clinical benefit in the Phase 3 HERIZON-BTC-302 confirmatory trial. In June 2025, the EC granted conditional marketing authorization for Ziihera for the treatment of adults with unresectable locally advanced or metastatic HER2-positive (IHC3+) BTC previously treated with at least one prior line of systemic therapy. In January 2026, Ziihera obtained conditional approval in Canada for the treatment of adults with previously treated, unresectable locally advanced or metastatic HER2-positive (IHC3+) BTC, as monotherapy. In February 2026, MHRA granted conditional marketing authorization in the U.K. for Ziihera as monotherapy for the treatment of adults with unresectable locally advanced or metastatic HER2-positive (IHC3+) BTC previously treated with at least one prior line of systemic therapy, and NICE recommended reimbursement of Ziihera.</w:t>
      </w:r>
    </w:p>
    <w:p>
      <w:pPr>
        <w:spacing w:after="0" w:line="86"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In August 2026, FDA approved two Ziihera-containing regimens for the first-line treatment of adults with unresectable, locally advanced or metastatic HER2-positive GEA: Ziihera plus tislelizumab and fluoropyrimidine- and platinum-containing chemotherapy (HER2+ IHC 3+ or IHC 2+/ISH+), and Ziihera plus fluoropyrimidine- and platinum-containing chemotherapy (HER2+ IHC3+). Ziihera was launched in GEA following its approval for patients with this aggressive and difficult-to-treat cancer. Through Project Orbis, we completed applications of Ziihera for the same indication to MHRA and Health Canada.</w:t>
      </w: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Modeyso</w:t>
      </w:r>
    </w:p>
    <w:p>
      <w:pPr>
        <w:spacing w:after="0" w:line="121"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We completed the Chimerix Acquisition in April 2025 for a total cash consideration of $944.2 million, adding Modeyso, a protease activator of the ClpP that also inhibits DRD2, to our oncology portfolio. In August 2025, Modeyso was granted accelerated approval by FDA for the treatment of adult and pediatric patients 1 year of age and older with diffuse midline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glioma harboring an H3 K27M mutation with progressive disease following prior therapy. Modeyso is the first and only treatment option approved by FDA for this ultra-rare and aggressive brain tumor. In connection with the approval by FDA of Modeyso in August 2025, we received a rare pediatric disease PRV, which we sold in January 2026 for total cash consideration of $200.0 million of which 50% was attributable to us.</w:t>
      </w:r>
    </w:p>
    <w:p>
      <w:pPr>
        <w:spacing w:after="0" w:line="68"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Modeyso is licensed to Ohara Pharmaceutical Co., Ltd. in Japan and was approved by the Ministry of Health, Labour and Welfare in September 2026, for the treatment of diffuse midline glioma. We are eligible to receive tiered royalties on annual net sales in Japan.</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Zepzelca</w:t>
      </w:r>
    </w:p>
    <w:p>
      <w:pPr>
        <w:spacing w:after="0" w:line="121"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We acquired U.S. development and commercialization rights to Zepzelca in early 2020, and launched with an indication for treatment of patients with metastatic SCLC with disease progression on or after platinum-based chemotherapy. Based on the results from the LAGOON trial of Zepzelca in second-line metastatic SCLC, which were reported in June 2026, FDA approved the updated U.S. label supplement on September 30, 2026, to remove the second-line indication. This label modification does not affect Zepzelca's full FDA approval in the first-line maintenance indication.</w:t>
      </w:r>
    </w:p>
    <w:p>
      <w:pPr>
        <w:spacing w:after="0" w:line="72"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Given SCLC is an aggressive cancer and patients rapidly progress after induction chemotherapy, we conducted the Phase 3 IMforte trial to evaluate Zepzelca and atezolizumab in combination in the first-line maintenance setting.</w:t>
      </w:r>
    </w:p>
    <w:p>
      <w:pPr>
        <w:spacing w:after="0" w:line="54"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In October 2024, we announced positive top-line results from the Phase 3 IMforte trial showing a statistically significant and clinically meaningful progression-free survival and overall survival benefit. In October 2025, FDA approved Zepzelca in combination with atezolizumab as a maintenance treatment for adults with extensive-stage SCLC whose disease has not progressed after first-line induction therapy with atezolizumab, or atezolizumab and hyaluronidase-tqjs, carboplatin and etoposide. Our promotional efforts are wholly focused on educating SCLC-treating physicians on the Zepzelca combination in the first-line maintenance setting across academic and community centers.</w:t>
      </w: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Rylaze</w:t>
      </w:r>
    </w:p>
    <w:p>
      <w:pPr>
        <w:spacing w:after="0" w:line="121" w:lineRule="exact"/>
        <w:rPr>
          <w:sz w:val="20"/>
          <w:szCs w:val="20"/>
          <w:color w:val="auto"/>
        </w:rPr>
      </w:pPr>
    </w:p>
    <w:p>
      <w:pPr>
        <w:ind w:right="40" w:firstLine="445"/>
        <w:spacing w:after="0" w:line="245" w:lineRule="auto"/>
        <w:rPr>
          <w:sz w:val="20"/>
          <w:szCs w:val="20"/>
          <w:color w:val="auto"/>
        </w:rPr>
      </w:pPr>
      <w:r>
        <w:rPr>
          <w:rFonts w:ascii="Times New Roman" w:cs="Times New Roman" w:eastAsia="Times New Roman" w:hAnsi="Times New Roman"/>
          <w:sz w:val="18"/>
          <w:szCs w:val="18"/>
          <w:color w:val="auto"/>
        </w:rPr>
        <w:t>Rylaze was approved by FDA in June 2021, and was launched in the U.S. in July 2021, for use as a component of a multi-agent chemotherapeutic regimen for the treatment of patients with ALL and LBL, in pediatric and adult patients one month and older who have developed hypersensitivity to E. coli-derived asparaginase. Rylaze is the only recombinant erwinia asparaginase manufactured product approved in the U.S. that maintains a clinically meaningful level of asparaginase activity throughout the entire course of treatment. We developed Rylaze to address the needs of patients and health care providers for an innovative, high-quality erwinia asparaginase with reliable supply. The initial approved recommended dosage of Rylaze was for an IM administration of 25 mg/m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every 48 hours. In November 2022, FDA approved an sBLA, for a Monday/Wednesday/Friday 25/25/50 mg/m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IM dosing schedule. In September 2023, the EC granted marketing authorization for JZP458 (Rylaze) under the trade name Enrylaze</w:t>
      </w:r>
      <w:r>
        <w:rPr>
          <w:rFonts w:ascii="Arial" w:cs="Arial" w:eastAsia="Arial" w:hAnsi="Arial"/>
          <w:sz w:val="18"/>
          <w:szCs w:val="18"/>
          <w:color w:val="auto"/>
        </w:rPr>
        <w:t>®</w:t>
      </w:r>
      <w:r>
        <w:rPr>
          <w:rFonts w:ascii="Times New Roman" w:cs="Times New Roman" w:eastAsia="Times New Roman" w:hAnsi="Times New Roman"/>
          <w:sz w:val="18"/>
          <w:szCs w:val="18"/>
          <w:color w:val="auto"/>
        </w:rPr>
        <w:t>. Enrylaze may be given by both IV and IM and is dosed on either alternate days (every 48 hours) or via a Monday/Wednesday/Friday dosing schedule. Enrylaze was approved in U.K. in January 2024 (as of January 1, 2025, this approval extends to Northern Ireland), and is also approved in Canada, Switzerland and Australia.</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Progress</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R&amp;D activities encompass all stages of development and currently include clinical testing of new product candidates and activities related to clinical improvements of, or additional indications or new clinical data for, our existing marketed products. We also have active preclinical and early-stage programs for novel therapies that further our rare disease strategy and leverage the strong R&amp;D capabilities we have built. We are increasingly leveraging our internal R&amp;D function, and we have entered into collaborations with third parties for the R&amp;D of innovative early-stage product candidates and have supported additional investigator-sponsored trials that are anticipated to generate further data related to our products. We also seek out investment opportunities in support of the development of early- and mid-stage technologies in areas where we have deep expertise with a focus on validated targets and mechanisms. We have a number of licensing and collaboration agreements with third parties, including biotechnology companies, academic institutions and research-based companies and institutions, related to preclinical and clinical R&amp;D activities.</w:t>
      </w:r>
    </w:p>
    <w:p>
      <w:pPr>
        <w:spacing w:after="0" w:line="84"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Within our oncology R&amp;D program, in October 2022, we announced an exclusive licensing and collaboration agreement with Zymeworks providing us development and commercialization rights to Zymeworks' zanidatamab across all indications in the U.S., Europe, Japan and all other territories except for those Asia/Pacific territories previously licensed by Zymeworks. In December 2022, we exercised the option to continue with the exclusive development and commercialization rights to zanidatamab. Under the terms of the agreement, Zymeworks received an upfront payment of $50.0 million, and following the exercise of our option to continue the collaboration, a second, one-time payment of $325.0 million. Zymeworks is also eligible to receive regulatory and commercial milestone payments of up to $1.4 billion, for total potential payments of $1.76 billion. Zymeworks is eligible to receive tiered royalties between 10% and 20% on our net sales. Zanidatamab is a bispecific HER2-directed antibody that binds to two extracellular sites on HER2.</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Following positive data from a pivotal Phase 2 clinical trial evaluating zanidatamab monotherapy in patients with previously treated advanced or metastatic HER2-amplified BTC, we completed a BLA submission in second-line BTC in March 2024. In May 2024, FDA granted priority review of the BLA and we subsequently received FDA accelerated approval in November 2024.</w:t>
      </w:r>
    </w:p>
    <w:p>
      <w:pPr>
        <w:spacing w:after="0" w:line="68"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 xml:space="preserve">In November 2025, we announced positive top-line results from the pivotal Phase 3 HERIZON-GEA-01 trial of zanidatamab in combination with chemotherapy, with or without tislelizumab, as first-line treatment for adults with HER2-positive locally advanced or metastatic GEA. In January 2026, we presented late-breaking results from the trial at ASCO GI. The investigational arm containing zanidatamab plus tislelizumab and chemotherapy demonstrated a statistically significant and clinically meaningful overall survival benefit of more than two years of median overall survival. In October 2026, we presented a final, formal analysis from the trial at the ESMO Congress demonstrating sustained survival benefit at three years for both Ziihera-containing combinations. Ziihera in combination with chemotherapy led to a statistically significant and clinically meaningful overall survival improvement compared with the control arm. With longer follow-up, the Ziihera plus tislelizumab combination further supports previous positive data that were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in May 2026.</w:t>
      </w:r>
    </w:p>
    <w:p>
      <w:pPr>
        <w:spacing w:after="0" w:line="84"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Zanidatamab is currently being evaluated in multiple clinical trials as a treatment for patients with HER2-expressing cancers: a Phase 2 DiscovHER-Pan-206 trial evaluating zanidatamab monotherapy in previously-treated patients with various HER2-positive (IHC3+) cancers, a Phase 2 EmpowHER-BC-208 trial to evaluate zanidatamab in patients with HER2-positive neoadjuvant and adjuvant breast cancer, a Phase 3 trial EmpowHER-BC-303 to evaluate zanidatamab plus chemotherapy or trastuzumab plus chemotherapy in patients with HER2-positive breast cancer whose disease has progressed on previous T-DXd treatment, and a Phase 3 confirmatory trial examining zanidatamab in first-line patients with HER2-positive BTC. FDA granted BTD for the treatment of zanidatamab in adults with previously treated, locally advanced, unresectable, or metastatic HER2-positive CRC.</w:t>
      </w:r>
    </w:p>
    <w:p>
      <w:pPr>
        <w:spacing w:after="0" w:line="79"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lead clinical asset acquired from Chimerix, Modeyso, is a novel first-in-class small molecule that is a protease activator of the ClpP that also inhibits DRD2. Modeyso is the first and only treatment option approved by FDA for an ultra-rare and aggressive brain tumor. Full approval for this indication is contingent upon us satisfying post-marketing requirements, including the verification and description of clinical benefit in the Phase 3 ACTION confirmatory trial and other applicable post-marketing commitments. The ongoing Phase 3 ACTION trial is evaluating Modeyso in newly diagnosed, non-recurrent H3 K27M-mutant diffuse glioma patients following radiation treatment, potentially extending this treatment option into the front-line setting.</w:t>
      </w:r>
    </w:p>
    <w:p>
      <w:pPr>
        <w:spacing w:after="0" w:line="79"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In June 2022, we announced FDA had cleared our IND for JZP815 and, in October 2022, we enrolled the first patient in a Phase 1 trial and the trial has progressed to expansion cohorts. JZP815 is an investigational stage pan-RAF kinase inhibitor that targets specific components of the MAPK pathway that, when activated by oncogenic mutations, can be a frequent driver of human cancer.</w:t>
      </w:r>
    </w:p>
    <w:p>
      <w:pPr>
        <w:spacing w:after="0" w:line="68"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In April 2022, we announced that we had entered into a licensing and collaboration agreement with Werewolf to acquire exclusive, worldwide development and commercialization rights to Werewolf's investigational WTX-613, now referred to as JZP898, a differentiated, conditionally-activated IFNα INDUKINE™ molecule. In November 2023, we enrolled our first patient in a Phase 1 trial of JZP898 and the trial has progressed to cohorts in combination with pembrolizumab in renal-cell carcinoma, urothelial carcinoma and melanoma. In May 2026, we entered into an asset purchase agreement with Werewolf, under which we acquired all remaining rights and eliminated all remaining obligations to JZP898 for an upfront consideration of $21.0 million. Werewolf is eligible to receive a contingent milestone payment of $2.0 million upon consent to the partial assignment of a license agreement relating to the JZP898 program.</w:t>
      </w:r>
    </w:p>
    <w:p>
      <w:pPr>
        <w:spacing w:after="0" w:line="8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In June 2026, we announced a preclinical research collaboration, option and license agreement to discover and develop next-generation T-cell engaging multispecific antibodies with AbCellera. The collaboration will leverage AbCellera's antibody discovery engine to deliver optimized development candidates for multiple gastrointestinal cancers and other solid tumors. Under the terms of the agreement, AbCellera will perform discovery and early-stage research activities for two initial programs with a commitment to start a third discovery program within 12 months. AbCellera received $56.0 million in total upfront payments for the first two research programs with an additional $28.0 million due upon initiation of the third program. Should we exercise our option for development, AbCellera is eligible to receive up to $792.0 million per program in option fees and development, regulatory, and commercial sales milestone payments along with tiered royalties on net sales ranging from mid-single digits to low double-digits. In addition, we and AbCellera may mutually agree to initiate up to two additional programs, and to have AbCellera conduct certain activities for investigational new drug-enabling studies and manufacture clinical supply for any program under the collaboration.</w:t>
      </w:r>
    </w:p>
    <w:p>
      <w:pPr>
        <w:spacing w:after="0" w:line="80"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Within our neuroscience R&amp;D program, in August 2025, we announced that we entered a global license agreement with Saniona to obtain exclusive worldwide rights to develop SAN2355, now referred to as JZP053, for epilepsy and other potential indications. JZP053 is a preclinical, selective small molecule activator of Kv7.2/Kv7.3 potassium channels, a mechanism</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validated for seizure suppression. Under the terms of the agreement, we made an upfront payment to Saniona of $42.5 million. Saniona is eligible to receive up to $192.5 million in development and regulatory milestones, up to $800.0 million in commercial milestone payments and tiered royalties ranging from mid-single digits to low-double digits on net sales of commercial products resulting from the development of JZP053. This transaction further expands our early-stage neuroscience pipeline building on our existing expertise in the treatment of epilepsy.</w:t>
      </w:r>
    </w:p>
    <w:p>
      <w:pPr>
        <w:spacing w:after="0" w:line="72"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Further expanding on our early-stage epilepsy development program, we are broadening our Epidiolex (cannabidiol oral solution) clinical development. In November 2025, we initiated a Phase 1b trial evaluating cannabidiol oral solution as an adjunctive treatment in reducing the frequency of focal seizures compared to the baseline as well as the effect of it on health outcome endpoints in early line and refractory participants with focal-onset seizures. In August 2026, we announced a Phase 3b/4 trial to evaluate effectiveness of gradual titration regimen to optimize cannabidiol oral solution as an add-on therapy in adults with LGS. We also announced a Phase 3 trial to evaluate the safety and efficacy of cannabidiol oral solution in developmental and epileptic encephalopathy to reach new patient populations with refractory epilepsy.</w:t>
      </w:r>
    </w:p>
    <w:p>
      <w:pPr>
        <w:spacing w:after="0" w:line="79"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In mid-2026, we submitted an NDA to FDA for a capsule formulation of cannabidiol to broaden utilization of cannabidiol in currently approved indications and increase flexibility for patients. FDA accepted the NDA and granted a PDUFA target action date of April 16, 2027. We also announced a Phase 2/3 trial to evaluate the safety and efficacy of cannabidiol capsule formulation in juvenile myoclonic epilepsy.</w:t>
      </w:r>
    </w:p>
    <w:p>
      <w:pPr>
        <w:spacing w:after="0" w:line="68"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Expanding the breadth of our presence in epilepsy treatment, we announced a definitive agreement to acquire Actio in August 2026. At the center of the Actio Acquisition is ABS-1230 (JZP6979), a clinical-stage, novel, small molecule precision therapy designed to selectively inhibit the KCNT1 ion channel. Regulatory agencies have recognized the potential of ABS-1230 (JZP6979) by granting fast track, rare pediatric disease and orphan drug product designations. ABS-1230 (JZP6979) is advancing in the Phase 1b/2a KYRON trial, which is structured as a registrational trial and could support a future NDA submission.</w:t>
      </w:r>
    </w:p>
    <w:p>
      <w:pPr>
        <w:spacing w:after="0" w:line="75"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We completed the Actio Acquisition in September 2026, for an upfront payment of $820.0 million, net of cash acquired, with the potential for additional payments of up to $500.0 million upon the achievement of certain regulatory and commercial milestones, for a total potential consideration of $1.3 billion.</w:t>
      </w:r>
    </w:p>
    <w:p>
      <w:pPr>
        <w:spacing w:after="0" w:line="68"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In September 2026, we received IND clearance for JZP269, a differentiated orexin-2 receptor agonist, and initiated a Phase 1 first-in-human trial to evaluate the safety, tolerability and wake-promoting effects of JZP269 in sleep-deprived healthy participants.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Below is a summary of our key ongoing and planned development projects related to our products and pipeline and their corresponding current stages of development: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 Candidates</w:t>
            </w: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4</w:t>
            </w:r>
          </w:p>
        </w:tc>
        <w:tc>
          <w:tcPr>
            <w:tcW w:w="9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First-line HER2-positive GEA (ZOLA trial)</w:t>
            </w:r>
          </w:p>
        </w:tc>
      </w:tr>
      <w:tr>
        <w:trPr>
          <w:trHeight w:val="229"/>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9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8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First-line HER2-positive BTC (HERIZON-BTC-302) (ongoing confirmatory trial)</w:t>
            </w:r>
          </w:p>
        </w:tc>
      </w:tr>
      <w:tr>
        <w:trPr>
          <w:trHeight w:val="535"/>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Previously treated HER2-positive breast cancer in patients whose disease has progressed on</w:t>
            </w:r>
          </w:p>
        </w:tc>
      </w:tr>
      <w:tr>
        <w:trPr>
          <w:trHeight w:val="239"/>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previous T-DXd treatment (EmpowHER-BC-303) (ongoing trial)</w:t>
            </w:r>
          </w:p>
        </w:tc>
      </w:tr>
      <w:tr>
        <w:trPr>
          <w:trHeight w:val="234"/>
        </w:trPr>
        <w:tc>
          <w:tcPr>
            <w:tcW w:w="20" w:type="dxa"/>
            <w:vAlign w:val="bottom"/>
            <w:shd w:val="clear" w:color="auto" w:fill="CCEEFF"/>
          </w:tcPr>
          <w:p>
            <w:pPr>
              <w:spacing w:after="0"/>
              <w:rPr>
                <w:sz w:val="20"/>
                <w:szCs w:val="20"/>
                <w:color w:val="auto"/>
              </w:rPr>
            </w:pPr>
          </w:p>
        </w:tc>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Dordaviprone</w:t>
            </w:r>
          </w:p>
        </w:tc>
        <w:tc>
          <w:tcPr>
            <w:tcW w:w="77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First-line H3 K27M-mutant diffuse glioma (ACTION trial) (ongoing confirmatory trial)</w:t>
            </w:r>
          </w:p>
        </w:tc>
      </w:tr>
      <w:tr>
        <w:trPr>
          <w:trHeight w:val="234"/>
        </w:trPr>
        <w:tc>
          <w:tcPr>
            <w:tcW w:w="20" w:type="dxa"/>
            <w:vAlign w:val="bottom"/>
          </w:tcPr>
          <w:p>
            <w:pPr>
              <w:spacing w:after="0"/>
              <w:rPr>
                <w:sz w:val="20"/>
                <w:szCs w:val="20"/>
                <w:color w:val="auto"/>
              </w:rPr>
            </w:pP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Cannabidiol Oral Solution</w:t>
            </w: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Phase 3b/4 trial in adults with LGS</w:t>
            </w:r>
          </w:p>
        </w:tc>
      </w:tr>
      <w:tr>
        <w:trPr>
          <w:trHeight w:val="279"/>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Developmental and epileptic encephalopathy</w:t>
            </w:r>
          </w:p>
        </w:tc>
      </w:tr>
      <w:tr>
        <w:trPr>
          <w:trHeight w:val="229"/>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9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8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Basket trial including HER2-positive solid tumors (DiscovHER-Pan-206) (ongoing trial)</w:t>
            </w:r>
          </w:p>
        </w:tc>
      </w:tr>
      <w:tr>
        <w:trPr>
          <w:trHeight w:val="414"/>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Neoadjuvant and adjuvant breast cancer (EmpowHER-BC-208) (ongoing trial)</w:t>
            </w:r>
          </w:p>
        </w:tc>
      </w:tr>
      <w:tr>
        <w:trPr>
          <w:trHeight w:val="364"/>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HER2+ advanced GEA in combination with paclitaxel and ramucirumab (Canadian Cancer</w:t>
            </w:r>
          </w:p>
        </w:tc>
      </w:t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Trials Group collaboration) (ongoing trial)</w:t>
            </w:r>
          </w:p>
        </w:tc>
      </w:t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720" w:type="dxa"/>
            <w:vAlign w:val="bottom"/>
            <w:gridSpan w:val="3"/>
          </w:tcPr>
          <w:p>
            <w:pPr>
              <w:ind w:left="940"/>
              <w:spacing w:after="0" w:line="184" w:lineRule="exact"/>
              <w:rPr>
                <w:sz w:val="20"/>
                <w:szCs w:val="20"/>
                <w:color w:val="auto"/>
              </w:rPr>
            </w:pPr>
            <w:r>
              <w:rPr>
                <w:rFonts w:ascii="Times New Roman" w:cs="Times New Roman" w:eastAsia="Times New Roman" w:hAnsi="Times New Roman"/>
                <w:sz w:val="18"/>
                <w:szCs w:val="18"/>
                <w:color w:val="auto"/>
              </w:rPr>
              <w:t>HER2+/PD-L1+ mGEA in combination with pembrolizumab and chemotherapy (ZANGEA)</w:t>
            </w:r>
          </w:p>
        </w:tc>
      </w:t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(collaboration study) (trial enrolling)</w:t>
            </w:r>
          </w:p>
        </w:tc>
      </w:tr>
      <w:tr>
        <w:trPr>
          <w:trHeight w:val="238"/>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Early stage HER2/neu positive (HER2+) breast cancer (collaboration study) (ongoing trial)</w:t>
            </w:r>
          </w:p>
        </w:tc>
      </w:tr>
      <w:tr>
        <w:trPr>
          <w:trHeight w:val="189"/>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80" w:type="dxa"/>
            <w:vAlign w:val="bottom"/>
          </w:tcPr>
          <w:p>
            <w:pPr>
              <w:spacing w:after="0"/>
              <w:rPr>
                <w:sz w:val="16"/>
                <w:szCs w:val="16"/>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Vyxeos</w:t>
            </w:r>
          </w:p>
        </w:tc>
        <w:tc>
          <w:tcPr>
            <w:tcW w:w="77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High-risk MDS (PALOMA) (cooperative group study) (ongoing trial)</w:t>
            </w:r>
          </w:p>
        </w:tc>
      </w:tr>
      <w:tr>
        <w:trPr>
          <w:trHeight w:val="175"/>
        </w:trPr>
        <w:tc>
          <w:tcPr>
            <w:tcW w:w="20" w:type="dxa"/>
            <w:vAlign w:val="bottom"/>
          </w:tcPr>
          <w:p>
            <w:pPr>
              <w:spacing w:after="0"/>
              <w:rPr>
                <w:sz w:val="15"/>
                <w:szCs w:val="15"/>
                <w:color w:val="auto"/>
              </w:rPr>
            </w:pPr>
          </w:p>
        </w:tc>
        <w:tc>
          <w:tcPr>
            <w:tcW w:w="350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6"/>
                <w:szCs w:val="16"/>
                <w:color w:val="auto"/>
              </w:rPr>
              <w:t>JZP3507</w:t>
            </w:r>
            <w:r>
              <w:rPr>
                <w:rFonts w:ascii="Times New Roman" w:cs="Times New Roman" w:eastAsia="Times New Roman" w:hAnsi="Times New Roman"/>
                <w:sz w:val="20"/>
                <w:szCs w:val="20"/>
                <w:color w:val="auto"/>
                <w:vertAlign w:val="superscript"/>
              </w:rPr>
              <w:t>1</w:t>
            </w:r>
          </w:p>
        </w:tc>
        <w:tc>
          <w:tcPr>
            <w:tcW w:w="7720" w:type="dxa"/>
            <w:vAlign w:val="bottom"/>
            <w:gridSpan w:val="3"/>
          </w:tcPr>
          <w:p>
            <w:pPr>
              <w:ind w:left="940"/>
              <w:spacing w:after="0" w:line="176" w:lineRule="exact"/>
              <w:rPr>
                <w:sz w:val="20"/>
                <w:szCs w:val="20"/>
                <w:color w:val="auto"/>
              </w:rPr>
            </w:pPr>
            <w:r>
              <w:rPr>
                <w:rFonts w:ascii="Times New Roman" w:cs="Times New Roman" w:eastAsia="Times New Roman" w:hAnsi="Times New Roman"/>
                <w:sz w:val="18"/>
                <w:szCs w:val="18"/>
                <w:color w:val="auto"/>
              </w:rPr>
              <w:t>Pheochromocytoma and paraganglioma (acquired from Chimerix) (ongoing trial)</w:t>
            </w:r>
          </w:p>
        </w:tc>
      </w:tr>
      <w:tr>
        <w:trPr>
          <w:trHeight w:val="239"/>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Meningioma (ongoing trial)</w:t>
            </w:r>
          </w:p>
        </w:tc>
      </w:tr>
      <w:tr>
        <w:trPr>
          <w:trHeight w:val="234"/>
        </w:trPr>
        <w:tc>
          <w:tcPr>
            <w:tcW w:w="20" w:type="dxa"/>
            <w:vAlign w:val="bottom"/>
            <w:shd w:val="clear" w:color="auto" w:fill="CCEEFF"/>
          </w:tcPr>
          <w:p>
            <w:pPr>
              <w:spacing w:after="0"/>
              <w:rPr>
                <w:sz w:val="20"/>
                <w:szCs w:val="20"/>
                <w:color w:val="auto"/>
              </w:rPr>
            </w:pPr>
          </w:p>
        </w:tc>
        <w:tc>
          <w:tcPr>
            <w:tcW w:w="3500" w:type="dxa"/>
            <w:vAlign w:val="bottom"/>
            <w:gridSpan w:val="2"/>
            <w:shd w:val="clear" w:color="auto" w:fill="CCEEFF"/>
          </w:tcPr>
          <w:p>
            <w:pPr>
              <w:ind w:left="120"/>
              <w:spacing w:after="0" w:line="234" w:lineRule="exact"/>
              <w:rPr>
                <w:sz w:val="20"/>
                <w:szCs w:val="20"/>
                <w:color w:val="auto"/>
              </w:rPr>
            </w:pPr>
            <w:r>
              <w:rPr>
                <w:rFonts w:ascii="Times New Roman" w:cs="Times New Roman" w:eastAsia="Times New Roman" w:hAnsi="Times New Roman"/>
                <w:sz w:val="18"/>
                <w:szCs w:val="18"/>
                <w:color w:val="auto"/>
              </w:rPr>
              <w:t>JZP6979</w:t>
            </w:r>
            <w:r>
              <w:rPr>
                <w:rFonts w:ascii="Times New Roman" w:cs="Times New Roman" w:eastAsia="Times New Roman" w:hAnsi="Times New Roman"/>
                <w:sz w:val="23"/>
                <w:szCs w:val="23"/>
                <w:color w:val="auto"/>
                <w:vertAlign w:val="superscript"/>
              </w:rPr>
              <w:t>2</w:t>
            </w:r>
          </w:p>
        </w:tc>
        <w:tc>
          <w:tcPr>
            <w:tcW w:w="77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KCNT1-related epilepsy (acquired from Actio)</w:t>
            </w:r>
          </w:p>
        </w:tc>
      </w:tr>
      <w:tr>
        <w:trPr>
          <w:trHeight w:val="230"/>
        </w:trPr>
        <w:tc>
          <w:tcPr>
            <w:tcW w:w="20" w:type="dxa"/>
            <w:vAlign w:val="bottom"/>
          </w:tcPr>
          <w:p>
            <w:pPr>
              <w:spacing w:after="0"/>
              <w:rPr>
                <w:sz w:val="19"/>
                <w:szCs w:val="19"/>
                <w:color w:val="auto"/>
              </w:rPr>
            </w:pP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Cannabidiol Capsule Formulation</w:t>
            </w: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Phase 2/3 trial in juvenile myoclonic epilepsy</w:t>
            </w: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9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JZP815</w:t>
            </w: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Raf and Ras mutant tumors (acquired from Redx) (ongoing trial)</w:t>
            </w: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JZP898</w:t>
            </w:r>
          </w:p>
        </w:tc>
        <w:tc>
          <w:tcPr>
            <w:tcW w:w="77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Conditionally-activated IFNα INDUKINE™ molecule in solid tumors (ongoing trial)</w:t>
            </w:r>
          </w:p>
        </w:tc>
      </w:tr>
      <w:tr>
        <w:trPr>
          <w:trHeight w:val="175"/>
        </w:trPr>
        <w:tc>
          <w:tcPr>
            <w:tcW w:w="20" w:type="dxa"/>
            <w:vAlign w:val="bottom"/>
          </w:tcPr>
          <w:p>
            <w:pPr>
              <w:spacing w:after="0"/>
              <w:rPr>
                <w:sz w:val="15"/>
                <w:szCs w:val="15"/>
                <w:color w:val="auto"/>
              </w:rPr>
            </w:pPr>
          </w:p>
        </w:tc>
        <w:tc>
          <w:tcPr>
            <w:tcW w:w="350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6"/>
                <w:szCs w:val="16"/>
                <w:color w:val="auto"/>
              </w:rPr>
              <w:t>JZP3507</w:t>
            </w:r>
            <w:r>
              <w:rPr>
                <w:rFonts w:ascii="Times New Roman" w:cs="Times New Roman" w:eastAsia="Times New Roman" w:hAnsi="Times New Roman"/>
                <w:sz w:val="20"/>
                <w:szCs w:val="20"/>
                <w:color w:val="auto"/>
                <w:vertAlign w:val="superscript"/>
              </w:rPr>
              <w:t>1</w:t>
            </w:r>
          </w:p>
        </w:tc>
        <w:tc>
          <w:tcPr>
            <w:tcW w:w="7720" w:type="dxa"/>
            <w:vAlign w:val="bottom"/>
            <w:gridSpan w:val="3"/>
          </w:tcPr>
          <w:p>
            <w:pPr>
              <w:ind w:left="940"/>
              <w:spacing w:after="0" w:line="176" w:lineRule="exact"/>
              <w:rPr>
                <w:sz w:val="20"/>
                <w:szCs w:val="20"/>
                <w:color w:val="auto"/>
              </w:rPr>
            </w:pPr>
            <w:r>
              <w:rPr>
                <w:rFonts w:ascii="Times New Roman" w:cs="Times New Roman" w:eastAsia="Times New Roman" w:hAnsi="Times New Roman"/>
                <w:sz w:val="18"/>
                <w:szCs w:val="18"/>
                <w:color w:val="auto"/>
              </w:rPr>
              <w:t>Recurrent and rare primary CNS tumors (acquired from Chimerix) (ongoing trial)</w:t>
            </w:r>
          </w:p>
        </w:tc>
      </w:t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720" w:type="dxa"/>
            <w:vAlign w:val="bottom"/>
            <w:gridSpan w:val="3"/>
          </w:tcPr>
          <w:p>
            <w:pPr>
              <w:ind w:left="940"/>
              <w:spacing w:after="0" w:line="184" w:lineRule="exact"/>
              <w:rPr>
                <w:sz w:val="20"/>
                <w:szCs w:val="20"/>
                <w:color w:val="auto"/>
              </w:rPr>
            </w:pPr>
            <w:r>
              <w:rPr>
                <w:rFonts w:ascii="Times New Roman" w:cs="Times New Roman" w:eastAsia="Times New Roman" w:hAnsi="Times New Roman"/>
                <w:sz w:val="18"/>
                <w:szCs w:val="18"/>
                <w:color w:val="auto"/>
              </w:rPr>
              <w:t>Newly diagnosed or recurrent diffuse midline gliomas and other recurrent primary malignant</w:t>
            </w:r>
          </w:p>
        </w:tc>
      </w:t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CNS tumors (UCSF collaboration) (acquired from Chimerix) (ongoing trial)</w:t>
            </w:r>
          </w:p>
        </w:tc>
      </w:tr>
      <w:tr>
        <w:trPr>
          <w:trHeight w:val="229"/>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Cannabidiol Oral Solution</w:t>
            </w:r>
          </w:p>
        </w:tc>
        <w:tc>
          <w:tcPr>
            <w:tcW w:w="77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Focal-onset seizures</w:t>
            </w:r>
          </w:p>
        </w:tc>
      </w:tr>
      <w:tr>
        <w:trPr>
          <w:trHeight w:val="230"/>
        </w:trPr>
        <w:tc>
          <w:tcPr>
            <w:tcW w:w="20" w:type="dxa"/>
            <w:vAlign w:val="bottom"/>
          </w:tcPr>
          <w:p>
            <w:pPr>
              <w:spacing w:after="0"/>
              <w:rPr>
                <w:sz w:val="19"/>
                <w:szCs w:val="19"/>
                <w:color w:val="auto"/>
              </w:rPr>
            </w:pP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JZP047</w:t>
            </w: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Absence epilepsy</w:t>
            </w: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JZP269</w:t>
            </w:r>
          </w:p>
        </w:tc>
        <w:tc>
          <w:tcPr>
            <w:tcW w:w="77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Narcolepsy and IH</w:t>
            </w:r>
          </w:p>
        </w:tc>
      </w:tr>
      <w:tr>
        <w:trPr>
          <w:trHeight w:val="230"/>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Preclinical</w:t>
            </w: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Undisclosed targets</w:t>
            </w:r>
          </w:p>
        </w:tc>
        <w:tc>
          <w:tcPr>
            <w:tcW w:w="77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Oncology</w:t>
            </w:r>
          </w:p>
        </w:tc>
      </w:tr>
      <w:tr>
        <w:trPr>
          <w:trHeight w:val="230"/>
        </w:trPr>
        <w:tc>
          <w:tcPr>
            <w:tcW w:w="20" w:type="dxa"/>
            <w:vAlign w:val="bottom"/>
          </w:tcPr>
          <w:p>
            <w:pPr>
              <w:spacing w:after="0"/>
              <w:rPr>
                <w:sz w:val="19"/>
                <w:szCs w:val="19"/>
                <w:color w:val="auto"/>
              </w:rPr>
            </w:pP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CombiPlex®</w:t>
            </w: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Hematology/oncology exploratory activities</w:t>
            </w: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JZP053</w:t>
            </w:r>
            <w:r>
              <w:rPr>
                <w:rFonts w:ascii="Times New Roman" w:cs="Times New Roman" w:eastAsia="Times New Roman" w:hAnsi="Times New Roman"/>
                <w:sz w:val="23"/>
                <w:szCs w:val="23"/>
                <w:color w:val="auto"/>
                <w:vertAlign w:val="superscript"/>
              </w:rPr>
              <w:t>3</w:t>
            </w:r>
          </w:p>
        </w:tc>
        <w:tc>
          <w:tcPr>
            <w:tcW w:w="77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Epilepsy</w:t>
            </w:r>
          </w:p>
        </w:tc>
      </w:tr>
      <w:tr>
        <w:trPr>
          <w:trHeight w:val="175"/>
        </w:trPr>
        <w:tc>
          <w:tcPr>
            <w:tcW w:w="20" w:type="dxa"/>
            <w:vAlign w:val="bottom"/>
          </w:tcPr>
          <w:p>
            <w:pPr>
              <w:spacing w:after="0"/>
              <w:rPr>
                <w:sz w:val="15"/>
                <w:szCs w:val="15"/>
                <w:color w:val="auto"/>
              </w:rPr>
            </w:pPr>
          </w:p>
        </w:tc>
        <w:tc>
          <w:tcPr>
            <w:tcW w:w="350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Undisclosed targets</w:t>
            </w:r>
          </w:p>
        </w:tc>
        <w:tc>
          <w:tcPr>
            <w:tcW w:w="7720" w:type="dxa"/>
            <w:vAlign w:val="bottom"/>
            <w:gridSpan w:val="3"/>
          </w:tcPr>
          <w:p>
            <w:pPr>
              <w:ind w:left="940"/>
              <w:spacing w:after="0" w:line="176" w:lineRule="exact"/>
              <w:rPr>
                <w:sz w:val="20"/>
                <w:szCs w:val="20"/>
                <w:color w:val="auto"/>
              </w:rPr>
            </w:pPr>
            <w:r>
              <w:rPr>
                <w:rFonts w:ascii="Times New Roman" w:cs="Times New Roman" w:eastAsia="Times New Roman" w:hAnsi="Times New Roman"/>
                <w:sz w:val="18"/>
                <w:szCs w:val="18"/>
                <w:color w:val="auto"/>
              </w:rPr>
              <w:t>Sleep</w:t>
            </w:r>
          </w:p>
        </w:tc>
      </w:t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720" w:type="dxa"/>
            <w:vAlign w:val="bottom"/>
            <w:gridSpan w:val="3"/>
          </w:tcPr>
          <w:p>
            <w:pPr>
              <w:ind w:left="940"/>
              <w:spacing w:after="0" w:line="184" w:lineRule="exact"/>
              <w:rPr>
                <w:sz w:val="20"/>
                <w:szCs w:val="20"/>
                <w:color w:val="auto"/>
              </w:rPr>
            </w:pPr>
            <w:r>
              <w:rPr>
                <w:rFonts w:ascii="Times New Roman" w:cs="Times New Roman" w:eastAsia="Times New Roman" w:hAnsi="Times New Roman"/>
                <w:sz w:val="18"/>
                <w:szCs w:val="18"/>
                <w:color w:val="auto"/>
              </w:rPr>
              <w:t>Epilepsy</w:t>
            </w:r>
          </w:p>
        </w:tc>
      </w:t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7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Other Neuroscience</w:t>
            </w:r>
          </w:p>
        </w:tc>
      </w:tr>
      <w:tr>
        <w:trPr>
          <w:trHeight w:val="410"/>
        </w:trPr>
        <w:tc>
          <w:tcPr>
            <w:tcW w:w="3520" w:type="dxa"/>
            <w:vAlign w:val="bottom"/>
            <w:gridSpan w:val="3"/>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Also known as ONC206</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233"/>
        </w:trPr>
        <w:tc>
          <w:tcPr>
            <w:tcW w:w="3520" w:type="dxa"/>
            <w:vAlign w:val="bottom"/>
            <w:gridSpan w:val="3"/>
          </w:tcPr>
          <w:p>
            <w:pPr>
              <w:spacing w:after="0" w:line="233" w:lineRule="exact"/>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Also known as ABS-1230</w:t>
            </w: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80" w:type="dxa"/>
            <w:vAlign w:val="bottom"/>
          </w:tcPr>
          <w:p>
            <w:pPr>
              <w:spacing w:after="0"/>
              <w:rPr>
                <w:sz w:val="20"/>
                <w:szCs w:val="20"/>
                <w:color w:val="auto"/>
              </w:rPr>
            </w:pPr>
          </w:p>
        </w:tc>
      </w:tr>
      <w:tr>
        <w:trPr>
          <w:trHeight w:val="317"/>
        </w:trPr>
        <w:tc>
          <w:tcPr>
            <w:tcW w:w="3520" w:type="dxa"/>
            <w:vAlign w:val="bottom"/>
            <w:gridSpan w:val="3"/>
          </w:tcPr>
          <w:p>
            <w:pPr>
              <w:spacing w:after="0"/>
              <w:rPr>
                <w:sz w:val="20"/>
                <w:szCs w:val="20"/>
                <w:color w:val="auto"/>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Also known as SAN2355</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687"/>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720" w:type="dxa"/>
            <w:vAlign w:val="bottom"/>
            <w:gridSpan w:val="3"/>
          </w:tcPr>
          <w:p>
            <w:pPr>
              <w:jc w:val="right"/>
              <w:ind w:right="5520"/>
              <w:spacing w:after="0"/>
              <w:rPr>
                <w:sz w:val="20"/>
                <w:szCs w:val="20"/>
                <w:color w:val="auto"/>
              </w:rPr>
            </w:pPr>
            <w:r>
              <w:rPr>
                <w:rFonts w:ascii="Times New Roman" w:cs="Times New Roman" w:eastAsia="Times New Roman" w:hAnsi="Times New Roman"/>
                <w:sz w:val="18"/>
                <w:szCs w:val="18"/>
                <w:color w:val="auto"/>
              </w:rPr>
              <w:t>38</w:t>
            </w:r>
          </w:p>
        </w:tc>
      </w:tr>
      <w:tr>
        <w:trPr>
          <w:trHeight w:val="115"/>
        </w:trPr>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Challenges, Risks and Trends Related to Our Business</w:t>
      </w:r>
    </w:p>
    <w:p>
      <w:pPr>
        <w:spacing w:after="0" w:line="121"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While we have diversified our revenues and commercial portfolio of medicines, including leading therapies addressing rare epilepsies, cancers and sleep disorders, our business continues to meaningfully depend on Xywav revenues. Our current 2026 operating plan assumes that Xywav, with 92% lower sodium compared to high-sodium oxybates (depending on the dose), a dosing titration option and an absence of a sodium warning, will remain the #1 branded oxybate treatment for narcolepsy; the position it held based on revenue in the third quarter of 2026, and the only FDA-approved therapy for IH. In June 2021, FDA recognized seven years of ODE for Xywav in narcolepsy through July 21, 2027, (which was subsequently extended to January 21, 2028, because FDA granted pediatric exclusivity), stating that Xywav is clinically superior to Xyrem by means of greater safety due to reduced chronic sodium burden. Additionally, in August 2021, FDA recognized ODE for Xywav in IH through August 12, 2028. While we expect that our business will continue to meaningfully depend on Xywav revenues, there is no guarantee that Xywav revenues will remain at current levels.</w:t>
      </w:r>
    </w:p>
    <w:p>
      <w:pPr>
        <w:spacing w:after="0" w:line="84" w:lineRule="exact"/>
        <w:rPr>
          <w:sz w:val="20"/>
          <w:szCs w:val="20"/>
          <w:color w:val="auto"/>
        </w:rPr>
      </w:pPr>
    </w:p>
    <w:p>
      <w:pPr>
        <w:ind w:right="480" w:firstLine="445"/>
        <w:spacing w:after="0" w:line="261" w:lineRule="auto"/>
        <w:rPr>
          <w:sz w:val="20"/>
          <w:szCs w:val="20"/>
          <w:color w:val="auto"/>
        </w:rPr>
      </w:pPr>
      <w:r>
        <w:rPr>
          <w:rFonts w:ascii="Times New Roman" w:cs="Times New Roman" w:eastAsia="Times New Roman" w:hAnsi="Times New Roman"/>
          <w:sz w:val="18"/>
          <w:szCs w:val="18"/>
          <w:color w:val="auto"/>
        </w:rPr>
        <w:t>Our ability to successfully commercialize Xywav depends on, among other things, our ability to maintain adequate payor coverage and reimbursement for Xywav and acceptance of Xywav by physicians and patients, including of Xywav for the treatment of IH in adults. In an effort to support strong adoption of Xywav and patient success, we are focused on facilitating payor coverage for Xywav through education of its low-sodium formulation and providing robust patient copay and savings programs.</w:t>
      </w:r>
    </w:p>
    <w:p>
      <w:pPr>
        <w:spacing w:after="0" w:line="72"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Xywav and Xyrem face competition from branded products, such as Alkermes’ Lumryz, and alternative products that treat narcolepsy. We expect to face intensifying branded competition in narcolepsy type 1 from Takeda's recently approved Orzeyful upon launch, the first FDA-approved oral orexin 2 receptor agonist, and future competition from other alternative products and clinical-stage orexin 2 receptor agonists currently in development for narcolepsy type 1, narcolepsy type 2 and IH. In addition, our oxybate products have faced competition from AG and generic versions of high-sodium oxybate. Specifically, a wholly-owned subsidiary of Hikma launched its AG version of sodium oxybate in January 2023, and Amneal launched its AG version of sodium oxybate in July 2023. In September 2023, Hikma elected to continue to sell the Hikma AG product, with royalties to be paid to us, for an additional four years beginning in January 2024.</w:t>
      </w:r>
    </w:p>
    <w:p>
      <w:pPr>
        <w:spacing w:after="0" w:line="8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Pursuant to amendments to our AG agreement with Hikma, effective January 1, 2026, we extended the period during which Hikma is permitted to sell the Hikma AG product until December 31, 2029. Either we or Hikma may provide notice of intent to terminate the amended agreement as early as October 1, 2026, in accordance with notice provisions in the agreement. Under these amendments, we continue to have the right to a meaningful royalty from Hikma on net sales of the Hikma AG product throughout the extended Hikma AG period, which royalty rate was fixed through the end of 2025 and then subject to specified reductions. We are also paid for supply of the Hikma AG product and are reimbursed by Hikma for a portion of the services costs associated with the operation of the Xywav and Xyrem REMS, and distribution of the Hikma AG product. Hikma also maintains a license to launch its own generic sodium oxybate product, but, if it elects to launch its own generic product, Hikma will no longer have the right to sell the Hikma AG product. The Hikma AG product is expected to continue to negatively impact Xyrem and Xywav sales for patients with narcolepsy.</w:t>
      </w:r>
    </w:p>
    <w:p>
      <w:pPr>
        <w:spacing w:after="0" w:line="84"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In our settlements with Amneal, Lupin, and Par, we granted each party the right to sell a limited volume of an AG product in the U.S. beginning on July 1, 2023, and ending on December 31, 2025, with royalties to be paid to us. Amneal launched its AG version of high-sodium oxybate in July 2023. We granted each of Amneal, Lupin and Par a license to launch its own generic sodium oxybate product under its ANDA on or after December 31, 2025, or earlier under certain circumstances, including the circumstance where Hikma elects to launch its own generic product. In September 2025, FDA approved Amneal's generic high-sodium oxybate product. In November 2025, FDA approved Ascent’s generic high-sodium oxybate product. In March 2026, Amneal and Ascent began dispensing their generic high-sodium oxybate products through the generic sodium oxybate REMS. Any other company commercializing a generic version of high-sodium oxybate would need to join an existing REMS operated by another company.</w:t>
      </w:r>
    </w:p>
    <w:p>
      <w:pPr>
        <w:spacing w:after="0" w:line="81" w:lineRule="exact"/>
        <w:rPr>
          <w:sz w:val="20"/>
          <w:szCs w:val="20"/>
          <w:color w:val="auto"/>
        </w:rPr>
      </w:pPr>
    </w:p>
    <w:p>
      <w:pPr>
        <w:jc w:val="both"/>
        <w:ind w:right="160" w:firstLine="445"/>
        <w:spacing w:after="0" w:line="270" w:lineRule="auto"/>
        <w:rPr>
          <w:sz w:val="20"/>
          <w:szCs w:val="20"/>
          <w:color w:val="auto"/>
        </w:rPr>
      </w:pPr>
      <w:r>
        <w:rPr>
          <w:rFonts w:ascii="Times New Roman" w:cs="Times New Roman" w:eastAsia="Times New Roman" w:hAnsi="Times New Roman"/>
          <w:sz w:val="17"/>
          <w:szCs w:val="17"/>
          <w:color w:val="auto"/>
        </w:rPr>
        <w:t>In the future, we expect our oxybate products to continue to face competition from generic versions of high-sodium oxybate pursuant to settlement agreements we entered into with multiple ANDA filers. In addition, we received notices in June 2021, February 2023 and July 2025 that Lupin, Teva and Granules, respectively, filed ANDAs for generic versions of Xywav. In January 2026, we received notices from Tris Pharma that it had filed with FDA a Section 505(b)(2) NDA with Xyrem and Xywav as referenced listed drugs. We have filed patent infringement suits against these ANDA filers and 505(b)</w:t>
      </w:r>
    </w:p>
    <w:p>
      <w:pPr>
        <w:spacing w:after="0" w:line="3" w:lineRule="exact"/>
        <w:rPr>
          <w:sz w:val="20"/>
          <w:szCs w:val="20"/>
          <w:color w:val="auto"/>
        </w:rPr>
      </w:pPr>
    </w:p>
    <w:p>
      <w:pPr>
        <w:ind w:right="120" w:firstLine="8"/>
        <w:spacing w:after="0" w:line="255"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filer. In March 2026, we entered into a patent litigation settlement agreement with Granules. The specific terms of the Granules settlement agreement are confidential. On October 13, 2023, Lupin announced that it has received tentative approval for its application to market a generic version of Xywav.</w:t>
      </w:r>
    </w:p>
    <w:p>
      <w:pPr>
        <w:spacing w:after="0" w:line="78"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Generic competition can decrease the net prices at which branded products, such as Xywav and Xyrem are sold, as can competition from other branded products. In addition, the entry of new therapeutic classes, such as orexin 2 receptor agonists, alongside generic oxybate options may prompt third-party payors and PBMs to initiate competitive formulary review and request for proposal processes across the sleep disorder category. We have increasingly experienced pressure from third party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payors to agree to higher rebates, deeper discounts, or restrictive pricing terms in response to these request for proposal cycles, and we cannot guarantee we will be able to agree to commercially reasonable terms with PBMs, or similar organizations and other third party payors, or that we will be able to ensure unrestricted patient access and preferred acceptance on formularies. Entering into agreements with PBMs or similar organizations and payors to ensure patient access has and may continue to result in decreased net prices for some of our products. Moreover, generic or AG high-sodium oxybate products or branded high-sodium oxybate entrants in narcolepsy, such as Alkermes’ Lumryz, have had and may continue to have the effect of changing payor or formulary coverage of Xywav or Xyrem in favor of other products, and may indirectly adversely affect sales of Xywav and Xyrem.</w:t>
      </w:r>
    </w:p>
    <w:p>
      <w:pPr>
        <w:spacing w:after="0" w:line="79" w:lineRule="exact"/>
        <w:rPr>
          <w:sz w:val="20"/>
          <w:szCs w:val="20"/>
          <w:color w:val="auto"/>
        </w:rPr>
      </w:pPr>
    </w:p>
    <w:p>
      <w:pPr>
        <w:ind w:right="220" w:firstLine="445"/>
        <w:spacing w:after="0" w:line="258" w:lineRule="auto"/>
        <w:rPr>
          <w:sz w:val="20"/>
          <w:szCs w:val="20"/>
          <w:color w:val="auto"/>
        </w:rPr>
      </w:pPr>
      <w:r>
        <w:rPr>
          <w:rFonts w:ascii="Times New Roman" w:cs="Times New Roman" w:eastAsia="Times New Roman" w:hAnsi="Times New Roman"/>
          <w:sz w:val="18"/>
          <w:szCs w:val="18"/>
          <w:color w:val="auto"/>
        </w:rPr>
        <w:t>In any event, we expect that the approval and launch of AG products or other generic versions of Xyrem or Xywav and the approval and launch of any other sodium oxybate product, such as Alkermes’ Lumryz, or alternative product that treats narcolepsy, such as Axsome’s reboxetine, Takeda's Orzeyful or orexin 2 receptor agonists being developed by Merck &amp; Co., Inc., Eisai Co., Ltd., Eli Lilly and Company and Alkermes for treatment of narcolepsy type 1, narcolepsy type 2 and IH, will continue to have a negative impact on, and could have a material adverse effect on, our sales of Xywav and Xyrem and on our business, financial condition, results of operations and growth prospects.</w:t>
      </w:r>
    </w:p>
    <w:p>
      <w:pPr>
        <w:spacing w:after="0" w:line="75"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continue to accept and adopt Epidiolex/Epidyolex as a treatment for seizures associated with LGS, DS and TSC. Physicians may not prescribe Epidiolex/Epidyolex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 Moreover, we expect that Epidiolex will face competition from generic products in the future. We have settled patent litigation with each of the ten companies seeking to market a generic version of Epidiolex in the U.S. by granting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 In addition, there are non-FDA approved CBD preparations being made available from companies through the state-enabled medical marijuana industry, which might attempt to compete with Epidiolex. Epidiolex may also face branded competition in the future with potential therapy launches targeting broad developmental and epileptic encephalopathies, including Praxis' relutrigine, H. Lundbeck A/S' bexicaserin and Bright Minds Biosciences Inc.'s BMB-101. However, the potential competitive impact on Epidiolex remains uncertain. Overall, significant uncertainty remains regarding the commercial potential of Epidiolex/Epidyolex.</w:t>
      </w:r>
    </w:p>
    <w:p>
      <w:pPr>
        <w:spacing w:after="0" w:line="87"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In addition to Xywav, Xyrem and Epidiolex/Epidyolex, our long-term growth strategy relies on successfully commercializing and advancing a portfolio of oncology products, including Ziihera, Modeyso, Zepzelca, Rylaze, Vyxeos and Defitelio. Our success is contingent upon mitigating significant risks related to our oncology portfolio, including our ability to navigate significant and increasing market competition, such as the entry of novel therapeutic products, including for SCLC, and our ability to successfully complete confirmatory clinical trials and retain regulatory approvals. Certain of our oncology products rely on accelerated regulatory approval pathways. Our ability to maintain these marketing authorizations is dependent on the timely and successful completion of post-marketing confirmatory clinical trials. FDA and other global regulatory bodies have recently demonstrated increased scrutiny over accelerated approvals. Any delays in trial enrollment, failure to meet primary clinical endpoints, or regulatory determinations that a product's clinical benefit does not justify its risks could lead to the restriction or withdrawal of our products from the market. For example, based on the results from the LAGOON trial of Zepzelca in second-line metastatic SCLC, which were reported in June 2026, FDA approved the updated U.S. label supplement on September 30, 2026, to remove the second-line indication. This label modification does not affect Zepzelca's separate, full FDA approval in the first-line maintenance indication. Additionally, effectively commercializing Ziihera, Modeyso, Zepzelca, Rylaze, Vyxeos and Defitelio requires securing and maintaining favorable formulary status, overcoming increasing pricing and reimbursement pressures from third-party payors, and managing complex global manufacturing and supply chains. An inability to overcome these competitive, commercial, and regulatory hurdles, or to maximize the potential of these products through successful R&amp;D activities, could have a material adverse effect on our business, financial condition, results of operations and growth prospects.</w:t>
      </w:r>
    </w:p>
    <w:p>
      <w:pPr>
        <w:spacing w:after="0" w:line="88"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A key aspect of our growth strategy is our continued investment in our evolving and expanding R&amp;D activities. If we are not successful in the clinical development of our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In addition to continued investment in our R&amp;D pipeline, we intend to continue to grow our business by acquiring or in-licensing, and developing, including with collaboration partners, additional rare-disease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Actio Acquisition, could have a material adverse effect on our business, results of operations and financial condition.</w:t>
      </w:r>
    </w:p>
    <w:p>
      <w:pPr>
        <w:spacing w:after="0" w:line="79"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Our industry has been, and is expected to continue to be, subject to healthcare cost containment and drug pricing scrutiny by regulatory agencies in the U.S. and internationally. 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For example, the IRA, among other things, requires the HHS Secretary to negotiate, with respect to Medicare units and subject to a specified cap, the price of a set number of certain high Medicare spend drugs and biologicals per year starting in 2026 and penalizes manufacturers of certain Medicare Parts B and D drugs for price increases above inflation. The IRA also made several changes to the Medicare Part D benefit, including a limit on annual out-of-pocket costs and a change in manufacturer liability under the program, that could negatively affect our business and financial condition. In addition, under the Medicaid Drug Rebate Program, rebates owed by manufacturers are no longer subject to a cap on the rebate amount, which could adversely affect our rebate liability. Moreover, the current administration continues to pursue MFN drug pricing policies for certain prescription drugs, which generally seek to align U.S. prices with prices paid in economically comparable countries, based on different methodologies depending on the proposal or policy. As part of this policy initiative, the administration is implementing or considering various CMS Center for Medicare &amp; Medicaid Innovation models, under which manufacturers may owe rebates for certain prescription drugs under Medicaid or Medicare if the price of a drug included in an applicable model exceeds an international benchmark calculated based on prices available in certain economically comparable reference countries. These include the GENErating cost Reductions for U.S. Medicaid (GENEROUS) Model, which focuses on Medicaid covered outpatient drugs and is currently voluntary for manufacturers and states; the finalized Global Benchmark for Efficient Drug Pricing Model (GLOBE) Model for certain Medicare Part B drugs; and the proposed Guarding United States Medicare Against Rising Drug Costs (GUARD) Model for certain Medicare Part D drugs. We are also subject to increasing pricing pressure and restrictions on reimbursement imposed by payors. If we fail to obtain and maintain adequate formulary positions and institutional access for our current products and future approved products, we will not be able to achieve a return on our investment and our business, financial condition, results of operations and growth prospects would be materially adversely affected.</w:t>
      </w:r>
    </w:p>
    <w:p>
      <w:pPr>
        <w:spacing w:after="0" w:line="81"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While certain preparations of cannabis remain Schedule I controlled substances, if such products are approved by FDA for medical use in the U.S. they are rescheduled to Schedules II-V, since approval by FDA demonstrates the existence of an “accepted medical use” for the products and thus Schedule I is inapplicable; or such products may be removed from control under the Controlled Substances Act entirely. If any of our product candidates receive FDA approval, the HHS and the DEA will make a scheduling determination. U.S. or foreign regulatory agencies may request additional information regarding the abuse potential of our products which may require us to generate more clinical or other data than we currently anticipate to establish whether or to what extent the substance has abuse potential. This generation of data could increase the cost, delay the approval and/or delay the launch of that product.</w:t>
      </w:r>
    </w:p>
    <w:p>
      <w:pPr>
        <w:spacing w:after="0" w:line="8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In addition, business practices by pharmaceutical companies, including product formulation improvements, patent litigation settlements, and REMS programs, have increasingly drawn public scrutiny from legislators and regulatory agencies, with allegations that such programs are used as a means of improperly blocking or delaying competition. Government investigations with respect to our business practices, including as they relate to the Xywav and Xyrem REMS, the launch of Xywav, our Xyrem patent litigation settlement agreements or otherwise, could cause us to incur significant monetary charges to resolve these matters and could distract us from the operation of our business and execution of our strategy. In addition, from June 2020 to May 2022, a number of lawsuits were filed on behalf of purported direct and indirect Xyrem purchasers, alleging that the patent litigation settlement agreements we entered with certain generic companies violate state and federal antitrust and consumer protection laws. As of October 2025, we resolved the entirety of these antitrust lawsuits. It is possible that additional lawsuits will be filed against us making similar or related allegations. We cannot predict the outcome of any potential additional lawsuits; however, if the plaintiffs were to be successful in their claims against us, they may be entitled to injunctive relief or we may be required to pay significant monetary damages. Moreover, we are, and expect to continue to be, the subject of various claims, legal proceedings, and government investigations apart from those set forth above that have arisen in the ordinary course of business that have not yet been fully resolved and that could adversely affect our business and the execution of our strategy. Any of the foregoing risks and uncertainties could have a material adverse effect on our business, financial condition, results of operations and growth prospects.</w:t>
      </w:r>
    </w:p>
    <w:p>
      <w:pPr>
        <w:spacing w:after="0" w:line="79"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Moreover, the U.S. government has imposed and may seek to impose additional restrictions on international trade, such as tariffs on goods generally, and pharmaceutical and biological products in particular, imported into the U.S. In April 2026,</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Trump administration announced tariffs of 100% on certain patented pharmaceutical products and associated pharmaceutical ingredients beginning September 29, 2026, subject to certain exemptions and reduced rates. The applicability and impact of these tariffs on our products and operations will depend, in part, on the scope of the tariffs and any applicable exemptions or other preferential treatment. In anticipation of the potential for increased tariffs on our products, we have increased inventory levels of our products in the U.S. We conduct our business globally and have third-party suppliers located outside the U.S., including in the PRC. In addition, we have a manufacturing and development facility in Athlone, Ireland where we manufacture Xywav and Xyrem, a manufacturing and development facility in Kent Science Park, U.K. where we produce Epidiolex/Epidyolex, and a manufacturing plant in Villa Guardia, Italy where we produce defibrotide drug substance. While we cannot at this time predict the ultimate impact of such tariffs, we anticipate that our margins could be adversely affected, depending on the ultimate scope and duration of tariffs imposed. However, given the volatility and uncertainty regarding the scope and duration of such tariffs and other aspects of U.S. and foreign government trade policies, the ultimate impact on our operations and financial results remains uncertain. Likewise, our financial condition and results of operations may continue to be affected by global volatility and general market disruption resulting from geopolitical tensions, such as the ongoing Russia-Ukraine military conflict and the ongoing military conflict involving the U.S. and Iran. In particular, the continued escalation of hostilities in the Middle East, including involving Iran, could further disrupt global energy markets, fuel prices, transportation networks, and supply chains, which may disrupt or otherwise negatively impact our supply chain, demand for our products and our ability to meet demand for our products, and increase our costs. See “</w:t>
      </w:r>
      <w:r>
        <w:rPr>
          <w:rFonts w:ascii="Times New Roman" w:cs="Times New Roman" w:eastAsia="Times New Roman" w:hAnsi="Times New Roman"/>
          <w:sz w:val="18"/>
          <w:szCs w:val="18"/>
          <w:i w:val="1"/>
          <w:iCs w:val="1"/>
          <w:color w:val="auto"/>
        </w:rPr>
        <w:t>Global trade issues and changes in and uncertainties with respect to trade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 and export regulations, including import and export license requirements, trade sanctions, tariffs and international trade disputes, could increase our costs, reduce the competitiveness of our products and otherwise have a material adverse effect on our business, financial condition, results of operations and growth prospects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r>
        <w:rPr>
          <w:rFonts w:ascii="Times New Roman" w:cs="Times New Roman" w:eastAsia="Times New Roman" w:hAnsi="Times New Roman"/>
          <w:sz w:val="18"/>
          <w:szCs w:val="18"/>
          <w:color w:val="auto"/>
        </w:rPr>
        <w:t>” in Part I, Item 1A of our Annual Report on Form 10-K for the year ended December 31, 2025.</w:t>
      </w:r>
    </w:p>
    <w:p>
      <w:pPr>
        <w:spacing w:after="0" w:line="83"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foregoing risks and uncertainties are discussed in greater detail, along with other risks and uncertainties, in “Risk Factors” in Part I, Item 1A of our Annual Report on Form 10-K for the year ended December 31, 2025, as supplemented by the risks and uncertainties described in “Risk Factors” in Part II, Item 1A of this Quarterly Report on Form 10-Q.</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revenues and expenses (in millions,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3"/>
            <w:vMerge w:val="restart"/>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420" w:type="dxa"/>
            <w:vAlign w:val="bottom"/>
            <w:gridSpan w:val="3"/>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1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3,377.9</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2,889.4</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 and contract revenues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product sales (excluding amortization of</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developed technologies)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N/A(1)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priority review voucher</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N/A(1)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N/A(1)</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N/A(1)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N/A(1)</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N/A(1)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N/A(1)</w:t>
            </w:r>
          </w:p>
        </w:tc>
        <w:tc>
          <w:tcPr>
            <w:tcW w:w="0" w:type="dxa"/>
            <w:vAlign w:val="bottom"/>
          </w:tcPr>
          <w:p>
            <w:pPr>
              <w:spacing w:after="0"/>
              <w:rPr>
                <w:sz w:val="1"/>
                <w:szCs w:val="1"/>
                <w:color w:val="auto"/>
              </w:rPr>
            </w:pP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investees</w:t>
            </w:r>
          </w:p>
        </w:tc>
        <w:tc>
          <w:tcPr>
            <w:tcW w:w="2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N/A(1)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Comparison to prior period not meaningful.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net product sales, royalties and contract revenues, and total revenues (in millions except percentages):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6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2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80" w:type="dxa"/>
            <w:vAlign w:val="bottom"/>
          </w:tcPr>
          <w:p>
            <w:pPr>
              <w:spacing w:after="0"/>
              <w:rPr>
                <w:sz w:val="13"/>
                <w:szCs w:val="13"/>
                <w:color w:val="auto"/>
              </w:rPr>
            </w:pPr>
          </w:p>
        </w:tc>
        <w:tc>
          <w:tcPr>
            <w:tcW w:w="216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10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Xywav</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Xyrem</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Sleep</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Epidiolex/Epidyolex</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Epilepsy</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Zepzelca</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Rylaze/Enrylaze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Defitelio/defibrotide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Modeyso</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N/A(2)</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N/A(2)</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Vyxeos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Ziihera</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23"/>
        </w:trPr>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Oncology</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N/A(2)</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3"/>
        </w:trPr>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3,377.9</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High-sodium oxybate AG royalty revenue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royalty and contract revenues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Sativex net product sales for the three and nine months ended September 30, 2025.</w:t>
      </w:r>
    </w:p>
    <w:p>
      <w:pPr>
        <w:spacing w:after="0" w:line="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Comparison to prior period not meaningful.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119" w:lineRule="exact"/>
        <w:rPr>
          <w:sz w:val="20"/>
          <w:szCs w:val="20"/>
          <w:color w:val="auto"/>
        </w:rPr>
      </w:pPr>
    </w:p>
    <w:p>
      <w:pPr>
        <w:ind w:right="100" w:firstLine="445"/>
        <w:spacing w:after="0" w:line="273" w:lineRule="auto"/>
        <w:rPr>
          <w:sz w:val="20"/>
          <w:szCs w:val="20"/>
          <w:color w:val="auto"/>
        </w:rPr>
      </w:pPr>
      <w:r>
        <w:rPr>
          <w:rFonts w:ascii="Times New Roman" w:cs="Times New Roman" w:eastAsia="Times New Roman" w:hAnsi="Times New Roman"/>
          <w:sz w:val="17"/>
          <w:szCs w:val="17"/>
          <w:color w:val="auto"/>
        </w:rPr>
        <w:t>Xywav product sales increased in the three and nine months ended September 30, 2026, compared to the same periods in 2025, primarily due to volume growth of 10% and 12%, respectively, and a higher selling price, offset by higher gross to net deductions. We continue to see Xywav adoption in patients with narcolepsy driven by continued demand, supported by educational initiatives around efficacy and the benefit of lowering sodium intake. In addition, Xywav product sales were positively impacted by adoption in IH. Xywav is the only oxybate therapy approved to treat IH and we see continued growth of new prescribers. Exiting the quarter, there were approximately 11,375 patients taking Xywav for narcolepsy and approximately 6,175 patients taking Xywav for IH, an increase of approximately 6% and 25%, respectively, compared to the same period in 2025. Xyrem product sales decreased in the three and nine months ended September 30, 2026, compared to the same periods in 2025, primarily due to volume declines of 20% and 21%, respectively.</w:t>
      </w:r>
    </w:p>
    <w:p>
      <w:pPr>
        <w:spacing w:after="0" w:line="63"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Epidiolex/Epidyolex product sales decreased in the three months ended September 30, 2026, compared to the same period in 2025, primarily due to higher gross to net deductions, driven by a release of reserves following refinement of certain accrual rates in the U.S. in the prior year period, partially offset by a higher average selling price. Epidiolex/Epidyolex product sales increased in the nine months ended September 30, 2026, compared to the same period in 2025, due to volume growth of 9%, driven by increased demand, a higher average selling price, and the positive impact of foreign exchange rates, offset by higher gross to net deductions.</w:t>
      </w:r>
    </w:p>
    <w:p>
      <w:pPr>
        <w:spacing w:after="0" w:line="75"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Zepzelca product sales increased in the three and nine months ended September 30, 2026, compared to the same periods in 2025, primarily due to volume growth of 35% and 43%, respectively, reflecting continued adoption in the first-line maintenance ES-SCLC setting following FDA approval of Zepzelca in combination with atezolizumab or atezolizumab and hyaluronidase-tqjs in October 2025 partially offset by a decline in second line use. FDA approved the updated U.S. label supplement for Zepzelca on September 30, 2026, to remove the second-line indication. Rylaze/Enrylaze product sales increased in the three and nine months ended September 30, 2026, compared to the same periods in 2025, primarily due to a higher average selling price, and volume growth of 4% and 3%, respectively, partially offset by higher gross to net deductions. Defitelio/defibrotide product sales increased in the three months ended September 30, 2026, compared to the same period in 2025, primarily due to increased sales volumes, and a higher average selling price. Defitelio/defibrotide product sales increased in the nine months ended September 30, 2026, compared to the same period in 2025, primarily due to increased sales volumes,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positive impact of foreign exchange rates, partially offset by a lower average selling price due to regional mix. Modeyso product sales were $61.1 million and $150.7 million, respectively, in the three and nine months ended September 30, 2026, following its product launch in the U.S. in August 2025 and initial inventory build in Japan following approval in September 2026. Vyxeos product sales decreased in the three months ended September 30, 2026, compared to the same period in 2025, due to a lower average selling price due to regional mix, partially offset by lower gross to net deductions. Vyxeos product sales decreased in the nine months ended September 30, 2026, compared to the same period in 2025, due to a decrease in sales volumes and a lower average selling price due to regional mix, partially offset by lower gross to net deductions and the positive impact of foreign exchange rates. Ziihera product sales increased in the three and nine months ended September 30, 2026, compared to the same periods in 2025, due to increased sales volume. In August 2026, Ziihera received FDA approval and was subsequently launched for the first-line treatment of adult patients with HER2-positive unresectable locally advanced or metastatic GEA.</w:t>
      </w:r>
    </w:p>
    <w:p>
      <w:pPr>
        <w:spacing w:after="0" w:line="80"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Royalties and contract revenues decreased in the three and nine months ended September 30, 2026, compared to the same periods in 2025, primarily due to a decrease in royalty revenue from Hikma, resulting from a reduction in the applicable royalty rate on net sales of their high sodium oxybate AG.</w:t>
      </w:r>
    </w:p>
    <w:p>
      <w:pPr>
        <w:spacing w:after="0" w:line="54" w:lineRule="exact"/>
        <w:rPr>
          <w:sz w:val="20"/>
          <w:szCs w:val="20"/>
          <w:color w:val="auto"/>
        </w:rPr>
      </w:pPr>
    </w:p>
    <w:p>
      <w:pPr>
        <w:ind w:right="460" w:firstLine="445"/>
        <w:spacing w:after="0" w:line="266" w:lineRule="auto"/>
        <w:rPr>
          <w:sz w:val="20"/>
          <w:szCs w:val="20"/>
          <w:color w:val="auto"/>
        </w:rPr>
      </w:pPr>
      <w:r>
        <w:rPr>
          <w:rFonts w:ascii="Times New Roman" w:cs="Times New Roman" w:eastAsia="Times New Roman" w:hAnsi="Times New Roman"/>
          <w:sz w:val="18"/>
          <w:szCs w:val="18"/>
          <w:color w:val="auto"/>
        </w:rPr>
        <w:t>We expect total revenues in 2026 to increase compared to 2025, primarily driven by continued growth in Xywav, Epidiolex/Epidyolex and in oncology, offset by a reduction in royalty revenues due to decreased high-sodium AG royalties and Xyrem revenues following the launch of multiple generic high-sodium products.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11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Cost of product sales decreased in the three months ended September 30, 2026, compared to the same period in 2025, primarily due to the full recognition of the inventory fair value step-up in the second quarter of 2026, partially offset by higher royalty expenses, driven by higher revenues. Cost of product sales increased in the nine months ended September 30, 2026, compared to the same period in 2025, primarily due to higher royalty expenses, driven by higher revenues, and increased inventory provisions, partially offset by lower fair value step-up expense of $53.2 million. Gross margin as a percentage of total revenues was 91.1% and 89.7% for the three and nine months ended September 30, 2026, compared to 88.6% for the same periods in 2025.</w:t>
      </w:r>
    </w:p>
    <w:p>
      <w:pPr>
        <w:spacing w:after="0" w:line="79"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We expect our cost of product sales in 2026 to be in line with 2025, with higher costs, including royalties, driven by higher revenues, offset by a reduction in the fair value step-up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decreased in the three months ended September 30, 2026, compared to the same period in 2025, primarily due to the Avadel litigation settlement of $90.0 million and a Xyrem antitrust litigation settlement of $61.5 million in the three months ended September 30, 2025, partially offset by restructuring expenses of $34.2 million related to a proposed re-organization of our European operating model, in the three months ended September 30, 2026. Selling, general and administrative expenses decreased in the nine months ended September 30, 2026, compared to the same period in 2025, primarily due to Xyrem antitrust litigation settlements of $233.5 million and the Avadel litigation settlement of $90.0 million in the nine months ended September 30, 2025, partially offset by restructuring expenses of $34.2 million and increased marketing investment in support of our commercial portfolio of $31.6 million in the nine months ended September 30, 2026.</w:t>
      </w:r>
    </w:p>
    <w:p>
      <w:pPr>
        <w:spacing w:after="0" w:line="81"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We expect selling, general and administrative expenses in 2026 to decrease compared to 2025, primarily due to the impact of litigation settlement expenses incurred in 2025, offset by increased investment in support of our commercial portfolio.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R&amp;D expenses consist primarily of costs related to clinical studies and outside services, personnel expenses, milestone expenses and other R&amp;D costs. Clinical study and outside services costs relate primarily to services performed by clinical research organizations, materials and supplies, and other third party fees. Personnel expenses relate primarily to salaries, benefits and share-based compensation. Other R&amp;D expenses primarily include overhead allocations consisting of various support and facilities-related costs. We do not track fully-burdened R&amp;D expenses on a project-by-project basis. We manage our R&amp;D expenses by identifying the R&amp;D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a breakout of our R&amp;D expenses by major categories of expense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44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studies and outside services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expenses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expense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R&amp;D expenses increased by $13.7 million in the three months ended September 30, 2026, compared to the same period in 2025, driven by an increase in clinical studies and outside services costs of $15.4 million to advance our pipeline programs including zanidatamab. R&amp;D expenses increased by $46.6 million in the nine months ended September 30, 2026, compared to the same period in 2025, driven by an increase in clinical studies and outside services costs of $32.5 million, which included higher costs related to zanidatamab and dordaviprone and an increase in personnel expenses of $19.3 million.</w:t>
      </w:r>
    </w:p>
    <w:p>
      <w:pPr>
        <w:spacing w:after="0" w:line="75"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We expect that our R&amp;D expenses will increase compared to 2025, primarily driven by an increase in clinical studies and outside service costs relating to zanidatamab, for both ongoing and new studies, dordaviprone, due to the inclusion of a full year’s expenses, and preclinical and early clinical programs.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p>
    <w:p>
      <w:pPr>
        <w:spacing w:after="0" w:line="119" w:lineRule="exact"/>
        <w:rPr>
          <w:sz w:val="20"/>
          <w:szCs w:val="20"/>
          <w:color w:val="auto"/>
        </w:rPr>
      </w:pPr>
    </w:p>
    <w:p>
      <w:pPr>
        <w:ind w:right="60" w:firstLine="445"/>
        <w:spacing w:after="0" w:line="312" w:lineRule="auto"/>
        <w:rPr>
          <w:sz w:val="20"/>
          <w:szCs w:val="20"/>
          <w:color w:val="auto"/>
        </w:rPr>
      </w:pPr>
      <w:r>
        <w:rPr>
          <w:rFonts w:ascii="Times New Roman" w:cs="Times New Roman" w:eastAsia="Times New Roman" w:hAnsi="Times New Roman"/>
          <w:sz w:val="17"/>
          <w:szCs w:val="17"/>
          <w:color w:val="auto"/>
        </w:rPr>
        <w:t>Intangible asset amortization in the three months ended September 30, 2026, was in line with the same period in 2025. The increase in intangible asset amortization in the nine months ended September 30, 2026, compared to the same period in 2025, includes the impact of foreign currency translation.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119" w:lineRule="exact"/>
        <w:rPr>
          <w:sz w:val="20"/>
          <w:szCs w:val="20"/>
          <w:color w:val="auto"/>
        </w:rPr>
      </w:pPr>
    </w:p>
    <w:p>
      <w:pPr>
        <w:ind w:right="240" w:firstLine="445"/>
        <w:spacing w:after="0" w:line="256" w:lineRule="auto"/>
        <w:rPr>
          <w:sz w:val="20"/>
          <w:szCs w:val="20"/>
          <w:color w:val="auto"/>
        </w:rPr>
      </w:pPr>
      <w:r>
        <w:rPr>
          <w:rFonts w:ascii="Times New Roman" w:cs="Times New Roman" w:eastAsia="Times New Roman" w:hAnsi="Times New Roman"/>
          <w:sz w:val="18"/>
          <w:szCs w:val="18"/>
          <w:color w:val="auto"/>
        </w:rPr>
        <w:t>Acquired IPR&amp;D expense in the three and nine months ended September 30, 2026, represents the value allocated to ABS-1230 (JZP6979) in the Actio Acquisition. Additionally, acquired IPR&amp;D expense in the nine months ended September 30, 2026, included the upfront payments made in connection with our collaboration and license agreement with AbCellera of $56.0 million and asset purchase agreement with Werewolf of $21.0 million. Acquired IPR&amp;D expense in the three and nine months ended September 30, 2025, included the upfront payment made in connection with our global license agreement with Saniona. Additionally, acquired IPR&amp;D expense in the nine months ended September 30, 2025, represents the value allocated to Modeyso in the Chimerix Acquisition.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Priority Review Voucher</w:t>
      </w:r>
    </w:p>
    <w:p>
      <w:pPr>
        <w:spacing w:after="0" w:line="119" w:lineRule="exact"/>
        <w:rPr>
          <w:sz w:val="20"/>
          <w:szCs w:val="20"/>
          <w:color w:val="auto"/>
        </w:rPr>
      </w:pPr>
    </w:p>
    <w:p>
      <w:pPr>
        <w:ind w:right="660" w:firstLine="445"/>
        <w:spacing w:after="0" w:line="282" w:lineRule="auto"/>
        <w:rPr>
          <w:sz w:val="20"/>
          <w:szCs w:val="20"/>
          <w:color w:val="auto"/>
        </w:rPr>
      </w:pPr>
      <w:r>
        <w:rPr>
          <w:rFonts w:ascii="Times New Roman" w:cs="Times New Roman" w:eastAsia="Times New Roman" w:hAnsi="Times New Roman"/>
          <w:sz w:val="18"/>
          <w:szCs w:val="18"/>
          <w:color w:val="auto"/>
        </w:rPr>
        <w:t>We recognized a pre-tax gain on disposal of the PRV in January 2026 of $122.8 million, representing the total cash consideration received of $200.0 million, less the post-tax proceeds paid to the former stockholders of Oncoceutics,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expense, net in the three months ended September 30, 2026, was in line with the same period in 2025. Interest expense, net decreased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$27.2 million in the nine months ended September 30, 2026, compared to the same period in 2025, primarily due to lower interest expense on the Tranche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B-3 Dollar Term Loans, reflecting lower interest rates and lower balance outstanding and higher interest income as a result of higher cash reserves, offset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impact of lower interest rates.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1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Our income tax expense was $24.5 million and $48.7 million for the three and nine months ended September 30, 2026, respectively, compared to an income tax benefit of $242.4 million and $277.4 million for the same periods in 2025, relating to tax arising on income or losses in Ireland, the U.K., the U.S. and certain other foreign jurisdictions and Pillar Two top-up taxes, offset by deductions on subsidiary equity, patent box and foreign-derived deduction eligible income benefits and tax credits. The income tax benefit for the three and nine months ended September 30, 2025, was primarily due to the reversal of a valuation allowance against certain U.S. federal and state deferred tax assets acquired through the Chimerix Acquisition and the income tax benefit for the nine months ended September 30, 2025 also included the tax impact of certain Xyrem antitrust litigation settlements. The income tax expense for the nine months ended September 30, 2026 included tax arising on the gain on sale of the PRV.</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As of September 30, 2026, we had cash, cash equivalents and investments of $2.9 billion, borrowing available under our Amended Revolving Credit Facility of $885.0 million and a long-term debt principal balance of $5.6 billion. Our long-term debt included $1.9 billion aggregate principal amount of the Tranche B-3 Dollar Term Loans, $1.5 billion in aggregate principal amount of the Secured Notes, $1.3 billion aggregate principal amount of the 2032 Notes and $1.0 billion aggregate principal amount of the 2030 Notes. We generated cash flow from operations of $1.3 billion during the nine months ended September 30, 2026, and we expect to continue to generate positive cash flow from operations which will enable us to operate our business and de-lever our balance sheet over time.</w:t>
      </w:r>
    </w:p>
    <w:p>
      <w:pPr>
        <w:spacing w:after="0" w:line="7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Prior to June 15, 2030, the 2030 Notes will be exchangeable only upon satisfaction of certain conditions, including the share price, and during certain periods, and thereafter, at any time until the close of business on the second scheduled trading day immediately preceding the maturity date. During the quarter ended September 30, 2026, the closing price of our ordinary shares exceeded 130% of the conversion price of the 2030 Notes for more than 20 trading days of the last 30 consecutive trading days of the quarter. As a result, the share price condition was met and the 2030 Notes are exchangeable at the option of the holders during the quarter ended December 31, 2026. Accordingly, the carrying value of the 2030 Notes has been included in current liabilities in our condensed consolidated balance sheet as of September 30, 2026.</w:t>
      </w:r>
    </w:p>
    <w:p>
      <w:pPr>
        <w:spacing w:after="0" w:line="79"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As of the date of this filing, none of the 2030 Notes have been exchanged by the holders. In the event holders elect to exchange their 2030 Notes, we expect we would settle such exchanges using cash on hand and/or borrowings under our Amended Revolving Credit Facility.</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 the closing of the GW Acquisition in May 2021, we have fully repaid our Euro Term Loan. With respect to our Term Loans, we have made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voluntary repayments of $1.1 billion, $300.0 million in September 2022, and $750.0 million in January 2025, along with mandatory repayments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$162.8 million. In June 2026, we repaid the $1.0 billion aggregate principal amount of our 2026 Notes and, in August 2024, we repaid the $575.0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 our 2024 Notes.</w:t>
      </w:r>
    </w:p>
    <w:p>
      <w:pPr>
        <w:spacing w:after="0" w:line="99" w:lineRule="exact"/>
        <w:rPr>
          <w:sz w:val="20"/>
          <w:szCs w:val="20"/>
          <w:color w:val="auto"/>
        </w:rPr>
      </w:pPr>
    </w:p>
    <w:p>
      <w:pPr>
        <w:ind w:right="80" w:firstLine="445"/>
        <w:spacing w:after="0" w:line="219" w:lineRule="exact"/>
        <w:rPr>
          <w:sz w:val="20"/>
          <w:szCs w:val="20"/>
          <w:color w:val="auto"/>
        </w:rPr>
      </w:pPr>
      <w:r>
        <w:rPr>
          <w:rFonts w:ascii="Times New Roman" w:cs="Times New Roman" w:eastAsia="Times New Roman" w:hAnsi="Times New Roman"/>
          <w:sz w:val="18"/>
          <w:szCs w:val="18"/>
          <w:color w:val="auto"/>
        </w:rPr>
        <w:t>We have a significant amount of debt outstanding on a consolidated basis. For further information, including details relating to our scheduled maturities with respect to our long-term debt, see Note 9, Debt, of the Notes to Condensed Consolidated Financial Statements, included in Part I, Item 1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This substantial level of debt could have important consequences to our business, including, but not limited to the factors set forth in “Risk Factors” in Part I, Item 1A of our Annual Report on Form 10-K for the year ended December 31, 2025, under the heading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have incurred substantial debt, which could impair our flexibility and access to capital and adversely affect our financial position, and our business would be adversely affected if we are unable to service our debt obligations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our existing cash, cash equivalents and investments balances, cash we expect to generate from operations and funds available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Revolving Credit Facility will be sufficient to fund our operations and to meet our existing obligations for the foreseeable future.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adequacy of our cash resources depends on many assumptions, including primarily our assumptions with respect to product sales, expenses and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activities, as well as the other factors set forth in “Risk Factors” under the heading “Risks Related to our Lead Products and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in Part I, Item 1A of our Annual Report on Form 10-K for the year ended December 31, 2025, as supplemented by the risks and uncertainties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“Risk Factors” in Part II, Item 1A of this Quarterly Report on Form 10-Q as well as the factor set forth in “Risk Factors” under the heading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 continue to grow our business, we will need to commit substantial resources, which could result in future losses or otherwise limit our opportunities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affect our ability to operate and grow our business</w:t>
      </w:r>
      <w:r>
        <w:rPr>
          <w:rFonts w:ascii="Times New Roman" w:cs="Times New Roman" w:eastAsia="Times New Roman" w:hAnsi="Times New Roman"/>
          <w:sz w:val="18"/>
          <w:szCs w:val="18"/>
          <w:color w:val="auto"/>
        </w:rPr>
        <w:t>” in Part I, Item 1A of our Annual Report on Form 10-K for the year ended December 31, 2025.</w:t>
      </w:r>
    </w:p>
    <w:p>
      <w:pPr>
        <w:spacing w:after="0" w:line="9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assumptions may prove 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68" w:lineRule="exact"/>
        <w:rPr>
          <w:sz w:val="20"/>
          <w:szCs w:val="20"/>
          <w:color w:val="auto"/>
        </w:rPr>
      </w:pPr>
    </w:p>
    <w:p>
      <w:pPr>
        <w:ind w:right="200" w:firstLine="445"/>
        <w:spacing w:after="0" w:line="254" w:lineRule="auto"/>
        <w:rPr>
          <w:sz w:val="20"/>
          <w:szCs w:val="20"/>
          <w:color w:val="auto"/>
        </w:rPr>
      </w:pPr>
      <w:r>
        <w:rPr>
          <w:rFonts w:ascii="Times New Roman" w:cs="Times New Roman" w:eastAsia="Times New Roman" w:hAnsi="Times New Roman"/>
          <w:sz w:val="18"/>
          <w:szCs w:val="18"/>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to restructure or refinance our debt and/or for general corporate purposes. Raising additional capital could be accomplished through one or more public or private debt or equity financings, collaborations or partnering arrangements. However, our</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ability to raise additional capital may be adversely impacted by worsening global economic conditions and the disruptions to, and volatility in, the credit and financial markets in the U.S. and worldwide resulting from the effects of ongoing military conflicts, inflationary pressures, potential future bank failures, or otherwise. In this regard, the ongoing Russia-Ukraine military conflict and the ongoing military conflict involving the U.S. and Iran have created volatility in the global credit and financial markets and have had and may continue to have further global economic consequences, including continued disruptions of the global supply chain and energy markets, which could continue to drive inflationary pressures and increase global recession risk. Accordingly,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under Irish law we must have authority from our shareholders to issue any ordinary shares, including ordinary shares that are part of our authorized but unissued share capital, and our current share issuance authority is due to expire in July 2031. Moreover, as a matter of Irish law, when an Irish public limited company issues ordinary shares to new shareholders for cash, the company must first offer those shares on the same or more favorable terms to existing shareholders on a pro rata basis, unless this statutory pre-emption obligation is dis-applied, or opted-out of, by approval of its shareholders. At our annual general meeting of shareholders in July 2026, our shareholders voted to approve our proposal to dis-apply the statutory pre-emption obligation. This current pre-emption opt-out authority is due to expire in January 2028. If we are unable to obtain further share issuance and pre-emption authorities from our shareholders in the future, or otherwise continue to be limited by the terms of new share issuance pre-emption authorities approved by our shareholders in the future, our ability to use our unissued share capital to fund in-licensing, acquisition or other business opportunities, or to otherwise raise capital, including at the time we are required to make repurchases of the 2030 Notes, the 2032 Notes and/or the Secured Notes, are required to repay outstanding amounts under the Amended Credit Agreement, or pay cash upon reaching the maturity date of the 2030 Notes, the 2032 Notes and/or the Secured Notes, could likewise be adversely affected or precluded altogether.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percentage ownership, and could require the consent of the lenders under the Amended Credit Agreement that provides for (i) the Tranche B-3 Dollar Term Loans and Amended Revolving Credit Facility, and the indenture for the Secured Notes for certain financings.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July 2024, our board of directors authorized the Repurchase Program, to repurchase ordinary shares having an aggregate purchase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 million, exclusive of any brokerage commissions. The Repurchase Program, which has no expiration date, allows us to repurchase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by any methods and/or structures permitted by applicable law. The timing and amount of repurchases will depend on a variety of factors,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price of our ordinary shares, alternative investment opportunities, restrictions under the Amended Credit Agreement and the indenture for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Notes, corporate and regulatory requirements and market conditions. The Repurchase Program may be modified, suspended or discontinued at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without our prior notice. During the three and nine months ended September 30, 2026, we spent a total of $225.0 million to repurchase 0.9 million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under the Repurchase Program at a purchase price, including commissions, of $249.29 per share. The repurchases during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2026, were effected in privately negotiated transactions with or through one of the initial purchasers of the 2032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concurrently with the pricing of the offering of the 2032 Notes. During the three months ended September 30, 2025, no shares were repurchased.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nine months ended September 30, 2025, we spent a total of $125.0 million to repurchase 1.1 million of our ordinary shares under the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at a purchase price, including commissions, of $109.52 per share. As of September 30, 2026, the Company had fully utilized the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for repurchases under the Repurchase Program.</w:t>
      </w:r>
    </w:p>
    <w:p>
      <w:pPr>
        <w:spacing w:after="0" w:line="99"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In October 2026, our board of directors approved a new share repurchase program with no expiration date pursuant to which we may repurchase our ordinary shares for up to an aggregate purchase price of $500.0 million, exclusive of any brokerage commissions. The timing and amount of repurchases under the program will depend on a variety of factors, including the amount and timing of corporate development transactions, repayment of debt, restrictions under our credit agreement, corporate and regulatory requirements, market conditions and the price of our ordinary shares.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indicated (in millions):</w:t>
      </w:r>
    </w:p>
    <w:p>
      <w:pPr>
        <w:spacing w:after="0" w:line="151"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84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(1,137.8)</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increased by $336.7 million in the nine months ended September 30, 2026, compared to the same period in 2025, primarily due to cash received from increased sales of our products and the impact of the payment of Xyrem antitrust litigation settlements of $233.5 million in the nine months ended September 30,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by $532.0 million in the nine months ended September 30, 2026, compared to the same period in 2025, primarily due to the following:</w:t>
      </w:r>
    </w:p>
    <w:p>
      <w:pPr>
        <w:spacing w:after="0" w:line="5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$858.1 million outflow in 2025 related to the net cash paid for the Chimerix Acquisition;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$370.2 million net increase in the proceeds from maturity of investments, driven by time deposits;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$122.8 million related to the net proceeds from the sale of PRV in January 2026; partially offset by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$830.8 million outflow in 2026 related to the net cash paid for the Actio Acquisition.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decreased by $869.5 million in the nine months ended September 30, 2026, compared to the same period in 2025, primarily due to the following:</w:t>
      </w:r>
    </w:p>
    <w:p>
      <w:pPr>
        <w:spacing w:after="0" w:line="5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issuance of the 2032 Notes, net of issuance costs, of $1.2 billion in the nine months ended September 30, 2026;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million voluntary repayment on the Tranche B-2 Dollar Term Loans in January 2025; partially offset by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the 2026 Notes of $1.0 billion in the nine months ended September 30, 2026;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share repurchases of $100.0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The summary of our outstanding indebtedness and scheduled maturities with respect to our long-term debt principal balances is included in Note 9, Debt, of the Notes to Condensed Consolidated Financial Statements included in Part I, Item 1 of this Quarterly Report on Form 10-Q. In June 2026, we repaid the $1.0 billion aggregate principal amount of the 2026 Notes at maturity and accrued and unpaid interest thereon and issued 1,890,193 ordinary shares. In August 2026, Jazz Investments completed a private offering of an aggregate $1.3 billion principal amount of the 2032 Notes. In September 2026, we entered into an amendment to the Credit Agreement, as described below. During the quarter ended December 31, 2026, the 2030 Notes will be exchangeable only upon satisfaction of certain conditions, including a condition tied to our share price that is measured as of the end of each quarter, and during certain periods, and thereafter, at any time until the close of business on the second scheduled trading day immediately preceding the maturity date. As of the date of this filing, none of the 2030 Notes have been exchanged by the holders.</w:t>
      </w:r>
    </w:p>
    <w:p>
      <w:pPr>
        <w:spacing w:after="0" w:line="84"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there were no other changes to our financing arrangements, as set forth in Note 11, Debt, of the Notes to Consolidated Financial Statements included in our Annual Report on Form 10-K for the year ended December 31, 2025.</w:t>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On May 5, 2021, Jazz Pharmaceuticals plc, Jazz Lux, and certain of our other subsidiaries, as borrowers, or, collectively with Jazz Pharmaceuticals plc and Jazz Lux, the “Borrowers”, entered into the Credit Agreement. The Credit Agreement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initially provided for (i) the Dollar Term Loan, which was drawn by Jazz Lux on the closing date thereof in U.S. dollars (ii) the Euro Term Loan, which was drawn by Jazz Lux on the closing date thereof in Euros and (iii) the Initial Revolving Credit Facility.</w:t>
      </w:r>
    </w:p>
    <w:p>
      <w:pPr>
        <w:spacing w:after="0" w:line="54"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 Borrowers have entered into amendments to reprice the Term Loans in January 2024 (Amendment No. 1), July 2024 (Amendment No. 2) and in September 2026 (Amendment No. 4) pursuant to which the outstanding Term Loans were converted into, and/or repaid with the proceeds, of a new tranche of dollar term loans. Most recently in September 2026, the Borrowers entered into an Amendment No. 4 to the Credit Agreement pursuant to which the then outstanding Tranche B-2 Dollar Term Loans were converted into, and/or repaid with the proceeds of Tranche B-3 Dollar Term Loans. In addition, in November 2024, the Borrowers entered into Amendment No. 3 to the Credit Agreement, to increase the Initial Revolving Credit Facility from $500.0 million to $885.0 million and extend the maturity date thereof from May 5, 2026 to November 26, 2029.</w:t>
      </w:r>
    </w:p>
    <w:p>
      <w:pPr>
        <w:spacing w:after="0" w:line="79" w:lineRule="exact"/>
        <w:rPr>
          <w:sz w:val="20"/>
          <w:szCs w:val="20"/>
          <w:color w:val="auto"/>
        </w:rPr>
      </w:pPr>
    </w:p>
    <w:p>
      <w:pPr>
        <w:ind w:right="220" w:firstLine="445"/>
        <w:spacing w:after="0" w:line="256" w:lineRule="auto"/>
        <w:rPr>
          <w:sz w:val="20"/>
          <w:szCs w:val="20"/>
          <w:color w:val="auto"/>
        </w:rPr>
      </w:pPr>
      <w:r>
        <w:rPr>
          <w:rFonts w:ascii="Times New Roman" w:cs="Times New Roman" w:eastAsia="Times New Roman" w:hAnsi="Times New Roman"/>
          <w:sz w:val="18"/>
          <w:szCs w:val="18"/>
          <w:color w:val="auto"/>
        </w:rPr>
        <w:t>The Tranche B-3 Dollar Term Loans are a separate class of term loans under the Amended Credit Agreement, with substantially the same material terms (including with respect to prepayment, security, covenants and events of default) as the previously outstanding Tranche B-2 Dollar Term Loans incurred on July 19, 2024, the Tranche B-1 Dollar Term Loans incurred on January 19, 2024, and the initial Dollar Term Loan incurred on May 5, 2021, with the interest rate amended as described below. The principal amount of Tranche B-2 Dollar Term Loans outstanding immediately prior to the Amendment No. 4 and the outstanding principal amount of Tranche B-3 Dollar Term Loans immediately following the Amendment No.4, each totaled $1.9 billion.</w:t>
      </w:r>
    </w:p>
    <w:p>
      <w:pPr>
        <w:spacing w:after="0" w:line="7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Tranche B-3 Dollar Term Loans bear interest at a rate equal to either (a) Term SOFR or (b) the prime lending rate, in each case, plus an applicable margin. The applicable margin for the Tranche B-3 Dollar Term Loans is 1.75% (in the case of Term SOFR borrowings) and 0.75% (in the case of borrowings at the prime lending rate), a decrease of 50 basis points from the applicable margin on the Tranche B-2 Dollar Term Loans. The Tranche B-3 Dollar Term Loans are subject to a Term SOFR floor of 0.50%. As of September 30, 2026, the interest rate and effective interest rate on the Tranche B-3 Dollar Term Loans were 5.65% and 5.94%, respectively.</w:t>
      </w:r>
    </w:p>
    <w:p>
      <w:pPr>
        <w:spacing w:after="0" w:line="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Tranche B-3 Dollar Term Loans will amortize in quarterly installments equal to 0.25% of the initial principal amount thereof, with the remaining balance payable on May 5, 2033.</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2032 Notes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August 2026, Jazz Investments, or the Issuer, a wholly-owned finance subsidiary of Jazz Pharmaceuticals plc., completed a private offering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billion aggregate principal amount of the 2032 Notes. The 2032 Notes are senior unsecured obligations of the Issuer and are fully and unconditionally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guaranteed on a senior unsecured basis by Jazz Pharmaceuticals plc. No subsidiary of Jazz Pharmaceuticals plc guaranteed the 2032 Notes.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local law restrictions on payment of dividends, among other things, and potential negative tax consequences, we are not aware of any significant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on the ability of Jazz Pharmaceuticals plc to obtain funds from the Issuer or Jazz Pharmaceuticals plc’s other subsidiaries by dividend or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legal or economic restrictions on the ability of the Issuer or Jazz Pharmaceuticals plc’s other subsidiaries to transfer funds to Jazz Pharmaceuticals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plc in the form of cash dividends, loans or advances. There is no assurance that in the future such restrictions will not be adopted.</w:t>
      </w:r>
    </w:p>
    <w:p>
      <w:pPr>
        <w:spacing w:after="0" w:line="99"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Interest on the 2032 Notes is payable semi-annually in cash in arrears on March 15 and September 15 of each year, beginning on March 15, 2027, at a rate of 1.875% per year. In certain circumstances, we may be required to pay additional amounts as a result of any applicable tax withholding or deductions required in respect of payments on the 2032 Notes. The 2032 Notes mature on September 15, 2032, unless earlier exchanged, redeemed or repurchased.</w:t>
      </w:r>
    </w:p>
    <w:p>
      <w:pPr>
        <w:spacing w:after="0" w:line="72"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The holders of the 2032 Notes have the ability to require us to repurchase all or a portion of their 2032 Notes for cash at a fundamental change repurchase price equal to 100% of the principal amount of the notes to be repurchased, plus accrued and unpaid interest to, but excluding, the fundamental change repurchase date in the event we undergo a fundamental change (as defined in the indenture related to the 2032 Notes),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w:t>
      </w:r>
    </w:p>
    <w:p>
      <w:pPr>
        <w:spacing w:after="0" w:line="75"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Additionally, the terms and covenants in the indenture related to the 2032 Notes include certain events of default after which the 2032 Notes may be due and payable immediately.</w:t>
      </w:r>
    </w:p>
    <w:p>
      <w:pPr>
        <w:spacing w:after="0" w:line="54"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Prior to September 15, 2032, we may redeem the 2032 Notes, in whole but not in part, in connection with certain tax-related events. We also may redeem the 2032 Notes on or after September 20, 2029, in whole or in part (subject to the partial redemption limitation described below and in the indenture related to the 2032 Notes), if the last reported sale price of the ordinary shares has been at least 130% of the exchange price then in effect for at least 20 trading days (whether or not consecutive) during any 30 consecutive trading day period ending on, and including, the trading day immediately preceding the date on which we provide notice of redemption. Subject to the conditions described in the indenture related to the 2032 Notes,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also redeem all, but not less than all, of the 2032 Notes at our option at any time if the principal amount of the 2032 Notes outstanding at such time is less than $100.0 million. The redemption price for any redemption will be 100% of the principal amount of the notes to be redeemed, plus accrued and unpaid interest to, but excluding, the redemption date.</w:t>
      </w:r>
    </w:p>
    <w:p>
      <w:pPr>
        <w:spacing w:after="0" w:line="68"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The exchange rate for the 2032 Notes is initially 2.8150 ordinary shares per $1,000 principal amount of 2032 Notes, which is equivalent to an initial exchange price of approximately $355.24 per ordinary share. Upon exchange of the 2032 Notes, we will pay cash up to the aggregate principal amount of the 2032 Notes to be exchanged and pay or deliver, as the case may be, cash, ordinary shares or a combination of cash and ordinary shares, at our election, in respect of the remainder, if any, of our exchange obligation in excess of the aggregate principal amount of the 2032 Notes being exchanged. The exchange rate is subject to adjustment in some events but will not be adjusted for any accrued and unpaid interest. In addition, following certain make-whole fundamental changes (as defined in the indenture related to the 2032 Notes) that occur prior to the maturity date or upon our issuance of a notice of redemption, we will, in certain circumstances, increase the exchange rate for a holder who elects to exchange its 2032 Notes in connection with that make-whole fundamental change or exchange its 2032 Notes called (or deemed called, in the case of an optional redemption) for redemption during the related redemption period, as the case may be. Prior to June 15, 2032, the 2032 Notes will be exchangeable only upon satisfaction of certain conditions and during certain periods, and thereafter, at any time until the close of business on the second scheduled trading day immediately preceding the maturity date.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320" w:firstLine="445"/>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there were no material changes to our contractual obligations as set forth in Part II, Item 7 “Management’s Discussion and Analysis of Financial Condition and Results of Operations” in our Annual Report on Form 10-K for the year ended December 31, 2025, other than (i) the termination of the Werewolf license and collaboration agreement entered into in May 2022, eliminating potential future milestone obligations, totaling $1,255.0 million, and future royalty obligations under that agreement, and (ii) the assumption of potential future milestone payments, totaling $500.0 million in connection with the Actio Acquisition.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80" w:firstLine="445"/>
        <w:spacing w:after="0" w:line="273" w:lineRule="auto"/>
        <w:rPr>
          <w:sz w:val="20"/>
          <w:szCs w:val="20"/>
          <w:color w:val="auto"/>
        </w:rPr>
      </w:pPr>
      <w:r>
        <w:rPr>
          <w:rFonts w:ascii="Times New Roman" w:cs="Times New Roman" w:eastAsia="Times New Roman" w:hAnsi="Times New Roman"/>
          <w:sz w:val="17"/>
          <w:szCs w:val="17"/>
          <w:color w:val="auto"/>
        </w:rPr>
        <w:t>To understand our financial statements, it is important to understand our critical accounting estimates. The preparation of our financial statements in conformity with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and also with respect to the acquisition and valuation of intangibles and income taxes.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w:t>
      </w:r>
    </w:p>
    <w:p>
      <w:pPr>
        <w:spacing w:after="0" w:line="23" w:lineRule="exact"/>
        <w:rPr>
          <w:sz w:val="20"/>
          <w:szCs w:val="20"/>
          <w:color w:val="auto"/>
        </w:rPr>
      </w:pPr>
    </w:p>
    <w:p>
      <w:pPr>
        <w:ind w:right="260" w:firstLine="445"/>
        <w:spacing w:after="0" w:line="245" w:lineRule="exact"/>
        <w:rPr>
          <w:sz w:val="20"/>
          <w:szCs w:val="20"/>
          <w:color w:val="auto"/>
        </w:rPr>
      </w:pPr>
      <w:r>
        <w:rPr>
          <w:rFonts w:ascii="Times New Roman" w:cs="Times New Roman" w:eastAsia="Times New Roman" w:hAnsi="Times New Roman"/>
          <w:sz w:val="18"/>
          <w:szCs w:val="18"/>
          <w:color w:val="auto"/>
        </w:rPr>
        <w:t>Our critical accounting policies and significant estimates are detailed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Our critical accounting policies and significant estimates have not changed substantially from those previously disclosed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80" w:lineRule="exact"/>
        <w:rPr>
          <w:sz w:val="20"/>
          <w:szCs w:val="20"/>
          <w:color w:val="auto"/>
        </w:rPr>
      </w:pPr>
    </w:p>
    <w:p>
      <w:pPr>
        <w:ind w:right="40" w:firstLine="445"/>
        <w:spacing w:after="0" w:line="224" w:lineRule="exact"/>
        <w:rPr>
          <w:sz w:val="20"/>
          <w:szCs w:val="20"/>
          <w:color w:val="auto"/>
        </w:rPr>
      </w:pPr>
      <w:r>
        <w:rPr>
          <w:rFonts w:ascii="Times New Roman" w:cs="Times New Roman" w:eastAsia="Times New Roman" w:hAnsi="Times New Roman"/>
          <w:sz w:val="18"/>
          <w:szCs w:val="18"/>
          <w:color w:val="auto"/>
        </w:rPr>
        <w:t>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contains forward-looking statements within the meaning of Section 27A of the Securities Act, and Section 21E of the Exchange Act, which are subject to the “safe harbor” created by those sections. Forward-looking statements are based on our management’s current beliefs and assumptions and on information currently available to our management. In some cases, you can identify forward-looking statements by terms such as “may,” “will,” “should,” “could,” “would,” “expect,” “plan,” “anticipate,” “believe,” “estimate,” “opportunity,” “project,” “predict,” “propose,” “intend,” “continue,” “potential,” “possible,” “strive,” “seek,” “designed,” “goal,” “foreseeable,” “likely” or the negative of these words or other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known and unknown risks, uncertainties and other factors include, without limitation:</w:t>
      </w:r>
    </w:p>
    <w:p>
      <w:pPr>
        <w:spacing w:after="0" w:line="27" w:lineRule="exact"/>
        <w:rPr>
          <w:sz w:val="20"/>
          <w:szCs w:val="20"/>
          <w:color w:val="auto"/>
        </w:rPr>
      </w:pPr>
    </w:p>
    <w:p>
      <w:pPr>
        <w:ind w:left="740" w:right="140" w:hanging="327"/>
        <w:spacing w:after="0" w:line="260" w:lineRule="auto"/>
        <w:tabs>
          <w:tab w:leader="none" w:pos="7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revenues from our oxybate franchise would have a material adverse effect on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63" w:lineRule="exact"/>
        <w:rPr>
          <w:sz w:val="20"/>
          <w:szCs w:val="20"/>
          <w:color w:val="auto"/>
        </w:rPr>
      </w:pPr>
    </w:p>
    <w:p>
      <w:pPr>
        <w:ind w:left="740" w:right="160" w:hanging="327"/>
        <w:spacing w:after="0" w:line="282"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in the U.S. market that compete with, or otherwise disrupt the market for, our oxybate products has adversely affected and may continue to adversely affect sales of our oxybate products.</w:t>
      </w:r>
    </w:p>
    <w:p>
      <w:pPr>
        <w:spacing w:after="0" w:line="53" w:lineRule="exact"/>
        <w:rPr>
          <w:rFonts w:ascii="Times New Roman" w:cs="Times New Roman" w:eastAsia="Times New Roman" w:hAnsi="Times New Roman"/>
          <w:sz w:val="18"/>
          <w:szCs w:val="18"/>
          <w:color w:val="auto"/>
        </w:rPr>
      </w:pPr>
    </w:p>
    <w:p>
      <w:pPr>
        <w:ind w:left="740" w:right="160" w:hanging="327"/>
        <w:spacing w:after="0" w:line="266"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spacing w:after="0" w:line="67" w:lineRule="exact"/>
        <w:rPr>
          <w:rFonts w:ascii="Times New Roman" w:cs="Times New Roman" w:eastAsia="Times New Roman" w:hAnsi="Times New Roman"/>
          <w:sz w:val="18"/>
          <w:szCs w:val="18"/>
          <w:color w:val="auto"/>
        </w:rPr>
      </w:pPr>
    </w:p>
    <w:p>
      <w:pPr>
        <w:ind w:left="740" w:right="400" w:hanging="327"/>
        <w:spacing w:after="0" w:line="282"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increase sales of Epidiolex/Epidyolex would have a material adverse effect on our business, financial condition, results of operations and growth prospects.</w:t>
      </w:r>
    </w:p>
    <w:p>
      <w:pPr>
        <w:spacing w:after="0" w:line="53" w:lineRule="exact"/>
        <w:rPr>
          <w:rFonts w:ascii="Times New Roman" w:cs="Times New Roman" w:eastAsia="Times New Roman" w:hAnsi="Times New Roman"/>
          <w:sz w:val="18"/>
          <w:szCs w:val="18"/>
          <w:color w:val="auto"/>
        </w:rPr>
      </w:pPr>
    </w:p>
    <w:p>
      <w:pPr>
        <w:ind w:left="740" w:right="760" w:hanging="327"/>
        <w:spacing w:after="0" w:line="282"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expect Xywav and Epidiolex/Epidyolex to remain our largest products, our success also depends on our ability to effectively commercialize our other existing products and potential future products.</w:t>
      </w:r>
    </w:p>
    <w:p>
      <w:pPr>
        <w:spacing w:after="0" w:line="53" w:lineRule="exact"/>
        <w:rPr>
          <w:rFonts w:ascii="Times New Roman" w:cs="Times New Roman" w:eastAsia="Times New Roman" w:hAnsi="Times New Roman"/>
          <w:sz w:val="18"/>
          <w:szCs w:val="18"/>
          <w:color w:val="auto"/>
        </w:rPr>
      </w:pPr>
    </w:p>
    <w:p>
      <w:pPr>
        <w:ind w:left="740" w:right="180" w:hanging="327"/>
        <w:spacing w:after="0" w:line="282"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from other companies, including companies with larger sales organizations and more experience working with large and diverse product portfolios, and competition from generic drugs.</w:t>
      </w:r>
    </w:p>
    <w:p>
      <w:pPr>
        <w:spacing w:after="0" w:line="53" w:lineRule="exact"/>
        <w:rPr>
          <w:rFonts w:ascii="Times New Roman" w:cs="Times New Roman" w:eastAsia="Times New Roman" w:hAnsi="Times New Roman"/>
          <w:sz w:val="18"/>
          <w:szCs w:val="18"/>
          <w:color w:val="auto"/>
        </w:rPr>
      </w:pPr>
    </w:p>
    <w:p>
      <w:pPr>
        <w:ind w:left="740" w:right="200" w:hanging="327"/>
        <w:spacing w:after="0" w:line="261"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coverage and reimbursement from third party payors may not be available for our products and we may be unable to successfully contract for coverage from PBMs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71" w:lineRule="exact"/>
        <w:rPr>
          <w:rFonts w:ascii="Times New Roman" w:cs="Times New Roman" w:eastAsia="Times New Roman" w:hAnsi="Times New Roman"/>
          <w:sz w:val="18"/>
          <w:szCs w:val="18"/>
          <w:color w:val="auto"/>
        </w:rPr>
      </w:pPr>
    </w:p>
    <w:p>
      <w:pPr>
        <w:ind w:left="740" w:hanging="327"/>
        <w:spacing w:after="0" w:line="266"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pharmaceutical products has come under increasing scrutiny as part of a global trend toward healthcare cost containment and resulting changes in healthcare law and policy, including changes to Medicare, may impact our business in ways that we cannot currently predict, which could have a material adverse effect on our business and financial condition.</w:t>
      </w:r>
    </w:p>
    <w:p>
      <w:pPr>
        <w:spacing w:after="0" w:line="67"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access, coverage and reimbursement, the commercial success of our products depends upon their market acceptance by physicians, patients, third party payors and the medical community.</w:t>
      </w:r>
    </w:p>
    <w:p>
      <w:pPr>
        <w:spacing w:after="0" w:line="53" w:lineRule="exact"/>
        <w:rPr>
          <w:rFonts w:ascii="Times New Roman" w:cs="Times New Roman" w:eastAsia="Times New Roman" w:hAnsi="Times New Roman"/>
          <w:sz w:val="18"/>
          <w:szCs w:val="18"/>
          <w:color w:val="auto"/>
        </w:rPr>
      </w:pPr>
    </w:p>
    <w:p>
      <w:pPr>
        <w:ind w:left="740" w:right="100" w:hanging="327"/>
        <w:spacing w:after="0" w:line="266"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problems in, or increased costs with respect to,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67" w:lineRule="exact"/>
        <w:rPr>
          <w:rFonts w:ascii="Times New Roman" w:cs="Times New Roman" w:eastAsia="Times New Roman" w:hAnsi="Times New Roman"/>
          <w:sz w:val="18"/>
          <w:szCs w:val="18"/>
          <w:color w:val="auto"/>
        </w:rPr>
      </w:pPr>
    </w:p>
    <w:p>
      <w:pPr>
        <w:jc w:val="both"/>
        <w:ind w:left="740" w:right="240" w:hanging="327"/>
        <w:spacing w:after="0" w:line="266"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trade issues and changes in and uncertainties with respect to trade policies and export regulations, including import and export license requirements, trade sanctions, tariffs and international trade disputes, could increase our costs, reduce the competitiveness of our products and otherwise have a material adverse effect on our business, financial condition, results of operations and growth prospects.</w:t>
      </w:r>
    </w:p>
    <w:p>
      <w:pPr>
        <w:spacing w:after="0" w:line="6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from our acquisitions, including the Actio Acquisition.</w:t>
      </w:r>
    </w:p>
    <w:p>
      <w:pPr>
        <w:spacing w:after="0" w:line="117" w:lineRule="exact"/>
        <w:rPr>
          <w:rFonts w:ascii="Times New Roman" w:cs="Times New Roman" w:eastAsia="Times New Roman" w:hAnsi="Times New Roman"/>
          <w:sz w:val="18"/>
          <w:szCs w:val="18"/>
          <w:color w:val="auto"/>
        </w:rPr>
      </w:pPr>
    </w:p>
    <w:p>
      <w:pPr>
        <w:ind w:left="740" w:right="180" w:hanging="327"/>
        <w:spacing w:after="0" w:line="282"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successfully obtain and maintain regulatory approvals for our late-stage product candidates and, if approved, to successfully launch and commercialize those product candidates.</w:t>
      </w:r>
    </w:p>
    <w:p>
      <w:pPr>
        <w:spacing w:after="0" w:line="53"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53" w:lineRule="exact"/>
        <w:rPr>
          <w:rFonts w:ascii="Times New Roman" w:cs="Times New Roman" w:eastAsia="Times New Roman" w:hAnsi="Times New Roman"/>
          <w:sz w:val="18"/>
          <w:szCs w:val="18"/>
          <w:color w:val="auto"/>
        </w:rPr>
      </w:pPr>
    </w:p>
    <w:p>
      <w:pPr>
        <w:ind w:left="740" w:right="180" w:hanging="327"/>
        <w:spacing w:after="0" w:line="266"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6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we may not be able to ensure their protection.</w:t>
      </w:r>
    </w:p>
    <w:p>
      <w:pPr>
        <w:spacing w:after="0" w:line="117" w:lineRule="exact"/>
        <w:rPr>
          <w:rFonts w:ascii="Times New Roman" w:cs="Times New Roman" w:eastAsia="Times New Roman" w:hAnsi="Times New Roman"/>
          <w:sz w:val="18"/>
          <w:szCs w:val="18"/>
          <w:color w:val="auto"/>
        </w:rPr>
      </w:pPr>
    </w:p>
    <w:p>
      <w:pPr>
        <w:ind w:left="740" w:right="80" w:hanging="327"/>
        <w:spacing w:after="0" w:line="282"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5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data security incidents could adversely affect our business.</w:t>
      </w:r>
    </w:p>
    <w:p>
      <w:pPr>
        <w:spacing w:after="0" w:line="117" w:lineRule="exact"/>
        <w:rPr>
          <w:rFonts w:ascii="Times New Roman" w:cs="Times New Roman" w:eastAsia="Times New Roman" w:hAnsi="Times New Roman"/>
          <w:sz w:val="18"/>
          <w:szCs w:val="18"/>
          <w:color w:val="auto"/>
        </w:rPr>
      </w:pPr>
    </w:p>
    <w:p>
      <w:pPr>
        <w:ind w:left="740" w:right="60" w:hanging="327"/>
        <w:spacing w:after="0" w:line="282"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ongoing regulatory obligations and oversight, which may subject us to civil or criminal proceedings, investigations, or penalties and may result in significant additional expense and limit our ability to commercialize our products.</w:t>
      </w:r>
    </w:p>
    <w:p>
      <w:pPr>
        <w:spacing w:after="0" w:line="53" w:lineRule="exact"/>
        <w:rPr>
          <w:rFonts w:ascii="Times New Roman" w:cs="Times New Roman" w:eastAsia="Times New Roman" w:hAnsi="Times New Roman"/>
          <w:sz w:val="18"/>
          <w:szCs w:val="18"/>
          <w:color w:val="auto"/>
        </w:rPr>
      </w:pPr>
    </w:p>
    <w:p>
      <w:pPr>
        <w:ind w:left="740" w:right="600" w:hanging="327"/>
        <w:spacing w:after="0" w:line="282"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6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and fines, which could have a material adverse effect on our business, financial condition, results of operations and growth prospects.</w:t>
      </w:r>
    </w:p>
    <w:p>
      <w:pPr>
        <w:spacing w:after="0" w:line="117" w:lineRule="exact"/>
        <w:rPr>
          <w:sz w:val="20"/>
          <w:szCs w:val="20"/>
          <w:color w:val="auto"/>
        </w:rPr>
      </w:pPr>
    </w:p>
    <w:p>
      <w:pPr>
        <w:ind w:left="740" w:right="320" w:hanging="327"/>
        <w:spacing w:after="0" w:line="282" w:lineRule="auto"/>
        <w:tabs>
          <w:tab w:leader="none" w:pos="7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53" w:lineRule="exact"/>
        <w:rPr>
          <w:rFonts w:ascii="Times New Roman" w:cs="Times New Roman" w:eastAsia="Times New Roman" w:hAnsi="Times New Roman"/>
          <w:sz w:val="18"/>
          <w:szCs w:val="18"/>
          <w:color w:val="auto"/>
        </w:rPr>
      </w:pPr>
    </w:p>
    <w:p>
      <w:pPr>
        <w:ind w:left="740" w:right="620" w:hanging="327"/>
        <w:spacing w:after="0" w:line="282" w:lineRule="auto"/>
        <w:tabs>
          <w:tab w:leader="none" w:pos="7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to grow our business, we will need to commit substantial resources, which could result in future losses or otherwise limit our opportunities or affect our ability to operate and grow our business.</w:t>
      </w:r>
    </w:p>
    <w:p>
      <w:pPr>
        <w:spacing w:after="0" w:line="53" w:lineRule="exact"/>
        <w:rPr>
          <w:rFonts w:ascii="Times New Roman" w:cs="Times New Roman" w:eastAsia="Times New Roman" w:hAnsi="Times New Roman"/>
          <w:sz w:val="18"/>
          <w:szCs w:val="18"/>
          <w:color w:val="auto"/>
        </w:rPr>
      </w:pPr>
    </w:p>
    <w:p>
      <w:pPr>
        <w:ind w:left="740" w:right="320" w:hanging="327"/>
        <w:spacing w:after="0" w:line="282" w:lineRule="auto"/>
        <w:tabs>
          <w:tab w:leader="none" w:pos="7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retain and motivate members of our executive management team and key personnel, our operations and our future growth may be adversely affected.</w:t>
      </w:r>
    </w:p>
    <w:p>
      <w:pPr>
        <w:spacing w:after="0" w:line="54"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Additional discussion of the risks, uncertainties and other factors described above, as well as other risks material to our business, can be found under “Risk Factors” in Part I, Item 1A of our Annual Report on Form 10-K for the year ended December 31, 2025, as supplemented by the risks and uncertainties described in Part II, Item 1A of this Quarterly Report on Form 10-Q.</w:t>
      </w:r>
    </w:p>
    <w:p>
      <w:pPr>
        <w:spacing w:after="0" w:line="68" w:lineRule="exact"/>
        <w:rPr>
          <w:sz w:val="20"/>
          <w:szCs w:val="20"/>
          <w:color w:val="auto"/>
        </w:rPr>
      </w:pPr>
    </w:p>
    <w:p>
      <w:pPr>
        <w:ind w:firstLine="445"/>
        <w:spacing w:after="0" w:line="219" w:lineRule="exact"/>
        <w:rPr>
          <w:sz w:val="20"/>
          <w:szCs w:val="20"/>
          <w:color w:val="auto"/>
        </w:rPr>
      </w:pPr>
      <w:r>
        <w:rPr>
          <w:rFonts w:ascii="Times New Roman" w:cs="Times New Roman" w:eastAsia="Times New Roman" w:hAnsi="Times New Roman"/>
          <w:sz w:val="18"/>
          <w:szCs w:val="18"/>
          <w:color w:val="auto"/>
        </w:rPr>
        <w:t>Given these risks, uncertainties and other factors, you should not place undue reliance on these forward-looking statements. In addition, our goals and objectives are aspirational and are not guarantees or promises that such goals and objectives will be met. Also, these forward-looking statements represent our estimates and assumptions only as of the date of this filing. You should read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completely and the documents that we file with the SEC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spacing w:after="0" w:line="33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there were no material changes to our market risk disclosures as set forth in Part II, Item 7A “Quantitative and Qualitative Disclosures About Market Risk” in our Annual Report on Form 10-K for the year ended December 31, 2025.</w:t>
      </w:r>
    </w:p>
    <w:p>
      <w:pPr>
        <w:spacing w:after="0" w:line="29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ind w:right="240" w:firstLine="445"/>
        <w:spacing w:after="0" w:line="221" w:lineRule="exact"/>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r>
        <w:rPr>
          <w:rFonts w:ascii="Times New Roman" w:cs="Times New Roman" w:eastAsia="Times New Roman" w:hAnsi="Times New Roman"/>
          <w:sz w:val="17"/>
          <w:szCs w:val="17"/>
          <w:color w:val="auto"/>
        </w:rPr>
        <w:t>. We have carried out an evaluation under the supervision and with the participation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 including our principal executive officer and principal financial officer, of our disclosure controls and procedures (as defined in Rule 13a-15(e) and 15d-15(e) of the Exchange Act) as of the end of the period covered by this Quarterly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 Based on their evaluation, our principal executive officer and principal financial officer concluded that our disclosure controls and procedures were effective as of September 30, 2026.</w:t>
      </w:r>
    </w:p>
    <w:p>
      <w:pPr>
        <w:spacing w:after="0" w:line="89" w:lineRule="exact"/>
        <w:rPr>
          <w:sz w:val="20"/>
          <w:szCs w:val="20"/>
          <w:color w:val="auto"/>
        </w:rPr>
      </w:pPr>
    </w:p>
    <w:p>
      <w:pPr>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Limitations on the Effectiveness of Controls</w:t>
      </w:r>
      <w:r>
        <w:rPr>
          <w:rFonts w:ascii="Times New Roman" w:cs="Times New Roman" w:eastAsia="Times New Roman" w:hAnsi="Times New Roman"/>
          <w:sz w:val="18"/>
          <w:szCs w:val="18"/>
          <w:color w:val="auto"/>
        </w:rPr>
        <w:t>. A control system, no matter how well conceived and operated, can provide only reasonable,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74" w:lineRule="exact"/>
        <w:rPr>
          <w:sz w:val="20"/>
          <w:szCs w:val="20"/>
          <w:color w:val="auto"/>
        </w:rPr>
      </w:pPr>
    </w:p>
    <w:p>
      <w:pPr>
        <w:ind w:right="14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During the quarter ended September 30, 2026, there were no changes to our internal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6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720" w:firstLine="445"/>
        <w:spacing w:after="0" w:line="239" w:lineRule="exact"/>
        <w:rPr>
          <w:sz w:val="20"/>
          <w:szCs w:val="20"/>
          <w:color w:val="auto"/>
        </w:rPr>
      </w:pPr>
      <w:r>
        <w:rPr>
          <w:rFonts w:ascii="Times New Roman" w:cs="Times New Roman" w:eastAsia="Times New Roman" w:hAnsi="Times New Roman"/>
          <w:sz w:val="18"/>
          <w:szCs w:val="18"/>
          <w:color w:val="auto"/>
        </w:rPr>
        <w:t>The information required to be set forth under this Item 1 is incorporated by reference to Note 10, Commitments and Contingencies—Legal Proceedings of the Notes to Condensed Consolidated Financial Statements included in Part I, Item 1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200" w:lineRule="exact"/>
        <w:rPr>
          <w:sz w:val="20"/>
          <w:szCs w:val="20"/>
          <w:color w:val="auto"/>
        </w:rPr>
      </w:pPr>
    </w:p>
    <w:p>
      <w:pPr>
        <w:spacing w:after="0" w:line="20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Below we are providing, in supplemental form, changes to our risk factors from those previously disclosed in Part I, Item 1A of our Annual Report on Form 10-K for the year ended December 31, 2025. Our risk factors disclosed in Part I, Item 1A of our Annual Report on Form 10-K for the year ended December 31, 2025, provide additional discussion regarding these supplemental risks and we encourage you to read and carefully consider all of the risk factors disclosed in Part I, Item 1A of our Annual Report on Form 10-K for the year ended December 31, 2025, together with the below, for a more complete understanding of the risks and uncertainties material to our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from our acquisitions, including the Actio Acquisition.</w:t>
      </w:r>
    </w:p>
    <w:p>
      <w:pPr>
        <w:spacing w:after="0" w:line="121"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Our ability to realize the anticipated benefits from our acquisitions, including the Actio Acquisition, is subject to numerous risks and uncertainties. The success of any acquisition will depend in part, on our ability to successfully integrate the acquired businesses, assets, products, product candidates, technologies and operations into our existing business and to achieve the anticipated strategic, operational and financial benefits of such acquisitions. The anticipated benefits of our acquisitions are based on assumptions and expectations that may prove to be inaccurate or incomplete. In addition, difficulties may arise during the process of combining the operations of acquired businesses that could result in the failure to achieve anticipated revenue, delays or failures in the development, regulatory approval or commercialization of product candidates, the loss of key employees that may be difficult to replace in the very competitive pharmaceutical field, the failure to harmonize the companies’ corporate cultures, the disruption of ongoing businesses or inconsistencies in standards, controls, procedures and policies that adversely affect our ability to maintain relationships with suppliers, collaboration partners, clinical trial investigators or managers of our clinical trials. Acquisitions may also involve unexpected costs, liabilities, regulatory or legal risks, intellectual property disputes, or the need for additional investments and resources beyond those originally anticipated. As a result, the anticipated benefits of any acquisition may not be realized within the expected timeframe, or at all, and the costs associated with an acquisition may exceed our expectations, any of which could materially adversely affect our business, financial conditions, results of operations and growth prospects.</w:t>
      </w:r>
    </w:p>
    <w:p>
      <w:pPr>
        <w:spacing w:after="0" w:line="82"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On September 15, 2026, we completed the Actio Acquisition for an upfront payment of $820.0 million, net of cash acquired, with the potential for additional payments of up to $500.0 million upon the achievement of certain regulatory and commercial milestones, for a total potential consideration of $1.3 billion. As a result, Actio became our wholly owned subsidiary. Our ability to realize the anticipated benefits of the Actio Acquisition will depend, in large part, on the successful development, receipt of regulatory approvals for and potential commercialization of ABS-1230 (JZP6979), which we acquired in the Actio Acquisition. ABS-1230 (JZP6979) may not be successfully developed, receive regulatory approval or be commercialized, may not achieve its anticipated commercial potential, or may require significantly greater resources and investments than originally anticipated.</w:t>
      </w:r>
    </w:p>
    <w:p>
      <w:pPr>
        <w:spacing w:after="0" w:line="7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connection with the Actio Acquisition, we assumed a trade secret and breach of contract lawsuit brought by Praxis against Actio and its co-founder and Former CEO, Dr. Goldstein, in the U.S. District Court for the District of Delaware relating to certain KCNT1 inhibitor compounds. The complaint alleges, among other things, that Dr. Goldstein breached a Master Advisory Agreement with Praxis and that Actio and Dr. Goldstein misappropriated Praxis’ trade secrets relating to certain KCNT1 inhibitor compounds. Praxis seeks declaratory relief, injunctive relief, assignment of intellectual property allegedly derived from Praxis’ confidential and trade secret information, unspecified compensatory and exemplary damages, attorneys’ fees and costs, and an accounting and disgorgement of defendants’ alleged unjust enrichment. Although we intend to vigorously defend against these claims, intellectual property and trade secret disputes are inherently unpredictable and costly. An unfavorable ruling or settlement could result in substantial financial liabilities, require licensing arrangements on unfavorable terms, or result in an injunction or assignment of intellectual property that limits or precludes our ability to develop and commercialize ABS-1230 (JZP6979) or other acquired KCNT1 inhibitor assets, which would severely impair the expected value of the Actio Acquisition. For additional information regarding this litigation, see Note 10, Commitments and Contingencies—Legal Proceedings of the Notes to Condensed Consolidated Financial Statements, included in Part I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5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ability, and that of our partners, to successfully commercialize any approved products will depend, in part, on our ability to obtain patents, enforce those patents and operate without infringing the proprietary rights of third parties. If we choose to go to court to stop a third party from infringing our patents, our licensed patents or our partners’ patents, that third party has the right to ask the court or an administrative agency to rule that these patents are invalid and/or should not be enforced. For example, we are pursuing patent infringement proceedings in Germany initiated by Chimerix against a supplier in contravention of certain patents acquired in connection with the Chimerix Acquisition. These lawsuits and administrative proceedings are expensive and consume time and other resources, and we may not be successful in these proceedings or in stopping infringement. In addition, the IPR or a post-grant review process under the Leahy-Smith America Invents Act permits any person, whether they are accused of infringing the patent at issue or not, to challenge the validity of certain patents through a proceeding before the PTAB.</w:t>
      </w:r>
    </w:p>
    <w:p>
      <w:pPr>
        <w:spacing w:after="0" w:line="84"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There is a risk that a court could decide that our patents or certain claims in our patents are not valid or infringed, and that we do not have the right to stop a third party from using the inventions covered by those claims. In addition, the PTAB may invalidate a patent, as happened with six of our patents covering the Xywav and Xyrem REMS that were invalidated through the IPR process. In addition, even if we prevail in establishing that another product infringes a valid claim of one of our patents, a court may determine that we can be compensated for the infringement in damages, and refuse to issue an injunction. As a result, we may not be entitled to stop another party from infringing our patents for their full term.</w:t>
      </w:r>
    </w:p>
    <w:p>
      <w:pPr>
        <w:spacing w:after="0" w:line="75"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Litigation involving patent matters is frequently settled between the parties, rather than continuing to a court ruling. The FTC has publicly stated that, in its view, certain types of agreements between branded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The U.S. Congress and state legislatures have also identified pharmaceutical patent litigation settlements as potential impediments to generic competition and have introduced, and in states like California passed, legislation to regulate them. Third party payors have also challenged such settlements on the grounds that they increase drug prices. Because there is currently no precise legal standard with respect to the lawfulness of such settlements, many pharmaceutical companies, including us, have faced extensive litigation over whether patent litigation settlements they have entered into are reasonable and lawful. From June 2020 to May 2022, several lawsuits were filed on behalf of purported direct and indirect Xyrem purchasers, alleging that the patent litigation settlement agreements we entered with Hikma and other ANDA filers violate state and federal antitrust and consumer protection laws. As of October 2025, we have resolved the entirety of these antitrust lawsuits. It is possible that additional lawsuits will be filed against us making similar or related allegations. We cannot predict the outcome of any potential additional lawsuits; however,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88" w:lineRule="exact"/>
        <w:rPr>
          <w:sz w:val="20"/>
          <w:szCs w:val="20"/>
          <w:color w:val="auto"/>
        </w:rPr>
      </w:pPr>
    </w:p>
    <w:p>
      <w:pPr>
        <w:jc w:val="both"/>
        <w:ind w:right="120" w:firstLine="445"/>
        <w:spacing w:after="0" w:line="256" w:lineRule="auto"/>
        <w:rPr>
          <w:sz w:val="20"/>
          <w:szCs w:val="20"/>
          <w:color w:val="auto"/>
        </w:rPr>
      </w:pPr>
      <w:r>
        <w:rPr>
          <w:rFonts w:ascii="Times New Roman" w:cs="Times New Roman" w:eastAsia="Times New Roman" w:hAnsi="Times New Roman"/>
          <w:sz w:val="18"/>
          <w:szCs w:val="18"/>
          <w:color w:val="auto"/>
        </w:rPr>
        <w:t>Parties to such settlement agreements in the U.S. are required by law to file the agreements with the FTC and the DOJ for review. Accordingly, we have submitted our patent litigation settlement agreements to the FTC and the DOJ for review. We may receive formal or informal requests from the FTC regarding our ANDA litigation settlements, and there is a risk that the FTC may commence a formal investigation or action against us, which could divert the attention of management and cause us to incur significant costs, regardless of the outcome. Any claim or finding that we or our business partners have failed to comply with applicable laws and regulations could be costly to us and have a material adverse effect on our business, financial condition, results of operations and growth prospects.</w:t>
      </w:r>
    </w:p>
    <w:p>
      <w:pPr>
        <w:spacing w:after="0" w:line="7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For example, on October 14, 2025, Praxis filed a lawsuit in the U.S. District Court for the District of Delaware against Actio and David B. Goldstein, Ph.D., Actio's co-founder and former CEO. The complaint alleges, among other things, that Dr. Goldstein breached a Master Advisory Agreement with Praxis and that Actio and Dr. Goldstein misappropriated Praxis’ trade secrets relating to certain KCNT1 inhibitor compounds. Praxis seeks declaratory relief, injunctive relief, assignment of intellectual property allegedly derived from Praxis’ confidential and trade secret information, unspecified compensatory and exemplary damages, attorneys’ fees and costs, and an accounting and disgorgement of defendants’ alleged unjust enrichment.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December 5, 2025, defendants filed a joint motion to dismiss the complaint, which the U.S. District Court for the District of Delaware denied on</w:t>
      </w:r>
    </w:p>
    <w:p>
      <w:pPr>
        <w:spacing w:after="0" w:line="5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September 3, 2026. On September 15, 2026, in connection with the Actio Acquisition, we assumed Actio’s position as a defendant in this action, together with other rights and liabilities related to the acquired assets. On September 24, 2026, we filed our answer to the complaint and affirmative defenses. Trial in this matter is scheduled to begin July 31, 2028. Lawsuits such as these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81"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If we were found to infringe upon a patent or other intellectual property right, if we failed to obtain or renew a license under a patent or other intellectual property right from a third party, or if a third party that we were licensing technologies from was found to infringe upon a patent or other intellectual property rights of another third party, we may be required to pay damages, including damages of up to three times the damages found or assessed, if the infringement is found to be willful, suspend the manufacture of certain products or reengineer or rebrand our products, if feasible, or we may be unable to enter certain new product markets. In addition, if we have declined or failed to enter into a valid assignment agreement for any reason, we may not own the invention or our intellectual property, and our products may not be adequately protected.</w:t>
      </w:r>
    </w:p>
    <w:p>
      <w:pPr>
        <w:spacing w:after="0" w:line="79"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Litigation, whether filed by us or against us, can be expensive and time consuming to defend and divert management’s attention and resources. Our competitive position could suffer as a result.</w:t>
      </w:r>
    </w:p>
    <w:p>
      <w:pPr>
        <w:spacing w:after="0" w:line="29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purchases of our ordinary shares made by or on behalf of us or any of our “affiliated purchasers” as defined in Rule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10b-18(a)(3) under the Securities Exchange Act of 1934, as amended, during each fiscal month during the three-month period ended September 30, 2026:</w:t>
      </w:r>
    </w:p>
    <w:p>
      <w:pPr>
        <w:sectPr>
          <w:pgSz w:w="11900" w:h="16838" w:orient="portrait"/>
          <w:cols w:equalWidth="0" w:num="1">
            <w:col w:w="11240"/>
          </w:cols>
          <w:pgMar w:left="320" w:top="121" w:right="339" w:bottom="1440" w:gutter="0" w:footer="0" w:header="0"/>
        </w:sectPr>
      </w:pPr>
    </w:p>
    <w:p>
      <w:pPr>
        <w:spacing w:after="0" w:line="255" w:lineRule="exact"/>
        <w:rPr>
          <w:sz w:val="20"/>
          <w:szCs w:val="20"/>
          <w:color w:val="auto"/>
        </w:rPr>
      </w:pPr>
    </w:p>
    <w:tbl>
      <w:tblPr>
        <w:tblLayout w:type="fixed"/>
        <w:tblInd w:w="348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0" w:type="dxa"/>
            <w:vAlign w:val="bottom"/>
          </w:tcPr>
          <w:p>
            <w:pPr>
              <w:spacing w:after="0"/>
              <w:rPr>
                <w:sz w:val="1"/>
                <w:szCs w:val="1"/>
                <w:color w:val="auto"/>
              </w:rPr>
            </w:pPr>
          </w:p>
        </w:tc>
      </w:tr>
      <w:tr>
        <w:trPr>
          <w:trHeight w:val="148"/>
        </w:trPr>
        <w:tc>
          <w:tcPr>
            <w:tcW w:w="166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4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00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0" w:type="dxa"/>
            <w:vAlign w:val="bottom"/>
          </w:tcPr>
          <w:p>
            <w:pPr>
              <w:spacing w:after="0"/>
              <w:rPr>
                <w:sz w:val="1"/>
                <w:szCs w:val="1"/>
                <w:color w:val="auto"/>
              </w:rPr>
            </w:pPr>
          </w:p>
        </w:tc>
      </w:tr>
      <w:tr>
        <w:trPr>
          <w:trHeight w:val="146"/>
        </w:trPr>
        <w:tc>
          <w:tcPr>
            <w:tcW w:w="166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200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0" w:type="dxa"/>
            <w:vAlign w:val="bottom"/>
          </w:tcPr>
          <w:p>
            <w:pPr>
              <w:spacing w:after="0"/>
              <w:rPr>
                <w:sz w:val="1"/>
                <w:szCs w:val="1"/>
                <w:color w:val="auto"/>
              </w:rPr>
            </w:pPr>
          </w:p>
        </w:tc>
      </w:tr>
      <w:tr>
        <w:trPr>
          <w:trHeight w:val="193"/>
        </w:trPr>
        <w:tc>
          <w:tcPr>
            <w:tcW w:w="16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(2)</w:t>
            </w:r>
          </w:p>
        </w:tc>
        <w:tc>
          <w:tcPr>
            <w:tcW w:w="20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Maximum Number (or</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Approximate Dollar Value) of</w:t>
      </w:r>
    </w:p>
    <w:p>
      <w:pPr>
        <w:ind w:left="40" w:right="60" w:hanging="40"/>
        <w:spacing w:after="0" w:line="211" w:lineRule="auto"/>
        <w:rPr>
          <w:sz w:val="20"/>
          <w:szCs w:val="20"/>
          <w:color w:val="auto"/>
        </w:rPr>
      </w:pPr>
      <w:r>
        <w:rPr>
          <w:rFonts w:ascii="Times New Roman" w:cs="Times New Roman" w:eastAsia="Times New Roman" w:hAnsi="Times New Roman"/>
          <w:sz w:val="14"/>
          <w:szCs w:val="14"/>
          <w:b w:val="1"/>
          <w:bCs w:val="1"/>
          <w:color w:val="auto"/>
        </w:rPr>
        <w:t>Shares that May Yet Be Purchased Under the Plans or Programs (4)</w:t>
      </w:r>
    </w:p>
    <w:p>
      <w:pPr>
        <w:ind w:left="7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2" w:lineRule="exact"/>
        <w:rPr>
          <w:sz w:val="20"/>
          <w:szCs w:val="20"/>
          <w:color w:val="auto"/>
        </w:rPr>
      </w:pPr>
    </w:p>
    <w:p>
      <w:pPr>
        <w:sectPr>
          <w:pgSz w:w="11900" w:h="16838" w:orient="portrait"/>
          <w:cols w:equalWidth="0" w:num="2">
            <w:col w:w="8880" w:space="180"/>
            <w:col w:w="21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32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July 1 - July 31, 2026</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30"/>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1 - August 31, 2026</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902,563</w:t>
            </w:r>
          </w:p>
        </w:tc>
        <w:tc>
          <w:tcPr>
            <w:tcW w:w="6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249.29</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902,563</w:t>
            </w:r>
          </w:p>
        </w:tc>
        <w:tc>
          <w:tcPr>
            <w:tcW w:w="10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September 1 - September 30, 2026</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902,563</w:t>
            </w:r>
          </w:p>
        </w:tc>
        <w:tc>
          <w:tcPr>
            <w:tcW w:w="6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249.29</w:t>
            </w: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902,563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right="2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does not include ordinary shares that we withheld in order to satisfy tax withholding requirements in connection with the vesting and release of restricted stock units. All the ordinary shares reported in this column were purchased pursuant to our publicly announced share Repurchase Program.</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ordinary share includes brokerage commissions.</w:t>
      </w:r>
    </w:p>
    <w:p>
      <w:pPr>
        <w:spacing w:after="0" w:line="117" w:lineRule="exact"/>
        <w:rPr>
          <w:rFonts w:ascii="Times New Roman" w:cs="Times New Roman" w:eastAsia="Times New Roman" w:hAnsi="Times New Roman"/>
          <w:sz w:val="18"/>
          <w:szCs w:val="18"/>
          <w:color w:val="auto"/>
        </w:rPr>
      </w:pPr>
    </w:p>
    <w:p>
      <w:pPr>
        <w:ind w:left="660" w:right="40" w:hanging="328"/>
        <w:spacing w:after="0" w:line="25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2024, we announced that our board of directors had authorized the use of up to $500.0 million to repurchase our ordinary shares under the Repurchase Program. Under the Repurchase Program, which has no expiration date, we may repurchase ordinary shares from time to time by any methods and/or structures permitted by applicable law. The timing and amount of repurchases will depend on a variety of factors, including the price of our ordinary shares, alternative investment opportunities, restrictions under our outstanding credit agreement and the indenture for our Secured Notes, corporate and regulatory requirements and market conditions. The Repurchase Program may be modified, suspended or discontinued at any time without our prior notice. The ordinary shares reported in the table above were purchased pursuant to the Repurchase Program.</w:t>
      </w:r>
    </w:p>
    <w:p>
      <w:pPr>
        <w:spacing w:after="0" w:line="80"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shown represents, as of the end of each period, the approximate dollar value, in millions, of ordinary shares that may yet be purchased under the Repurchase Program, exclusive of any brokerage commissions.</w:t>
      </w:r>
    </w:p>
    <w:p>
      <w:pPr>
        <w:spacing w:after="0" w:line="54"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In October 2026, our board of directors approved a new share repurchase program to repurchase ordinary shares having an aggregate purchase price of $500.0 million, exclusive of any brokerage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5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2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adopted or terminated a Rule 10b5-1 trading arrangement or a non-Rule 10b5-1 trading arrangement (as defined in Item 408(c) of Regulation S-K) during the quarterly period covered by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2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Table of Content</w:t>
            </w:r>
          </w:p>
        </w:tc>
        <w:tc>
          <w:tcPr>
            <w:tcW w:w="4960" w:type="dxa"/>
            <w:vAlign w:val="bottom"/>
            <w:gridSpan w:val="26"/>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080" w:type="dxa"/>
            <w:vAlign w:val="bottom"/>
            <w:gridSpan w:val="27"/>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vMerge w:val="restart"/>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tcPr>
          <w:p>
            <w:pPr>
              <w:spacing w:after="0" w:line="20" w:lineRule="exact"/>
              <w:rPr>
                <w:sz w:val="1"/>
                <w:szCs w:val="1"/>
                <w:color w:val="auto"/>
              </w:rPr>
            </w:pPr>
          </w:p>
        </w:tc>
        <w:tc>
          <w:tcPr>
            <w:tcW w:w="5080" w:type="dxa"/>
            <w:vAlign w:val="bottom"/>
            <w:gridSpan w:val="27"/>
            <w:vMerge w:val="restart"/>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7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6"/>
                <w:szCs w:val="16"/>
                <w:b w:val="1"/>
                <w:bCs w:val="1"/>
                <w:color w:val="auto"/>
              </w:rPr>
              <w:t>Form</w:t>
            </w:r>
          </w:p>
        </w:tc>
        <w:tc>
          <w:tcPr>
            <w:tcW w:w="1160" w:type="dxa"/>
            <w:vAlign w:val="bottom"/>
            <w:gridSpan w:val="2"/>
            <w:vMerge w:val="restart"/>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File No.</w:t>
            </w:r>
          </w:p>
        </w:tc>
        <w:tc>
          <w:tcPr>
            <w:tcW w:w="920" w:type="dxa"/>
            <w:vAlign w:val="bottom"/>
            <w:gridSpan w:val="2"/>
            <w:vMerge w:val="restart"/>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Exhibit</w:t>
            </w:r>
          </w:p>
        </w:tc>
        <w:tc>
          <w:tcPr>
            <w:tcW w:w="1240" w:type="dxa"/>
            <w:vAlign w:val="bottom"/>
            <w:gridSpan w:val="2"/>
            <w:vMerge w:val="restart"/>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Filing Date</w:t>
            </w: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8"/>
                <w:szCs w:val="8"/>
                <w:color w:val="auto"/>
              </w:rPr>
            </w:pPr>
          </w:p>
        </w:tc>
        <w:tc>
          <w:tcPr>
            <w:tcW w:w="580" w:type="dxa"/>
            <w:vAlign w:val="bottom"/>
            <w:tcBorders>
              <w:bottom w:val="single" w:sz="8" w:color="auto"/>
            </w:tcBorders>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5080" w:type="dxa"/>
            <w:vAlign w:val="bottom"/>
            <w:gridSpan w:val="27"/>
            <w:vMerge w:val="continue"/>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960" w:type="dxa"/>
            <w:vAlign w:val="bottom"/>
            <w:gridSpan w:val="3"/>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2.1‡</w:t>
            </w:r>
          </w:p>
        </w:tc>
        <w:tc>
          <w:tcPr>
            <w:tcW w:w="5080" w:type="dxa"/>
            <w:vAlign w:val="bottom"/>
            <w:gridSpan w:val="27"/>
            <w:shd w:val="clear" w:color="auto" w:fill="CCEEFF"/>
          </w:tcPr>
          <w:p>
            <w:pPr>
              <w:spacing w:after="0" w:line="193"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Agreement and Plan of Merger, dated as of August 10, 2026, by and</w:t>
              </w:r>
            </w:hyperlink>
          </w:p>
        </w:tc>
        <w:tc>
          <w:tcPr>
            <w:tcW w:w="780" w:type="dxa"/>
            <w:vAlign w:val="bottom"/>
            <w:gridSpan w:val="3"/>
            <w:shd w:val="clear" w:color="auto" w:fill="CCEEFF"/>
          </w:tcPr>
          <w:p>
            <w:pPr>
              <w:ind w:left="60"/>
              <w:spacing w:after="0" w:line="193" w:lineRule="exact"/>
              <w:rPr>
                <w:sz w:val="20"/>
                <w:szCs w:val="20"/>
                <w:color w:val="auto"/>
              </w:rPr>
            </w:pPr>
            <w:r>
              <w:rPr>
                <w:rFonts w:ascii="Times New Roman" w:cs="Times New Roman" w:eastAsia="Times New Roman" w:hAnsi="Times New Roman"/>
                <w:sz w:val="18"/>
                <w:szCs w:val="18"/>
                <w:color w:val="auto"/>
              </w:rPr>
              <w:t>8-K</w:t>
            </w:r>
          </w:p>
        </w:tc>
        <w:tc>
          <w:tcPr>
            <w:tcW w:w="116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001-33500</w:t>
            </w:r>
          </w:p>
        </w:tc>
        <w:tc>
          <w:tcPr>
            <w:tcW w:w="5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2.1</w:t>
            </w: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8/10/2026</w:t>
            </w: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920" w:type="dxa"/>
            <w:vAlign w:val="bottom"/>
            <w:tcBorders>
              <w:top w:val="single" w:sz="8" w:color="0000FF"/>
            </w:tcBorders>
            <w:gridSpan w:val="22"/>
            <w:shd w:val="clear" w:color="auto" w:fill="CCEEFF"/>
          </w:tcPr>
          <w:p>
            <w:pPr>
              <w:spacing w:after="0" w:line="16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among Actio Biosciences, Inc., Jazz Pharmaceuticals, Inc., Knight</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780" w:type="dxa"/>
            <w:vAlign w:val="bottom"/>
            <w:tcBorders>
              <w:top w:val="single" w:sz="8" w:color="0000FF"/>
            </w:tcBorders>
            <w:gridSpan w:val="17"/>
            <w:shd w:val="clear" w:color="auto" w:fill="CCEEFF"/>
          </w:tcPr>
          <w:p>
            <w:pPr>
              <w:spacing w:after="0" w:line="182"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Acquisition Corp., Shareholder Representative Services LLC and,</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760" w:type="dxa"/>
            <w:vAlign w:val="bottom"/>
            <w:tcBorders>
              <w:top w:val="single" w:sz="8" w:color="0000FF"/>
            </w:tcBorders>
            <w:gridSpan w:val="16"/>
            <w:shd w:val="clear" w:color="auto" w:fill="CCEEFF"/>
          </w:tcPr>
          <w:p>
            <w:pPr>
              <w:spacing w:after="0" w:line="16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solely for the purposes of Section 11.21 thereto, Jazz</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3800" w:type="dxa"/>
            <w:vAlign w:val="bottom"/>
            <w:tcBorders>
              <w:top w:val="single" w:sz="8" w:color="0000FF"/>
            </w:tcBorders>
            <w:gridSpan w:val="8"/>
            <w:shd w:val="clear" w:color="auto" w:fill="CCEEFF"/>
          </w:tcPr>
          <w:p>
            <w:pPr>
              <w:spacing w:after="0" w:line="16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Pharmaceuticals Public Limited Company</w:t>
              </w:r>
            </w:hyperlink>
          </w:p>
        </w:tc>
        <w:tc>
          <w:tcPr>
            <w:tcW w:w="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80" w:type="dxa"/>
            <w:vAlign w:val="bottom"/>
            <w:gridSpan w:val="27"/>
          </w:tcPr>
          <w:p>
            <w:pPr>
              <w:spacing w:after="0" w:line="18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Amended and Restated Memorandum and Articles of Association of</w:t>
              </w:r>
            </w:hyperlink>
          </w:p>
        </w:tc>
        <w:tc>
          <w:tcPr>
            <w:tcW w:w="7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001-33500</w:t>
            </w: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400" w:type="dxa"/>
            <w:vAlign w:val="bottom"/>
          </w:tcPr>
          <w:p>
            <w:pPr>
              <w:spacing w:after="0"/>
              <w:rPr>
                <w:sz w:val="16"/>
                <w:szCs w:val="16"/>
                <w:color w:val="auto"/>
              </w:rPr>
            </w:pPr>
          </w:p>
        </w:tc>
        <w:tc>
          <w:tcPr>
            <w:tcW w:w="7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8/9/2016</w:t>
            </w: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96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Jazz Pharmaceuticals Public Limited Company, as amended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6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August 4, 2016</w:t>
              </w:r>
            </w:hyperlink>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8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Indenture, dated as of August 31, 2026, by and among Jazz</w:t>
              </w:r>
            </w:hyperlink>
          </w:p>
        </w:tc>
        <w:tc>
          <w:tcPr>
            <w:tcW w:w="7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8-K</w:t>
            </w:r>
          </w:p>
        </w:tc>
        <w:tc>
          <w:tcPr>
            <w:tcW w:w="1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001-33500</w:t>
            </w: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8/31/2026</w:t>
            </w: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60" w:type="dxa"/>
            <w:vAlign w:val="bottom"/>
            <w:tcBorders>
              <w:top w:val="single" w:sz="8" w:color="0000FF"/>
            </w:tcBorders>
            <w:gridSpan w:val="10"/>
            <w:shd w:val="clear" w:color="auto" w:fill="CCEEFF"/>
          </w:tcPr>
          <w:p>
            <w:pPr>
              <w:spacing w:after="0" w:line="169" w:lineRule="exact"/>
              <w:rPr>
                <w:rFonts w:ascii="Times New Roman" w:cs="Times New Roman" w:eastAsia="Times New Roman" w:hAnsi="Times New Roman"/>
                <w:sz w:val="18"/>
                <w:szCs w:val="18"/>
                <w:color w:val="0000FF"/>
                <w:w w:val="97"/>
              </w:rPr>
            </w:pPr>
            <w:hyperlink r:id="rId87">
              <w:r>
                <w:rPr>
                  <w:rFonts w:ascii="Times New Roman" w:cs="Times New Roman" w:eastAsia="Times New Roman" w:hAnsi="Times New Roman"/>
                  <w:sz w:val="18"/>
                  <w:szCs w:val="18"/>
                  <w:color w:val="0000FF"/>
                  <w:w w:val="97"/>
                </w:rPr>
                <w:t>Pharmaceuticals Public Limited Company, Jazz Investments</w:t>
              </w:r>
            </w:hyperlink>
          </w:p>
        </w:tc>
        <w:tc>
          <w:tcPr>
            <w:tcW w:w="820" w:type="dxa"/>
            <w:vAlign w:val="bottom"/>
            <w:tcBorders>
              <w:top w:val="single" w:sz="8" w:color="CCEEFF"/>
            </w:tcBorders>
            <w:gridSpan w:val="17"/>
            <w:shd w:val="clear" w:color="auto" w:fill="CCEEFF"/>
          </w:tcPr>
          <w:p>
            <w:pPr>
              <w:ind w:left="140"/>
              <w:spacing w:after="0" w:line="16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I</w:t>
              </w:r>
            </w:hyperlink>
          </w:p>
        </w:tc>
        <w:tc>
          <w:tcPr>
            <w:tcW w:w="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460" w:type="dxa"/>
            <w:vAlign w:val="bottom"/>
            <w:tcBorders>
              <w:top w:val="single" w:sz="8" w:color="0000FF"/>
            </w:tcBorders>
            <w:gridSpan w:val="12"/>
            <w:shd w:val="clear" w:color="auto" w:fill="CCEEFF"/>
          </w:tcPr>
          <w:p>
            <w:pPr>
              <w:spacing w:after="0" w:line="182"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Limited and U.S. Bank Trust Company, National Association</w:t>
              </w:r>
            </w:hyperlink>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3"/>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6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4420" w:type="dxa"/>
            <w:vAlign w:val="bottom"/>
            <w:tcBorders>
              <w:top w:val="single" w:sz="8" w:color="0000FF"/>
            </w:tcBorders>
            <w:gridSpan w:val="11"/>
          </w:tcPr>
          <w:p>
            <w:pPr>
              <w:spacing w:after="0" w:line="18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Form of 1.875% Exchangeable Senior Note due 2032</w:t>
              </w:r>
            </w:hyperlink>
          </w:p>
        </w:tc>
        <w:tc>
          <w:tcPr>
            <w:tcW w:w="660" w:type="dxa"/>
            <w:vAlign w:val="bottom"/>
            <w:tcBorders>
              <w:top w:val="single" w:sz="8" w:color="CCEEFF"/>
            </w:tcBorders>
            <w:gridSpan w:val="16"/>
          </w:tcPr>
          <w:p>
            <w:pPr>
              <w:spacing w:after="0"/>
              <w:rPr>
                <w:sz w:val="16"/>
                <w:szCs w:val="16"/>
                <w:color w:val="auto"/>
              </w:rPr>
            </w:pPr>
          </w:p>
        </w:tc>
        <w:tc>
          <w:tcPr>
            <w:tcW w:w="780" w:type="dxa"/>
            <w:vAlign w:val="bottom"/>
            <w:tcBorders>
              <w:top w:val="single" w:sz="8" w:color="CCEEFF"/>
            </w:tcBorders>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8-K</w:t>
            </w:r>
          </w:p>
        </w:tc>
        <w:tc>
          <w:tcPr>
            <w:tcW w:w="1160" w:type="dxa"/>
            <w:vAlign w:val="bottom"/>
            <w:tcBorders>
              <w:top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001-33500</w:t>
            </w:r>
          </w:p>
        </w:tc>
        <w:tc>
          <w:tcPr>
            <w:tcW w:w="5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4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8/31/2026</w:t>
            </w:r>
          </w:p>
        </w:tc>
        <w:tc>
          <w:tcPr>
            <w:tcW w:w="4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8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Amendment No. 4, dated as of September 23, 2026, by and among</w:t>
              </w:r>
            </w:hyperlink>
          </w:p>
        </w:tc>
        <w:tc>
          <w:tcPr>
            <w:tcW w:w="7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8-K</w:t>
            </w:r>
          </w:p>
        </w:tc>
        <w:tc>
          <w:tcPr>
            <w:tcW w:w="1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001-33500</w:t>
            </w: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9/23/2026</w:t>
            </w: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4800" w:type="dxa"/>
            <w:vAlign w:val="bottom"/>
            <w:tcBorders>
              <w:top w:val="single" w:sz="8" w:color="0000FF"/>
              <w:bottom w:val="single" w:sz="8" w:color="0000FF"/>
            </w:tcBorders>
            <w:gridSpan w:val="18"/>
            <w:shd w:val="clear" w:color="auto" w:fill="CCEEFF"/>
          </w:tcPr>
          <w:p>
            <w:pPr>
              <w:spacing w:after="0" w:line="169" w:lineRule="exact"/>
              <w:rPr>
                <w:rFonts w:ascii="Times New Roman" w:cs="Times New Roman" w:eastAsia="Times New Roman" w:hAnsi="Times New Roman"/>
                <w:sz w:val="18"/>
                <w:szCs w:val="18"/>
                <w:color w:val="0000FF"/>
                <w:w w:val="97"/>
              </w:rPr>
            </w:pPr>
            <w:hyperlink r:id="rId88">
              <w:r>
                <w:rPr>
                  <w:rFonts w:ascii="Times New Roman" w:cs="Times New Roman" w:eastAsia="Times New Roman" w:hAnsi="Times New Roman"/>
                  <w:sz w:val="18"/>
                  <w:szCs w:val="18"/>
                  <w:color w:val="0000FF"/>
                  <w:w w:val="97"/>
                </w:rPr>
                <w:t>Jazz Pharmaceuticals Public Limited Company, the other borrowers</w:t>
              </w:r>
            </w:hyperlink>
          </w:p>
        </w:tc>
        <w:tc>
          <w:tcPr>
            <w:tcW w:w="4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4880" w:type="dxa"/>
            <w:vAlign w:val="bottom"/>
            <w:tcBorders>
              <w:bottom w:val="single" w:sz="8" w:color="0000FF"/>
            </w:tcBorders>
            <w:gridSpan w:val="20"/>
            <w:shd w:val="clear" w:color="auto" w:fill="CCEEFF"/>
          </w:tcPr>
          <w:p>
            <w:pPr>
              <w:spacing w:after="0" w:line="182"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party thereto, the guarantors party thereto, the lenders party thereto,</w:t>
              </w:r>
            </w:hyperlink>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80" w:type="dxa"/>
            <w:vAlign w:val="bottom"/>
            <w:gridSpan w:val="27"/>
            <w:shd w:val="clear" w:color="auto" w:fill="CCEEFF"/>
          </w:tcPr>
          <w:p>
            <w:pPr>
              <w:spacing w:after="0" w:line="16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Bank of America, N.A., as administrative agent, and U.S. Bank Trust</w:t>
              </w:r>
            </w:hyperlink>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5000" w:type="dxa"/>
            <w:vAlign w:val="bottom"/>
            <w:tcBorders>
              <w:top w:val="single" w:sz="8" w:color="0000FF"/>
            </w:tcBorders>
            <w:gridSpan w:val="26"/>
            <w:shd w:val="clear" w:color="auto" w:fill="CCEEFF"/>
          </w:tcPr>
          <w:p>
            <w:pPr>
              <w:spacing w:after="0" w:line="16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Company, National Association (as successor in interest to U.S.</w:t>
              </w:r>
            </w:hyperlink>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600" w:type="dxa"/>
            <w:vAlign w:val="bottom"/>
            <w:tcBorders>
              <w:top w:val="single" w:sz="8" w:color="0000FF"/>
            </w:tcBorders>
            <w:gridSpan w:val="14"/>
            <w:shd w:val="clear" w:color="auto" w:fill="CCEEFF"/>
          </w:tcPr>
          <w:p>
            <w:pPr>
              <w:spacing w:after="0" w:line="16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Bank National Association), as collateral trustee</w:t>
              </w:r>
            </w:hyperlink>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8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Rules 13a-14(a)</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94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and 15d-14(a) promulgated under the Securities Exchange Act of</w:t>
            </w: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70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1934, as amended</w:t>
            </w:r>
          </w:p>
        </w:tc>
        <w:tc>
          <w:tcPr>
            <w:tcW w:w="14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8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Rules 13a-14(a)</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880" w:type="dxa"/>
            <w:vAlign w:val="bottom"/>
            <w:tcBorders>
              <w:top w:val="single" w:sz="8" w:color="0000FF"/>
            </w:tcBorders>
            <w:gridSpan w:val="20"/>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and 15d-14(a) promulgated under the Securities Exchange Act of</w:t>
            </w:r>
          </w:p>
        </w:tc>
        <w:tc>
          <w:tcPr>
            <w:tcW w:w="100" w:type="dxa"/>
            <w:vAlign w:val="bottom"/>
            <w:tcBorders>
              <w:top w:val="single" w:sz="8" w:color="CCEEFF"/>
            </w:tcBorders>
            <w:gridSpan w:val="5"/>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0000FF"/>
              <w:bottom w:val="single" w:sz="8" w:color="0000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8"/>
              </w:rPr>
              <w:t>1934, as amended</w:t>
            </w:r>
          </w:p>
        </w:tc>
        <w:tc>
          <w:tcPr>
            <w:tcW w:w="3400" w:type="dxa"/>
            <w:vAlign w:val="bottom"/>
            <w:tcBorders>
              <w:top w:val="single" w:sz="8" w:color="0000FF"/>
              <w:bottom w:val="single" w:sz="8" w:color="CCEEFF"/>
            </w:tcBorders>
            <w:gridSpan w:val="12"/>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6"/>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8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Certifications of Chief Executive Officer and Chief Financial Officer</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980" w:type="dxa"/>
            <w:vAlign w:val="bottom"/>
            <w:tcBorders>
              <w:top w:val="single" w:sz="8" w:color="0000FF"/>
            </w:tcBorders>
            <w:gridSpan w:val="25"/>
          </w:tcPr>
          <w:p>
            <w:pPr>
              <w:spacing w:after="0" w:line="169"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w:t>
            </w:r>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4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240" w:type="dxa"/>
            <w:vAlign w:val="bottom"/>
            <w:gridSpan w:val="8"/>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508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80" w:type="dxa"/>
            <w:vAlign w:val="bottom"/>
            <w:gridSpan w:val="27"/>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in the Interactive Data File because its XBRL tags are embedded</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8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101.SCH</w:t>
            </w:r>
          </w:p>
        </w:tc>
        <w:tc>
          <w:tcPr>
            <w:tcW w:w="50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80" w:type="dxa"/>
            <w:vAlign w:val="bottom"/>
            <w:gridSpan w:val="27"/>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08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52" w:lineRule="exact"/>
        <w:rPr>
          <w:sz w:val="20"/>
          <w:szCs w:val="20"/>
          <w:color w:val="auto"/>
        </w:rPr>
      </w:pPr>
    </w:p>
    <w:p>
      <w:pPr>
        <w:ind w:left="660" w:right="360" w:hanging="652"/>
        <w:spacing w:after="0" w:line="258" w:lineRule="auto"/>
        <w:tabs>
          <w:tab w:leader="none" w:pos="2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601(b)(2) of Regulation S-K because they are both not material and are the type that the Registrant treats as confidential.</w:t>
      </w:r>
    </w:p>
    <w:p>
      <w:pPr>
        <w:jc w:val="right"/>
        <w:ind w:left="660" w:right="20" w:hanging="652"/>
        <w:spacing w:after="0" w:line="219" w:lineRule="exact"/>
        <w:tabs>
          <w:tab w:leader="none" w:pos="27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 attached as Exhibit 32.1 accompanies this Quarterly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 pursuant to 18 U.S.C. Section 1350, as adopted pursuant to Section 906 of the Sarbanes-Oxley Act of 2002, and shall not be deemed “filed” by the Registrant for purposes of Section 18 of the Exchange Act.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32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JAZZ PHARMACEUTICALS PUBLIC LIMITED COMPANY</w:t>
      </w:r>
    </w:p>
    <w:p>
      <w:pPr>
        <w:ind w:left="5080"/>
        <w:spacing w:after="0"/>
        <w:rPr>
          <w:sz w:val="20"/>
          <w:szCs w:val="20"/>
          <w:color w:val="auto"/>
        </w:rPr>
      </w:pPr>
      <w:r>
        <w:rPr>
          <w:rFonts w:ascii="Times New Roman" w:cs="Times New Roman" w:eastAsia="Times New Roman" w:hAnsi="Times New Roman"/>
          <w:sz w:val="18"/>
          <w:szCs w:val="18"/>
          <w:color w:val="auto"/>
        </w:rPr>
        <w:t>(Registrant)</w:t>
      </w:r>
    </w:p>
    <w:p>
      <w:pPr>
        <w:spacing w:after="0" w:line="28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Renee D. 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Renee D. Gala</w:t>
      </w:r>
    </w:p>
    <w:p>
      <w:pPr>
        <w:spacing w:after="0" w:line="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President and Chief Executive Officer and Director</w:t>
      </w: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8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Philip L. Johnson</w:t>
      </w:r>
    </w:p>
    <w:p>
      <w:pPr>
        <w:spacing w:after="0" w:line="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w:t>
      </w: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27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Patricia Carr</w:t>
      </w:r>
    </w:p>
    <w:p>
      <w:pPr>
        <w:spacing w:after="0" w:line="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Senior Vice President, Chief Accounting Officer</w:t>
      </w: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720"/>
          </w:cols>
          <w:pgMar w:left="320" w:top="121" w:right="8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Renee D. Gala, certify that: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Jazz Pharmaceuticals public limited company;</w:t>
      </w:r>
    </w:p>
    <w:p>
      <w:pPr>
        <w:spacing w:after="0" w:line="198"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740" w:right="300" w:hanging="327"/>
        <w:spacing w:after="0" w:line="266" w:lineRule="auto"/>
        <w:tabs>
          <w:tab w:leader="none" w:pos="73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740" w:right="620" w:hanging="327"/>
        <w:spacing w:after="0" w:line="266" w:lineRule="auto"/>
        <w:tabs>
          <w:tab w:leader="none" w:pos="7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740" w:right="780" w:hanging="327"/>
        <w:spacing w:after="0" w:line="312" w:lineRule="auto"/>
        <w:tabs>
          <w:tab w:leader="none" w:pos="731"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740" w:hanging="327"/>
        <w:spacing w:after="0" w:line="266" w:lineRule="auto"/>
        <w:tabs>
          <w:tab w:leader="none" w:pos="7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3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00" w:val="left"/>
          <w:tab w:leader="none" w:pos="806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Renee D. 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Renee D. Gala</w:t>
      </w:r>
    </w:p>
    <w:p>
      <w:pPr>
        <w:jc w:val="center"/>
        <w:ind w:left="6180"/>
        <w:spacing w:after="0" w:line="221" w:lineRule="auto"/>
        <w:rPr>
          <w:sz w:val="20"/>
          <w:szCs w:val="20"/>
          <w:color w:val="auto"/>
        </w:rPr>
      </w:pPr>
      <w:r>
        <w:rPr>
          <w:rFonts w:ascii="Times New Roman" w:cs="Times New Roman" w:eastAsia="Times New Roman" w:hAnsi="Times New Roman"/>
          <w:sz w:val="14"/>
          <w:szCs w:val="14"/>
          <w:b w:val="1"/>
          <w:bCs w:val="1"/>
          <w:color w:val="auto"/>
        </w:rPr>
        <w:t>President and Chief Executive Officer and Director</w:t>
      </w:r>
    </w:p>
    <w:p>
      <w:pPr>
        <w:ind w:left="78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1008"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L. Johnson, certify that:</w:t>
      </w:r>
    </w:p>
    <w:p>
      <w:pPr>
        <w:spacing w:after="0" w:line="293"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Jazz Pharmaceuticals public limited company;</w:t>
      </w:r>
    </w:p>
    <w:p>
      <w:pPr>
        <w:spacing w:after="0" w:line="198"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740" w:right="300" w:hanging="327"/>
        <w:spacing w:after="0" w:line="266" w:lineRule="auto"/>
        <w:tabs>
          <w:tab w:leader="none" w:pos="73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740" w:right="620" w:hanging="327"/>
        <w:spacing w:after="0" w:line="266" w:lineRule="auto"/>
        <w:tabs>
          <w:tab w:leader="none" w:pos="72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740" w:right="780" w:hanging="327"/>
        <w:spacing w:after="0" w:line="312" w:lineRule="auto"/>
        <w:tabs>
          <w:tab w:leader="none" w:pos="73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740" w:hanging="327"/>
        <w:spacing w:after="0" w:line="266" w:lineRule="auto"/>
        <w:tabs>
          <w:tab w:leader="none" w:pos="72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3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2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5600" w:val="left"/>
          <w:tab w:leader="none" w:pos="796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Philip L. Johnson</w:t>
      </w:r>
    </w:p>
    <w:p>
      <w:pPr>
        <w:jc w:val="center"/>
        <w:ind w:left="6180"/>
        <w:spacing w:after="0" w:line="221" w:lineRule="auto"/>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79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1008"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r>
        <w:rPr>
          <w:rFonts w:ascii="Times New Roman" w:cs="Times New Roman" w:eastAsia="Times New Roman" w:hAnsi="Times New Roman"/>
          <w:sz w:val="23"/>
          <w:szCs w:val="23"/>
          <w:b w:val="1"/>
          <w:bCs w:val="1"/>
          <w:color w:val="auto"/>
          <w:vertAlign w:val="superscript"/>
        </w:rPr>
        <w:t>(1)</w:t>
      </w:r>
    </w:p>
    <w:p>
      <w:pPr>
        <w:ind w:right="120"/>
        <w:spacing w:after="0" w:line="23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Section 1350), Renee D. Gala, President and Chief Executive Officer of Jazz Pharmaceuticals public limited company (the “Company”), and Philip L. Johnson, Executive Vice President and Chief Financial Officer of the Company, each hereby certifies that, to the best of her/his knowledge:</w:t>
      </w:r>
    </w:p>
    <w:p>
      <w:pPr>
        <w:spacing w:after="0" w:line="266" w:lineRule="exact"/>
        <w:rPr>
          <w:sz w:val="20"/>
          <w:szCs w:val="20"/>
          <w:color w:val="auto"/>
        </w:rPr>
      </w:pPr>
    </w:p>
    <w:p>
      <w:pPr>
        <w:ind w:left="740" w:right="120" w:hanging="327"/>
        <w:spacing w:after="0" w:line="282"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2026, to which this Certification is attached as Exhibit 32.1 (the “Periodic Report”), fully complies with the requirements of Section 13(a) or Section 15(d) of the Exchange Act; and</w:t>
      </w:r>
    </w:p>
    <w:p>
      <w:pPr>
        <w:spacing w:after="0" w:line="121"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333"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8"/>
          <w:szCs w:val="18"/>
          <w:color w:val="auto"/>
        </w:rPr>
        <w:t>/s/ Renee D. 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943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b w:val="1"/>
          <w:bCs w:val="1"/>
          <w:color w:val="auto"/>
        </w:rPr>
        <w:t>Renee D. Gala</w:t>
      </w:r>
    </w:p>
    <w:p>
      <w:pPr>
        <w:spacing w:after="0" w:line="3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 and Director</w:t>
      </w:r>
    </w:p>
    <w:p>
      <w:pPr>
        <w:ind w:left="158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00"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8"/>
          <w:szCs w:val="18"/>
          <w:color w:val="auto"/>
        </w:rPr>
        <w:t>/s/ 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943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Philip L. Johnson</w:t>
      </w:r>
    </w:p>
    <w:p>
      <w:pPr>
        <w:spacing w:after="0" w:line="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15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420" w:right="40" w:hanging="331"/>
        <w:spacing w:after="0" w:line="253" w:lineRule="auto"/>
        <w:tabs>
          <w:tab w:leader="none" w:pos="4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the Company under the Securities Act of 1933, as amended, or the Exchange Act (whether made before or after the date of the Quarterly Report on Form 10-Q), irrespective of any general incorporation language contained in such filing. 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bullet"/>
      <w:start w:val="1"/>
    </w:lvl>
  </w:abstractNum>
  <w:abstractNum w:abstractNumId="8">
    <w:nsid w:val="41A7C4C9"/>
    <w:multiLevelType w:val="hybridMultilevel"/>
    <w:lvl w:ilvl="0">
      <w:lvlJc w:val="left"/>
      <w:lvlText w:val="(%1)"/>
      <w:numFmt w:val="decimal"/>
      <w:start w:val="2"/>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85" Type="http://schemas.openxmlformats.org/officeDocument/2006/relationships/hyperlink" Target="https://www.sec.gov/Archives/edgar/data/1232524/000119312526342667/d151973dex21.htm" TargetMode="External"/><Relationship Id="rId86" Type="http://schemas.openxmlformats.org/officeDocument/2006/relationships/hyperlink" Target="https://www.sec.gov/Archives/edgar/data/1232524/000123252416000303/jazzq22016ex31.htm" TargetMode="External"/><Relationship Id="rId87" Type="http://schemas.openxmlformats.org/officeDocument/2006/relationships/hyperlink" Target="https://www.sec.gov/Archives/edgar/data/1232524/000119312526377073/d127542dex41.htm" TargetMode="External"/><Relationship Id="rId88" Type="http://schemas.openxmlformats.org/officeDocument/2006/relationships/hyperlink" Target="https://www.sec.gov/Archives/edgar/data/1232524/000119312526399425/d16302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2026-11-02T15:27:00Z</dcterms:created>
  <dcterms:modified xsi:type="dcterms:W3CDTF">2026-11-02T15:27:00Z</dcterms:modified>
</cp:coreProperties>
</file>