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001-33500</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p>
      <w:pPr>
        <w:ind w:left="2420"/>
        <w:spacing w:after="0"/>
        <w:tabs>
          <w:tab w:leader="none" w:pos="8160" w:val="left"/>
        </w:tabs>
        <w:rPr>
          <w:sz w:val="20"/>
          <w:szCs w:val="20"/>
          <w:color w:val="auto"/>
        </w:rPr>
      </w:pPr>
      <w:r>
        <w:rPr>
          <w:rFonts w:ascii="Arial" w:cs="Arial" w:eastAsia="Arial" w:hAnsi="Arial"/>
          <w:sz w:val="18"/>
          <w:szCs w:val="18"/>
          <w:b w:val="1"/>
          <w:bCs w:val="1"/>
          <w:color w:val="auto"/>
        </w:rPr>
        <w:t>Ireland</w:t>
      </w:r>
      <w:r>
        <w:rPr>
          <w:sz w:val="20"/>
          <w:szCs w:val="20"/>
          <w:color w:val="auto"/>
        </w:rPr>
        <w:tab/>
      </w:r>
      <w:r>
        <w:rPr>
          <w:rFonts w:ascii="Arial" w:cs="Arial" w:eastAsia="Arial" w:hAnsi="Arial"/>
          <w:sz w:val="18"/>
          <w:szCs w:val="18"/>
          <w:b w:val="1"/>
          <w:bCs w:val="1"/>
          <w:color w:val="auto"/>
        </w:rPr>
        <w:t>98-1032470</w:t>
      </w:r>
    </w:p>
    <w:p>
      <w:pPr>
        <w:spacing w:after="0" w:line="27" w:lineRule="exact"/>
        <w:rPr>
          <w:sz w:val="24"/>
          <w:szCs w:val="24"/>
          <w:color w:val="auto"/>
        </w:rPr>
      </w:pPr>
    </w:p>
    <w:p>
      <w:pPr>
        <w:ind w:left="840"/>
        <w:spacing w:after="0"/>
        <w:tabs>
          <w:tab w:leader="none" w:pos="750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7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0" w:lineRule="exact"/>
        <w:rPr>
          <w:sz w:val="24"/>
          <w:szCs w:val="24"/>
          <w:color w:val="auto"/>
        </w:rPr>
      </w:pPr>
    </w:p>
    <w:p>
      <w:pPr>
        <w:ind w:left="1700"/>
        <w:spacing w:after="0"/>
        <w:tabs>
          <w:tab w:leader="none" w:pos="4800" w:val="left"/>
          <w:tab w:leader="none" w:pos="738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2"/>
          <w:szCs w:val="12"/>
          <w:b w:val="1"/>
          <w:bCs w:val="1"/>
          <w:color w:val="auto"/>
        </w:rPr>
        <w:t>Name of each exchange on which registered</w:t>
      </w:r>
    </w:p>
    <w:p>
      <w:pPr>
        <w:spacing w:after="0" w:line="32" w:lineRule="exact"/>
        <w:rPr>
          <w:sz w:val="24"/>
          <w:szCs w:val="24"/>
          <w:color w:val="auto"/>
        </w:rPr>
      </w:pPr>
    </w:p>
    <w:p>
      <w:pPr>
        <w:ind w:left="320"/>
        <w:spacing w:after="0"/>
        <w:tabs>
          <w:tab w:leader="none" w:pos="5140" w:val="left"/>
          <w:tab w:leader="none" w:pos="7500" w:val="left"/>
        </w:tabs>
        <w:rPr>
          <w:sz w:val="20"/>
          <w:szCs w:val="20"/>
          <w:color w:val="auto"/>
        </w:rPr>
      </w:pPr>
      <w:r>
        <w:rPr>
          <w:rFonts w:ascii="Arial" w:cs="Arial" w:eastAsia="Arial" w:hAnsi="Arial"/>
          <w:sz w:val="18"/>
          <w:szCs w:val="18"/>
          <w:b w:val="1"/>
          <w:bCs w:val="1"/>
          <w:color w:val="auto"/>
        </w:rPr>
        <w:t>Ordinary shares, nominal value $0.0001 per share</w:t>
      </w:r>
      <w:r>
        <w:rPr>
          <w:sz w:val="20"/>
          <w:szCs w:val="20"/>
          <w:color w:val="auto"/>
        </w:rPr>
        <w:tab/>
      </w:r>
      <w:r>
        <w:rPr>
          <w:rFonts w:ascii="Arial" w:cs="Arial" w:eastAsia="Arial" w:hAnsi="Arial"/>
          <w:sz w:val="18"/>
          <w:szCs w:val="18"/>
          <w:b w:val="1"/>
          <w:bCs w:val="1"/>
          <w:color w:val="auto"/>
        </w:rPr>
        <w:t>JAZZ</w:t>
      </w:r>
      <w:r>
        <w:rPr>
          <w:sz w:val="20"/>
          <w:szCs w:val="20"/>
          <w:color w:val="auto"/>
        </w:rPr>
        <w:tab/>
      </w:r>
      <w:r>
        <w:rPr>
          <w:rFonts w:ascii="Arial" w:cs="Arial" w:eastAsia="Arial" w:hAnsi="Arial"/>
          <w:sz w:val="16"/>
          <w:szCs w:val="16"/>
          <w:b w:val="1"/>
          <w:bCs w:val="1"/>
          <w:color w:val="auto"/>
        </w:rPr>
        <w:t>The Nasdaq Stock Market LLC</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46" w:lineRule="exact"/>
        <w:rPr>
          <w:sz w:val="24"/>
          <w:szCs w:val="24"/>
          <w:color w:val="auto"/>
        </w:rPr>
      </w:pPr>
    </w:p>
    <w:p>
      <w:pPr>
        <w:ind w:left="340" w:right="2880"/>
        <w:spacing w:after="0" w:line="29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ind w:right="8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57" w:lineRule="exact"/>
        <w:rPr>
          <w:sz w:val="24"/>
          <w:szCs w:val="24"/>
          <w:color w:val="auto"/>
        </w:rPr>
      </w:pPr>
    </w:p>
    <w:p>
      <w:pPr>
        <w:ind w:right="4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57" w:lineRule="exact"/>
        <w:rPr>
          <w:sz w:val="24"/>
          <w:szCs w:val="24"/>
          <w:color w:val="auto"/>
        </w:rPr>
      </w:pPr>
    </w:p>
    <w:p>
      <w:pPr>
        <w:ind w:right="2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p>
      <w:pPr>
        <w:ind w:left="20"/>
        <w:spacing w:after="0" w:line="185" w:lineRule="exact"/>
        <w:tabs>
          <w:tab w:leader="none" w:pos="2060" w:val="left"/>
          <w:tab w:leader="none" w:pos="4100" w:val="left"/>
          <w:tab w:leader="none" w:pos="6160" w:val="left"/>
          <w:tab w:leader="none" w:pos="8520" w:val="left"/>
          <w:tab w:leader="none" w:pos="10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70" w:lineRule="exact"/>
        <w:rPr>
          <w:sz w:val="24"/>
          <w:szCs w:val="24"/>
          <w:color w:val="auto"/>
        </w:rPr>
      </w:pPr>
    </w:p>
    <w:p>
      <w:pPr>
        <w:ind w:right="220" w:firstLine="324"/>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7" w:lineRule="exact"/>
        <w:rPr>
          <w:sz w:val="24"/>
          <w:szCs w:val="24"/>
          <w:color w:val="auto"/>
        </w:rPr>
      </w:pPr>
    </w:p>
    <w:p>
      <w:pPr>
        <w:ind w:right="18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5" w:lineRule="exact"/>
        <w:rPr>
          <w:sz w:val="24"/>
          <w:szCs w:val="24"/>
          <w:color w:val="auto"/>
        </w:rPr>
      </w:pPr>
    </w:p>
    <w:p>
      <w:pPr>
        <w:ind w:left="340"/>
        <w:spacing w:after="0" w:line="196" w:lineRule="exact"/>
        <w:tabs>
          <w:tab w:leader="none" w:pos="6380" w:val="left"/>
          <w:tab w:leader="none" w:pos="69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43" w:lineRule="exact"/>
        <w:rPr>
          <w:sz w:val="24"/>
          <w:szCs w:val="24"/>
          <w:color w:val="auto"/>
        </w:rPr>
      </w:pPr>
    </w:p>
    <w:p>
      <w:pPr>
        <w:ind w:right="20" w:firstLine="324"/>
        <w:spacing w:after="0" w:line="273"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2021, the last business day of the registrant’s most recently completed second fiscal quarter, was approximately $10,591,497,500 based upon the last sale price reported for the registrant’s ordinary shares on such date on The Nasdaq Global Select Market. The calculation of the aggregate market value of voting and non-voting common equity excludes 1,490,584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5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22, 2022, a total of 61,738,841 ordinary shares, nominal value $0.0001 per share, of the registrant were outstanding.</w:t>
      </w:r>
    </w:p>
    <w:p>
      <w:pPr>
        <w:spacing w:after="0" w:line="7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Certain information required by Part III, Items 10-14 of this Form 10</w:t>
      </w:r>
      <w:r>
        <w:rPr>
          <w:rFonts w:ascii="MS PGothic" w:cs="MS PGothic" w:eastAsia="MS PGothic" w:hAnsi="MS PGothic"/>
          <w:sz w:val="14"/>
          <w:szCs w:val="14"/>
          <w:color w:val="auto"/>
        </w:rPr>
        <w:t>‑</w:t>
      </w:r>
      <w:r>
        <w:rPr>
          <w:rFonts w:ascii="Arial" w:cs="Arial" w:eastAsia="Arial" w:hAnsi="Arial"/>
          <w:sz w:val="14"/>
          <w:szCs w:val="14"/>
          <w:color w:val="auto"/>
        </w:rPr>
        <w:t>K is incorporated by reference to the registrant’s definitive Proxy Statement for the 2022 Annual General Meeting of Shareholders to be filed with the Securities and Exchange Commission pursuant to Regulation 14A. If such Proxy Statement is not filed within 120 days after the end of the fiscal year covered by this Form 10</w:t>
      </w:r>
      <w:r>
        <w:rPr>
          <w:rFonts w:ascii="MS PGothic" w:cs="MS PGothic" w:eastAsia="MS PGothic" w:hAnsi="MS PGothic"/>
          <w:sz w:val="14"/>
          <w:szCs w:val="14"/>
          <w:color w:val="auto"/>
        </w:rPr>
        <w:t>‑</w:t>
      </w:r>
      <w:r>
        <w:rPr>
          <w:rFonts w:ascii="Arial" w:cs="Arial" w:eastAsia="Arial" w:hAnsi="Arial"/>
          <w:sz w:val="14"/>
          <w:szCs w:val="14"/>
          <w:color w:val="auto"/>
        </w:rPr>
        <w:t>K, such information will be included in an amendment to this Form 10</w:t>
      </w:r>
      <w:r>
        <w:rPr>
          <w:rFonts w:ascii="MS PGothic" w:cs="MS PGothic" w:eastAsia="MS PGothic" w:hAnsi="MS PGothic"/>
          <w:sz w:val="14"/>
          <w:szCs w:val="14"/>
          <w:color w:val="auto"/>
        </w:rPr>
        <w:t>‑</w:t>
      </w:r>
      <w:r>
        <w:rPr>
          <w:rFonts w:ascii="Arial" w:cs="Arial" w:eastAsia="Arial" w:hAnsi="Arial"/>
          <w:sz w:val="14"/>
          <w:szCs w:val="14"/>
          <w:color w:val="auto"/>
        </w:rPr>
        <w:t>K to be filed within such 120-day period.</w:t>
      </w:r>
    </w:p>
    <w:p>
      <w:pPr>
        <w:sectPr>
          <w:pgSz w:w="11900" w:h="16838" w:orient="portrait"/>
          <w:cols w:equalWidth="0" w:num="1">
            <w:col w:w="11220"/>
          </w:cols>
          <w:pgMar w:left="320" w:top="233" w:right="359" w:bottom="25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258"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6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JAZZ PHARMACEUTICALS PLC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60" w:type="dxa"/>
            <w:vAlign w:val="bottom"/>
            <w:gridSpan w:val="12"/>
          </w:tcPr>
          <w:p>
            <w:pPr>
              <w:jc w:val="center"/>
              <w:ind w:right="2040"/>
              <w:spacing w:after="0"/>
              <w:rPr>
                <w:sz w:val="20"/>
                <w:szCs w:val="20"/>
                <w:color w:val="auto"/>
              </w:rPr>
            </w:pPr>
            <w:r>
              <w:rPr>
                <w:rFonts w:ascii="Arial" w:cs="Arial" w:eastAsia="Arial" w:hAnsi="Arial"/>
                <w:sz w:val="18"/>
                <w:szCs w:val="18"/>
                <w:b w:val="1"/>
                <w:bCs w:val="1"/>
                <w:color w:val="auto"/>
                <w:w w:val="98"/>
              </w:rPr>
              <w:t>2021 ANNUAL REPORT ON FORM 10-K</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8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Page</w:t>
            </w:r>
          </w:p>
        </w:tc>
      </w:tr>
      <w:tr>
        <w:trPr>
          <w:trHeight w:val="270"/>
        </w:trPr>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380" w:type="dxa"/>
            <w:vAlign w:val="bottom"/>
            <w:gridSpan w:val="9"/>
          </w:tcPr>
          <w:p>
            <w:pPr>
              <w:jc w:val="center"/>
              <w:ind w:right="4600"/>
              <w:spacing w:after="0"/>
              <w:rPr>
                <w:sz w:val="20"/>
                <w:szCs w:val="20"/>
                <w:color w:val="auto"/>
              </w:rPr>
            </w:pPr>
            <w:r>
              <w:rPr>
                <w:rFonts w:ascii="Arial" w:cs="Arial" w:eastAsia="Arial" w:hAnsi="Arial"/>
                <w:sz w:val="18"/>
                <w:szCs w:val="18"/>
                <w:b w:val="1"/>
                <w:bCs w:val="1"/>
                <w:color w:val="auto"/>
                <w:w w:val="98"/>
              </w:rPr>
              <w:t>PART I</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2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2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Risk Factors</w:t>
              </w:r>
            </w:hyperlink>
          </w:p>
        </w:tc>
        <w:tc>
          <w:tcPr>
            <w:tcW w:w="7800" w:type="dxa"/>
            <w:vAlign w:val="bottom"/>
            <w:gridSpan w:val="16"/>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20" w:type="dxa"/>
            <w:vAlign w:val="bottom"/>
          </w:tcPr>
          <w:p>
            <w:pPr>
              <w:spacing w:after="0"/>
              <w:rPr>
                <w:sz w:val="18"/>
                <w:szCs w:val="18"/>
                <w:color w:val="auto"/>
              </w:rPr>
            </w:pPr>
          </w:p>
        </w:tc>
      </w:tr>
      <w:tr>
        <w:trPr>
          <w:trHeight w:val="210"/>
        </w:trPr>
        <w:tc>
          <w:tcPr>
            <w:tcW w:w="12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Unresolved Staff Comments</w:t>
              </w:r>
            </w:hyperlink>
          </w:p>
        </w:tc>
        <w:tc>
          <w:tcPr>
            <w:tcW w:w="6660" w:type="dxa"/>
            <w:vAlign w:val="bottom"/>
            <w:gridSpan w:val="12"/>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c>
          <w:tcPr>
            <w:tcW w:w="20" w:type="dxa"/>
            <w:vAlign w:val="bottom"/>
          </w:tcPr>
          <w:p>
            <w:pPr>
              <w:spacing w:after="0"/>
              <w:rPr>
                <w:sz w:val="18"/>
                <w:szCs w:val="18"/>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Properties</w:t>
              </w:r>
            </w:hyperlink>
          </w:p>
        </w:tc>
        <w:tc>
          <w:tcPr>
            <w:tcW w:w="7980" w:type="dxa"/>
            <w:vAlign w:val="bottom"/>
            <w:gridSpan w:val="17"/>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c>
          <w:tcPr>
            <w:tcW w:w="20" w:type="dxa"/>
            <w:vAlign w:val="bottom"/>
          </w:tcPr>
          <w:p>
            <w:pPr>
              <w:spacing w:after="0"/>
              <w:rPr>
                <w:sz w:val="18"/>
                <w:szCs w:val="18"/>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20" w:type="dxa"/>
            <w:vAlign w:val="bottom"/>
            <w:gridSpan w:val="2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Legal Proceedings</w:t>
              </w:r>
            </w:hyperlink>
          </w:p>
        </w:tc>
        <w:tc>
          <w:tcPr>
            <w:tcW w:w="124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2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20" w:type="dxa"/>
            <w:vAlign w:val="bottom"/>
            <w:gridSpan w:val="2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Mine Safety Disclosures</w:t>
              </w:r>
            </w:hyperlink>
          </w:p>
        </w:tc>
        <w:tc>
          <w:tcPr>
            <w:tcW w:w="124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20" w:type="dxa"/>
            <w:vAlign w:val="bottom"/>
          </w:tcPr>
          <w:p>
            <w:pPr>
              <w:spacing w:after="0"/>
              <w:rPr>
                <w:sz w:val="18"/>
                <w:szCs w:val="18"/>
                <w:color w:val="auto"/>
              </w:rPr>
            </w:pPr>
          </w:p>
        </w:tc>
      </w:tr>
      <w:tr>
        <w:trPr>
          <w:trHeight w:val="520"/>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80" w:type="dxa"/>
            <w:vAlign w:val="bottom"/>
            <w:gridSpan w:val="9"/>
          </w:tcPr>
          <w:p>
            <w:pPr>
              <w:jc w:val="center"/>
              <w:ind w:right="4600"/>
              <w:spacing w:after="0"/>
              <w:rPr>
                <w:sz w:val="20"/>
                <w:szCs w:val="20"/>
                <w:color w:val="auto"/>
              </w:rPr>
            </w:pPr>
            <w:r>
              <w:rPr>
                <w:rFonts w:ascii="Arial" w:cs="Arial" w:eastAsia="Arial" w:hAnsi="Arial"/>
                <w:sz w:val="18"/>
                <w:szCs w:val="18"/>
                <w:b w:val="1"/>
                <w:bCs w:val="1"/>
                <w:color w:val="auto"/>
              </w:rPr>
              <w:t>PART II</w:t>
            </w:r>
          </w:p>
        </w:tc>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720" w:type="dxa"/>
            <w:vAlign w:val="bottom"/>
            <w:gridSpan w:val="20"/>
          </w:tcPr>
          <w:p>
            <w:pPr>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Market for Registrant’s Common Equity, Related Stockholder Matters and Issuer Purchases of Equity Securities</w:t>
              </w:r>
            </w:hyperlink>
          </w:p>
        </w:tc>
        <w:tc>
          <w:tcPr>
            <w:tcW w:w="1240" w:type="dxa"/>
            <w:vAlign w:val="bottom"/>
            <w:gridSpan w:val="3"/>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20" w:type="dxa"/>
            <w:vAlign w:val="bottom"/>
          </w:tcPr>
          <w:p>
            <w:pPr>
              <w:spacing w:after="0"/>
              <w:rPr>
                <w:sz w:val="24"/>
                <w:szCs w:val="24"/>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5"/>
              </w:rPr>
            </w:pPr>
            <w:hyperlink w:anchor="page75">
              <w:r>
                <w:rPr>
                  <w:rFonts w:ascii="Arial" w:cs="Arial" w:eastAsia="Arial" w:hAnsi="Arial"/>
                  <w:sz w:val="18"/>
                  <w:szCs w:val="18"/>
                  <w:color w:val="0000FF"/>
                  <w:w w:val="85"/>
                </w:rPr>
                <w:t>Reserved</w:t>
              </w:r>
            </w:hyperlink>
          </w:p>
        </w:tc>
        <w:tc>
          <w:tcPr>
            <w:tcW w:w="7400" w:type="dxa"/>
            <w:vAlign w:val="bottom"/>
            <w:tcBorders>
              <w:top w:val="single" w:sz="8" w:color="0000FF"/>
            </w:tcBorders>
            <w:gridSpan w:val="17"/>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75</w:t>
              </w:r>
            </w:hyperlink>
          </w:p>
        </w:tc>
        <w:tc>
          <w:tcPr>
            <w:tcW w:w="20" w:type="dxa"/>
            <w:vAlign w:val="bottom"/>
          </w:tcPr>
          <w:p>
            <w:pPr>
              <w:spacing w:after="0"/>
              <w:rPr>
                <w:sz w:val="18"/>
                <w:szCs w:val="18"/>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8720" w:type="dxa"/>
            <w:vAlign w:val="bottom"/>
            <w:gridSpan w:val="20"/>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Management’s Discussion and Analysis of Financial Condition and Results of Operations</w:t>
              </w:r>
            </w:hyperlink>
          </w:p>
        </w:tc>
        <w:tc>
          <w:tcPr>
            <w:tcW w:w="1240" w:type="dxa"/>
            <w:vAlign w:val="bottom"/>
            <w:gridSpan w:val="3"/>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20" w:type="dxa"/>
            <w:vAlign w:val="bottom"/>
          </w:tcPr>
          <w:p>
            <w:pPr>
              <w:spacing w:after="0"/>
              <w:rPr>
                <w:sz w:val="18"/>
                <w:szCs w:val="18"/>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1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Quantitative and Qualitative Disclosures About Market Risk</w:t>
              </w:r>
            </w:hyperlink>
          </w:p>
        </w:tc>
        <w:tc>
          <w:tcPr>
            <w:tcW w:w="2260" w:type="dxa"/>
            <w:vAlign w:val="bottom"/>
            <w:gridSpan w:val="4"/>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96">
              <w:r>
                <w:rPr>
                  <w:rFonts w:ascii="Arial" w:cs="Arial" w:eastAsia="Arial" w:hAnsi="Arial"/>
                  <w:sz w:val="18"/>
                  <w:szCs w:val="18"/>
                  <w:color w:val="0000FF"/>
                  <w:w w:val="79"/>
                </w:rPr>
                <w:t>96</w:t>
              </w:r>
            </w:hyperlink>
          </w:p>
        </w:tc>
        <w:tc>
          <w:tcPr>
            <w:tcW w:w="20" w:type="dxa"/>
            <w:vAlign w:val="bottom"/>
          </w:tcPr>
          <w:p>
            <w:pPr>
              <w:spacing w:after="0"/>
              <w:rPr>
                <w:sz w:val="18"/>
                <w:szCs w:val="18"/>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2"/>
          </w:tcPr>
          <w:p>
            <w:pPr>
              <w:spacing w:after="0"/>
              <w:rPr>
                <w:sz w:val="18"/>
                <w:szCs w:val="18"/>
                <w:color w:val="auto"/>
              </w:rPr>
            </w:pPr>
          </w:p>
        </w:tc>
        <w:tc>
          <w:tcPr>
            <w:tcW w:w="4360" w:type="dxa"/>
            <w:vAlign w:val="bottom"/>
            <w:gridSpan w:val="7"/>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98</w:t>
              </w:r>
            </w:hyperlink>
          </w:p>
        </w:tc>
        <w:tc>
          <w:tcPr>
            <w:tcW w:w="20" w:type="dxa"/>
            <w:vAlign w:val="bottom"/>
          </w:tcPr>
          <w:p>
            <w:pPr>
              <w:spacing w:after="0"/>
              <w:rPr>
                <w:sz w:val="18"/>
                <w:szCs w:val="18"/>
                <w:color w:val="auto"/>
              </w:rPr>
            </w:pPr>
          </w:p>
        </w:tc>
      </w:tr>
      <w:tr>
        <w:trPr>
          <w:trHeight w:val="210"/>
        </w:trPr>
        <w:tc>
          <w:tcPr>
            <w:tcW w:w="12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20" w:type="dxa"/>
            <w:vAlign w:val="bottom"/>
            <w:gridSpan w:val="20"/>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Changes in and Disagreements with Accountants on Accounting and Financial Disclosure</w:t>
              </w:r>
            </w:hyperlink>
          </w:p>
        </w:tc>
        <w:tc>
          <w:tcPr>
            <w:tcW w:w="1240" w:type="dxa"/>
            <w:vAlign w:val="bottom"/>
            <w:gridSpan w:val="3"/>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98</w:t>
              </w:r>
            </w:hyperlink>
          </w:p>
        </w:tc>
        <w:tc>
          <w:tcPr>
            <w:tcW w:w="20" w:type="dxa"/>
            <w:vAlign w:val="bottom"/>
          </w:tcPr>
          <w:p>
            <w:pPr>
              <w:spacing w:after="0"/>
              <w:rPr>
                <w:sz w:val="18"/>
                <w:szCs w:val="18"/>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8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Controls and Procedures</w:t>
              </w:r>
            </w:hyperlink>
          </w:p>
        </w:tc>
        <w:tc>
          <w:tcPr>
            <w:tcW w:w="4660" w:type="dxa"/>
            <w:vAlign w:val="bottom"/>
            <w:tcBorders>
              <w:top w:val="single" w:sz="8" w:color="0000FF"/>
            </w:tcBorders>
            <w:gridSpan w:val="10"/>
          </w:tcPr>
          <w:p>
            <w:pPr>
              <w:spacing w:after="0"/>
              <w:rPr>
                <w:sz w:val="18"/>
                <w:szCs w:val="18"/>
                <w:color w:val="auto"/>
              </w:rPr>
            </w:pPr>
          </w:p>
        </w:tc>
        <w:tc>
          <w:tcPr>
            <w:tcW w:w="2240" w:type="dxa"/>
            <w:vAlign w:val="bottom"/>
            <w:gridSpan w:val="3"/>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98</w:t>
              </w:r>
            </w:hyperlink>
          </w:p>
        </w:tc>
        <w:tc>
          <w:tcPr>
            <w:tcW w:w="20" w:type="dxa"/>
            <w:vAlign w:val="bottom"/>
          </w:tcPr>
          <w:p>
            <w:pPr>
              <w:spacing w:after="0"/>
              <w:rPr>
                <w:sz w:val="18"/>
                <w:szCs w:val="18"/>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720" w:type="dxa"/>
            <w:vAlign w:val="bottom"/>
            <w:gridSpan w:val="20"/>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Other Information</w:t>
              </w:r>
            </w:hyperlink>
          </w:p>
        </w:tc>
        <w:tc>
          <w:tcPr>
            <w:tcW w:w="1260" w:type="dxa"/>
            <w:vAlign w:val="bottom"/>
            <w:gridSpan w:val="4"/>
          </w:tcPr>
          <w:p>
            <w:pPr>
              <w:jc w:val="right"/>
              <w:ind w:right="20"/>
              <w:spacing w:after="0"/>
              <w:rPr>
                <w:rFonts w:ascii="Arial" w:cs="Arial" w:eastAsia="Arial" w:hAnsi="Arial"/>
                <w:sz w:val="18"/>
                <w:szCs w:val="18"/>
                <w:color w:val="0000FF"/>
              </w:rPr>
            </w:pPr>
            <w:hyperlink w:anchor="page100">
              <w:r>
                <w:rPr>
                  <w:rFonts w:ascii="Arial" w:cs="Arial" w:eastAsia="Arial" w:hAnsi="Arial"/>
                  <w:sz w:val="18"/>
                  <w:szCs w:val="18"/>
                  <w:color w:val="0000FF"/>
                </w:rPr>
                <w:t>101</w:t>
              </w:r>
            </w:hyperlink>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8720" w:type="dxa"/>
            <w:vAlign w:val="bottom"/>
            <w:gridSpan w:val="20"/>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Disclosure Regarding Foreign Jurisdictions that Prevent Inspections</w:t>
              </w:r>
            </w:hyperlink>
          </w:p>
        </w:tc>
        <w:tc>
          <w:tcPr>
            <w:tcW w:w="1260" w:type="dxa"/>
            <w:vAlign w:val="bottom"/>
            <w:gridSpan w:val="4"/>
          </w:tcPr>
          <w:p>
            <w:pPr>
              <w:jc w:val="right"/>
              <w:ind w:right="20"/>
              <w:spacing w:after="0"/>
              <w:rPr>
                <w:rFonts w:ascii="Arial" w:cs="Arial" w:eastAsia="Arial" w:hAnsi="Arial"/>
                <w:sz w:val="18"/>
                <w:szCs w:val="18"/>
                <w:color w:val="0000FF"/>
              </w:rPr>
            </w:pPr>
            <w:hyperlink w:anchor="page101">
              <w:r>
                <w:rPr>
                  <w:rFonts w:ascii="Arial" w:cs="Arial" w:eastAsia="Arial" w:hAnsi="Arial"/>
                  <w:sz w:val="18"/>
                  <w:szCs w:val="18"/>
                  <w:color w:val="0000FF"/>
                </w:rPr>
                <w:t>101</w:t>
              </w:r>
            </w:hyperlink>
          </w:p>
        </w:tc>
      </w:tr>
      <w:tr>
        <w:trPr>
          <w:trHeight w:val="520"/>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3"/>
          </w:tcPr>
          <w:p>
            <w:pPr>
              <w:jc w:val="center"/>
              <w:ind w:right="780"/>
              <w:spacing w:after="0"/>
              <w:rPr>
                <w:sz w:val="20"/>
                <w:szCs w:val="20"/>
                <w:color w:val="auto"/>
              </w:rPr>
            </w:pPr>
            <w:r>
              <w:rPr>
                <w:rFonts w:ascii="Arial" w:cs="Arial" w:eastAsia="Arial" w:hAnsi="Arial"/>
                <w:sz w:val="18"/>
                <w:szCs w:val="18"/>
                <w:b w:val="1"/>
                <w:bCs w:val="1"/>
                <w:color w:val="auto"/>
              </w:rPr>
              <w:t>PART III</w:t>
            </w:r>
          </w:p>
        </w:tc>
        <w:tc>
          <w:tcPr>
            <w:tcW w:w="3820" w:type="dxa"/>
            <w:vAlign w:val="bottom"/>
            <w:gridSpan w:val="6"/>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720" w:type="dxa"/>
            <w:vAlign w:val="bottom"/>
            <w:gridSpan w:val="20"/>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Directors, Executive Officers and Corporate Governance</w:t>
              </w:r>
            </w:hyperlink>
          </w:p>
        </w:tc>
        <w:tc>
          <w:tcPr>
            <w:tcW w:w="1260" w:type="dxa"/>
            <w:vAlign w:val="bottom"/>
            <w:gridSpan w:val="4"/>
          </w:tcPr>
          <w:p>
            <w:pPr>
              <w:jc w:val="right"/>
              <w:ind w:right="20"/>
              <w:spacing w:after="0"/>
              <w:rPr>
                <w:rFonts w:ascii="Arial" w:cs="Arial" w:eastAsia="Arial" w:hAnsi="Arial"/>
                <w:sz w:val="18"/>
                <w:szCs w:val="18"/>
                <w:color w:val="0000FF"/>
              </w:rPr>
            </w:pPr>
            <w:hyperlink w:anchor="page101">
              <w:r>
                <w:rPr>
                  <w:rFonts w:ascii="Arial" w:cs="Arial" w:eastAsia="Arial" w:hAnsi="Arial"/>
                  <w:sz w:val="18"/>
                  <w:szCs w:val="18"/>
                  <w:color w:val="0000FF"/>
                </w:rPr>
                <w:t>101</w:t>
              </w:r>
            </w:hyperlink>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20" w:type="dxa"/>
            <w:vAlign w:val="bottom"/>
            <w:gridSpan w:val="7"/>
          </w:tcPr>
          <w:p>
            <w:pPr>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18"/>
                <w:szCs w:val="18"/>
                <w:color w:val="auto"/>
              </w:rPr>
            </w:pPr>
          </w:p>
        </w:tc>
        <w:tc>
          <w:tcPr>
            <w:tcW w:w="4620" w:type="dxa"/>
            <w:vAlign w:val="bottom"/>
            <w:gridSpan w:val="8"/>
          </w:tcPr>
          <w:p>
            <w:pPr>
              <w:spacing w:after="0"/>
              <w:rPr>
                <w:sz w:val="18"/>
                <w:szCs w:val="18"/>
                <w:color w:val="auto"/>
              </w:rPr>
            </w:pPr>
          </w:p>
        </w:tc>
        <w:tc>
          <w:tcPr>
            <w:tcW w:w="1260" w:type="dxa"/>
            <w:vAlign w:val="bottom"/>
            <w:gridSpan w:val="4"/>
          </w:tcPr>
          <w:p>
            <w:pPr>
              <w:jc w:val="right"/>
              <w:ind w:right="20"/>
              <w:spacing w:after="0"/>
              <w:rPr>
                <w:rFonts w:ascii="Arial" w:cs="Arial" w:eastAsia="Arial" w:hAnsi="Arial"/>
                <w:sz w:val="18"/>
                <w:szCs w:val="18"/>
                <w:color w:val="0000FF"/>
              </w:rPr>
            </w:pPr>
            <w:hyperlink w:anchor="page101">
              <w:r>
                <w:rPr>
                  <w:rFonts w:ascii="Arial" w:cs="Arial" w:eastAsia="Arial" w:hAnsi="Arial"/>
                  <w:sz w:val="18"/>
                  <w:szCs w:val="18"/>
                  <w:color w:val="0000FF"/>
                </w:rPr>
                <w:t>101</w:t>
              </w:r>
            </w:hyperlink>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8"/>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Security Ownership of Certain Beneficial Owners and Management and Related Stockholder Matters</w:t>
              </w:r>
            </w:hyperlink>
          </w:p>
        </w:tc>
        <w:tc>
          <w:tcPr>
            <w:tcW w:w="1420" w:type="dxa"/>
            <w:vAlign w:val="bottom"/>
            <w:gridSpan w:val="2"/>
          </w:tcPr>
          <w:p>
            <w:pPr>
              <w:spacing w:after="0"/>
              <w:rPr>
                <w:sz w:val="18"/>
                <w:szCs w:val="18"/>
                <w:color w:val="auto"/>
              </w:rPr>
            </w:pPr>
          </w:p>
        </w:tc>
        <w:tc>
          <w:tcPr>
            <w:tcW w:w="1260" w:type="dxa"/>
            <w:vAlign w:val="bottom"/>
            <w:gridSpan w:val="4"/>
          </w:tcPr>
          <w:p>
            <w:pPr>
              <w:jc w:val="right"/>
              <w:ind w:right="20"/>
              <w:spacing w:after="0"/>
              <w:rPr>
                <w:rFonts w:ascii="Arial" w:cs="Arial" w:eastAsia="Arial" w:hAnsi="Arial"/>
                <w:sz w:val="18"/>
                <w:szCs w:val="18"/>
                <w:color w:val="0000FF"/>
              </w:rPr>
            </w:pPr>
            <w:hyperlink w:anchor="page101">
              <w:r>
                <w:rPr>
                  <w:rFonts w:ascii="Arial" w:cs="Arial" w:eastAsia="Arial" w:hAnsi="Arial"/>
                  <w:sz w:val="18"/>
                  <w:szCs w:val="18"/>
                  <w:color w:val="0000FF"/>
                </w:rPr>
                <w:t>101</w:t>
              </w:r>
            </w:hyperlink>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5"/>
          </w:tcPr>
          <w:p>
            <w:pP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18"/>
                <w:szCs w:val="18"/>
                <w:color w:val="auto"/>
              </w:rPr>
            </w:pPr>
          </w:p>
        </w:tc>
        <w:tc>
          <w:tcPr>
            <w:tcW w:w="1420" w:type="dxa"/>
            <w:vAlign w:val="bottom"/>
            <w:gridSpan w:val="2"/>
          </w:tcPr>
          <w:p>
            <w:pPr>
              <w:spacing w:after="0"/>
              <w:rPr>
                <w:sz w:val="18"/>
                <w:szCs w:val="18"/>
                <w:color w:val="auto"/>
              </w:rPr>
            </w:pPr>
          </w:p>
        </w:tc>
        <w:tc>
          <w:tcPr>
            <w:tcW w:w="1260" w:type="dxa"/>
            <w:vAlign w:val="bottom"/>
            <w:gridSpan w:val="4"/>
          </w:tcPr>
          <w:p>
            <w:pPr>
              <w:jc w:val="right"/>
              <w:ind w:right="20"/>
              <w:spacing w:after="0"/>
              <w:rPr>
                <w:rFonts w:ascii="Arial" w:cs="Arial" w:eastAsia="Arial" w:hAnsi="Arial"/>
                <w:sz w:val="18"/>
                <w:szCs w:val="18"/>
                <w:color w:val="0000FF"/>
              </w:rPr>
            </w:pPr>
            <w:hyperlink w:anchor="page102">
              <w:r>
                <w:rPr>
                  <w:rFonts w:ascii="Arial" w:cs="Arial" w:eastAsia="Arial" w:hAnsi="Arial"/>
                  <w:sz w:val="18"/>
                  <w:szCs w:val="18"/>
                  <w:color w:val="0000FF"/>
                </w:rPr>
                <w:t>102</w:t>
              </w:r>
            </w:hyperlink>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5"/>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Principal Accountant Fees and Services</w:t>
              </w:r>
            </w:hyperlink>
          </w:p>
        </w:tc>
        <w:tc>
          <w:tcPr>
            <w:tcW w:w="3260" w:type="dxa"/>
            <w:vAlign w:val="bottom"/>
            <w:gridSpan w:val="5"/>
          </w:tcPr>
          <w:p>
            <w:pPr>
              <w:spacing w:after="0"/>
              <w:rPr>
                <w:sz w:val="18"/>
                <w:szCs w:val="18"/>
                <w:color w:val="auto"/>
              </w:rPr>
            </w:pPr>
          </w:p>
        </w:tc>
        <w:tc>
          <w:tcPr>
            <w:tcW w:w="1260" w:type="dxa"/>
            <w:vAlign w:val="bottom"/>
            <w:gridSpan w:val="4"/>
          </w:tcPr>
          <w:p>
            <w:pPr>
              <w:jc w:val="right"/>
              <w:ind w:right="20"/>
              <w:spacing w:after="0"/>
              <w:rPr>
                <w:rFonts w:ascii="Arial" w:cs="Arial" w:eastAsia="Arial" w:hAnsi="Arial"/>
                <w:sz w:val="18"/>
                <w:szCs w:val="18"/>
                <w:color w:val="0000FF"/>
              </w:rPr>
            </w:pPr>
            <w:hyperlink w:anchor="page102">
              <w:r>
                <w:rPr>
                  <w:rFonts w:ascii="Arial" w:cs="Arial" w:eastAsia="Arial" w:hAnsi="Arial"/>
                  <w:sz w:val="18"/>
                  <w:szCs w:val="18"/>
                  <w:color w:val="0000FF"/>
                </w:rPr>
                <w:t>102</w:t>
              </w:r>
            </w:hyperlink>
          </w:p>
        </w:tc>
      </w:tr>
      <w:tr>
        <w:trPr>
          <w:trHeight w:val="520"/>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80" w:type="dxa"/>
            <w:vAlign w:val="bottom"/>
            <w:gridSpan w:val="9"/>
          </w:tcPr>
          <w:p>
            <w:pPr>
              <w:jc w:val="center"/>
              <w:ind w:right="4600"/>
              <w:spacing w:after="0"/>
              <w:rPr>
                <w:sz w:val="20"/>
                <w:szCs w:val="20"/>
                <w:color w:val="auto"/>
              </w:rPr>
            </w:pPr>
            <w:r>
              <w:rPr>
                <w:rFonts w:ascii="Arial" w:cs="Arial" w:eastAsia="Arial" w:hAnsi="Arial"/>
                <w:sz w:val="18"/>
                <w:szCs w:val="18"/>
                <w:b w:val="1"/>
                <w:bCs w:val="1"/>
                <w:color w:val="auto"/>
                <w:w w:val="98"/>
              </w:rPr>
              <w:t>PART IV</w:t>
            </w:r>
          </w:p>
        </w:tc>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720" w:type="dxa"/>
            <w:vAlign w:val="bottom"/>
            <w:gridSpan w:val="20"/>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Exhibits and Financial Statement Schedules</w:t>
              </w:r>
            </w:hyperlink>
          </w:p>
        </w:tc>
        <w:tc>
          <w:tcPr>
            <w:tcW w:w="1260" w:type="dxa"/>
            <w:vAlign w:val="bottom"/>
            <w:gridSpan w:val="4"/>
          </w:tcPr>
          <w:p>
            <w:pPr>
              <w:jc w:val="right"/>
              <w:ind w:right="20"/>
              <w:spacing w:after="0"/>
              <w:rPr>
                <w:rFonts w:ascii="Arial" w:cs="Arial" w:eastAsia="Arial" w:hAnsi="Arial"/>
                <w:sz w:val="18"/>
                <w:szCs w:val="18"/>
                <w:color w:val="0000FF"/>
              </w:rPr>
            </w:pPr>
            <w:hyperlink w:anchor="page102">
              <w:r>
                <w:rPr>
                  <w:rFonts w:ascii="Arial" w:cs="Arial" w:eastAsia="Arial" w:hAnsi="Arial"/>
                  <w:sz w:val="18"/>
                  <w:szCs w:val="18"/>
                  <w:color w:val="0000FF"/>
                </w:rPr>
                <w:t>102</w:t>
              </w:r>
            </w:hyperlink>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Form 10-K Summary</w:t>
              </w:r>
            </w:hyperlink>
          </w:p>
        </w:tc>
        <w:tc>
          <w:tcPr>
            <w:tcW w:w="1600" w:type="dxa"/>
            <w:vAlign w:val="bottom"/>
            <w:gridSpan w:val="4"/>
          </w:tcPr>
          <w:p>
            <w:pPr>
              <w:spacing w:after="0"/>
              <w:rPr>
                <w:sz w:val="18"/>
                <w:szCs w:val="18"/>
                <w:color w:val="auto"/>
              </w:rPr>
            </w:pPr>
          </w:p>
        </w:tc>
        <w:tc>
          <w:tcPr>
            <w:tcW w:w="5560" w:type="dxa"/>
            <w:vAlign w:val="bottom"/>
            <w:gridSpan w:val="10"/>
          </w:tcPr>
          <w:p>
            <w:pPr>
              <w:spacing w:after="0"/>
              <w:rPr>
                <w:sz w:val="18"/>
                <w:szCs w:val="18"/>
                <w:color w:val="auto"/>
              </w:rPr>
            </w:pPr>
          </w:p>
        </w:tc>
        <w:tc>
          <w:tcPr>
            <w:tcW w:w="1260" w:type="dxa"/>
            <w:vAlign w:val="bottom"/>
            <w:gridSpan w:val="4"/>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2"/>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Signatures</w:t>
              </w:r>
            </w:hyperlink>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4"/>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113</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00" w:firstLine="445"/>
        <w:spacing w:after="0" w:line="218" w:lineRule="exact"/>
        <w:rPr>
          <w:sz w:val="20"/>
          <w:szCs w:val="20"/>
          <w:color w:val="auto"/>
        </w:rPr>
      </w:pPr>
      <w:r>
        <w:rPr>
          <w:rFonts w:ascii="Arial" w:cs="Arial" w:eastAsia="Arial" w:hAnsi="Arial"/>
          <w:sz w:val="17"/>
          <w:szCs w:val="17"/>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7"/>
          <w:szCs w:val="17"/>
          <w:color w:val="auto"/>
        </w:rPr>
        <w:t>,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Xywav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(calcium, magnesium, potassium, and sodium oxybates) oral solution, 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 oral solution, Epidyolex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trade name in Europe and other countries outside the U.S. for Epidiolex), Sunosi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(solriamfetol),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CombiPlex</w:t>
      </w:r>
      <w:r>
        <w:rPr>
          <w:rFonts w:ascii="Arial" w:cs="Arial" w:eastAsia="Arial" w:hAnsi="Arial"/>
          <w:sz w:val="22"/>
          <w:szCs w:val="22"/>
          <w:color w:val="auto"/>
          <w:vertAlign w:val="superscript"/>
        </w:rPr>
        <w:t>®</w:t>
      </w:r>
      <w:r>
        <w:rPr>
          <w:rFonts w:ascii="Arial" w:cs="Arial" w:eastAsia="Arial" w:hAnsi="Arial"/>
          <w:sz w:val="17"/>
          <w:szCs w:val="17"/>
          <w:color w:val="auto"/>
        </w:rPr>
        <w:t>,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(daunorubicin and cytarabine) liposome for injection,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liposomal 44 mg/100 mg powder for concentrate for solution for infusion, Zepzelca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(lurbinectedin), Rylaze™ (recombinant Erwinia asparaginase) and Sativex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(nabiximols) oral solution. This report also includes trademarks, service marks and trade names of other companies. Trademarks, service marks and trade names appearing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are the property of their respective owners.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45"/>
        <w:spacing w:after="0" w:line="217" w:lineRule="exact"/>
        <w:rPr>
          <w:sz w:val="20"/>
          <w:szCs w:val="20"/>
          <w:color w:val="auto"/>
        </w:rPr>
      </w:pPr>
      <w:r>
        <w:rPr>
          <w:rFonts w:ascii="Arial" w:cs="Arial" w:eastAsia="Arial" w:hAnsi="Arial"/>
          <w:sz w:val="16"/>
          <w:szCs w:val="16"/>
          <w:i w:val="1"/>
          <w:iCs w:val="1"/>
          <w:color w:val="auto"/>
        </w:rPr>
        <w:t>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“strive,” “seek,” “designed,” “goal”,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greater detail under Risk Factors in Part I, Item 1A of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14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40" w:firstLine="445"/>
        <w:spacing w:after="0" w:line="219" w:lineRule="exact"/>
        <w:rPr>
          <w:sz w:val="20"/>
          <w:szCs w:val="20"/>
          <w:color w:val="auto"/>
        </w:rPr>
      </w:pPr>
      <w:r>
        <w:rPr>
          <w:rFonts w:ascii="Arial" w:cs="Arial" w:eastAsia="Arial" w:hAnsi="Arial"/>
          <w:sz w:val="18"/>
          <w:szCs w:val="18"/>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below risk factor summary is qualified in its entirety by that more complete discussion of such risks and uncertainties. You should consider carefully the risks and uncertainties described under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part of your evaluation of an investment in our ordinary shares.</w:t>
      </w:r>
    </w:p>
    <w:p>
      <w:pPr>
        <w:spacing w:after="0" w:line="95" w:lineRule="exact"/>
        <w:rPr>
          <w:sz w:val="20"/>
          <w:szCs w:val="20"/>
          <w:color w:val="auto"/>
        </w:rPr>
      </w:pPr>
    </w:p>
    <w:p>
      <w:pPr>
        <w:ind w:left="740" w:right="12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oxybate franchise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740" w:right="28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rFonts w:ascii="Arial" w:cs="Arial" w:eastAsia="Arial" w:hAnsi="Arial"/>
          <w:sz w:val="18"/>
          <w:szCs w:val="18"/>
          <w:color w:val="auto"/>
        </w:rPr>
      </w:pPr>
    </w:p>
    <w:p>
      <w:pPr>
        <w:ind w:left="740" w:right="40" w:hanging="327"/>
        <w:spacing w:after="0" w:line="263"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distribution and sale of our oxybate products are subject to significant regulatory restrictions, including the requirements of a risk evaluation and mitigation strategy, or REMS, and safety reporting requirements, and these regulatory and safety requirements subject us to risks and uncertainties, any of which could negatively impact sales of Xywav® and Xyrem®.</w:t>
      </w:r>
    </w:p>
    <w:p>
      <w:pPr>
        <w:spacing w:after="0" w:line="75" w:lineRule="exact"/>
        <w:rPr>
          <w:rFonts w:ascii="Arial" w:cs="Arial" w:eastAsia="Arial" w:hAnsi="Arial"/>
          <w:sz w:val="18"/>
          <w:szCs w:val="18"/>
          <w:color w:val="auto"/>
        </w:rPr>
      </w:pPr>
    </w:p>
    <w:p>
      <w:pPr>
        <w:ind w:left="740" w:right="8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maintain or increase sales of Epidiolex® /Epidyolex®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740" w:right="420" w:hanging="327"/>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While we expect our oxybate products and Epidiolex/Epidyolex to remain the largest parts of our business, our success also depends on our ability to effectively commercialize other products in our neuroscience and oncology therapeutic areas.</w:t>
      </w:r>
    </w:p>
    <w:p>
      <w:pPr>
        <w:spacing w:after="0" w:line="62" w:lineRule="exact"/>
        <w:rPr>
          <w:rFonts w:ascii="Arial" w:cs="Arial" w:eastAsia="Arial" w:hAnsi="Arial"/>
          <w:sz w:val="18"/>
          <w:szCs w:val="18"/>
          <w:color w:val="auto"/>
        </w:rPr>
      </w:pPr>
    </w:p>
    <w:p>
      <w:pPr>
        <w:ind w:left="740" w:right="60" w:hanging="327"/>
        <w:spacing w:after="0" w:line="342"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face substantial competition from other companies, including companies with larger sales organizations and more experience working with large and diverse product portfolios, and face competition from generic drugs and potentially from non-FDA approved cannabidiol preparations.</w:t>
      </w:r>
    </w:p>
    <w:p>
      <w:pPr>
        <w:spacing w:after="0" w:line="15" w:lineRule="exact"/>
        <w:rPr>
          <w:rFonts w:ascii="Arial" w:cs="Arial" w:eastAsia="Arial" w:hAnsi="Arial"/>
          <w:sz w:val="16"/>
          <w:szCs w:val="16"/>
          <w:color w:val="auto"/>
        </w:rPr>
      </w:pPr>
    </w:p>
    <w:p>
      <w:pPr>
        <w:ind w:left="740" w:hanging="327"/>
        <w:spacing w:after="0" w:line="259"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8" w:lineRule="exact"/>
        <w:rPr>
          <w:rFonts w:ascii="Arial" w:cs="Arial" w:eastAsia="Arial" w:hAnsi="Arial"/>
          <w:sz w:val="18"/>
          <w:szCs w:val="18"/>
          <w:color w:val="auto"/>
        </w:rPr>
      </w:pPr>
    </w:p>
    <w:p>
      <w:pPr>
        <w:ind w:left="740" w:right="260" w:hanging="327"/>
        <w:spacing w:after="0" w:line="263"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740" w:right="20" w:hanging="327"/>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payors and the medical community.</w:t>
      </w:r>
    </w:p>
    <w:p>
      <w:pPr>
        <w:spacing w:after="0" w:line="62" w:lineRule="exact"/>
        <w:rPr>
          <w:rFonts w:ascii="Arial" w:cs="Arial" w:eastAsia="Arial" w:hAnsi="Arial"/>
          <w:sz w:val="18"/>
          <w:szCs w:val="18"/>
          <w:color w:val="auto"/>
        </w:rPr>
      </w:pPr>
    </w:p>
    <w:p>
      <w:pPr>
        <w:ind w:left="740" w:right="80" w:hanging="327"/>
        <w:spacing w:after="0" w:line="342"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5" w:lineRule="exact"/>
        <w:rPr>
          <w:rFonts w:ascii="Arial" w:cs="Arial" w:eastAsia="Arial" w:hAnsi="Arial"/>
          <w:sz w:val="16"/>
          <w:szCs w:val="16"/>
          <w:color w:val="auto"/>
        </w:rPr>
      </w:pPr>
    </w:p>
    <w:p>
      <w:pPr>
        <w:ind w:left="740" w:right="580" w:hanging="327"/>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rFonts w:ascii="Arial" w:cs="Arial" w:eastAsia="Arial" w:hAnsi="Arial"/>
          <w:sz w:val="18"/>
          <w:szCs w:val="18"/>
          <w:color w:val="auto"/>
        </w:rPr>
      </w:pPr>
    </w:p>
    <w:p>
      <w:pPr>
        <w:ind w:left="740" w:right="20" w:hanging="327"/>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rFonts w:ascii="Arial" w:cs="Arial" w:eastAsia="Arial" w:hAnsi="Arial"/>
          <w:sz w:val="18"/>
          <w:szCs w:val="18"/>
          <w:color w:val="auto"/>
        </w:rPr>
      </w:pPr>
    </w:p>
    <w:p>
      <w:pPr>
        <w:ind w:left="740" w:right="180" w:hanging="327"/>
        <w:spacing w:after="0" w:line="286"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rFonts w:ascii="Arial" w:cs="Arial" w:eastAsia="Arial" w:hAnsi="Arial"/>
          <w:sz w:val="17"/>
          <w:szCs w:val="17"/>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realize the anticipated benefits and synergies from the acquisition of GW Pharmaceuticals plc.</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w:t>
      </w:r>
    </w:p>
    <w:p>
      <w:pPr>
        <w:spacing w:after="0" w:line="117" w:lineRule="exact"/>
        <w:rPr>
          <w:rFonts w:ascii="Arial" w:cs="Arial" w:eastAsia="Arial" w:hAnsi="Arial"/>
          <w:sz w:val="18"/>
          <w:szCs w:val="18"/>
          <w:color w:val="auto"/>
        </w:rPr>
      </w:pPr>
    </w:p>
    <w:p>
      <w:pPr>
        <w:ind w:left="740" w:right="160" w:hanging="327"/>
        <w:spacing w:after="0" w:line="308"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rFonts w:ascii="Arial" w:cs="Arial" w:eastAsia="Arial" w:hAnsi="Arial"/>
          <w:sz w:val="17"/>
          <w:szCs w:val="17"/>
          <w:color w:val="auto"/>
        </w:rPr>
      </w:pPr>
    </w:p>
    <w:p>
      <w:pPr>
        <w:ind w:left="740" w:hanging="327"/>
        <w:spacing w:after="0" w:line="220" w:lineRule="exact"/>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related global economic slowdown, including with respect to our commercialization efforts, clinical trial activity, research and development activities, supply chain and corporate development activities and other business operations.</w:t>
      </w:r>
    </w:p>
    <w:p>
      <w:pPr>
        <w:spacing w:after="0" w:line="96"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117" w:lineRule="exact"/>
        <w:rPr>
          <w:rFonts w:ascii="Arial" w:cs="Arial" w:eastAsia="Arial" w:hAnsi="Arial"/>
          <w:sz w:val="18"/>
          <w:szCs w:val="18"/>
          <w:color w:val="auto"/>
        </w:rPr>
      </w:pPr>
    </w:p>
    <w:p>
      <w:pPr>
        <w:ind w:left="740" w:right="460" w:hanging="327"/>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result in significant additional expense and limit our ability to commercialize our products.</w:t>
      </w:r>
    </w:p>
    <w:p>
      <w:pPr>
        <w:spacing w:after="0" w:line="62" w:lineRule="exact"/>
        <w:rPr>
          <w:rFonts w:ascii="Arial" w:cs="Arial" w:eastAsia="Arial" w:hAnsi="Arial"/>
          <w:sz w:val="18"/>
          <w:szCs w:val="18"/>
          <w:color w:val="auto"/>
        </w:rPr>
      </w:pPr>
    </w:p>
    <w:p>
      <w:pPr>
        <w:ind w:left="740" w:right="320" w:hanging="327"/>
        <w:spacing w:after="0" w:line="263"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5" w:lineRule="exact"/>
        <w:rPr>
          <w:rFonts w:ascii="Arial" w:cs="Arial" w:eastAsia="Arial" w:hAnsi="Arial"/>
          <w:sz w:val="18"/>
          <w:szCs w:val="18"/>
          <w:color w:val="auto"/>
        </w:rPr>
      </w:pPr>
    </w:p>
    <w:p>
      <w:pPr>
        <w:ind w:left="740" w:right="280" w:hanging="327"/>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rFonts w:ascii="Arial" w:cs="Arial" w:eastAsia="Arial" w:hAnsi="Arial"/>
          <w:sz w:val="18"/>
          <w:szCs w:val="18"/>
          <w:color w:val="auto"/>
        </w:rPr>
      </w:pPr>
    </w:p>
    <w:p>
      <w:pPr>
        <w:ind w:left="740" w:right="580" w:hanging="327"/>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REGARDING COMPANY REFERENCE</w:t>
      </w:r>
    </w:p>
    <w:p>
      <w:pPr>
        <w:spacing w:after="0" w:line="121"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i w:val="1"/>
          <w:iCs w:val="1"/>
          <w:color w:val="auto"/>
        </w:rPr>
        <w:t>In this report, unless otherwise indicated or the context otherwise requires, all references to “Jazz Pharmaceuticals,” “Jazz,” “the registrant,” “we,” “us,” and “our” refer to Jazz Pharmaceuticals plc and its consolidated subsidiaries.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4"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color w:val="auto"/>
        </w:rPr>
        <w:t>At the 40th Annual J.P. Morgan Healthcare Conference 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17" w:lineRule="exact"/>
        <w:rPr>
          <w:sz w:val="20"/>
          <w:szCs w:val="20"/>
          <w:color w:val="auto"/>
        </w:rPr>
      </w:pPr>
    </w:p>
    <w:p>
      <w:pPr>
        <w:ind w:left="740" w:hanging="327"/>
        <w:spacing w:after="0" w:line="303"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Xywav® (calcium, magnesium, potassium, and sodium oxybates) oral solution</w:t>
      </w:r>
      <w:r>
        <w:rPr>
          <w:rFonts w:ascii="Arial" w:cs="Arial" w:eastAsia="Arial" w:hAnsi="Arial"/>
          <w:sz w:val="16"/>
          <w:szCs w:val="16"/>
          <w:color w:val="auto"/>
        </w:rPr>
        <w:t>, a product approved by the U.S. Food and Drug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or FDA, in July 2020 and launched in the U.S. in November 2020 for the treatment of cataplexy or excessive daytime sleepiness, or EDS, in patients with narcolepsy aged seven years of age and older, and also approved by FDA in August 2021 for the treatment of idiopathic hypersomnia, or IH, in adults and launched in the U.S. in November 2021. Xywav contains 92% less sodium than Xyrem®;</w:t>
      </w:r>
    </w:p>
    <w:p>
      <w:pPr>
        <w:spacing w:after="0" w:line="42" w:lineRule="exact"/>
        <w:rPr>
          <w:rFonts w:ascii="Arial" w:cs="Arial" w:eastAsia="Arial" w:hAnsi="Arial"/>
          <w:sz w:val="16"/>
          <w:szCs w:val="16"/>
          <w:color w:val="auto"/>
        </w:rPr>
      </w:pPr>
    </w:p>
    <w:p>
      <w:pPr>
        <w:ind w:left="740" w:right="100" w:hanging="327"/>
        <w:spacing w:after="0" w:line="314"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Xyrem (sodium oxybate) oral solution</w:t>
      </w:r>
      <w:r>
        <w:rPr>
          <w:rFonts w:ascii="Arial" w:cs="Arial" w:eastAsia="Arial" w:hAnsi="Arial"/>
          <w:sz w:val="16"/>
          <w:szCs w:val="16"/>
          <w:color w:val="auto"/>
        </w:rPr>
        <w:t>, a product approved by FDA and distributed in the U.S. for the treatment of both cataplexy and EDS in</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seven years of age and older with narcolepsy; Jazz also markets Xyrem in Canada for the treatment of cataplexy in patients with narcolepsy. Xyrem is also approved and distributed in Europe, Great Britain and other markets through a licensing agreement;</w:t>
      </w:r>
    </w:p>
    <w:p>
      <w:pPr>
        <w:spacing w:after="0" w:line="33" w:lineRule="exact"/>
        <w:rPr>
          <w:rFonts w:ascii="Arial" w:cs="Arial" w:eastAsia="Arial" w:hAnsi="Arial"/>
          <w:sz w:val="16"/>
          <w:szCs w:val="16"/>
          <w:color w:val="auto"/>
        </w:rPr>
      </w:pPr>
    </w:p>
    <w:p>
      <w:pPr>
        <w:ind w:left="740" w:right="40" w:hanging="327"/>
        <w:spacing w:after="0" w:line="298"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Epidiolex® (cannabidiol) oral solution</w:t>
      </w:r>
      <w:r>
        <w:rPr>
          <w:rFonts w:ascii="Arial" w:cs="Arial" w:eastAsia="Arial" w:hAnsi="Arial"/>
          <w:sz w:val="16"/>
          <w:szCs w:val="16"/>
          <w:color w:val="auto"/>
        </w:rPr>
        <w:t>, a product approved by FDA and launched in the U.S. in 2018 by GW Pharmaceuticals plc, or GW,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indicated for the treatment of seizures associated with Lennox-Gastaut syndrome, Dravet syndrome, or tuberous sclerosis complex, or TSC, in patients one year of age or older; in Europe (where it is marketed as Epidyolex®) and other markets, it is approved for adjunctive treatment of seizures associated with Lennox-Gastaut syndrome or Dravet syndrome, in conjunction with clobazam (EU and Great Britain only), in patients 2 years of age and older and for adjunctive treatment of seizures associated with TSC in patients 2 years of age and older;</w:t>
      </w:r>
    </w:p>
    <w:p>
      <w:pPr>
        <w:spacing w:after="0" w:line="45" w:lineRule="exact"/>
        <w:rPr>
          <w:rFonts w:ascii="Arial" w:cs="Arial" w:eastAsia="Arial" w:hAnsi="Arial"/>
          <w:sz w:val="16"/>
          <w:szCs w:val="16"/>
          <w:color w:val="auto"/>
        </w:rPr>
      </w:pPr>
    </w:p>
    <w:p>
      <w:pPr>
        <w:ind w:left="740" w:right="320" w:hanging="327"/>
        <w:spacing w:after="0" w:line="282"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Sunosi® (solriamfetol)</w:t>
      </w:r>
      <w:r>
        <w:rPr>
          <w:rFonts w:ascii="Arial" w:cs="Arial" w:eastAsia="Arial" w:hAnsi="Arial"/>
          <w:sz w:val="18"/>
          <w:szCs w:val="18"/>
          <w:color w:val="auto"/>
        </w:rPr>
        <w:t>, a product approved by FDA and marketed in the U.S., Canada, Europe and Great Britain to improve wakefulness in</w:t>
      </w:r>
      <w:r>
        <w:rPr>
          <w:rFonts w:ascii="Arial" w:cs="Arial" w:eastAsia="Arial" w:hAnsi="Arial"/>
          <w:sz w:val="18"/>
          <w:szCs w:val="18"/>
          <w:b w:val="1"/>
          <w:bCs w:val="1"/>
          <w:color w:val="auto"/>
        </w:rPr>
        <w:t xml:space="preserve"> </w:t>
      </w:r>
      <w:r>
        <w:rPr>
          <w:rFonts w:ascii="Arial" w:cs="Arial" w:eastAsia="Arial" w:hAnsi="Arial"/>
          <w:sz w:val="18"/>
          <w:szCs w:val="18"/>
          <w:color w:val="auto"/>
        </w:rPr>
        <w:t>adult patients with EDS associated with narcolepsy or obstructive sleep apnea, or OSA; and</w:t>
      </w:r>
    </w:p>
    <w:p>
      <w:pPr>
        <w:spacing w:after="0" w:line="53" w:lineRule="exact"/>
        <w:rPr>
          <w:rFonts w:ascii="Arial" w:cs="Arial" w:eastAsia="Arial" w:hAnsi="Arial"/>
          <w:sz w:val="18"/>
          <w:szCs w:val="18"/>
          <w:color w:val="auto"/>
        </w:rPr>
      </w:pPr>
    </w:p>
    <w:p>
      <w:pPr>
        <w:ind w:left="740" w:right="200" w:hanging="327"/>
        <w:spacing w:after="0" w:line="261"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Sativex® (nabiximols) oral solution</w:t>
      </w:r>
      <w:r>
        <w:rPr>
          <w:rFonts w:ascii="Arial" w:cs="Arial" w:eastAsia="Arial" w:hAnsi="Arial"/>
          <w:sz w:val="18"/>
          <w:szCs w:val="18"/>
          <w:color w:val="auto"/>
        </w:rPr>
        <w:t>, a product approved and marketed in the U.K., Canada and other markets as treatment for symptom</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adult patients with moderate to severe spasticity due to multiple sclerosis, or MS, who have not responded adequately to other anti-spasticity medication and who demonstrate clinically significant improvement in spasticity-related symptoms during an initial trial of therapy.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17" w:lineRule="exact"/>
        <w:rPr>
          <w:sz w:val="20"/>
          <w:szCs w:val="20"/>
          <w:color w:val="auto"/>
        </w:rPr>
      </w:pPr>
    </w:p>
    <w:p>
      <w:pPr>
        <w:ind w:left="740" w:right="60" w:hanging="327"/>
        <w:spacing w:after="0" w:line="261"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and launched in the U.S. in July 2020 for the treatment of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metastatic small cell lung cancer, or SCLC, with disease progression on or after platinum-based chemotherapy; in Canada, Zepzelca was approved in September 2021 for the treatment of adults with Stage III or metastatic SCLC, who have progressed on or after platinum-containing therapy;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right="120" w:hanging="327"/>
        <w:spacing w:after="0" w:line="289" w:lineRule="auto"/>
        <w:tabs>
          <w:tab w:leader="none" w:pos="73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Rylaze™ </w:t>
      </w:r>
      <w:r>
        <w:rPr>
          <w:rFonts w:ascii="Arial" w:cs="Arial" w:eastAsia="Arial" w:hAnsi="Arial"/>
          <w:sz w:val="17"/>
          <w:szCs w:val="17"/>
          <w:color w:val="auto"/>
        </w:rPr>
        <w:t>(recombinant Erwinia asparaginase), a product approved by FDA in June 2021 and launched in the U.S. in July 2021 for use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component of a multi-agent chemotherapeutic regimen for the treatment of acute lymphoblastic leukemia, or ALL, or lymphoblastic lymphoma, or LBL, in adults and pediatric patients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w:t>
      </w:r>
    </w:p>
    <w:p>
      <w:pPr>
        <w:spacing w:after="0" w:line="49" w:lineRule="exact"/>
        <w:rPr>
          <w:rFonts w:ascii="Arial" w:cs="Arial" w:eastAsia="Arial" w:hAnsi="Arial"/>
          <w:sz w:val="17"/>
          <w:szCs w:val="17"/>
          <w:color w:val="auto"/>
        </w:rPr>
      </w:pPr>
    </w:p>
    <w:p>
      <w:pPr>
        <w:jc w:val="both"/>
        <w:ind w:left="740" w:right="100" w:hanging="327"/>
        <w:spacing w:after="0" w:line="261"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Vyxeos® (daunorubicin and cytarabine) liposome for injection</w:t>
      </w:r>
      <w:r>
        <w:rPr>
          <w:rFonts w:ascii="Arial" w:cs="Arial" w:eastAsia="Arial" w:hAnsi="Arial"/>
          <w:sz w:val="18"/>
          <w:szCs w:val="18"/>
          <w:color w:val="auto"/>
        </w:rPr>
        <w:t>, a product approved in the U.S., Canada, Europe and Great Britain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as Vyxeos® liposomal in Europe and Great Britain) for the treatment of adults with newly-diagnosed therapy-related acute myeloid leukemia, or t-AML, or AML with myelodysplasia-related changes (AML-MRC). An expanded indication was granted in the U.S. for the treatment of newly diagnosed t-AML or AML-MRC in pediatric patients aged 1 year and older; and</w:t>
      </w:r>
    </w:p>
    <w:p>
      <w:pPr>
        <w:spacing w:after="0" w:line="71" w:lineRule="exact"/>
        <w:rPr>
          <w:rFonts w:ascii="Arial" w:cs="Arial" w:eastAsia="Arial" w:hAnsi="Arial"/>
          <w:sz w:val="18"/>
          <w:szCs w:val="18"/>
          <w:color w:val="auto"/>
        </w:rPr>
      </w:pPr>
    </w:p>
    <w:p>
      <w:pPr>
        <w:ind w:left="740" w:right="80" w:hanging="327"/>
        <w:spacing w:after="0" w:line="258"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is a product approved in the U.S. and Brazil for the treatment of hepatic veno-occlusive disease, or VOD,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renal or pulmonary dysfunction following hematopoietic stem cell transplantation, or HSCT, and in Japan for the treatment of hepatic sinusoidal obstruction syndrome (hepatic-veno occlusive disease). It is currently approved in the EU, Great Britain, Canada, Israel, South Korea, Australia and Switzerland for the treatment of severe hepatic VOD, also known as sinusoidal obstructive syndrome, or SOS, in HSCT therapy. It is indicated in adults and pediatric patients over 1 month of age.</w:t>
      </w:r>
    </w:p>
    <w:p>
      <w:pPr>
        <w:spacing w:after="0" w:line="79" w:lineRule="exact"/>
        <w:rPr>
          <w:sz w:val="20"/>
          <w:szCs w:val="20"/>
          <w:color w:val="auto"/>
        </w:rPr>
      </w:pPr>
    </w:p>
    <w:p>
      <w:pPr>
        <w:ind w:right="20" w:firstLine="445"/>
        <w:spacing w:after="0" w:line="342" w:lineRule="auto"/>
        <w:rPr>
          <w:sz w:val="20"/>
          <w:szCs w:val="20"/>
          <w:color w:val="auto"/>
        </w:rPr>
      </w:pPr>
      <w:r>
        <w:rPr>
          <w:rFonts w:ascii="Arial" w:cs="Arial" w:eastAsia="Arial" w:hAnsi="Arial"/>
          <w:sz w:val="16"/>
          <w:szCs w:val="16"/>
          <w:color w:val="auto"/>
        </w:rPr>
        <w:t>In 2021, consistent with our strategy, we continued to focus on research and development activities within our neuroscience and oncology therapeutic areas. For a summary of our ongoing research and development activities, see “Business—Research and Development” in this Part I, Item 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GW Pharmaceuticals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May 2021, we acquired GW Pharmaceuticals plc, or GW. The total consideration paid by us for the entire issued share capital of GW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$7.2 billion. The acquisition, which we refer to as the GW Acquisition, closed on May 5, 2021. We acquired GW with the objective of broadening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neuroscience portfolio, further diversifying our revenue and driving sustainable, long-term value creation opportunities. GW was a global leader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discovering, developing, manufacturing and commercializing novel, regulatory approved therapeutics from its proprietary cannabinoid research platform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address a broad range of diseases. For further information regarding the GW Acquisition, please see Note 3 Business Combinations, Asset Acquisitions and</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Collaborations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Commercialized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Neuroscience</w:t>
      </w:r>
    </w:p>
    <w:p>
      <w:pPr>
        <w:spacing w:after="0" w:line="117" w:lineRule="exact"/>
        <w:rPr>
          <w:sz w:val="20"/>
          <w:szCs w:val="20"/>
          <w:color w:val="auto"/>
        </w:rPr>
      </w:pPr>
    </w:p>
    <w:p>
      <w:pPr>
        <w:ind w:right="100" w:firstLine="445"/>
        <w:spacing w:after="0" w:line="308" w:lineRule="auto"/>
        <w:rPr>
          <w:sz w:val="20"/>
          <w:szCs w:val="20"/>
          <w:color w:val="auto"/>
        </w:rPr>
      </w:pPr>
      <w:r>
        <w:rPr>
          <w:rFonts w:ascii="Arial" w:cs="Arial" w:eastAsia="Arial" w:hAnsi="Arial"/>
          <w:sz w:val="17"/>
          <w:szCs w:val="17"/>
          <w:b w:val="1"/>
          <w:bCs w:val="1"/>
          <w:i w:val="1"/>
          <w:iCs w:val="1"/>
          <w:color w:val="auto"/>
        </w:rPr>
        <w:t>Xywav</w:t>
      </w:r>
      <w:r>
        <w:rPr>
          <w:rFonts w:ascii="Arial" w:cs="Arial" w:eastAsia="Arial" w:hAnsi="Arial"/>
          <w:sz w:val="17"/>
          <w:szCs w:val="17"/>
          <w:color w:val="auto"/>
        </w:rPr>
        <w:t>. Xywav is a product approved by FDA for the treatment of cataplexy or EDS in both adult and pediatric patients aged seven years of age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older with narcolepsy and for the treatment of adults with IH. Xywav is an oxybate product that contains 92% less sodium than Xyrem.</w:t>
      </w:r>
    </w:p>
    <w:p>
      <w:pPr>
        <w:spacing w:after="0" w:line="38"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In July 2020, FDA approved Xywav for the treatment of both cataplexy and EDS in patients with narcolepsy. We commenced the U.S. launch in November 2020. We met our goal to obtain broad payor coverage of Xywav within six months of launch. To date, we have entered into agreements with various entities and have achieved benefit coverage for Xywav for approximately 90% of commercial lives.</w:t>
      </w:r>
    </w:p>
    <w:p>
      <w:pPr>
        <w:spacing w:after="0" w:line="76" w:lineRule="exact"/>
        <w:rPr>
          <w:sz w:val="20"/>
          <w:szCs w:val="20"/>
          <w:color w:val="auto"/>
        </w:rPr>
      </w:pPr>
    </w:p>
    <w:p>
      <w:pPr>
        <w:ind w:firstLine="445"/>
        <w:spacing w:after="0" w:line="274" w:lineRule="auto"/>
        <w:rPr>
          <w:sz w:val="20"/>
          <w:szCs w:val="20"/>
          <w:color w:val="auto"/>
        </w:rPr>
      </w:pPr>
      <w:r>
        <w:rPr>
          <w:rFonts w:ascii="Arial" w:cs="Arial" w:eastAsia="Arial" w:hAnsi="Arial"/>
          <w:sz w:val="17"/>
          <w:szCs w:val="17"/>
          <w:color w:val="auto"/>
        </w:rPr>
        <w:t>Narcolepsy is a chronic, debilitating neurological disorder characterized by EDS and the inability to regulate sleep-wake cycles normally. It affects an estimated one in 2,000 people in the U.S., with symptoms typically appearing in childhood. There are five primary symptoms of narcolepsy,</w:t>
      </w:r>
    </w:p>
    <w:p>
      <w:pPr>
        <w:ind w:right="100"/>
        <w:spacing w:after="0" w:line="270" w:lineRule="auto"/>
        <w:rPr>
          <w:sz w:val="20"/>
          <w:szCs w:val="20"/>
          <w:color w:val="auto"/>
        </w:rPr>
      </w:pPr>
      <w:r>
        <w:rPr>
          <w:rFonts w:ascii="Arial" w:cs="Arial" w:eastAsia="Arial" w:hAnsi="Arial"/>
          <w:sz w:val="17"/>
          <w:szCs w:val="17"/>
          <w:color w:val="auto"/>
        </w:rPr>
        <w:t>including EDS, cataplexy, disrupted nighttime sleep, sleep-related hallucinations, and sleep paralysis. While patients with narcolepsy may not experience all five symptoms, EDS, an essential symptom of narcolepsy, is present in all narcolepsy patients and is characterized by chronic, pervasive sleepiness as well as sudden irresistible and overwhelming urges to sleep (inadvertent naps and sleep attacks). Narcolepsy may affect many areas of life, including limiting a patient’s education and employment opportunities, and may lead to difficulties at work, school, or in daily life activities like driving, operating machinery or caring for children. Patients with narcolepsy may also suffer from significant medical comorbidities, including cardiac disorders, depression, suicide risk, anxiety, diseases of the digestive system and respiratory diseases.</w:t>
      </w:r>
    </w:p>
    <w:p>
      <w:pPr>
        <w:spacing w:after="0" w:line="70"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Cataplexy, the sudden loss of muscle tone with retained consciousness,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63" w:lineRule="exact"/>
        <w:rPr>
          <w:sz w:val="20"/>
          <w:szCs w:val="20"/>
          <w:color w:val="auto"/>
        </w:rPr>
      </w:pPr>
    </w:p>
    <w:p>
      <w:pPr>
        <w:ind w:right="1000" w:firstLine="445"/>
        <w:spacing w:after="0" w:line="277" w:lineRule="auto"/>
        <w:rPr>
          <w:sz w:val="20"/>
          <w:szCs w:val="20"/>
          <w:color w:val="auto"/>
        </w:rPr>
      </w:pPr>
      <w:r>
        <w:rPr>
          <w:rFonts w:ascii="Arial" w:cs="Arial" w:eastAsia="Arial" w:hAnsi="Arial"/>
          <w:sz w:val="18"/>
          <w:szCs w:val="18"/>
          <w:color w:val="auto"/>
        </w:rPr>
        <w:t>Narcolepsy patients, by virtue of their diagnosis, are at increased risk of cardiovascular events and disease, and the impact of sodium on cardiovascular health is well established. There is also extensive scientific evidence that reducing sodium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consumption, which is a modifiable risk factor, is associated with clinically meaningful reductions in blood pressure and cardiovascular disease risk. Therefore, we believe that reducing sodium intake compared to the standard of care by 92% each and every day is a significant advancement for these patients. The 92% reduction of sodium translates into a reduction of approximately 1,000 to 1,500 milligrams per day for a patient prescribed Xyrem, depending on the dose. When patients transition from Xyrem to Xywav, Xywav treatment is initiated at the same dose and regimen (gram for gram) and titrated as needed based on efficacy and tolerability. The label for Xywav, unlike Xyrem, does not include a warning to prescribers to monitor patients sensitive to sodium intake, including patients with heart failure, hypertension or renal impairment.</w:t>
      </w:r>
    </w:p>
    <w:p>
      <w:pPr>
        <w:spacing w:after="0" w:line="70" w:lineRule="exact"/>
        <w:rPr>
          <w:sz w:val="20"/>
          <w:szCs w:val="20"/>
          <w:color w:val="auto"/>
        </w:rPr>
      </w:pPr>
    </w:p>
    <w:p>
      <w:pPr>
        <w:ind w:right="320" w:firstLine="445"/>
        <w:spacing w:after="0" w:line="301" w:lineRule="auto"/>
        <w:rPr>
          <w:sz w:val="20"/>
          <w:szCs w:val="20"/>
          <w:color w:val="auto"/>
        </w:rPr>
      </w:pPr>
      <w:r>
        <w:rPr>
          <w:rFonts w:ascii="Arial" w:cs="Arial" w:eastAsia="Arial" w:hAnsi="Arial"/>
          <w:sz w:val="16"/>
          <w:szCs w:val="16"/>
          <w:color w:val="auto"/>
        </w:rPr>
        <w:t>Our internal market research finds that health care providers and patients who understand the increased risk of cardiovascular disease faced by narcolepsy patients and who have been educated on the meaningful reduction in sodium from Xyrem to Xywav cite that meaningful reduction as a key reason for prescribing or starting on Xywav. In June 2021, FDA recognized seven years of Orphan Drug Exclusivity, or ODE, for Xywav in narcolepsy through July 21, 2027, stating that Xywav is clinically superior to Xyrem by means of greater safety due to reduced chronic sodium burden.</w:t>
      </w:r>
    </w:p>
    <w:p>
      <w:pPr>
        <w:spacing w:after="0" w:line="49"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color w:val="auto"/>
        </w:rPr>
        <w:t>In approving Xywav, FDA approved a REMS to cover both Xywav and Xyrem. The Xywav and Xyrem REMS has the same requirements for both products and both products are also distributed by the central pharmacy through exclusive agreements described more fully below.</w:t>
      </w:r>
    </w:p>
    <w:p>
      <w:pPr>
        <w:spacing w:after="0" w:line="3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On August 12, 2021, FDA approved Xywav for the treatment of IH in adults. Xywav is the first and only FDA-approved therapy to treat IH. We initiated the U.S. commercial launch of Xywav for the treatment of IH in adults on November 1, 2021.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Although there are overlapping clinical features with other conditions, including narcolepsy, IH has its own specific diagnostic criteria. IH can significantly affect social, educational and occupational functioning. An estimated 37,000 people in the U.S. have been diagnosed with IH and are actively seeking healthcare. In January 2022, FDA recognized seven years of ODE for Xywav in IH through August 12, 2028.</w:t>
      </w:r>
    </w:p>
    <w:p>
      <w:pPr>
        <w:spacing w:after="0" w:line="87"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In 2021, net product sales of Xywav were $535.3 million, which represented 17% of our total net product sales. There were approximately 6,900 active patients on Xywav exiting the fourth quarter of 2021, including approximately 6,650 active patients with narcolepsy and approximately 250 active patients with IH. With respect to Xywav and Xyrem in the aggregate, the average number of active oxybate patients on therapy was approximately 16,200 in the fourth quarter of 2021.</w:t>
      </w:r>
    </w:p>
    <w:p>
      <w:pPr>
        <w:spacing w:after="0" w:line="79" w:lineRule="exact"/>
        <w:rPr>
          <w:sz w:val="20"/>
          <w:szCs w:val="20"/>
          <w:color w:val="auto"/>
        </w:rPr>
      </w:pPr>
    </w:p>
    <w:p>
      <w:pPr>
        <w:ind w:right="360" w:firstLine="445"/>
        <w:spacing w:after="0" w:line="263" w:lineRule="auto"/>
        <w:rPr>
          <w:sz w:val="20"/>
          <w:szCs w:val="20"/>
          <w:color w:val="auto"/>
        </w:rPr>
      </w:pPr>
      <w:r>
        <w:rPr>
          <w:rFonts w:ascii="Arial" w:cs="Arial" w:eastAsia="Arial" w:hAnsi="Arial"/>
          <w:sz w:val="18"/>
          <w:szCs w:val="18"/>
          <w:b w:val="1"/>
          <w:bCs w:val="1"/>
          <w:i w:val="1"/>
          <w:iCs w:val="1"/>
          <w:color w:val="auto"/>
        </w:rPr>
        <w:t xml:space="preserve">Xyrem. </w:t>
      </w:r>
      <w:r>
        <w:rPr>
          <w:rFonts w:ascii="Arial" w:cs="Arial" w:eastAsia="Arial" w:hAnsi="Arial"/>
          <w:sz w:val="18"/>
          <w:szCs w:val="18"/>
          <w:color w:val="auto"/>
        </w:rPr>
        <w:t>Xyrem is a product approved by FDA and distributed in the U.S. for the treatment of both cataplexy and EDS in both adult and pediatric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narcolepsy. Sodium oxybate, the active pharmaceutical ingredient, or API, in Xyrem, is a formulation of the sodium salt of gamma-hydroxybutyrate, an endogenous neurotransmitter and metabolite of gamma-aminobutyric acid.</w:t>
      </w:r>
    </w:p>
    <w:p>
      <w:pPr>
        <w:spacing w:after="0" w:line="76"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Xyrem was approved in the U.S. for the treatment of cataplexy in adult patients with narcolepsy in 2002 and was approved for EDS in adult patients with narcolepsy in 2005. In October 2018, Xyrem was also approved in the U.S. for the treatment of cataplexy or EDS in pediatric narcolepsy patients ages seven and older. In its updated 2021 treatment guidelines, the American Academy of Sleep Medicine gives sodium oxybate a strong recommendation for the treatment of narcolepsy in adults. To support the development and commercialization of Xyrem internationally, we have license and distribution agreement with UCB Pharma Limited, or UCB, across other countries. This agreement provides UCB and its affiliates with the sole right to commercialize Xyrem in exclusive territories for all indications.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2021, net product sales of Xyrem were $1.3 billion, which represented 41% of our total net product sales.</w:t>
      </w:r>
    </w:p>
    <w:p>
      <w:pPr>
        <w:spacing w:after="0" w:line="11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i w:val="1"/>
          <w:iCs w:val="1"/>
          <w:color w:val="auto"/>
        </w:rPr>
        <w:t>Xywav and Xyrem REMS</w:t>
      </w:r>
      <w:r>
        <w:rPr>
          <w:rFonts w:ascii="Arial" w:cs="Arial" w:eastAsia="Arial" w:hAnsi="Arial"/>
          <w:sz w:val="16"/>
          <w:szCs w:val="16"/>
          <w:color w:val="auto"/>
        </w:rPr>
        <w:t>. Our marketing, sales and distribution of Xywav and Xyrem in the U.S. are subject to a REMS, which is required by FDA</w:t>
      </w:r>
      <w:r>
        <w:rPr>
          <w:rFonts w:ascii="Arial" w:cs="Arial" w:eastAsia="Arial" w:hAnsi="Arial"/>
          <w:sz w:val="16"/>
          <w:szCs w:val="16"/>
          <w:i w:val="1"/>
          <w:iCs w:val="1"/>
          <w:color w:val="auto"/>
        </w:rPr>
        <w:t xml:space="preserve"> </w:t>
      </w:r>
      <w:r>
        <w:rPr>
          <w:rFonts w:ascii="Arial" w:cs="Arial" w:eastAsia="Arial" w:hAnsi="Arial"/>
          <w:sz w:val="16"/>
          <w:szCs w:val="16"/>
          <w:color w:val="auto"/>
        </w:rPr>
        <w:t>to mitigate the risks of serious adverse outcomes resulting from inappropriate prescribing, abuse, misuse and diversion of Xywav and Xyrem. Under this REMS, all of the Xywav and Xyrem sold in the U.S. must be dispensed and shipped directly to patients or caregivers through a central pharmacy. Xywav and Xyrem may not be stocked in retail pharmacies. Physicians and patients must complete an enrollment process prior to fulfillment of Xywav and Xyrem prescriptions, and each physician and patient must receive materials concerning the serious risks associated with Xywav and Xyrem before the physician can prescribe, or a patient can receive, the product. The central certified pharmacy must monitor and report instances of patient or prescriber behavior giving rise to a reasonable suspicion of abuse, misuse or diversion of Xywav and Xyrem, and maintains enrollment and prescription monitoring information in a central database. The central pharmacy ships the product directly to the patient (or caregiver) by a courier service.</w:t>
      </w:r>
    </w:p>
    <w:p>
      <w:pPr>
        <w:spacing w:after="0" w:line="57" w:lineRule="exact"/>
        <w:rPr>
          <w:sz w:val="20"/>
          <w:szCs w:val="20"/>
          <w:color w:val="auto"/>
        </w:rPr>
      </w:pPr>
    </w:p>
    <w:p>
      <w:pPr>
        <w:ind w:right="120" w:firstLine="445"/>
        <w:spacing w:after="0" w:line="301" w:lineRule="auto"/>
        <w:rPr>
          <w:sz w:val="20"/>
          <w:szCs w:val="20"/>
          <w:color w:val="auto"/>
        </w:rPr>
      </w:pPr>
      <w:r>
        <w:rPr>
          <w:rFonts w:ascii="Arial" w:cs="Arial" w:eastAsia="Arial" w:hAnsi="Arial"/>
          <w:sz w:val="16"/>
          <w:szCs w:val="16"/>
          <w:color w:val="auto"/>
        </w:rPr>
        <w:t>We have had exclusive agreements with Express Scripts Specialty Distribution Services, Inc., or ESSDS, the central pharmacy for Xywav and Xyrem, to distribute Xywav and Xyrem in the U.S. and provide patient support services related to Xyrem since 2002. In July 2020, upon expiration of the existing exclusive agreements with ESSDS, we entered into new agreements with ESSDS with a two-year term. Our current agreements with ESSDS, which expire on July 1, 2022, may be terminated by either party at any time without cause on 180 days’ prior written notice to the other party.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b w:val="1"/>
          <w:bCs w:val="1"/>
          <w:i w:val="1"/>
          <w:iCs w:val="1"/>
          <w:color w:val="auto"/>
        </w:rPr>
        <w:t xml:space="preserve">Epidiolex. </w:t>
      </w:r>
      <w:r>
        <w:rPr>
          <w:rFonts w:ascii="Arial" w:cs="Arial" w:eastAsia="Arial" w:hAnsi="Arial"/>
          <w:sz w:val="17"/>
          <w:szCs w:val="17"/>
          <w:color w:val="auto"/>
        </w:rPr>
        <w:t>We acquired Epidiolex (Epidyolex outside the U.S.) in May 2021 as part of the GW Acquisition, which expands our growing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neuroscience business with a global, high-growth childhood-onset epilepsy franchise. Epidiolex is a pharmaceutical formulation comprising highly purified plant-derived cannabidiol, or CBD, for which we retain global commercial rights. Epidiolex was approved in the U.S. in June 2018 for the treatment of seizures associated with two rare and severe forms of epilepsy, Lennox-Gastaut syndrome, or LGS, and Dravet syndrome, or DS, in patients two years of age and older, and subsequently approved in July 2020 for the treatment of seizures associated with tuberous sclerosis complex, or TSC, in patients one year of age and older. FDA also approved the expansion of the prior approved indications, LGS and DS, to patients one year of age and older. The rolling European launch of Epidyolex is also underway following European Commission, or EC, approval in September 2019 for use as adjunctive therapy of seizures associated with LGS or DS, in conjunction with clobazam, for patients two years of age and older. The clobazam restriction is limited to EU and Great Britain. Outside the U.S. and Europe, Epidiolex/Epidyolex is approved in Israel and Australia. See “Research and Development” below for a discussion of clinical development activities for Epidiolex.</w:t>
      </w:r>
    </w:p>
    <w:p>
      <w:pPr>
        <w:spacing w:after="0" w:line="77"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LGS and DS are severe childhood-onset, drug-resistant epilepsy syndromes. LGS and DS affect approximately 35,000-50,000 and approximately 10,000 individuals in the U.S., respectively. TSC is a rare genetic disorder that causes non-malignant tumors to form in many different organs and is a leading cause of genetic epilepsy. TSC affects approximately 50,000 individuals in the U.S. Epidiolex has received ODE to treat seizures associated with LGS and DS through 2025 and TSC through 2027.</w:t>
      </w:r>
    </w:p>
    <w:p>
      <w:pPr>
        <w:spacing w:after="0" w:line="79" w:lineRule="exact"/>
        <w:rPr>
          <w:sz w:val="20"/>
          <w:szCs w:val="20"/>
          <w:color w:val="auto"/>
        </w:rPr>
      </w:pPr>
    </w:p>
    <w:p>
      <w:pPr>
        <w:ind w:right="120" w:firstLine="445"/>
        <w:spacing w:after="0" w:line="279" w:lineRule="auto"/>
        <w:rPr>
          <w:sz w:val="20"/>
          <w:szCs w:val="20"/>
          <w:color w:val="auto"/>
        </w:rPr>
      </w:pPr>
      <w:r>
        <w:rPr>
          <w:rFonts w:ascii="Arial" w:cs="Arial" w:eastAsia="Arial" w:hAnsi="Arial"/>
          <w:sz w:val="17"/>
          <w:szCs w:val="17"/>
          <w:color w:val="auto"/>
        </w:rPr>
        <w:t>Net product sales of Epidiolex/Epidyolex in 2021, beginning from the closing of the GW Acquisition on May 5, 2021 were $463.6 million, which represented 15% of our total net product sales. On a pro forma basis, assuming the GW Acquisition had closed on January 1, 2021, Epidiolex/Epidyolex net product sales in 2021 were $658.3 million. For a detailed discussion of the GW Acquisition, see “Management’s Discussion and Analysis of Financial Condition and Results of Operations” in Part II, Item 7 of this Annual Report on Form 10-K.</w:t>
      </w:r>
    </w:p>
    <w:p>
      <w:pPr>
        <w:spacing w:after="0" w:line="63"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b w:val="1"/>
          <w:bCs w:val="1"/>
          <w:i w:val="1"/>
          <w:iCs w:val="1"/>
          <w:color w:val="auto"/>
        </w:rPr>
        <w:t xml:space="preserve">Sunosi. </w:t>
      </w:r>
      <w:r>
        <w:rPr>
          <w:rFonts w:ascii="Arial" w:cs="Arial" w:eastAsia="Arial" w:hAnsi="Arial"/>
          <w:sz w:val="17"/>
          <w:szCs w:val="17"/>
          <w:color w:val="auto"/>
        </w:rPr>
        <w:t>Sunosi received FDA approval in March 2019 and was launched in the U.S. in July 2019 to improve wakefulness in adult patients with 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narcolepsy or OSA. Sunosi was also approved in January 2020 by the EC to improve wakefulness and reduce EDS in adults with narcolepsy (with or without cataplexy) or OSA. We launched Sunosi in Germany for the treatment of narcolepsy in May 2020 followed by OSA in July 2021 and for the treatment of both indications in Denmark in October 2020, in France in March 2021, and in Italy in April 2021. We expect to continue the rolling launch in Europe as we secure pricing and reimbursement approvals in more European countries. Sunosi was approved in Canada in May 2021 for the treatment of EDS associated with narcolepsy or OSA in adult patients.</w:t>
      </w:r>
    </w:p>
    <w:p>
      <w:pPr>
        <w:spacing w:after="0" w:line="70"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OSA, commonly referred to as sleep apnea, is a highly prevalent disease, and EDS, a major symptom of OSA, is characterized by the inability to stay awake and alert during the day resulting in unplanned lapses into sleep or drowsiness. Although positive airway pressure therapy, with its most common form being continuous positive airway pressure, or CPAP, has been shown to be an effective therapy for sleep apnea that frequently results in improvement in EDS in many patients, not all patients tolerate CPAP therapy and among those who tolerate CPAP, usage is highly variable. EDS may persist in people with OSA despite using CPAP.</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2021, net product sales of Sunosi were $57.9 million, which represented 2% of our total net product sales.</w:t>
      </w:r>
    </w:p>
    <w:p>
      <w:pPr>
        <w:spacing w:after="0" w:line="117"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b w:val="1"/>
          <w:bCs w:val="1"/>
          <w:i w:val="1"/>
          <w:iCs w:val="1"/>
          <w:color w:val="auto"/>
        </w:rPr>
        <w:t xml:space="preserve">Sativex. </w:t>
      </w:r>
      <w:r>
        <w:rPr>
          <w:rFonts w:ascii="Arial" w:cs="Arial" w:eastAsia="Arial" w:hAnsi="Arial"/>
          <w:sz w:val="16"/>
          <w:szCs w:val="16"/>
          <w:color w:val="auto"/>
        </w:rPr>
        <w:t>We acquired Sativex (nabiximols) in May 2021 as part of the GW Acquisition. Sativex is approved in the U.K. and certain other countries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outside the U.S. as treatment for symptom improvement in adult patients with moderate to severe spasticity due to MS, who have not responded adequately to other anti-spasticity medication and who demonstrate clinically significant improvement in spasticity-related symptoms during an initial trial of therapy.</w:t>
      </w:r>
    </w:p>
    <w:p>
      <w:pPr>
        <w:spacing w:after="0" w:line="4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Nabiximols is a complex botanical mixture formulated from extracts of the cannabis sativa plant that contains the principal cannabinoids delta-9-tetrahydrocannabinol, or THC, and CBD as well as specific minor cannabinoids and other non-cannabinoid components. We developed nabiximols to be administered as an oromucosal spray, whereby the active ingredients are absorbed in part in the lining of the mouth, either under the tongue or inside the cheek. Nabiximols is already approved in more than 25 countries outside the U.S. for the treatment of spasticity due to multiple sclerosis under the brand name Sativex. We market Sativex directly in the U.K. To support the development and commercialization of Sativex internationally, we have license and development agreements with commercial partners across other countries. These agreements provide our collaborators with the sole right to commercialize Sativex in exclusive territories for all indications. See “Research and Development” below for a discussion of clinical development activities for nabiximols.</w:t>
      </w:r>
    </w:p>
    <w:p>
      <w:pPr>
        <w:spacing w:after="0" w:line="84"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Net product sales of Sativex in 2021, beginning from the closing of the GW Acquisition on May 5, 2021 were $12.7 million, which represented less than 1% of our total net product sales. On a pro forma basis, assuming the GW Acquisition had closed on January 1, 2021, Sativex net product sales in 2021 were $18.5 million.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Oncology</w:t>
      </w:r>
    </w:p>
    <w:p>
      <w:pPr>
        <w:spacing w:after="0" w:line="113" w:lineRule="exact"/>
        <w:rPr>
          <w:sz w:val="20"/>
          <w:szCs w:val="20"/>
          <w:color w:val="auto"/>
        </w:rPr>
      </w:pPr>
    </w:p>
    <w:p>
      <w:pPr>
        <w:ind w:firstLine="445"/>
        <w:spacing w:after="0" w:line="218" w:lineRule="exact"/>
        <w:rPr>
          <w:sz w:val="20"/>
          <w:szCs w:val="20"/>
          <w:color w:val="auto"/>
        </w:rPr>
      </w:pPr>
      <w:r>
        <w:rPr>
          <w:rFonts w:ascii="Arial" w:cs="Arial" w:eastAsia="Arial" w:hAnsi="Arial"/>
          <w:sz w:val="16"/>
          <w:szCs w:val="16"/>
          <w:b w:val="1"/>
          <w:bCs w:val="1"/>
          <w:i w:val="1"/>
          <w:iCs w:val="1"/>
          <w:color w:val="auto"/>
        </w:rPr>
        <w:t>Zepzelca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December 2019, we entered into an exclusive license agreement with Pharma Mar, S.A., or PharmaMar, pursuant to which we obtained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exclusive U.S. development and commercialization rights to Zepzelca. In October 2020, we entered into an amendment to the license agreement with PharmaMar to expand our exclusive license to include rights to develop and commercialize Zepzelca in Canada. The term of the amended license agreement extends on a licensed product-by-licensed product and country-by-country basis until the latest of: (i) expiration of the last PharmaMar patent covering Zepzelca in that country (subject to certain exclusions), (ii) expiration of regulatory exclusivity for Zepzelca in that country and (iii) 12 years after the first commercial sale of Zepzelca in that country. We have the right to terminate the amended license agreement at will upon a specified notice period, and either party can terminate the amended license agreement for the other party’s uncured material breach or bankruptcy. For a description of additional terms of the amended license agreement, including financial terms, see Note 3, Business Combinations, Asset Acquisitions and Collaborations—License Agreement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7"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Zepzelca for injection (4 mg) is approved by FDA to treat adults with metastatic SCLC, with disease progression on or after platinum-based chemotherapy. Zepzelca is an alkylating drug that binds guanine residues within DNA. This triggers a cascade of events that can affect the activity of DNA binding proteins, including some transcription factors, and DNA repair pathways, resulting in disruption of the cell cycle and eventual cell death. Zepzelca was granted Orphan Drug Designation for SCLC by FDA in August 2018. In December 2019, PharmaMar submitted a New Drug Application, or NDA, to FDA for accelerated approval of Zepzelca for relapsed SCLC based on data from a Phase 2 trial, and in February 2020, FDA accepted the NDA for filing with priority review. In June 2020, FDA granted accelerated approval of Zepzelca for the treatment of adult patients with metastatic SCLC with disease progression on or after platinum-based chemotherapy. Zepzelca is approved based on response rate and duration of response. After discussion with FDA, PharmaMar initiated a confirmatory trial in second-line SCLC in December 2021. This is a three-arm trial comparing Zepzelca as either monotherapy or in combination with irinotecan to investigator's choice of irinotecan or topotecan. Data from this trial, if positive, will serve as the confirmatory trial for Zepzelca to secure full approval in the U.S. See “Research and Development” below for a discussion of clinical development activities for Zepzelca.</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2021, net product sales of Zepzelca were $246.8 million, which represented 8% of our total net product sales.</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b w:val="1"/>
          <w:bCs w:val="1"/>
          <w:i w:val="1"/>
          <w:iCs w:val="1"/>
          <w:color w:val="auto"/>
        </w:rPr>
        <w:t xml:space="preserve">Rylaze. </w:t>
      </w:r>
      <w:r>
        <w:rPr>
          <w:rFonts w:ascii="Arial" w:cs="Arial" w:eastAsia="Arial" w:hAnsi="Arial"/>
          <w:sz w:val="18"/>
          <w:szCs w:val="18"/>
          <w:color w:val="auto"/>
        </w:rPr>
        <w:t>Rylaze was approved by FDA in June 2021 under the Real-Time Oncology Review (RTOR) program, and was launched in the U.S.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July 2021, for use as a component of a multi-agent chemotherapeutic regimen for the treatment of ALL or LBL in pediatric and adult patients one month and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Rylaze is the only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 manufactured product that maintains a clinically meaningful level of serum asparaginase activity throughout the entire intended duration of treatment. We developed Rylaze with the goal of addressing the needs of patients and health care providers for an innovative, high-quality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 with reliable supply. Rylaze has been granted Orphan Drug Designation for the treatment of patients with ALL or LBL. See “Research and Development” below for a discussion of clinical development activities for Rylaze.</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2021, net product sales of Rylaze were $85.6 million, which represented 3% of our total net product sales.</w:t>
      </w:r>
    </w:p>
    <w:p>
      <w:pPr>
        <w:spacing w:after="0" w:line="117" w:lineRule="exact"/>
        <w:rPr>
          <w:sz w:val="20"/>
          <w:szCs w:val="20"/>
          <w:color w:val="auto"/>
        </w:rPr>
      </w:pPr>
    </w:p>
    <w:p>
      <w:pPr>
        <w:jc w:val="both"/>
        <w:ind w:right="60" w:firstLine="445"/>
        <w:spacing w:after="0" w:line="311" w:lineRule="auto"/>
        <w:rPr>
          <w:sz w:val="20"/>
          <w:szCs w:val="20"/>
          <w:color w:val="auto"/>
        </w:rPr>
      </w:pPr>
      <w:r>
        <w:rPr>
          <w:rFonts w:ascii="Arial" w:cs="Arial" w:eastAsia="Arial" w:hAnsi="Arial"/>
          <w:sz w:val="16"/>
          <w:szCs w:val="16"/>
          <w:b w:val="1"/>
          <w:bCs w:val="1"/>
          <w:i w:val="1"/>
          <w:iCs w:val="1"/>
          <w:color w:val="auto"/>
        </w:rPr>
        <w:t xml:space="preserve">Vyxeos. </w:t>
      </w:r>
      <w:r>
        <w:rPr>
          <w:rFonts w:ascii="Arial" w:cs="Arial" w:eastAsia="Arial" w:hAnsi="Arial"/>
          <w:sz w:val="16"/>
          <w:szCs w:val="16"/>
          <w:color w:val="auto"/>
        </w:rPr>
        <w:t>Vyxeos is a liposomal formulation of a fixed ratio combination of daunorubicin and cytarabine for intravenous infusion that is indicated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treatment of adults with newly-diagnosed t-AML or AML-MRC and has been shown to have synergistic effects at killing leukemia cells in vitro and in animal models. Vyxeos is the first drug delivery combination product based on our CombiPlex</w:t>
      </w:r>
      <w:r>
        <w:rPr>
          <w:rFonts w:ascii="Arial" w:cs="Arial" w:eastAsia="Arial" w:hAnsi="Arial"/>
          <w:sz w:val="16"/>
          <w:szCs w:val="16"/>
          <w:b w:val="1"/>
          <w:bCs w:val="1"/>
          <w:color w:val="auto"/>
        </w:rPr>
        <w:t>®</w:t>
      </w:r>
      <w:r>
        <w:rPr>
          <w:rFonts w:ascii="Arial" w:cs="Arial" w:eastAsia="Arial" w:hAnsi="Arial"/>
          <w:sz w:val="16"/>
          <w:szCs w:val="16"/>
          <w:color w:val="auto"/>
        </w:rPr>
        <w:t xml:space="preserve"> technology platform to be approved by FDA and the EC.</w:t>
      </w:r>
    </w:p>
    <w:p>
      <w:pPr>
        <w:spacing w:after="0" w:line="4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AML is a rapidly progressing and life-threatening blood cancer that begins in the bone marrow, which produces most of the body's new blood cells. AML cells crowd out healthy cells and move aggressively into the bloodstream to spread cancer to other parts of the body. AML is a relatively rare disease representing about 1% of all new cancer cases and has the lowest survival rate of any form of leukemia. Patients with newly diagnosed t-AML or AML-MRC may have a particularly poor prognosis.</w:t>
      </w:r>
    </w:p>
    <w:p>
      <w:pPr>
        <w:spacing w:after="0" w:line="79"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In 2017, we launched Vyxeos in the U.S. after FDA approved our NDA for the treatment of adults with newly-diagnosed t-AML or AML-MRC. In August 2018, the EC granted marketing authorization for Vyxeos and, as part of our rolling launch of Vyxeos in Europe, we are continuing to make pricing and reimbursement submissions in European countries.</w:t>
      </w:r>
    </w:p>
    <w:p>
      <w:pPr>
        <w:spacing w:after="0" w:line="76" w:lineRule="exact"/>
        <w:rPr>
          <w:sz w:val="20"/>
          <w:szCs w:val="20"/>
          <w:color w:val="auto"/>
        </w:rPr>
      </w:pPr>
    </w:p>
    <w:p>
      <w:pPr>
        <w:ind w:right="340" w:firstLine="445"/>
        <w:spacing w:after="0" w:line="286" w:lineRule="auto"/>
        <w:rPr>
          <w:sz w:val="20"/>
          <w:szCs w:val="20"/>
          <w:color w:val="auto"/>
        </w:rPr>
      </w:pPr>
      <w:r>
        <w:rPr>
          <w:rFonts w:ascii="Arial" w:cs="Arial" w:eastAsia="Arial" w:hAnsi="Arial"/>
          <w:sz w:val="17"/>
          <w:szCs w:val="17"/>
          <w:color w:val="auto"/>
        </w:rPr>
        <w:t>In March 2021, FDA approved a revised label to include a new indication to treat newly-diagnosed t-AML or AML with myelodysplasia-related changes in pediatric patients aged one year and older. We have a number of ongoing development activities and continue to expand into new markets internationally. See “Research and Development” below for a discussion of clinical development activities for Vyxeos.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2021, Vyxeos product sales were $134.1 million, which represented 4% of our total net product sales.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b w:val="1"/>
          <w:bCs w:val="1"/>
          <w:i w:val="1"/>
          <w:iCs w:val="1"/>
          <w:color w:val="auto"/>
        </w:rPr>
        <w:t xml:space="preserve">Defitelio. </w:t>
      </w:r>
      <w:r>
        <w:rPr>
          <w:rFonts w:ascii="Arial" w:cs="Arial" w:eastAsia="Arial" w:hAnsi="Arial"/>
          <w:sz w:val="17"/>
          <w:szCs w:val="17"/>
          <w:color w:val="auto"/>
        </w:rPr>
        <w:t>Defibrotide, the API in Defitelio, is approved for the treatment of VOD, a potentially life-threatening complication of HSCT, and is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for other complications following anti-cancer treatment. Defibrotide is the sodium salt of a complex mixture of single-stranded oligodeoxyribonucleotides derived from porcine DNA. Defibrotide mediates its effects via interaction with endothelial cells. Non-clinical data suggest that defibrotide stabilizes endothelial cells by reducing endothelial cell activation and by protecting them from further damage.</w:t>
      </w:r>
    </w:p>
    <w:p>
      <w:pPr>
        <w:spacing w:after="0" w:line="63"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Stem cell transplantation is a frequently used treatment modality for hematologic cancers and other conditions in both adults and children. Certain conditioning regimens used as part of HSCT can damage the cells that line the hepatic vessels, which is thought to lead to the development of VOD, also referred to as SOS, a blockage of the small vessels in the liver, that can lead to liver failure and potentially result in significant dysfunction in other organs such as the kidneys and lungs. Severe VOD is the most extreme form of VOD and is associated with multi-organ failure and high rates of morbidity and mortality. An analysis of retrospective data, prospective cohort studies and clinical trials published between 1979 and 2007 found that the 100-day mortality rate in severe VOD cases is greater than 80%.</w:t>
      </w:r>
    </w:p>
    <w:p>
      <w:pPr>
        <w:spacing w:after="0" w:line="84"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The EC granted marketing authorization under exceptional circumstances for Defitelio for the treatment of severe VOD in adults and children undergoing HSCT in 2013. We commenced a rolling launch of Defitelio in European countries in 2014.</w:t>
      </w:r>
    </w:p>
    <w:p>
      <w:pPr>
        <w:spacing w:after="0" w:line="62" w:lineRule="exact"/>
        <w:rPr>
          <w:sz w:val="20"/>
          <w:szCs w:val="20"/>
          <w:color w:val="auto"/>
        </w:rPr>
      </w:pPr>
    </w:p>
    <w:p>
      <w:pPr>
        <w:ind w:right="280" w:firstLine="445"/>
        <w:spacing w:after="0" w:line="255" w:lineRule="auto"/>
        <w:rPr>
          <w:sz w:val="20"/>
          <w:szCs w:val="20"/>
          <w:color w:val="auto"/>
        </w:rPr>
      </w:pPr>
      <w:r>
        <w:rPr>
          <w:rFonts w:ascii="Arial" w:cs="Arial" w:eastAsia="Arial" w:hAnsi="Arial"/>
          <w:sz w:val="18"/>
          <w:szCs w:val="18"/>
          <w:color w:val="auto"/>
        </w:rPr>
        <w:t>In 2016, FDA approved our NDA for Defitelio for the treatment of adult and pediatric patients with VOD with renal or pulmonary dysfunction following HSCT. We launched Defitelio in the U.S. shortly after FDA approval. We also launched defibrotide in Canada in 2017. In June 2019, Nippon Shinyaku Co., Ltd., the partner to whom we have granted exclusive rights to develop and commercialize defibrotide in Japan, received marketing authorization from Japan’s Ministry of Health, Labour and Welfare and launched defibrotide in Japan in September 2019. Further geographic expansion occurred in July 2020 and September 2020, as Defitelio was approved by the Australian Therapeutic Goods Administration and Swissmedic in Switzerland, respectively, for the treatment of VOD.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2021, Defitelio/defibrotide product sales were $197.9 million, which represented 6% of our total net product sales.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Diversification</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As part of our objective to reduce business risk by diversifying our revenue sources, we have been actively seeking to expand our commercial portfolio thorough a combination of launching internally developed therapies and corporate development. In 2018, 75% of net product sales were generated by one product, Xyrem. In the fourth quarter of 2021, 59% of net product sales were generated from products that we launched or acquired since 2019, including Xywav, Zepzelca, Epidiolex, Sunosi, Sativex and Rylaze.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Product</w:t>
            </w:r>
          </w:p>
        </w:tc>
        <w:tc>
          <w:tcPr>
            <w:tcW w:w="3880" w:type="dxa"/>
            <w:vAlign w:val="bottom"/>
            <w:gridSpan w:val="3"/>
          </w:tcPr>
          <w:p>
            <w:pPr>
              <w:ind w:left="200"/>
              <w:spacing w:after="0"/>
              <w:rPr>
                <w:sz w:val="20"/>
                <w:szCs w:val="20"/>
                <w:color w:val="auto"/>
              </w:rPr>
            </w:pPr>
            <w:r>
              <w:rPr>
                <w:rFonts w:ascii="Arial" w:cs="Arial" w:eastAsia="Arial" w:hAnsi="Arial"/>
                <w:sz w:val="18"/>
                <w:szCs w:val="18"/>
                <w:b w:val="1"/>
                <w:bCs w:val="1"/>
                <w:color w:val="auto"/>
              </w:rPr>
              <w:t>Indication(s)</w:t>
            </w: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Initial Approval Date</w:t>
            </w:r>
          </w:p>
        </w:tc>
        <w:tc>
          <w:tcPr>
            <w:tcW w:w="2720" w:type="dxa"/>
            <w:vAlign w:val="bottom"/>
            <w:gridSpan w:val="4"/>
          </w:tcPr>
          <w:p>
            <w:pPr>
              <w:ind w:left="340"/>
              <w:spacing w:after="0"/>
              <w:rPr>
                <w:sz w:val="20"/>
                <w:szCs w:val="20"/>
                <w:color w:val="auto"/>
              </w:rPr>
            </w:pPr>
            <w:r>
              <w:rPr>
                <w:rFonts w:ascii="Arial" w:cs="Arial" w:eastAsia="Arial" w:hAnsi="Arial"/>
                <w:sz w:val="18"/>
                <w:szCs w:val="18"/>
                <w:b w:val="1"/>
                <w:bCs w:val="1"/>
                <w:color w:val="auto"/>
              </w:rPr>
              <w:t>Market(s)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w w:val="94"/>
              </w:rPr>
              <w:t>Treatment of cataplexy or EDS in patients seven</w:t>
            </w:r>
          </w:p>
        </w:tc>
        <w:tc>
          <w:tcPr>
            <w:tcW w:w="2020" w:type="dxa"/>
            <w:vAlign w:val="bottom"/>
            <w:gridSpan w:val="2"/>
            <w:vMerge w:val="restart"/>
          </w:tcPr>
          <w:p>
            <w:pPr>
              <w:spacing w:after="0"/>
              <w:rPr>
                <w:sz w:val="20"/>
                <w:szCs w:val="20"/>
                <w:color w:val="auto"/>
              </w:rPr>
            </w:pPr>
            <w:r>
              <w:rPr>
                <w:rFonts w:ascii="Arial" w:cs="Arial" w:eastAsia="Arial" w:hAnsi="Arial"/>
                <w:sz w:val="18"/>
                <w:szCs w:val="18"/>
                <w:color w:val="auto"/>
              </w:rPr>
              <w:t>July 2020</w:t>
            </w:r>
          </w:p>
        </w:tc>
        <w:tc>
          <w:tcPr>
            <w:tcW w:w="2720" w:type="dxa"/>
            <w:vAlign w:val="bottom"/>
            <w:gridSpan w:val="4"/>
            <w:vMerge w:val="restart"/>
          </w:tcPr>
          <w:p>
            <w:pPr>
              <w:ind w:left="3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color w:val="auto"/>
              </w:rPr>
              <w:t>Xywav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(calcium, magnesium,</w:t>
            </w:r>
          </w:p>
        </w:tc>
        <w:tc>
          <w:tcPr>
            <w:tcW w:w="3880" w:type="dxa"/>
            <w:vAlign w:val="bottom"/>
            <w:gridSpan w:val="3"/>
            <w:vMerge w:val="restart"/>
          </w:tcPr>
          <w:p>
            <w:pPr>
              <w:ind w:left="200"/>
              <w:spacing w:after="0"/>
              <w:rPr>
                <w:sz w:val="20"/>
                <w:szCs w:val="20"/>
                <w:color w:val="auto"/>
              </w:rPr>
            </w:pPr>
            <w:r>
              <w:rPr>
                <w:rFonts w:ascii="Arial" w:cs="Arial" w:eastAsia="Arial" w:hAnsi="Arial"/>
                <w:sz w:val="18"/>
                <w:szCs w:val="18"/>
                <w:color w:val="auto"/>
              </w:rPr>
              <w:t>years of age and older with narcolepsy.</w:t>
            </w:r>
          </w:p>
        </w:tc>
        <w:tc>
          <w:tcPr>
            <w:tcW w:w="2020" w:type="dxa"/>
            <w:vAlign w:val="bottom"/>
            <w:gridSpan w:val="2"/>
            <w:vMerge w:val="continue"/>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gridSpan w:val="2"/>
            <w:vMerge w:val="continue"/>
          </w:tcPr>
          <w:p>
            <w:pPr>
              <w:spacing w:after="0"/>
              <w:rPr>
                <w:sz w:val="10"/>
                <w:szCs w:val="10"/>
                <w:color w:val="auto"/>
              </w:rPr>
            </w:pPr>
          </w:p>
        </w:tc>
        <w:tc>
          <w:tcPr>
            <w:tcW w:w="388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6"/>
              </w:rPr>
              <w:t>potassium, and sodium oxybates)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Treatment of IH in adults.</w:t>
            </w:r>
          </w:p>
        </w:tc>
        <w:tc>
          <w:tcPr>
            <w:tcW w:w="2020" w:type="dxa"/>
            <w:vAlign w:val="bottom"/>
            <w:gridSpan w:val="2"/>
            <w:vMerge w:val="restart"/>
          </w:tcPr>
          <w:p>
            <w:pPr>
              <w:spacing w:after="0"/>
              <w:rPr>
                <w:sz w:val="20"/>
                <w:szCs w:val="20"/>
                <w:color w:val="auto"/>
              </w:rPr>
            </w:pPr>
            <w:r>
              <w:rPr>
                <w:rFonts w:ascii="Arial" w:cs="Arial" w:eastAsia="Arial" w:hAnsi="Arial"/>
                <w:sz w:val="18"/>
                <w:szCs w:val="18"/>
                <w:color w:val="auto"/>
              </w:rPr>
              <w:t>August 2021</w:t>
            </w:r>
          </w:p>
        </w:tc>
        <w:tc>
          <w:tcPr>
            <w:tcW w:w="2720" w:type="dxa"/>
            <w:vAlign w:val="bottom"/>
            <w:gridSpan w:val="4"/>
            <w:vMerge w:val="restart"/>
          </w:tcPr>
          <w:p>
            <w:pPr>
              <w:ind w:left="3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20" w:type="dxa"/>
            <w:vAlign w:val="bottom"/>
            <w:gridSpan w:val="2"/>
            <w:vMerge w:val="continue"/>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8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Treatment of cataplexy or EDS in patients seven</w:t>
            </w:r>
          </w:p>
        </w:tc>
        <w:tc>
          <w:tcPr>
            <w:tcW w:w="1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700" w:type="dxa"/>
            <w:vAlign w:val="bottom"/>
            <w:gridSpan w:val="3"/>
            <w:vMerge w:val="restart"/>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8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years of age and older with narcolepsy.</w:t>
            </w:r>
          </w:p>
        </w:tc>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July 2002</w:t>
            </w:r>
          </w:p>
        </w:tc>
        <w:tc>
          <w:tcPr>
            <w:tcW w:w="2700" w:type="dxa"/>
            <w:vAlign w:val="bottom"/>
            <w:gridSpan w:val="3"/>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3880" w:type="dxa"/>
            <w:vAlign w:val="bottom"/>
            <w:gridSpan w:val="3"/>
            <w:vMerge w:val="continue"/>
            <w:shd w:val="clear" w:color="auto" w:fill="CCEEFF"/>
          </w:tcPr>
          <w:p>
            <w:pPr>
              <w:spacing w:after="0"/>
              <w:rPr>
                <w:sz w:val="7"/>
                <w:szCs w:val="7"/>
                <w:color w:val="auto"/>
              </w:rPr>
            </w:pPr>
          </w:p>
        </w:tc>
        <w:tc>
          <w:tcPr>
            <w:tcW w:w="2020" w:type="dxa"/>
            <w:vAlign w:val="bottom"/>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20" w:type="dxa"/>
            <w:vAlign w:val="bottom"/>
            <w:shd w:val="clear" w:color="auto" w:fill="CCEEFF"/>
          </w:tcPr>
          <w:p>
            <w:pPr>
              <w:spacing w:after="0"/>
              <w:rPr>
                <w:sz w:val="24"/>
                <w:szCs w:val="24"/>
                <w:color w:val="auto"/>
              </w:rPr>
            </w:pPr>
          </w:p>
        </w:tc>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w:t>
            </w:r>
          </w:p>
        </w:tc>
        <w:tc>
          <w:tcPr>
            <w:tcW w:w="3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 the treatment of cataplexy in patients with</w:t>
            </w:r>
          </w:p>
        </w:tc>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August 2005</w:t>
            </w:r>
          </w:p>
        </w:tc>
        <w:tc>
          <w:tcPr>
            <w:tcW w:w="2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shd w:val="clear" w:color="auto" w:fill="CCEEFF"/>
          </w:tcPr>
          <w:p>
            <w:pPr>
              <w:spacing w:after="0"/>
              <w:rPr>
                <w:sz w:val="24"/>
                <w:szCs w:val="24"/>
                <w:color w:val="auto"/>
              </w:rPr>
            </w:pPr>
          </w:p>
        </w:tc>
        <w:tc>
          <w:tcPr>
            <w:tcW w:w="2600" w:type="dxa"/>
            <w:vAlign w:val="bottom"/>
            <w:gridSpan w:val="2"/>
            <w:vMerge w:val="continue"/>
            <w:shd w:val="clear" w:color="auto" w:fill="CCEEFF"/>
          </w:tcPr>
          <w:p>
            <w:pPr>
              <w:spacing w:after="0"/>
              <w:rPr>
                <w:sz w:val="24"/>
                <w:szCs w:val="24"/>
                <w:color w:val="auto"/>
              </w:rPr>
            </w:pPr>
          </w:p>
        </w:tc>
        <w:tc>
          <w:tcPr>
            <w:tcW w:w="3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narcolepsy.</w:t>
            </w:r>
          </w:p>
        </w:tc>
        <w:tc>
          <w:tcPr>
            <w:tcW w:w="2020" w:type="dxa"/>
            <w:vAlign w:val="bottom"/>
            <w:gridSpan w:val="2"/>
            <w:vMerge w:val="continue"/>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388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w w:val="97"/>
              </w:rPr>
              <w:t>Treatment of narcolepsy with cataplexy in adult</w:t>
            </w:r>
          </w:p>
        </w:tc>
        <w:tc>
          <w:tcPr>
            <w:tcW w:w="1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EU, Great Britain,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880" w:type="dxa"/>
            <w:vAlign w:val="bottom"/>
            <w:gridSpan w:val="3"/>
            <w:vMerge w:val="continue"/>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700" w:type="dxa"/>
            <w:vAlign w:val="bottom"/>
            <w:gridSpan w:val="3"/>
            <w:vMerge w:val="restart"/>
            <w:shd w:val="clear" w:color="auto" w:fill="CCEEFF"/>
          </w:tcPr>
          <w:p>
            <w:pPr>
              <w:ind w:left="340"/>
              <w:spacing w:after="0" w:line="176" w:lineRule="exact"/>
              <w:rPr>
                <w:sz w:val="20"/>
                <w:szCs w:val="20"/>
                <w:color w:val="auto"/>
              </w:rPr>
            </w:pPr>
            <w:r>
              <w:rPr>
                <w:rFonts w:ascii="Arial" w:cs="Arial" w:eastAsia="Arial" w:hAnsi="Arial"/>
                <w:sz w:val="18"/>
                <w:szCs w:val="18"/>
                <w:color w:val="auto"/>
              </w:rPr>
              <w:t>markets (through licensing</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3880" w:type="dxa"/>
            <w:vAlign w:val="bottom"/>
            <w:gridSpan w:val="3"/>
            <w:vMerge w:val="restart"/>
            <w:shd w:val="clear" w:color="auto" w:fill="CCEEFF"/>
          </w:tcPr>
          <w:p>
            <w:pPr>
              <w:ind w:left="200"/>
              <w:spacing w:after="0" w:line="189" w:lineRule="exact"/>
              <w:rPr>
                <w:sz w:val="20"/>
                <w:szCs w:val="20"/>
                <w:color w:val="auto"/>
              </w:rPr>
            </w:pPr>
            <w:r>
              <w:rPr>
                <w:rFonts w:ascii="Arial" w:cs="Arial" w:eastAsia="Arial" w:hAnsi="Arial"/>
                <w:sz w:val="18"/>
                <w:szCs w:val="18"/>
                <w:color w:val="auto"/>
                <w:w w:val="95"/>
              </w:rPr>
              <w:t>patients, adolescents and children from age of 7</w:t>
            </w:r>
          </w:p>
        </w:tc>
        <w:tc>
          <w:tcPr>
            <w:tcW w:w="2020" w:type="dxa"/>
            <w:vAlign w:val="bottom"/>
            <w:gridSpan w:val="2"/>
            <w:vMerge w:val="restart"/>
            <w:shd w:val="clear" w:color="auto" w:fill="CCEEFF"/>
          </w:tcPr>
          <w:p>
            <w:pPr>
              <w:spacing w:after="0" w:line="189" w:lineRule="exact"/>
              <w:rPr>
                <w:sz w:val="20"/>
                <w:szCs w:val="20"/>
                <w:color w:val="auto"/>
              </w:rPr>
            </w:pPr>
            <w:r>
              <w:rPr>
                <w:rFonts w:ascii="Arial" w:cs="Arial" w:eastAsia="Arial" w:hAnsi="Arial"/>
                <w:sz w:val="18"/>
                <w:szCs w:val="18"/>
                <w:color w:val="auto"/>
              </w:rPr>
              <w:t>October 2005</w:t>
            </w:r>
          </w:p>
        </w:tc>
        <w:tc>
          <w:tcPr>
            <w:tcW w:w="2700" w:type="dxa"/>
            <w:vAlign w:val="bottom"/>
            <w:gridSpan w:val="3"/>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3880" w:type="dxa"/>
            <w:vAlign w:val="bottom"/>
            <w:gridSpan w:val="3"/>
            <w:vMerge w:val="continue"/>
            <w:shd w:val="clear" w:color="auto" w:fill="CCEEFF"/>
          </w:tcPr>
          <w:p>
            <w:pPr>
              <w:spacing w:after="0"/>
              <w:rPr>
                <w:sz w:val="8"/>
                <w:szCs w:val="8"/>
                <w:color w:val="auto"/>
              </w:rPr>
            </w:pPr>
          </w:p>
        </w:tc>
        <w:tc>
          <w:tcPr>
            <w:tcW w:w="2020" w:type="dxa"/>
            <w:vAlign w:val="bottom"/>
            <w:gridSpan w:val="2"/>
            <w:vMerge w:val="continue"/>
            <w:shd w:val="clear" w:color="auto" w:fill="CCEEFF"/>
          </w:tcPr>
          <w:p>
            <w:pPr>
              <w:spacing w:after="0"/>
              <w:rPr>
                <w:sz w:val="8"/>
                <w:szCs w:val="8"/>
                <w:color w:val="auto"/>
              </w:rPr>
            </w:pPr>
          </w:p>
        </w:tc>
        <w:tc>
          <w:tcPr>
            <w:tcW w:w="2700" w:type="dxa"/>
            <w:vAlign w:val="bottom"/>
            <w:gridSpan w:val="3"/>
            <w:vMerge w:val="restart"/>
            <w:shd w:val="clear" w:color="auto" w:fill="CCEEFF"/>
          </w:tcPr>
          <w:p>
            <w:pPr>
              <w:ind w:left="340"/>
              <w:spacing w:after="0"/>
              <w:rPr>
                <w:sz w:val="20"/>
                <w:szCs w:val="20"/>
                <w:color w:val="auto"/>
              </w:rPr>
            </w:pPr>
            <w:r>
              <w:rPr>
                <w:rFonts w:ascii="Arial" w:cs="Arial" w:eastAsia="Arial" w:hAnsi="Arial"/>
                <w:sz w:val="18"/>
                <w:szCs w:val="18"/>
                <w:color w:val="auto"/>
              </w:rPr>
              <w:t>agreement)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88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years.</w:t>
            </w:r>
          </w:p>
        </w:tc>
        <w:tc>
          <w:tcPr>
            <w:tcW w:w="1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700" w:type="dxa"/>
            <w:vAlign w:val="bottom"/>
            <w:gridSpan w:val="3"/>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3880" w:type="dxa"/>
            <w:vAlign w:val="bottom"/>
            <w:gridSpan w:val="3"/>
            <w:vMerge w:val="continue"/>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80" w:type="dxa"/>
            <w:vAlign w:val="bottom"/>
            <w:gridSpan w:val="3"/>
          </w:tcPr>
          <w:p>
            <w:pPr>
              <w:jc w:val="right"/>
              <w:ind w:right="780"/>
              <w:spacing w:after="0"/>
              <w:rPr>
                <w:sz w:val="20"/>
                <w:szCs w:val="20"/>
                <w:color w:val="auto"/>
              </w:rPr>
            </w:pPr>
            <w:r>
              <w:rPr>
                <w:rFonts w:ascii="Arial" w:cs="Arial" w:eastAsia="Arial" w:hAnsi="Arial"/>
                <w:sz w:val="18"/>
                <w:szCs w:val="18"/>
                <w:color w:val="auto"/>
              </w:rPr>
              <w:t>10</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Epidyolex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(cannabidiol)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Treatment of seizures associated with LGS, DS or TSC, in patients 1 year of age and older.</w:t>
      </w:r>
    </w:p>
    <w:p>
      <w:pPr>
        <w:spacing w:after="0" w:line="10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For adjunctive therapy of seizures associated with LGS or DS, in conjunction with clobazam, for patients 2 years of age and older.*</w:t>
      </w:r>
    </w:p>
    <w:p>
      <w:pPr>
        <w:spacing w:after="0" w:line="12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adjunctive therapy of seizures associated with TSC for patients 2 years of age and 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June 2018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September 2019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April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1" w:lineRule="exact"/>
        <w:rPr>
          <w:sz w:val="20"/>
          <w:szCs w:val="20"/>
          <w:color w:val="auto"/>
        </w:rPr>
      </w:pPr>
    </w:p>
    <w:p>
      <w:pPr>
        <w:sectPr>
          <w:pgSz w:w="11900" w:h="16838" w:orient="portrait"/>
          <w:cols w:equalWidth="0" w:num="4">
            <w:col w:w="2100" w:space="720"/>
            <w:col w:w="3600" w:space="80"/>
            <w:col w:w="1640" w:space="720"/>
            <w:col w:w="238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2220" w:type="dxa"/>
            <w:vAlign w:val="bottom"/>
            <w:shd w:val="clear" w:color="auto" w:fill="CCEEFF"/>
          </w:tcPr>
          <w:p>
            <w:pPr>
              <w:spacing w:after="0"/>
              <w:rPr>
                <w:sz w:val="20"/>
                <w:szCs w:val="20"/>
                <w:color w:val="auto"/>
              </w:rPr>
            </w:pPr>
          </w:p>
        </w:tc>
        <w:tc>
          <w:tcPr>
            <w:tcW w:w="5940" w:type="dxa"/>
            <w:vAlign w:val="bottom"/>
            <w:gridSpan w:val="2"/>
            <w:shd w:val="clear" w:color="auto" w:fill="CCEEFF"/>
          </w:tcPr>
          <w:p>
            <w:pPr>
              <w:ind w:left="600"/>
              <w:spacing w:after="0" w:line="237" w:lineRule="exact"/>
              <w:rPr>
                <w:sz w:val="20"/>
                <w:szCs w:val="20"/>
                <w:color w:val="auto"/>
              </w:rPr>
            </w:pPr>
            <w:r>
              <w:rPr>
                <w:rFonts w:ascii="Arial" w:cs="Arial" w:eastAsia="Arial" w:hAnsi="Arial"/>
                <w:sz w:val="15"/>
                <w:szCs w:val="15"/>
                <w:color w:val="auto"/>
              </w:rPr>
              <w:t xml:space="preserve">Improve wakefulness in adult patients with EDS  </w:t>
            </w:r>
            <w:r>
              <w:rPr>
                <w:rFonts w:ascii="Arial" w:cs="Arial" w:eastAsia="Arial" w:hAnsi="Arial"/>
                <w:sz w:val="27"/>
                <w:szCs w:val="27"/>
                <w:color w:val="auto"/>
                <w:vertAlign w:val="superscript"/>
              </w:rPr>
              <w:t>March 2019</w:t>
            </w:r>
          </w:p>
        </w:tc>
        <w:tc>
          <w:tcPr>
            <w:tcW w:w="3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associated with narcolepsy or OSA.</w:t>
            </w:r>
          </w:p>
        </w:tc>
        <w:tc>
          <w:tcPr>
            <w:tcW w:w="1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2220" w:type="dxa"/>
            <w:vAlign w:val="bottom"/>
            <w:shd w:val="clear" w:color="auto" w:fill="CCEEFF"/>
          </w:tcPr>
          <w:p>
            <w:pPr>
              <w:spacing w:after="0"/>
              <w:rPr>
                <w:sz w:val="24"/>
                <w:szCs w:val="24"/>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Improve wakefulness and reduce EDS in adult</w:t>
            </w:r>
          </w:p>
        </w:tc>
        <w:tc>
          <w:tcPr>
            <w:tcW w:w="182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spacing w:after="0"/>
              <w:rPr>
                <w:sz w:val="16"/>
                <w:szCs w:val="16"/>
                <w:color w:val="auto"/>
              </w:rPr>
            </w:pPr>
          </w:p>
        </w:tc>
        <w:tc>
          <w:tcPr>
            <w:tcW w:w="412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patients with narcolepsy (with or without</w:t>
            </w:r>
          </w:p>
        </w:tc>
        <w:tc>
          <w:tcPr>
            <w:tcW w:w="182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(solriamfetol)</w:t>
            </w:r>
          </w:p>
        </w:tc>
        <w:tc>
          <w:tcPr>
            <w:tcW w:w="5940" w:type="dxa"/>
            <w:vAlign w:val="bottom"/>
            <w:gridSpan w:val="2"/>
            <w:shd w:val="clear" w:color="auto" w:fill="CCEEFF"/>
          </w:tcPr>
          <w:p>
            <w:pPr>
              <w:ind w:left="600"/>
              <w:spacing w:after="0" w:line="203" w:lineRule="exact"/>
              <w:rPr>
                <w:sz w:val="20"/>
                <w:szCs w:val="20"/>
                <w:color w:val="auto"/>
              </w:rPr>
            </w:pPr>
            <w:r>
              <w:rPr>
                <w:rFonts w:ascii="Arial" w:cs="Arial" w:eastAsia="Arial" w:hAnsi="Arial"/>
                <w:sz w:val="18"/>
                <w:szCs w:val="18"/>
                <w:color w:val="auto"/>
              </w:rPr>
              <w:t>cataplexy) or adult patients with OSA whose EDS January 2020</w:t>
            </w:r>
          </w:p>
        </w:tc>
        <w:tc>
          <w:tcPr>
            <w:tcW w:w="306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EU, Great Britain</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spacing w:after="0"/>
              <w:rPr>
                <w:sz w:val="15"/>
                <w:szCs w:val="15"/>
                <w:color w:val="auto"/>
              </w:rPr>
            </w:pPr>
          </w:p>
        </w:tc>
        <w:tc>
          <w:tcPr>
            <w:tcW w:w="4120" w:type="dxa"/>
            <w:vAlign w:val="bottom"/>
            <w:shd w:val="clear" w:color="auto" w:fill="CCEEFF"/>
          </w:tcPr>
          <w:p>
            <w:pPr>
              <w:ind w:left="600"/>
              <w:spacing w:after="0" w:line="175" w:lineRule="exact"/>
              <w:rPr>
                <w:sz w:val="20"/>
                <w:szCs w:val="20"/>
                <w:color w:val="auto"/>
              </w:rPr>
            </w:pPr>
            <w:r>
              <w:rPr>
                <w:rFonts w:ascii="Arial" w:cs="Arial" w:eastAsia="Arial" w:hAnsi="Arial"/>
                <w:sz w:val="18"/>
                <w:szCs w:val="18"/>
                <w:color w:val="auto"/>
                <w:w w:val="97"/>
              </w:rPr>
              <w:t>has not been satisfactorily treated by primary</w:t>
            </w:r>
          </w:p>
        </w:tc>
        <w:tc>
          <w:tcPr>
            <w:tcW w:w="182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OSA therapy, such as CPAP.</w:t>
            </w:r>
          </w:p>
        </w:tc>
        <w:tc>
          <w:tcPr>
            <w:tcW w:w="1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20" w:type="dxa"/>
            <w:vAlign w:val="bottom"/>
            <w:shd w:val="clear" w:color="auto" w:fill="CCEEFF"/>
          </w:tcPr>
          <w:p>
            <w:pPr>
              <w:spacing w:after="0"/>
              <w:rPr>
                <w:sz w:val="24"/>
                <w:szCs w:val="24"/>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Treatment of EDS in adult patients with</w:t>
            </w:r>
          </w:p>
        </w:tc>
        <w:tc>
          <w:tcPr>
            <w:tcW w:w="182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narcolepsy or OSA.</w:t>
            </w:r>
          </w:p>
        </w:tc>
        <w:tc>
          <w:tcPr>
            <w:tcW w:w="18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May 2021</w:t>
            </w: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81"/>
        </w:trPr>
        <w:tc>
          <w:tcPr>
            <w:tcW w:w="2220" w:type="dxa"/>
            <w:vAlign w:val="bottom"/>
            <w:shd w:val="clear" w:color="auto" w:fill="CCEEFF"/>
          </w:tcPr>
          <w:p>
            <w:pPr>
              <w:spacing w:after="0"/>
              <w:rPr>
                <w:sz w:val="7"/>
                <w:szCs w:val="7"/>
                <w:color w:val="auto"/>
              </w:rPr>
            </w:pPr>
          </w:p>
        </w:tc>
        <w:tc>
          <w:tcPr>
            <w:tcW w:w="412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3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Sativex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(nabiximols)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ONCOLOGY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Zepzelca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(lurbinectedin)</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Treatment for adult patients with moderate to</w:t>
      </w:r>
    </w:p>
    <w:p>
      <w:pPr>
        <w:spacing w:after="0" w:line="219" w:lineRule="auto"/>
        <w:rPr>
          <w:sz w:val="20"/>
          <w:szCs w:val="20"/>
          <w:color w:val="auto"/>
        </w:rPr>
      </w:pPr>
      <w:r>
        <w:rPr>
          <w:rFonts w:ascii="Arial" w:cs="Arial" w:eastAsia="Arial" w:hAnsi="Arial"/>
          <w:sz w:val="18"/>
          <w:szCs w:val="18"/>
          <w:color w:val="auto"/>
        </w:rPr>
        <w:t>severe spasticity due to MS, who have not</w:t>
      </w:r>
    </w:p>
    <w:p>
      <w:pPr>
        <w:spacing w:after="0" w:line="1" w:lineRule="exact"/>
        <w:rPr>
          <w:sz w:val="20"/>
          <w:szCs w:val="20"/>
          <w:color w:val="auto"/>
        </w:rPr>
      </w:pPr>
    </w:p>
    <w:p>
      <w:pPr>
        <w:ind w:right="900"/>
        <w:spacing w:after="0" w:line="183" w:lineRule="auto"/>
        <w:rPr>
          <w:sz w:val="20"/>
          <w:szCs w:val="20"/>
          <w:color w:val="auto"/>
        </w:rPr>
      </w:pPr>
      <w:r>
        <w:rPr>
          <w:rFonts w:ascii="Arial" w:cs="Arial" w:eastAsia="Arial" w:hAnsi="Arial"/>
          <w:sz w:val="15"/>
          <w:szCs w:val="15"/>
          <w:color w:val="auto"/>
        </w:rPr>
        <w:t xml:space="preserve">responded adequately to other anti-spasticity </w:t>
      </w:r>
      <w:r>
        <w:rPr>
          <w:rFonts w:ascii="Arial" w:cs="Arial" w:eastAsia="Arial" w:hAnsi="Arial"/>
          <w:sz w:val="28"/>
          <w:szCs w:val="28"/>
          <w:color w:val="auto"/>
          <w:vertAlign w:val="subscript"/>
        </w:rPr>
        <w:t>June 2010</w:t>
      </w:r>
      <w:r>
        <w:rPr>
          <w:rFonts w:ascii="Arial" w:cs="Arial" w:eastAsia="Arial" w:hAnsi="Arial"/>
          <w:sz w:val="15"/>
          <w:szCs w:val="15"/>
          <w:color w:val="auto"/>
        </w:rPr>
        <w:t xml:space="preserve"> medication and who demonstrate clinically</w:t>
      </w:r>
    </w:p>
    <w:p>
      <w:pPr>
        <w:spacing w:after="0" w:line="220" w:lineRule="auto"/>
        <w:rPr>
          <w:sz w:val="20"/>
          <w:szCs w:val="20"/>
          <w:color w:val="auto"/>
        </w:rPr>
      </w:pPr>
      <w:r>
        <w:rPr>
          <w:rFonts w:ascii="Arial" w:cs="Arial" w:eastAsia="Arial" w:hAnsi="Arial"/>
          <w:sz w:val="18"/>
          <w:szCs w:val="18"/>
          <w:color w:val="auto"/>
        </w:rPr>
        <w:t>significant improvement in spasticity related</w:t>
      </w:r>
    </w:p>
    <w:p>
      <w:pPr>
        <w:spacing w:after="0"/>
        <w:rPr>
          <w:sz w:val="20"/>
          <w:szCs w:val="20"/>
          <w:color w:val="auto"/>
        </w:rPr>
      </w:pPr>
      <w:r>
        <w:rPr>
          <w:rFonts w:ascii="Arial" w:cs="Arial" w:eastAsia="Arial" w:hAnsi="Arial"/>
          <w:sz w:val="18"/>
          <w:szCs w:val="18"/>
          <w:color w:val="auto"/>
        </w:rPr>
        <w:t>symptoms during an initial trial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13335</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Treatment of adult patients with metastatic SCLC,</w:t>
      </w:r>
    </w:p>
    <w:p>
      <w:pPr>
        <w:ind w:right="900"/>
        <w:spacing w:after="0" w:line="226" w:lineRule="auto"/>
        <w:rPr>
          <w:sz w:val="20"/>
          <w:szCs w:val="20"/>
          <w:color w:val="auto"/>
        </w:rPr>
      </w:pPr>
      <w:r>
        <w:rPr>
          <w:rFonts w:ascii="Arial" w:cs="Arial" w:eastAsia="Arial" w:hAnsi="Arial"/>
          <w:sz w:val="18"/>
          <w:szCs w:val="18"/>
          <w:color w:val="auto"/>
        </w:rPr>
        <w:t>with disease progression on or after platinum- June 2020 based chemotherapy.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Treatment of adults with Stage III or metastatic</w:t>
      </w:r>
    </w:p>
    <w:p>
      <w:pPr>
        <w:ind w:right="460"/>
        <w:spacing w:after="0" w:line="258" w:lineRule="auto"/>
        <w:rPr>
          <w:sz w:val="20"/>
          <w:szCs w:val="20"/>
          <w:color w:val="auto"/>
        </w:rPr>
      </w:pPr>
      <w:r>
        <w:rPr>
          <w:rFonts w:ascii="Arial" w:cs="Arial" w:eastAsia="Arial" w:hAnsi="Arial"/>
          <w:sz w:val="18"/>
          <w:szCs w:val="18"/>
          <w:color w:val="auto"/>
        </w:rPr>
        <w:t>SCLC who have progressed on or after platinum- September 2021 containing therapy.</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U.K. and Canada (other markets through licensing agreements with partners)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U.S. (licensed from</w:t>
      </w:r>
    </w:p>
    <w:p>
      <w:pPr>
        <w:spacing w:after="0"/>
        <w:rPr>
          <w:sz w:val="20"/>
          <w:szCs w:val="20"/>
          <w:color w:val="auto"/>
        </w:rPr>
      </w:pPr>
      <w:r>
        <w:rPr>
          <w:rFonts w:ascii="Arial" w:cs="Arial" w:eastAsia="Arial" w:hAnsi="Arial"/>
          <w:sz w:val="18"/>
          <w:szCs w:val="18"/>
          <w:color w:val="auto"/>
        </w:rPr>
        <w:t>PharmaMar)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Canada (licensed from</w:t>
      </w:r>
    </w:p>
    <w:p>
      <w:pPr>
        <w:spacing w:after="0"/>
        <w:rPr>
          <w:sz w:val="20"/>
          <w:szCs w:val="20"/>
          <w:color w:val="auto"/>
        </w:rPr>
      </w:pPr>
      <w:r>
        <w:rPr>
          <w:rFonts w:ascii="Arial" w:cs="Arial" w:eastAsia="Arial" w:hAnsi="Arial"/>
          <w:sz w:val="18"/>
          <w:szCs w:val="18"/>
          <w:color w:val="auto"/>
        </w:rPr>
        <w:t>PharmaMar)</w:t>
      </w:r>
    </w:p>
    <w:p>
      <w:pPr>
        <w:spacing w:after="0" w:line="158" w:lineRule="exact"/>
        <w:rPr>
          <w:sz w:val="20"/>
          <w:szCs w:val="20"/>
          <w:color w:val="auto"/>
        </w:rPr>
      </w:pPr>
    </w:p>
    <w:p>
      <w:pPr>
        <w:sectPr>
          <w:pgSz w:w="11900" w:h="16838" w:orient="portrait"/>
          <w:cols w:equalWidth="0" w:num="3">
            <w:col w:w="2100" w:space="720"/>
            <w:col w:w="5320" w:space="720"/>
            <w:col w:w="2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Rylaze™ (asparaginase erwinia</w:t>
            </w:r>
          </w:p>
        </w:tc>
        <w:tc>
          <w:tcPr>
            <w:tcW w:w="5500" w:type="dxa"/>
            <w:vAlign w:val="bottom"/>
            <w:shd w:val="clear" w:color="auto" w:fill="CCEEFF"/>
          </w:tcPr>
          <w:p>
            <w:pPr>
              <w:ind w:left="260"/>
              <w:spacing w:after="0" w:line="175" w:lineRule="exact"/>
              <w:rPr>
                <w:sz w:val="20"/>
                <w:szCs w:val="20"/>
                <w:color w:val="auto"/>
              </w:rPr>
            </w:pPr>
            <w:r>
              <w:rPr>
                <w:rFonts w:ascii="Arial" w:cs="Arial" w:eastAsia="Arial" w:hAnsi="Arial"/>
                <w:sz w:val="18"/>
                <w:szCs w:val="18"/>
                <w:color w:val="auto"/>
              </w:rPr>
              <w:t>A component of a multi-agent chemotherapeutic</w:t>
            </w:r>
          </w:p>
        </w:tc>
        <w:tc>
          <w:tcPr>
            <w:tcW w:w="3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vMerge w:val="continue"/>
            <w:shd w:val="clear" w:color="auto" w:fill="CCEEFF"/>
          </w:tcPr>
          <w:p>
            <w:pPr>
              <w:spacing w:after="0"/>
              <w:rPr>
                <w:sz w:val="15"/>
                <w:szCs w:val="15"/>
                <w:color w:val="auto"/>
              </w:rPr>
            </w:pPr>
          </w:p>
        </w:tc>
        <w:tc>
          <w:tcPr>
            <w:tcW w:w="550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regimen for the treatment of ALL, and LBL, in</w:t>
            </w:r>
          </w:p>
        </w:tc>
        <w:tc>
          <w:tcPr>
            <w:tcW w:w="3160" w:type="dxa"/>
            <w:vAlign w:val="bottom"/>
            <w:vMerge w:val="restart"/>
            <w:shd w:val="clear" w:color="auto" w:fill="CCEEFF"/>
          </w:tcPr>
          <w:p>
            <w:pPr>
              <w:ind w:left="80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chrysanthemi (recombinant)-</w:t>
            </w:r>
          </w:p>
        </w:tc>
        <w:tc>
          <w:tcPr>
            <w:tcW w:w="550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adult and pediatric patients 1 month or older who  June 2021</w:t>
            </w:r>
          </w:p>
        </w:tc>
        <w:tc>
          <w:tcPr>
            <w:tcW w:w="31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rywn)</w:t>
            </w:r>
          </w:p>
        </w:tc>
        <w:tc>
          <w:tcPr>
            <w:tcW w:w="550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 xml:space="preserve">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w:t>
            </w:r>
          </w:p>
        </w:tc>
        <w:tc>
          <w:tcPr>
            <w:tcW w:w="3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19"/>
                <w:szCs w:val="19"/>
                <w:color w:val="auto"/>
              </w:rPr>
            </w:pPr>
          </w:p>
        </w:tc>
        <w:tc>
          <w:tcPr>
            <w:tcW w:w="5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asparaginase.</w:t>
            </w:r>
          </w:p>
        </w:tc>
        <w:tc>
          <w:tcPr>
            <w:tcW w:w="3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60" w:type="dxa"/>
            <w:vAlign w:val="bottom"/>
          </w:tcPr>
          <w:p>
            <w:pPr>
              <w:spacing w:after="0"/>
              <w:rPr>
                <w:sz w:val="24"/>
                <w:szCs w:val="24"/>
                <w:color w:val="auto"/>
              </w:rPr>
            </w:pPr>
          </w:p>
        </w:tc>
        <w:tc>
          <w:tcPr>
            <w:tcW w:w="5500" w:type="dxa"/>
            <w:vAlign w:val="bottom"/>
          </w:tcPr>
          <w:p>
            <w:pPr>
              <w:ind w:left="2980"/>
              <w:spacing w:after="0"/>
              <w:rPr>
                <w:sz w:val="20"/>
                <w:szCs w:val="20"/>
                <w:color w:val="auto"/>
              </w:rPr>
            </w:pPr>
            <w:r>
              <w:rPr>
                <w:rFonts w:ascii="Arial" w:cs="Arial" w:eastAsia="Arial" w:hAnsi="Arial"/>
                <w:sz w:val="18"/>
                <w:szCs w:val="18"/>
                <w:color w:val="auto"/>
              </w:rPr>
              <w:t>11</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7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0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Vyxeos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(daunorubicin and</w:t>
            </w:r>
          </w:p>
        </w:tc>
        <w:tc>
          <w:tcPr>
            <w:tcW w:w="3760" w:type="dxa"/>
            <w:vAlign w:val="bottom"/>
          </w:tcPr>
          <w:p>
            <w:pPr>
              <w:ind w:left="180"/>
              <w:spacing w:after="0"/>
              <w:rPr>
                <w:sz w:val="20"/>
                <w:szCs w:val="20"/>
                <w:color w:val="auto"/>
              </w:rPr>
            </w:pPr>
            <w:r>
              <w:rPr>
                <w:rFonts w:ascii="Arial" w:cs="Arial" w:eastAsia="Arial" w:hAnsi="Arial"/>
                <w:sz w:val="18"/>
                <w:szCs w:val="18"/>
                <w:color w:val="auto"/>
                <w:w w:val="92"/>
              </w:rPr>
              <w:t>Treatment of newly-diagnosed therapy-related t-</w:t>
            </w:r>
          </w:p>
        </w:tc>
        <w:tc>
          <w:tcPr>
            <w:tcW w:w="1040" w:type="dxa"/>
            <w:vAlign w:val="bottom"/>
          </w:tcPr>
          <w:p>
            <w:pPr>
              <w:ind w:left="100"/>
              <w:spacing w:after="0"/>
              <w:rPr>
                <w:sz w:val="20"/>
                <w:szCs w:val="20"/>
                <w:color w:val="auto"/>
              </w:rPr>
            </w:pPr>
            <w:r>
              <w:rPr>
                <w:rFonts w:ascii="Arial" w:cs="Arial" w:eastAsia="Arial" w:hAnsi="Arial"/>
                <w:sz w:val="18"/>
                <w:szCs w:val="18"/>
                <w:color w:val="auto"/>
                <w:w w:val="90"/>
              </w:rPr>
              <w:t>August 2017</w:t>
            </w:r>
          </w:p>
        </w:tc>
      </w:tr>
      <w:tr>
        <w:trPr>
          <w:trHeight w:val="160"/>
        </w:trPr>
        <w:tc>
          <w:tcPr>
            <w:tcW w:w="2640" w:type="dxa"/>
            <w:vAlign w:val="bottom"/>
            <w:gridSpan w:val="2"/>
          </w:tcPr>
          <w:p>
            <w:pPr>
              <w:ind w:left="20"/>
              <w:spacing w:after="0" w:line="160" w:lineRule="exact"/>
              <w:rPr>
                <w:sz w:val="20"/>
                <w:szCs w:val="20"/>
                <w:color w:val="auto"/>
              </w:rPr>
            </w:pPr>
            <w:r>
              <w:rPr>
                <w:rFonts w:ascii="Arial" w:cs="Arial" w:eastAsia="Arial" w:hAnsi="Arial"/>
                <w:sz w:val="18"/>
                <w:szCs w:val="18"/>
                <w:color w:val="auto"/>
                <w:w w:val="98"/>
              </w:rPr>
              <w:t>cytarabine) liposome for injection</w:t>
            </w:r>
          </w:p>
        </w:tc>
        <w:tc>
          <w:tcPr>
            <w:tcW w:w="3760" w:type="dxa"/>
            <w:vAlign w:val="bottom"/>
          </w:tcPr>
          <w:p>
            <w:pPr>
              <w:ind w:left="180"/>
              <w:spacing w:after="0" w:line="160" w:lineRule="exact"/>
              <w:rPr>
                <w:sz w:val="20"/>
                <w:szCs w:val="20"/>
                <w:color w:val="auto"/>
              </w:rPr>
            </w:pPr>
            <w:r>
              <w:rPr>
                <w:rFonts w:ascii="Arial" w:cs="Arial" w:eastAsia="Arial" w:hAnsi="Arial"/>
                <w:sz w:val="18"/>
                <w:szCs w:val="18"/>
                <w:color w:val="auto"/>
              </w:rPr>
              <w:t>AML or AML-MRC in adults and pediatric</w:t>
            </w:r>
          </w:p>
        </w:tc>
        <w:tc>
          <w:tcPr>
            <w:tcW w:w="1040" w:type="dxa"/>
            <w:vAlign w:val="bottom"/>
          </w:tcPr>
          <w:p>
            <w:pPr>
              <w:spacing w:after="0"/>
              <w:rPr>
                <w:sz w:val="13"/>
                <w:szCs w:val="13"/>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patients one year and older.</w:t>
            </w: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544" w:lineRule="exact"/>
        <w:rPr>
          <w:sz w:val="20"/>
          <w:szCs w:val="20"/>
          <w:color w:val="auto"/>
        </w:rPr>
      </w:pPr>
    </w:p>
    <w:p>
      <w:pPr>
        <w:sectPr>
          <w:pgSz w:w="11900" w:h="16838" w:orient="portrait"/>
          <w:cols w:equalWidth="0" w:num="2">
            <w:col w:w="8140" w:space="720"/>
            <w:col w:w="2380"/>
          </w:cols>
          <w:pgMar w:left="320" w:top="108" w:right="339" w:bottom="1440" w:gutter="0" w:footer="0" w:header="0"/>
        </w:sectPr>
      </w:pPr>
    </w:p>
    <w:p>
      <w:pPr>
        <w:spacing w:after="0" w:line="62" w:lineRule="exact"/>
        <w:rPr>
          <w:sz w:val="20"/>
          <w:szCs w:val="20"/>
          <w:color w:val="auto"/>
        </w:rPr>
      </w:pPr>
    </w:p>
    <w:p>
      <w:pPr>
        <w:jc w:val="both"/>
        <w:ind w:left="20" w:right="200"/>
        <w:spacing w:after="0" w:line="207" w:lineRule="auto"/>
        <w:rPr>
          <w:sz w:val="20"/>
          <w:szCs w:val="20"/>
          <w:color w:val="auto"/>
        </w:rPr>
      </w:pPr>
      <w:r>
        <w:rPr>
          <w:rFonts w:ascii="Arial" w:cs="Arial" w:eastAsia="Arial" w:hAnsi="Arial"/>
          <w:sz w:val="18"/>
          <w:szCs w:val="18"/>
          <w:color w:val="auto"/>
        </w:rPr>
        <w:t>Vyxeos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liposomal 44 mg/100 mg powder for concentrate for solution for infusion</w:t>
      </w:r>
    </w:p>
    <w:p>
      <w:pPr>
        <w:spacing w:after="0" w:line="185" w:lineRule="exact"/>
        <w:rPr>
          <w:sz w:val="20"/>
          <w:szCs w:val="20"/>
          <w:color w:val="auto"/>
        </w:rPr>
      </w:pPr>
    </w:p>
    <w:p>
      <w:pPr>
        <w:ind w:left="20"/>
        <w:spacing w:after="0" w:line="248" w:lineRule="auto"/>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 Powder, 44 mg daunorubicin and 100 mg cytarabine per vial, intravenous infusion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 sodium)</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Treatment of adults with newly-diagnosed t-AML or AML-MRC.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Treatment of adults with newly diagnosed therapy-related t-AML or AML with AML-MRC.</w:t>
      </w:r>
    </w:p>
    <w:p>
      <w:pPr>
        <w:spacing w:after="0" w:line="121"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Treatment of adult and pediatric patients with hepatic VOD, also known as SOS, with renal or pulmonary dysfunction following HSCT.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-366395</wp:posOffset>
            </wp:positionV>
            <wp:extent cx="7115175"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14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April 2021</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March 2016</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464" w:lineRule="exact"/>
        <w:rPr>
          <w:sz w:val="20"/>
          <w:szCs w:val="20"/>
          <w:color w:val="auto"/>
        </w:rPr>
      </w:pPr>
    </w:p>
    <w:p>
      <w:pPr>
        <w:sectPr>
          <w:pgSz w:w="11900" w:h="16838" w:orient="portrait"/>
          <w:cols w:equalWidth="0" w:num="4">
            <w:col w:w="2780" w:space="40"/>
            <w:col w:w="3600" w:space="80"/>
            <w:col w:w="1640" w:space="720"/>
            <w:col w:w="2380"/>
          </w:cols>
          <w:pgMar w:left="320" w:top="108"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w w:val="91"/>
              </w:rPr>
              <w:t>Treatment of severe hepatic VOD, also known as</w:t>
            </w:r>
          </w:p>
        </w:tc>
        <w:tc>
          <w:tcPr>
            <w:tcW w:w="1060" w:type="dxa"/>
            <w:vAlign w:val="bottom"/>
          </w:tcPr>
          <w:p>
            <w:pPr>
              <w:spacing w:after="0"/>
              <w:rPr>
                <w:sz w:val="17"/>
                <w:szCs w:val="17"/>
                <w:color w:val="auto"/>
              </w:rPr>
            </w:pPr>
          </w:p>
        </w:tc>
      </w:tr>
      <w:tr>
        <w:trPr>
          <w:trHeight w:val="325"/>
        </w:trPr>
        <w:tc>
          <w:tcPr>
            <w:tcW w:w="2240" w:type="dxa"/>
            <w:vAlign w:val="bottom"/>
          </w:tcPr>
          <w:p>
            <w:pPr>
              <w:spacing w:after="0"/>
              <w:rPr>
                <w:sz w:val="20"/>
                <w:szCs w:val="20"/>
                <w:color w:val="auto"/>
              </w:rPr>
            </w:pPr>
            <w:r>
              <w:rPr>
                <w:rFonts w:ascii="Arial" w:cs="Arial" w:eastAsia="Arial" w:hAnsi="Arial"/>
                <w:sz w:val="18"/>
                <w:szCs w:val="18"/>
                <w:color w:val="auto"/>
              </w:rPr>
              <w:t>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w:t>
            </w:r>
          </w:p>
        </w:tc>
        <w:tc>
          <w:tcPr>
            <w:tcW w:w="4180" w:type="dxa"/>
            <w:vAlign w:val="bottom"/>
          </w:tcPr>
          <w:p>
            <w:pPr>
              <w:ind w:left="560"/>
              <w:spacing w:after="0"/>
              <w:rPr>
                <w:sz w:val="20"/>
                <w:szCs w:val="20"/>
                <w:color w:val="auto"/>
              </w:rPr>
            </w:pPr>
            <w:r>
              <w:rPr>
                <w:rFonts w:ascii="Arial" w:cs="Arial" w:eastAsia="Arial" w:hAnsi="Arial"/>
                <w:sz w:val="18"/>
                <w:szCs w:val="18"/>
                <w:color w:val="auto"/>
              </w:rPr>
              <w:t>SOS, following HSCT therapy.</w:t>
            </w:r>
          </w:p>
        </w:tc>
        <w:tc>
          <w:tcPr>
            <w:tcW w:w="1060" w:type="dxa"/>
            <w:vAlign w:val="bottom"/>
          </w:tcPr>
          <w:p>
            <w:pPr>
              <w:ind w:left="60"/>
              <w:spacing w:after="0"/>
              <w:rPr>
                <w:sz w:val="20"/>
                <w:szCs w:val="20"/>
                <w:color w:val="auto"/>
              </w:rPr>
            </w:pPr>
            <w:r>
              <w:rPr>
                <w:rFonts w:ascii="Arial" w:cs="Arial" w:eastAsia="Arial" w:hAnsi="Arial"/>
                <w:sz w:val="18"/>
                <w:szCs w:val="18"/>
                <w:color w:val="auto"/>
                <w:w w:val="89"/>
              </w:rPr>
              <w:t>October 2013</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Clobazam restriction limited to EU and Great Britain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**TSC approval pending in certain markets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1167" w:lineRule="exact"/>
        <w:rPr>
          <w:sz w:val="20"/>
          <w:szCs w:val="20"/>
          <w:color w:val="auto"/>
        </w:rPr>
      </w:pPr>
    </w:p>
    <w:p>
      <w:pPr>
        <w:sectPr>
          <w:pgSz w:w="11900" w:h="16838" w:orient="portrait"/>
          <w:cols w:equalWidth="0" w:num="2">
            <w:col w:w="8140" w:space="720"/>
            <w:col w:w="2380"/>
          </w:cols>
          <w:pgMar w:left="320" w:top="108" w:right="339" w:bottom="1440" w:gutter="0" w:footer="0" w:header="0"/>
          <w:type w:val="continuous"/>
        </w:sectPr>
      </w:pPr>
    </w:p>
    <w:p>
      <w:pPr>
        <w:ind w:right="20" w:firstLine="445"/>
        <w:spacing w:after="0" w:line="259" w:lineRule="auto"/>
        <w:rPr>
          <w:sz w:val="20"/>
          <w:szCs w:val="20"/>
          <w:color w:val="auto"/>
        </w:rPr>
      </w:pPr>
      <w:r>
        <w:rPr>
          <w:rFonts w:ascii="Arial" w:cs="Arial" w:eastAsia="Arial" w:hAnsi="Arial"/>
          <w:sz w:val="18"/>
          <w:szCs w:val="18"/>
          <w:color w:val="auto"/>
        </w:rPr>
        <w:t>A key aspect of our strategy is our continued investment in expanding our research and development organization and initiatives. We actively explore new options for patients including novel compounds, small molecule advancements, biologics and innovative delivery technologies. We are focused on research and development activities within our neuroscience and oncology therapeutic areas, such as our expansion into movement disorders and solid tumors, and exploring and potentially investing in adjacent therapeutic areas.</w:t>
      </w:r>
    </w:p>
    <w:p>
      <w:pPr>
        <w:spacing w:after="0" w:line="79"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3"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Our current and planned development activities in our neuroscience therapeutic area are focused on an additional indication for Epidiolex, and advancing novel therapies, including nabiximols, suvecaltamide (JZP385) and JZP150.</w:t>
      </w:r>
    </w:p>
    <w:p>
      <w:pPr>
        <w:spacing w:after="0" w:line="6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i w:val="1"/>
          <w:iCs w:val="1"/>
          <w:color w:val="auto"/>
        </w:rPr>
        <w:t xml:space="preserve">Epidiolex. </w:t>
      </w:r>
      <w:r>
        <w:rPr>
          <w:rFonts w:ascii="Arial" w:cs="Arial" w:eastAsia="Arial" w:hAnsi="Arial"/>
          <w:sz w:val="18"/>
          <w:szCs w:val="18"/>
          <w:color w:val="auto"/>
        </w:rPr>
        <w:t>We anticipate the initiation of a pivotal Phase 3 clinical trial of Epidiolex for the treatment of Epilepsy with Myoclonic-Atonic Seizures, or</w:t>
      </w:r>
      <w:r>
        <w:rPr>
          <w:rFonts w:ascii="Arial" w:cs="Arial" w:eastAsia="Arial" w:hAnsi="Arial"/>
          <w:sz w:val="18"/>
          <w:szCs w:val="18"/>
          <w:i w:val="1"/>
          <w:iCs w:val="1"/>
          <w:color w:val="auto"/>
        </w:rPr>
        <w:t xml:space="preserve"> </w:t>
      </w:r>
      <w:r>
        <w:rPr>
          <w:rFonts w:ascii="Arial" w:cs="Arial" w:eastAsia="Arial" w:hAnsi="Arial"/>
          <w:sz w:val="18"/>
          <w:szCs w:val="18"/>
          <w:color w:val="auto"/>
        </w:rPr>
        <w:t>EMAS, also known as Doose syndrome, in the first half of 2022. This trial is designed to evaluate Epidiolex in a fourth childhood-onset epileptic encephalopathy with high unmet need. EMAS is characterized by generalized myoclonic-atonic seizures, and this trial is designed to provide the first randomized, controlled clinical data with Epidiolex in this syndrome type. Seizure types including atonic, tonic, clonic, tonic-clonic, and partial onset seizures are seen in LGS, DS and TSC.</w:t>
      </w:r>
    </w:p>
    <w:p>
      <w:pPr>
        <w:spacing w:after="0" w:line="80"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i w:val="1"/>
          <w:iCs w:val="1"/>
          <w:color w:val="auto"/>
        </w:rPr>
        <w:t xml:space="preserve">Nabiximols. </w:t>
      </w:r>
      <w:r>
        <w:rPr>
          <w:rFonts w:ascii="Arial" w:cs="Arial" w:eastAsia="Arial" w:hAnsi="Arial"/>
          <w:sz w:val="18"/>
          <w:szCs w:val="18"/>
          <w:color w:val="auto"/>
        </w:rPr>
        <w:t>We have three ongoing Phase 3 clinical trials in multiple sclerosis (MS)-related spasticity. Collectively these trials will expand the body</w:t>
      </w:r>
      <w:r>
        <w:rPr>
          <w:rFonts w:ascii="Arial" w:cs="Arial" w:eastAsia="Arial" w:hAnsi="Arial"/>
          <w:sz w:val="18"/>
          <w:szCs w:val="18"/>
          <w:i w:val="1"/>
          <w:iCs w:val="1"/>
          <w:color w:val="auto"/>
        </w:rPr>
        <w:t xml:space="preserve"> </w:t>
      </w:r>
      <w:r>
        <w:rPr>
          <w:rFonts w:ascii="Arial" w:cs="Arial" w:eastAsia="Arial" w:hAnsi="Arial"/>
          <w:sz w:val="18"/>
          <w:szCs w:val="18"/>
          <w:color w:val="auto"/>
        </w:rPr>
        <w:t>of evidence on the safety and efficacy of nabiximols in addressing spasticity in MS patients, and either individually or jointly may support an NDA submission to FDA. Spasticity occurs in up to 84% of MS patients, and approximately one-third of those who experience spasticity live with uncontrolled symptoms. The first trial is a smaller, shorter trial relative to the other two. The first trial is assessing changes in muscle tone using elements of the Modified Ashworth scale.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results from this first trial are positive, there is the potential for an NDA submission to FDA by the end of 2022. The two additional trials have larger sample sizes.</w:t>
      </w:r>
    </w:p>
    <w:p>
      <w:pPr>
        <w:spacing w:after="0" w:line="62" w:lineRule="exact"/>
        <w:rPr>
          <w:sz w:val="20"/>
          <w:szCs w:val="20"/>
          <w:color w:val="auto"/>
        </w:rPr>
      </w:pPr>
    </w:p>
    <w:p>
      <w:pPr>
        <w:ind w:right="80" w:firstLine="445"/>
        <w:spacing w:after="0" w:line="291" w:lineRule="auto"/>
        <w:rPr>
          <w:sz w:val="20"/>
          <w:szCs w:val="20"/>
          <w:color w:val="auto"/>
        </w:rPr>
      </w:pPr>
      <w:r>
        <w:rPr>
          <w:rFonts w:ascii="Arial" w:cs="Arial" w:eastAsia="Arial" w:hAnsi="Arial"/>
          <w:sz w:val="16"/>
          <w:szCs w:val="16"/>
          <w:i w:val="1"/>
          <w:iCs w:val="1"/>
          <w:color w:val="auto"/>
        </w:rPr>
        <w:t>Suvecaltamide</w:t>
      </w:r>
      <w:r>
        <w:rPr>
          <w:rFonts w:ascii="Arial" w:cs="Arial" w:eastAsia="Arial" w:hAnsi="Arial"/>
          <w:sz w:val="16"/>
          <w:szCs w:val="16"/>
          <w:color w:val="auto"/>
        </w:rPr>
        <w:t>. Suvecaltamide (JZP385) is a highly selective modulator of T-type calcium channels currently in development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essential tremor, or ET. ET is the most common pathological movement disorder, and there have been no new approved therapies in more than 50 years. We acquired suvecaltamide in our acquisition of Cavion, Inc., or Cavion, a clinical-stage biotechnology company, in August 2019. We initiated a Phase 2b clinical trial of suvecaltamide in December 2021. In this multicenter, double-blind, randomized, placebo-controlled trial, we are evaluating the safety and efficacy of suvecaltamide in the treatment of adults with moderate to severe ET. The primary efficacy outcome measure is the change from baseline to Week 12 on the Tremor Research Group Essential Tremor Rating Assessment Scale (TETRAS) composite outcome score, which represents items from the TETRAS-Activities of Daily Living and TETRAS-Performance Subscale, and measures the functional impact due to tremor.</w:t>
      </w:r>
    </w:p>
    <w:p>
      <w:pPr>
        <w:spacing w:after="0" w:line="5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i w:val="1"/>
          <w:iCs w:val="1"/>
          <w:color w:val="auto"/>
        </w:rPr>
        <w:t xml:space="preserve">JZP150. </w:t>
      </w:r>
      <w:r>
        <w:rPr>
          <w:rFonts w:ascii="Arial" w:cs="Arial" w:eastAsia="Arial" w:hAnsi="Arial"/>
          <w:sz w:val="17"/>
          <w:szCs w:val="17"/>
          <w:color w:val="auto"/>
        </w:rPr>
        <w:t>JZP150 is a fatty acid amide hydrolase, or FAAH, inhibitor program for the potential treatment of post-traumatic stress disorder, or PTSD,</w:t>
      </w:r>
      <w:r>
        <w:rPr>
          <w:rFonts w:ascii="Arial" w:cs="Arial" w:eastAsia="Arial" w:hAnsi="Arial"/>
          <w:sz w:val="17"/>
          <w:szCs w:val="17"/>
          <w:i w:val="1"/>
          <w:iCs w:val="1"/>
          <w:color w:val="auto"/>
        </w:rPr>
        <w:t xml:space="preserve"> </w:t>
      </w:r>
      <w:r>
        <w:rPr>
          <w:rFonts w:ascii="Arial" w:cs="Arial" w:eastAsia="Arial" w:hAnsi="Arial"/>
          <w:sz w:val="17"/>
          <w:szCs w:val="17"/>
          <w:color w:val="auto"/>
        </w:rPr>
        <w:t>and associated symptoms. PTSD affects up to 8% of adults during their lifetime, and there are limited treatment options available. In October 2020, we entered into an asset purchase and exclusive license agreement with SpringWorks, under which we acquired SpringWorks’ FAAH inhibitor program, including an assignment of SpringWorks’ proprietary FAAH inhibitor PF-04457845, or PF-’845, now named JZP150. We initiated a Phase 2 clinical trial of JZP150 for PTSD in December 2021. In this trial, we are evaluating the safety and efficacy of JZP150 in the treatment of adults with PTSD as measured by improvement in the Clinician Administered Post Traumatic Stress Disorder (PTSD) Scale (CAPS-5) Total Symptom Severity Score, a validated clinical instrument for assessing the severity of PTSD symptoms.</w:t>
      </w:r>
    </w:p>
    <w:p>
      <w:pPr>
        <w:spacing w:after="0" w:line="69" w:lineRule="exact"/>
        <w:rPr>
          <w:sz w:val="20"/>
          <w:szCs w:val="20"/>
          <w:color w:val="auto"/>
        </w:rPr>
      </w:pPr>
    </w:p>
    <w:p>
      <w:pPr>
        <w:jc w:val="both"/>
        <w:ind w:right="460" w:firstLine="445"/>
        <w:spacing w:after="0" w:line="263" w:lineRule="auto"/>
        <w:rPr>
          <w:sz w:val="20"/>
          <w:szCs w:val="20"/>
          <w:color w:val="auto"/>
        </w:rPr>
      </w:pPr>
      <w:r>
        <w:rPr>
          <w:rFonts w:ascii="Arial" w:cs="Arial" w:eastAsia="Arial" w:hAnsi="Arial"/>
          <w:sz w:val="18"/>
          <w:szCs w:val="18"/>
          <w:color w:val="auto"/>
        </w:rPr>
        <w:t>Our current and planned research and development activities in our oncology therapeutic area are focused on Rylaze and Zepzelca, including in combination with other therapeutic agents, exploring additional indications for Vyxeos, and the research and development of new product candidates through our external collaborations.</w:t>
      </w:r>
    </w:p>
    <w:p>
      <w:pPr>
        <w:spacing w:after="0" w:line="76" w:lineRule="exact"/>
        <w:rPr>
          <w:sz w:val="20"/>
          <w:szCs w:val="20"/>
          <w:color w:val="auto"/>
        </w:rPr>
      </w:pPr>
    </w:p>
    <w:p>
      <w:pPr>
        <w:ind w:right="60" w:firstLine="445"/>
        <w:spacing w:after="0"/>
        <w:rPr>
          <w:sz w:val="20"/>
          <w:szCs w:val="20"/>
          <w:color w:val="auto"/>
        </w:rPr>
      </w:pPr>
      <w:r>
        <w:rPr>
          <w:rFonts w:ascii="Arial" w:cs="Arial" w:eastAsia="Arial" w:hAnsi="Arial"/>
          <w:sz w:val="18"/>
          <w:szCs w:val="18"/>
          <w:i w:val="1"/>
          <w:iCs w:val="1"/>
          <w:color w:val="auto"/>
        </w:rPr>
        <w:t>Zepzelca</w:t>
      </w:r>
      <w:r>
        <w:rPr>
          <w:rFonts w:ascii="Arial" w:cs="Arial" w:eastAsia="Arial" w:hAnsi="Arial"/>
          <w:sz w:val="18"/>
          <w:szCs w:val="18"/>
          <w:color w:val="auto"/>
        </w:rPr>
        <w:t>. In collaboration with F. Hoffmann-La Roche Ltd, or Roche, we have initiated a Phase 3 pivotal clinical trial in first-line extensive stage</w:t>
      </w:r>
      <w:r>
        <w:rPr>
          <w:rFonts w:ascii="Arial" w:cs="Arial" w:eastAsia="Arial" w:hAnsi="Arial"/>
          <w:sz w:val="18"/>
          <w:szCs w:val="18"/>
          <w:i w:val="1"/>
          <w:iCs w:val="1"/>
          <w:color w:val="auto"/>
        </w:rPr>
        <w:t xml:space="preserve"> </w:t>
      </w:r>
      <w:r>
        <w:rPr>
          <w:rFonts w:ascii="Arial" w:cs="Arial" w:eastAsia="Arial" w:hAnsi="Arial"/>
          <w:sz w:val="18"/>
          <w:szCs w:val="18"/>
          <w:color w:val="auto"/>
        </w:rPr>
        <w:t>SCLC of Zepzelca in combination with Tecentriq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(atezolizumab). After discussion with FDA, our licensor PharmaMar initiated a confirmatory trial in second-line SCLC in December 2021. This is a three-arm trial comparing Zepzelca as either monotherapy or in combination with irinotecan to investigator's choice of irinotecan or topotecan. Data from this trial, if positive, would serve as the confirmatory trial for Zepzelca to secure full approval in the U.S.</w:t>
      </w:r>
    </w:p>
    <w:p>
      <w:pPr>
        <w:spacing w:after="0" w:line="96"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We initiated a Phase 2 basket trial in the first quarter of 2022 to explore Zepzelca monotherapy in patients with select advanced or metastatic solid tumors. Cohorts will include advanced urothelial cancer, large cell neuroendocrine tumor of the lung, and homologous recombinant deficient positive (HRD+) cancers. In addition, we have initiated a Phase 4 observational study to collect real world safety and outcome data in adult Zepzelca monotherapy patients with SCLC who progress on or after prior platinum-containing chemotherapy.</w:t>
      </w:r>
    </w:p>
    <w:p>
      <w:pPr>
        <w:spacing w:after="0" w:line="73" w:lineRule="exact"/>
        <w:rPr>
          <w:sz w:val="20"/>
          <w:szCs w:val="20"/>
          <w:color w:val="auto"/>
        </w:rPr>
      </w:pPr>
    </w:p>
    <w:p>
      <w:pPr>
        <w:jc w:val="both"/>
        <w:ind w:right="40" w:firstLine="445"/>
        <w:spacing w:after="0" w:line="258" w:lineRule="auto"/>
        <w:rPr>
          <w:sz w:val="20"/>
          <w:szCs w:val="20"/>
          <w:color w:val="auto"/>
        </w:rPr>
      </w:pPr>
      <w:r>
        <w:rPr>
          <w:rFonts w:ascii="Arial" w:cs="Arial" w:eastAsia="Arial" w:hAnsi="Arial"/>
          <w:sz w:val="17"/>
          <w:szCs w:val="17"/>
          <w:i w:val="1"/>
          <w:iCs w:val="1"/>
          <w:color w:val="auto"/>
        </w:rPr>
        <w:t>Rylaze</w:t>
      </w:r>
      <w:r>
        <w:rPr>
          <w:rFonts w:ascii="Arial" w:cs="Arial" w:eastAsia="Arial" w:hAnsi="Arial"/>
          <w:sz w:val="17"/>
          <w:szCs w:val="17"/>
          <w:color w:val="auto"/>
        </w:rPr>
        <w:t>. The current approved recommended dosage of Rylaze is for an intramuscular, or IM, administration of 25 mg/m</w:t>
      </w:r>
      <w:r>
        <w:rPr>
          <w:rFonts w:ascii="Arial" w:cs="Arial" w:eastAsia="Arial" w:hAnsi="Arial"/>
          <w:sz w:val="22"/>
          <w:szCs w:val="22"/>
          <w:color w:val="auto"/>
          <w:vertAlign w:val="super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every 48 hours. In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2022, we announced the submission of a supplemental Biologics License Application, or sBLA, to FDA with data to support a Monday/Wednesday/Friday (M/W/F) IM dosing schedule, which has also been granted review under the RTOR program. An additional part of the ongoing Rylaze study has evaluated intravenous, or IV, administration and, if the data are supportive, we expect to submit an additional sBLA to FDA in 2022 in support of IV administration. We also are planning a regulatory submission in Europe for IM and IV administration in mid-2022.</w:t>
      </w:r>
    </w:p>
    <w:p>
      <w:pPr>
        <w:spacing w:after="0" w:line="81" w:lineRule="exact"/>
        <w:rPr>
          <w:sz w:val="20"/>
          <w:szCs w:val="20"/>
          <w:color w:val="auto"/>
        </w:rPr>
      </w:pPr>
    </w:p>
    <w:p>
      <w:pPr>
        <w:ind w:right="180" w:firstLine="445"/>
        <w:spacing w:after="0" w:line="255" w:lineRule="auto"/>
        <w:rPr>
          <w:sz w:val="20"/>
          <w:szCs w:val="20"/>
          <w:color w:val="auto"/>
        </w:rPr>
      </w:pPr>
      <w:r>
        <w:rPr>
          <w:rFonts w:ascii="Arial" w:cs="Arial" w:eastAsia="Arial" w:hAnsi="Arial"/>
          <w:sz w:val="18"/>
          <w:szCs w:val="18"/>
          <w:i w:val="1"/>
          <w:iCs w:val="1"/>
          <w:color w:val="auto"/>
        </w:rPr>
        <w:t>Vyxeos</w:t>
      </w:r>
      <w:r>
        <w:rPr>
          <w:rFonts w:ascii="Arial" w:cs="Arial" w:eastAsia="Arial" w:hAnsi="Arial"/>
          <w:sz w:val="18"/>
          <w:szCs w:val="18"/>
          <w:color w:val="auto"/>
        </w:rPr>
        <w:t>. Our Vyxeos clinical development strategy is designed to target potential new patient segments across the AML landscape and to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data on Vyxeos when used in combination with other therapeutic agents. As reflected in the table below, we are pursuing this strategy by sponsoring clinical trials, working with cooperative groups who are conducting clinical trials, and partnering with The University of Texas MD Anderson Cancer Center, or MD Anderson. In August 2018, we announced a five-year collaboration with MD Anderson to evaluate potential treatment options for hematologic malignancies, with a near-term focus on Vyxeos, and shortly thereafter, commenced development activities under this collaboration. In addition, there are multiple ongoing ISTs studying Vyxeos.</w:t>
      </w:r>
    </w:p>
    <w:p>
      <w:pPr>
        <w:spacing w:after="0" w:line="84"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i w:val="1"/>
          <w:iCs w:val="1"/>
          <w:color w:val="auto"/>
        </w:rPr>
        <w:t xml:space="preserve">CombiPlex Platform. </w:t>
      </w:r>
      <w:r>
        <w:rPr>
          <w:rFonts w:ascii="Arial" w:cs="Arial" w:eastAsia="Arial" w:hAnsi="Arial"/>
          <w:sz w:val="17"/>
          <w:szCs w:val="17"/>
          <w:color w:val="auto"/>
        </w:rPr>
        <w:t>We are also evaluating the use of our CombiPlex delivery technology platform in a number of therapeutic formulations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in oncology as part of our internal oncology research and development activities. CombiPlex enables the design and rapid evaluation of various combinations of therapies to deliver enhanced anti-cancer activity by identifying an optimal synergistic ratio of drugs in vitro and fixing this ratio in a nanoscale delivery complex that maintains and then coordinates the release of the synergistic combination after administration. CombiPlex utilizes two proprietary nanoscale delivery platforms: liposomes to control the release and distribution of water-soluble drugs and drugs that are both water- and fat-soluble (amphipathic), and nanoparticles to control the release and distribution of non-water-soluble (hydrophobic) drugs.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Through third parties, we are also pursuing preclinical and clinical research and development activities in hematology and in precision oncology under a number of licensing and collaboration agreements, including with:</w:t>
      </w:r>
    </w:p>
    <w:p>
      <w:pPr>
        <w:spacing w:after="0" w:line="62" w:lineRule="exact"/>
        <w:rPr>
          <w:sz w:val="20"/>
          <w:szCs w:val="20"/>
          <w:color w:val="auto"/>
        </w:rPr>
      </w:pPr>
    </w:p>
    <w:p>
      <w:pPr>
        <w:ind w:left="740" w:right="180" w:hanging="327"/>
        <w:spacing w:after="0" w:line="263"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Codiak BioSciences, Inc., or Codiak, for an exclusive, worldwide, royalty-bearing license to develop, manufacture and commercialize potential therapeutic candidates directed at up to four targets to be developed using Codiak's engEx™ precision engineering platform for exosome therapeutics;</w:t>
      </w:r>
    </w:p>
    <w:p>
      <w:pPr>
        <w:spacing w:after="0" w:line="75" w:lineRule="exact"/>
        <w:rPr>
          <w:rFonts w:ascii="Arial" w:cs="Arial" w:eastAsia="Arial" w:hAnsi="Arial"/>
          <w:sz w:val="18"/>
          <w:szCs w:val="18"/>
          <w:color w:val="auto"/>
        </w:rPr>
      </w:pPr>
    </w:p>
    <w:p>
      <w:pPr>
        <w:ind w:left="740" w:right="240" w:hanging="327"/>
        <w:spacing w:after="0" w:line="277"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Pfenex, Inc., which was acquired by Ligand Pharmaceuticals Incorporated, or Ligand, for rights to JZP341, an early-stage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p>
      <w:pPr>
        <w:spacing w:after="0" w:line="56" w:lineRule="exact"/>
        <w:rPr>
          <w:rFonts w:ascii="Arial" w:cs="Arial" w:eastAsia="Arial" w:hAnsi="Arial"/>
          <w:sz w:val="18"/>
          <w:szCs w:val="18"/>
          <w:color w:val="auto"/>
        </w:rPr>
      </w:pPr>
    </w:p>
    <w:p>
      <w:pPr>
        <w:ind w:left="740" w:right="500" w:hanging="327"/>
        <w:spacing w:after="0" w:line="229"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XL-protein GmbH, or XLp, for rights to use XLp’s PASylation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to extend the plasma half-life of selected asparaginase product candidates; and</w:t>
      </w:r>
    </w:p>
    <w:p>
      <w:pPr>
        <w:spacing w:after="0" w:line="95" w:lineRule="exact"/>
        <w:rPr>
          <w:rFonts w:ascii="Arial" w:cs="Arial" w:eastAsia="Arial" w:hAnsi="Arial"/>
          <w:sz w:val="18"/>
          <w:szCs w:val="18"/>
          <w:color w:val="auto"/>
        </w:rPr>
      </w:pPr>
    </w:p>
    <w:p>
      <w:pPr>
        <w:ind w:left="740" w:right="80" w:hanging="327"/>
        <w:spacing w:after="0" w:line="263"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Redx Pharma, or Redx, for preclinical collaboration activities related to the pan-Raf inhibitor program that we purchased from Redx for the potential treatment of Raf and Ras mutant tumors and to discover and develop drug candidates for two cancer targets in the Ras/Raf/MAP kinase pathway.</w:t>
      </w:r>
    </w:p>
    <w:p>
      <w:pPr>
        <w:spacing w:after="0" w:line="76" w:lineRule="exact"/>
        <w:rPr>
          <w:sz w:val="20"/>
          <w:szCs w:val="20"/>
          <w:color w:val="auto"/>
        </w:rPr>
      </w:pPr>
    </w:p>
    <w:p>
      <w:pPr>
        <w:ind w:left="80" w:right="40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8040" w:type="dxa"/>
            <w:vAlign w:val="bottom"/>
            <w:gridSpan w:val="4"/>
          </w:tcPr>
          <w:p>
            <w:pPr>
              <w:ind w:left="1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Epidiolex</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EMAS, also known as Doose syndrome (planned study)</w:t>
            </w: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Nabiximols</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MS Spasticity (multiple studies ongoing)</w:t>
            </w:r>
          </w:p>
        </w:tc>
        <w:tc>
          <w:tcPr>
            <w:tcW w:w="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Spinal cord injury spasticity (planned study)</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2b</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337"/>
        </w:trPr>
        <w:tc>
          <w:tcPr>
            <w:tcW w:w="20" w:type="dxa"/>
            <w:vAlign w:val="bottom"/>
          </w:tcPr>
          <w:p>
            <w:pPr>
              <w:spacing w:after="0"/>
              <w:rPr>
                <w:sz w:val="24"/>
                <w:szCs w:val="24"/>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Suvecaltamide (JZP385)</w:t>
            </w: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ET (ongoing study)</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20" w:type="dxa"/>
            <w:vAlign w:val="bottom"/>
          </w:tcPr>
          <w:p>
            <w:pPr>
              <w:spacing w:after="0"/>
              <w:rPr>
                <w:sz w:val="24"/>
                <w:szCs w:val="24"/>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JZP150</w:t>
            </w: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PTSD (ongoing study)</w:t>
            </w: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Additional cannabinoids</w:t>
            </w: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rPr>
              <w:t>Schizophrenia (ongoing study)</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Autism spectrum disorders (ongoing study)</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JZP324</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Oxybate extended-release formulation (planned study)</w:t>
            </w: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Additional cannabinoids</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Neonatal hypoxic-ischemic encephalopathy (ongoing study)</w:t>
            </w:r>
          </w:p>
        </w:tc>
        <w:tc>
          <w:tcPr>
            <w:tcW w:w="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Neuropsychiatry targets (ongoing study)</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Neuroscience</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Cannabinoids</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ONCOLOGY</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Regulatory Review</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Rylaze</w:t>
            </w: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rPr>
              <w:t>ALL/LBL</w:t>
            </w:r>
          </w:p>
        </w:tc>
        <w:tc>
          <w:tcPr>
            <w:tcW w:w="100" w:type="dxa"/>
            <w:vAlign w:val="bottom"/>
          </w:tcPr>
          <w:p>
            <w:pPr>
              <w:spacing w:after="0"/>
              <w:rPr>
                <w:sz w:val="15"/>
                <w:szCs w:val="15"/>
                <w:color w:val="auto"/>
              </w:rPr>
            </w:pPr>
          </w:p>
        </w:tc>
      </w:tr>
      <w:tr>
        <w:trPr>
          <w:trHeight w:val="175"/>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w w:val="92"/>
              </w:rPr>
              <w:t>FDA approval in June 2021; announced completion of sBLA submission to FDA in January</w:t>
            </w:r>
          </w:p>
        </w:tc>
        <w:tc>
          <w:tcPr>
            <w:tcW w:w="100" w:type="dxa"/>
            <w:vAlign w:val="bottom"/>
          </w:tcPr>
          <w:p>
            <w:pPr>
              <w:spacing w:after="0"/>
              <w:rPr>
                <w:sz w:val="15"/>
                <w:szCs w:val="15"/>
                <w:color w:val="auto"/>
              </w:rPr>
            </w:pPr>
          </w:p>
        </w:tc>
      </w:tr>
      <w:tr>
        <w:trPr>
          <w:trHeight w:val="175"/>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w w:val="91"/>
              </w:rPr>
              <w:t>seeking approval for Monday/Wednesday/Friday intramuscular dosing schedule; regulatory</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submission planned for Europe in mid-2022</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Zepzelca</w:t>
            </w: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w w:val="94"/>
              </w:rPr>
              <w:t>First-line extensive stage SCLC in combination with Tecentriq (collaboration with Roche)</w:t>
            </w:r>
          </w:p>
        </w:tc>
        <w:tc>
          <w:tcPr>
            <w:tcW w:w="100" w:type="dxa"/>
            <w:vAlign w:val="bottom"/>
          </w:tcPr>
          <w:p>
            <w:pPr>
              <w:spacing w:after="0"/>
              <w:rPr>
                <w:sz w:val="15"/>
                <w:szCs w:val="15"/>
                <w:color w:val="auto"/>
              </w:rPr>
            </w:pPr>
          </w:p>
        </w:tc>
      </w:tr>
      <w:tr>
        <w:trPr>
          <w:trHeight w:val="175"/>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rPr>
              <w:t>(ongoing study)</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Confirmatory Study (Pharma Mar study) (ongoing study)</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AML or high-risk Myelodysplastic Syndrome, or MDS (AML18) (cooperative group</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40" w:type="dxa"/>
            <w:vAlign w:val="bottom"/>
            <w:gridSpan w:val="4"/>
          </w:tcPr>
          <w:p>
            <w:pPr>
              <w:ind w:left="1260"/>
              <w:spacing w:after="0" w:line="176" w:lineRule="exact"/>
              <w:rPr>
                <w:sz w:val="20"/>
                <w:szCs w:val="20"/>
                <w:color w:val="auto"/>
              </w:rPr>
            </w:pPr>
            <w:r>
              <w:rPr>
                <w:rFonts w:ascii="Arial" w:cs="Arial" w:eastAsia="Arial" w:hAnsi="Arial"/>
                <w:sz w:val="18"/>
                <w:szCs w:val="18"/>
                <w:color w:val="auto"/>
                <w:w w:val="96"/>
              </w:rPr>
              <w:t>studies) (ongoing study) Newly diagnosed adults with standard- and high-risk AML (AML</w:t>
            </w:r>
          </w:p>
        </w:tc>
      </w:t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40" w:type="dxa"/>
            <w:vAlign w:val="bottom"/>
            <w:gridSpan w:val="4"/>
          </w:tcPr>
          <w:p>
            <w:pPr>
              <w:ind w:left="1260"/>
              <w:spacing w:after="0" w:line="176" w:lineRule="exact"/>
              <w:rPr>
                <w:sz w:val="20"/>
                <w:szCs w:val="20"/>
                <w:color w:val="auto"/>
              </w:rPr>
            </w:pPr>
            <w:r>
              <w:rPr>
                <w:rFonts w:ascii="Arial" w:cs="Arial" w:eastAsia="Arial" w:hAnsi="Arial"/>
                <w:sz w:val="18"/>
                <w:szCs w:val="18"/>
                <w:color w:val="auto"/>
                <w:w w:val="94"/>
              </w:rPr>
              <w:t>Study Group cooperative group study) (ongoing study) Newly diagnosed pediatric patients</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with AML (Children’s Oncology Group cooperative group study) (ongoing study)</w:t>
            </w: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Zepzelca</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w w:val="95"/>
              </w:rPr>
              <w:t>Basket trial including urothelial cancer, large cell neuroendocrine tumor of the lung, and</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HRD+ (homologous recombinant deficient) cancers (ongoing study)</w:t>
            </w:r>
          </w:p>
        </w:tc>
      </w:tr>
      <w:tr>
        <w:trPr>
          <w:trHeight w:val="86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940" w:type="dxa"/>
            <w:vAlign w:val="bottom"/>
            <w:gridSpan w:val="3"/>
          </w:tcPr>
          <w:p>
            <w:pPr>
              <w:jc w:val="right"/>
              <w:ind w:right="54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6"/>
              </w:rPr>
              <w:t>High-risk MDS (European Myelodysplastic Syndromes Cooperative Group cooperative</w:t>
            </w:r>
          </w:p>
        </w:tc>
      </w:tr>
      <w:tr>
        <w:trPr>
          <w:trHeight w:val="230"/>
        </w:trPr>
        <w:tc>
          <w:tcPr>
            <w:tcW w:w="3860" w:type="dxa"/>
            <w:vAlign w:val="bottom"/>
            <w:shd w:val="clear" w:color="auto" w:fill="CCEEFF"/>
          </w:tcPr>
          <w:p>
            <w:pPr>
              <w:spacing w:after="0"/>
              <w:rPr>
                <w:sz w:val="20"/>
                <w:szCs w:val="20"/>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group study) (ongoing study)</w:t>
            </w:r>
          </w:p>
        </w:tc>
      </w:tr>
      <w:tr>
        <w:trPr>
          <w:trHeight w:val="296"/>
        </w:trPr>
        <w:tc>
          <w:tcPr>
            <w:tcW w:w="3860" w:type="dxa"/>
            <w:vAlign w:val="bottom"/>
            <w:shd w:val="clear" w:color="auto" w:fill="CCEEFF"/>
          </w:tcPr>
          <w:p>
            <w:pPr>
              <w:spacing w:after="0"/>
              <w:rPr>
                <w:sz w:val="24"/>
                <w:szCs w:val="24"/>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Newly diagnosed older adults with high-risk AML (cooperative group study) (planned</w:t>
            </w:r>
          </w:p>
        </w:tc>
      </w:tr>
      <w:tr>
        <w:trPr>
          <w:trHeight w:val="230"/>
        </w:trPr>
        <w:tc>
          <w:tcPr>
            <w:tcW w:w="3860" w:type="dxa"/>
            <w:vAlign w:val="bottom"/>
            <w:shd w:val="clear" w:color="auto" w:fill="CCEEFF"/>
          </w:tcPr>
          <w:p>
            <w:pPr>
              <w:spacing w:after="0"/>
              <w:rPr>
                <w:sz w:val="19"/>
                <w:szCs w:val="19"/>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study)</w:t>
            </w:r>
          </w:p>
        </w:tc>
      </w:tr>
      <w:tr>
        <w:trPr>
          <w:trHeight w:val="175"/>
        </w:trPr>
        <w:tc>
          <w:tcPr>
            <w:tcW w:w="3860" w:type="dxa"/>
            <w:vAlign w:val="bottom"/>
          </w:tcPr>
          <w:p>
            <w:pPr>
              <w:ind w:left="140"/>
              <w:spacing w:after="0" w:line="176" w:lineRule="exact"/>
              <w:rPr>
                <w:sz w:val="20"/>
                <w:szCs w:val="20"/>
                <w:color w:val="auto"/>
              </w:rPr>
            </w:pPr>
            <w:r>
              <w:rPr>
                <w:rFonts w:ascii="Arial" w:cs="Arial" w:eastAsia="Arial" w:hAnsi="Arial"/>
                <w:sz w:val="18"/>
                <w:szCs w:val="18"/>
                <w:color w:val="auto"/>
              </w:rPr>
              <w:t>Vyxeos + venetoclax</w:t>
            </w:r>
          </w:p>
        </w:tc>
        <w:tc>
          <w:tcPr>
            <w:tcW w:w="7280" w:type="dxa"/>
            <w:vAlign w:val="bottom"/>
          </w:tcPr>
          <w:p>
            <w:pPr>
              <w:ind w:left="600"/>
              <w:spacing w:after="0" w:line="176" w:lineRule="exact"/>
              <w:rPr>
                <w:sz w:val="20"/>
                <w:szCs w:val="20"/>
                <w:color w:val="auto"/>
              </w:rPr>
            </w:pPr>
            <w:r>
              <w:rPr>
                <w:rFonts w:ascii="Arial" w:cs="Arial" w:eastAsia="Arial" w:hAnsi="Arial"/>
                <w:sz w:val="18"/>
                <w:szCs w:val="18"/>
                <w:color w:val="auto"/>
                <w:w w:val="93"/>
              </w:rPr>
              <w:t>De novo or relapsed/refractory, or R/R, AML (MD Anderson collaboration study) (ongoing</w:t>
            </w:r>
          </w:p>
        </w:tc>
      </w:tr>
      <w:tr>
        <w:trPr>
          <w:trHeight w:val="229"/>
        </w:trPr>
        <w:tc>
          <w:tcPr>
            <w:tcW w:w="3860" w:type="dxa"/>
            <w:vAlign w:val="bottom"/>
          </w:tcPr>
          <w:p>
            <w:pPr>
              <w:spacing w:after="0"/>
              <w:rPr>
                <w:sz w:val="19"/>
                <w:szCs w:val="19"/>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study)</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Phase 1</w:t>
            </w:r>
          </w:p>
        </w:tc>
        <w:tc>
          <w:tcPr>
            <w:tcW w:w="7280" w:type="dxa"/>
            <w:vAlign w:val="bottom"/>
            <w:shd w:val="clear" w:color="auto" w:fill="CCEEFF"/>
          </w:tcPr>
          <w:p>
            <w:pPr>
              <w:spacing w:after="0"/>
              <w:rPr>
                <w:sz w:val="19"/>
                <w:szCs w:val="19"/>
                <w:color w:val="auto"/>
              </w:rPr>
            </w:pPr>
          </w:p>
        </w:tc>
      </w:tr>
      <w:tr>
        <w:trPr>
          <w:trHeight w:val="175"/>
        </w:trPr>
        <w:tc>
          <w:tcPr>
            <w:tcW w:w="3860" w:type="dxa"/>
            <w:vAlign w:val="bottom"/>
          </w:tcPr>
          <w:p>
            <w:pPr>
              <w:ind w:left="140"/>
              <w:spacing w:after="0" w:line="176" w:lineRule="exact"/>
              <w:rPr>
                <w:sz w:val="20"/>
                <w:szCs w:val="20"/>
                <w:color w:val="auto"/>
              </w:rPr>
            </w:pPr>
            <w:r>
              <w:rPr>
                <w:rFonts w:ascii="Arial" w:cs="Arial" w:eastAsia="Arial" w:hAnsi="Arial"/>
                <w:sz w:val="18"/>
                <w:szCs w:val="18"/>
                <w:color w:val="auto"/>
              </w:rPr>
              <w:t>Vyxeos</w:t>
            </w:r>
          </w:p>
        </w:tc>
        <w:tc>
          <w:tcPr>
            <w:tcW w:w="7280" w:type="dxa"/>
            <w:vAlign w:val="bottom"/>
          </w:tcPr>
          <w:p>
            <w:pPr>
              <w:ind w:left="600"/>
              <w:spacing w:after="0" w:line="176" w:lineRule="exact"/>
              <w:rPr>
                <w:sz w:val="20"/>
                <w:szCs w:val="20"/>
                <w:color w:val="auto"/>
              </w:rPr>
            </w:pPr>
            <w:r>
              <w:rPr>
                <w:rFonts w:ascii="Arial" w:cs="Arial" w:eastAsia="Arial" w:hAnsi="Arial"/>
                <w:sz w:val="18"/>
                <w:szCs w:val="18"/>
                <w:color w:val="auto"/>
                <w:w w:val="98"/>
              </w:rPr>
              <w:t>Low intensity dosing for higher risk MDS (MD Anderson collaboration study) (ongoing</w:t>
            </w:r>
          </w:p>
        </w:tc>
      </w:tr>
      <w:tr>
        <w:trPr>
          <w:trHeight w:val="230"/>
        </w:trPr>
        <w:tc>
          <w:tcPr>
            <w:tcW w:w="3860" w:type="dxa"/>
            <w:vAlign w:val="bottom"/>
          </w:tcPr>
          <w:p>
            <w:pPr>
              <w:spacing w:after="0"/>
              <w:rPr>
                <w:sz w:val="19"/>
                <w:szCs w:val="19"/>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study)</w:t>
            </w:r>
          </w:p>
        </w:tc>
      </w:tr>
      <w:tr>
        <w:trPr>
          <w:trHeight w:val="175"/>
        </w:trPr>
        <w:tc>
          <w:tcPr>
            <w:tcW w:w="3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Vyxeos + other approved therapies</w:t>
            </w:r>
          </w:p>
        </w:tc>
        <w:tc>
          <w:tcPr>
            <w:tcW w:w="728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30"/>
        </w:trPr>
        <w:tc>
          <w:tcPr>
            <w:tcW w:w="3860" w:type="dxa"/>
            <w:vAlign w:val="bottom"/>
            <w:shd w:val="clear" w:color="auto" w:fill="CCEEFF"/>
          </w:tcPr>
          <w:p>
            <w:pPr>
              <w:spacing w:after="0"/>
              <w:rPr>
                <w:sz w:val="20"/>
                <w:szCs w:val="20"/>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(ongoing study)</w:t>
            </w:r>
          </w:p>
        </w:tc>
      </w:tr>
      <w:tr>
        <w:trPr>
          <w:trHeight w:val="350"/>
        </w:trPr>
        <w:tc>
          <w:tcPr>
            <w:tcW w:w="3860" w:type="dxa"/>
            <w:vAlign w:val="bottom"/>
            <w:shd w:val="clear" w:color="auto" w:fill="CCEEFF"/>
          </w:tcPr>
          <w:p>
            <w:pPr>
              <w:spacing w:after="0"/>
              <w:rPr>
                <w:sz w:val="24"/>
                <w:szCs w:val="24"/>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First-line, fit AML (Phase 1b study) (ongoing study)</w:t>
            </w:r>
          </w:p>
        </w:tc>
      </w:tr>
      <w:tr>
        <w:trPr>
          <w:trHeight w:val="351"/>
        </w:trPr>
        <w:tc>
          <w:tcPr>
            <w:tcW w:w="3860" w:type="dxa"/>
            <w:vAlign w:val="bottom"/>
            <w:shd w:val="clear" w:color="auto" w:fill="CCEEFF"/>
          </w:tcPr>
          <w:p>
            <w:pPr>
              <w:spacing w:after="0"/>
              <w:rPr>
                <w:sz w:val="24"/>
                <w:szCs w:val="24"/>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Low intensity therapy for first-line, unfit AML (Phase 1b study) (ongoing study)</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Preclinical</w:t>
            </w:r>
          </w:p>
        </w:tc>
        <w:tc>
          <w:tcPr>
            <w:tcW w:w="7280" w:type="dxa"/>
            <w:vAlign w:val="bottom"/>
          </w:tcPr>
          <w:p>
            <w:pPr>
              <w:spacing w:after="0"/>
              <w:rPr>
                <w:sz w:val="19"/>
                <w:szCs w:val="19"/>
                <w:color w:val="auto"/>
              </w:rPr>
            </w:pPr>
          </w:p>
        </w:tc>
      </w:tr>
      <w:tr>
        <w:trPr>
          <w:trHeight w:val="229"/>
        </w:trPr>
        <w:tc>
          <w:tcPr>
            <w:tcW w:w="3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CombiPlex</w:t>
            </w:r>
            <w:r>
              <w:rPr>
                <w:rFonts w:ascii="Arial" w:cs="Arial" w:eastAsia="Arial" w:hAnsi="Arial"/>
                <w:sz w:val="23"/>
                <w:szCs w:val="23"/>
                <w:color w:val="auto"/>
                <w:vertAlign w:val="superscript"/>
              </w:rPr>
              <w:t>®</w:t>
            </w: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Hematology/oncology exploratory activities</w:t>
            </w: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80" w:type="dxa"/>
            <w:vAlign w:val="bottom"/>
          </w:tcPr>
          <w:p>
            <w:pPr>
              <w:ind w:left="600"/>
              <w:spacing w:after="0"/>
              <w:rPr>
                <w:sz w:val="20"/>
                <w:szCs w:val="20"/>
                <w:color w:val="auto"/>
              </w:rPr>
            </w:pPr>
            <w:r>
              <w:rPr>
                <w:rFonts w:ascii="Arial" w:cs="Arial" w:eastAsia="Arial" w:hAnsi="Arial"/>
                <w:sz w:val="18"/>
                <w:szCs w:val="18"/>
                <w:color w:val="auto"/>
              </w:rPr>
              <w:t>ALL and other hematological malignancies (collaboration with Ligand)</w:t>
            </w: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Pan-Raf inhibitor program</w:t>
            </w: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Raf and Ras mutant tumors (acquired from Redx, which is continuing development)</w:t>
            </w:r>
          </w:p>
        </w:tc>
      </w:tr>
      <w:tr>
        <w:trPr>
          <w:trHeight w:val="175"/>
        </w:trPr>
        <w:tc>
          <w:tcPr>
            <w:tcW w:w="3860" w:type="dxa"/>
            <w:vAlign w:val="bottom"/>
          </w:tcPr>
          <w:p>
            <w:pPr>
              <w:ind w:left="140"/>
              <w:spacing w:after="0" w:line="176" w:lineRule="exact"/>
              <w:rPr>
                <w:sz w:val="20"/>
                <w:szCs w:val="20"/>
                <w:color w:val="auto"/>
              </w:rPr>
            </w:pPr>
            <w:r>
              <w:rPr>
                <w:rFonts w:ascii="Arial" w:cs="Arial" w:eastAsia="Arial" w:hAnsi="Arial"/>
                <w:sz w:val="18"/>
                <w:szCs w:val="18"/>
                <w:color w:val="auto"/>
              </w:rPr>
              <w:t>Undisclosed targets</w:t>
            </w:r>
          </w:p>
        </w:tc>
        <w:tc>
          <w:tcPr>
            <w:tcW w:w="7280" w:type="dxa"/>
            <w:vAlign w:val="bottom"/>
          </w:tcPr>
          <w:p>
            <w:pPr>
              <w:ind w:left="600"/>
              <w:spacing w:after="0" w:line="176" w:lineRule="exact"/>
              <w:rPr>
                <w:sz w:val="20"/>
                <w:szCs w:val="20"/>
                <w:color w:val="auto"/>
              </w:rPr>
            </w:pPr>
            <w:r>
              <w:rPr>
                <w:rFonts w:ascii="Arial" w:cs="Arial" w:eastAsia="Arial" w:hAnsi="Arial"/>
                <w:sz w:val="18"/>
                <w:szCs w:val="18"/>
                <w:color w:val="auto"/>
              </w:rPr>
              <w:t>Ras/Raf/MAP kinase pathway (collaboration with Redx)</w:t>
            </w:r>
          </w:p>
        </w:tc>
      </w:tr>
      <w:tr>
        <w:trPr>
          <w:trHeight w:val="230"/>
        </w:trPr>
        <w:tc>
          <w:tcPr>
            <w:tcW w:w="3860" w:type="dxa"/>
            <w:vAlign w:val="bottom"/>
          </w:tcPr>
          <w:p>
            <w:pPr>
              <w:spacing w:after="0"/>
              <w:rPr>
                <w:sz w:val="19"/>
                <w:szCs w:val="19"/>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Oncology</w:t>
            </w:r>
          </w:p>
        </w:tc>
      </w:tr>
      <w:tr>
        <w:trPr>
          <w:trHeight w:val="175"/>
        </w:trPr>
        <w:tc>
          <w:tcPr>
            <w:tcW w:w="3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Exosome targets (up to 4)</w:t>
            </w:r>
          </w:p>
        </w:tc>
        <w:tc>
          <w:tcPr>
            <w:tcW w:w="728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w w:val="94"/>
              </w:rPr>
              <w:t>Hematological malignancies/solid tumors (collaboration with Codiak BioSciences, Inc., or</w:t>
            </w:r>
          </w:p>
        </w:tc>
      </w:tr>
      <w:tr>
        <w:trPr>
          <w:trHeight w:val="230"/>
        </w:trPr>
        <w:tc>
          <w:tcPr>
            <w:tcW w:w="3860" w:type="dxa"/>
            <w:vAlign w:val="bottom"/>
            <w:shd w:val="clear" w:color="auto" w:fill="CCEEFF"/>
          </w:tcPr>
          <w:p>
            <w:pPr>
              <w:spacing w:after="0"/>
              <w:rPr>
                <w:sz w:val="19"/>
                <w:szCs w:val="19"/>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Codiak)</w:t>
            </w: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Undisclosed targets</w:t>
            </w:r>
          </w:p>
        </w:tc>
        <w:tc>
          <w:tcPr>
            <w:tcW w:w="7280" w:type="dxa"/>
            <w:vAlign w:val="bottom"/>
          </w:tcPr>
          <w:p>
            <w:pPr>
              <w:ind w:left="600"/>
              <w:spacing w:after="0"/>
              <w:rPr>
                <w:sz w:val="20"/>
                <w:szCs w:val="20"/>
                <w:color w:val="auto"/>
              </w:rPr>
            </w:pPr>
            <w:r>
              <w:rPr>
                <w:rFonts w:ascii="Arial" w:cs="Arial" w:eastAsia="Arial" w:hAnsi="Arial"/>
                <w:sz w:val="18"/>
                <w:szCs w:val="18"/>
                <w:color w:val="auto"/>
              </w:rPr>
              <w:t>Oncology</w:t>
            </w:r>
          </w:p>
        </w:tc>
      </w:tr>
    </w:tbl>
    <w:p>
      <w:pPr>
        <w:spacing w:after="0" w:line="187" w:lineRule="exact"/>
        <w:rPr>
          <w:sz w:val="20"/>
          <w:szCs w:val="20"/>
          <w:color w:val="auto"/>
        </w:rPr>
      </w:pPr>
    </w:p>
    <w:p>
      <w:pPr>
        <w:ind w:right="20" w:firstLine="445"/>
        <w:spacing w:after="0" w:line="219" w:lineRule="exact"/>
        <w:rPr>
          <w:sz w:val="20"/>
          <w:szCs w:val="20"/>
          <w:color w:val="auto"/>
        </w:rPr>
      </w:pPr>
      <w:r>
        <w:rPr>
          <w:rFonts w:ascii="Arial" w:cs="Arial" w:eastAsia="Arial" w:hAnsi="Arial"/>
          <w:sz w:val="18"/>
          <w:szCs w:val="18"/>
          <w:color w:val="auto"/>
        </w:rPr>
        <w:t>As a result of the effects of the COVID-19 pandemic, we have taken measures to implement remote and virtual approaches, including remote data monitoring where possible, to maintain patient safety and trial continuity and to preserve study integrity. For a more detailed discussion of the impact of the COVID-19 pandemic on our clinical trial activities, see “Management’s Discussion and Analysis of Financial Condition and Results of Operations— Overview—COVID-19 Business Update” in Part II, Item 7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Activities</w:t>
      </w:r>
    </w:p>
    <w:p>
      <w:pPr>
        <w:spacing w:after="0" w:line="121"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We have commercial operations primarily in the U.S., Europe and Canada. In the U.S., our products are commercialized through a number of teams, including a team of experienced, trained sales professionals who provide education and promote Xywav, Xyrem, Epidiolex, Sunosi, Zepzelca, Rylaze, Vyxeos and Defitelio to healthcare providers in the appropriate specialties for each product, a team that interacts with payors and institutions to ensure access and coverage for the products, and a team that distributes the products throughout the U.S. healthcare system (wholesalers, pharmacies, hospitals, and community and academic institutions) and provides patient services.</w:t>
      </w:r>
    </w:p>
    <w:p>
      <w:pPr>
        <w:spacing w:after="0" w:line="68"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In Canada and in approved markets in Europe where we commercialize Defitelio and Vyxeos, we have a field force of hematology sales specialists. In markets where these products either are not approved or are unable to be promoted under local regulation, we have medical affairs personnel responsible for responding to medical information requests and for providing information consistent with local treatment protocols with respect to such products. In certain European markets, we have a sales team and a team of medical science liaisons supporting our rolling launches of Epidyolex and Sunosi. Outside the U.S., we directly market Xyrem, Sunosi and Zepzelca in Canada. We also utilize distributors in certain markets outside the U.S. where we do not market our products directly.</w:t>
      </w:r>
    </w:p>
    <w:p>
      <w:pPr>
        <w:spacing w:after="0" w:line="8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Other commercial activities include marketing related services, industry analytics and insights, distribution services and commercial support services. We employ third party vendors, such as advertising agencies, market research firms and suppliers of marketing and other sales support-related services, to assist with our commercial activities. We also provide reimbursement support for our U.S. markets.</w:t>
      </w:r>
    </w:p>
    <w:p>
      <w:pPr>
        <w:spacing w:after="0" w:line="76"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We intend to scale the size of our sales force as appropriate to effectively reach our target audience in the specialty markets in which we currently operate. We promote Zepzelca, Rylaze, Vyxeos and Defitelio to many hematology and oncology specialists who operate in the same hospitals and outpatient clinical sites, and we believe that we benefit from operational synergies from this overlap. We expect that a potential launch of Rylaze in Europe would require minimal additional support. Continued growth of our current marketed products and the launch of any future products may require 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reevaluation of our field force and support organization in and outside the U.S. In addition, beginning in March 2020, we transitioned our field-based sales, market access, reimbursement and medical employees out of the field and suspended work-related travel and in-person customer interactions as a result of the COVID-19 pandemic.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combined with virtual engagement. The level of renewed engagement varies by account, region and country. There continues to be some negative impact on demand, new patient starts and treatments for our products arising from the pandemic, primarily due to the inherent limitations of telemedicine and a reprioritization of healthcare resources toward COVID-19. As healthcare systems have adapted to cope with the ongoing situation, we have seen improvements. The lack of access to health care providers has caused, and may continue to cause, delays in appropriate diagnosis, treatment and ongoing care for some patients, which could subsequently impact prescribing and use of our products. For a more detailed discussion of the impact of the COVID-19 pandemic on our commercialization activities, see “Management’s Discussion and Analysis of Financial Condition and Results of Operations—Overview—COVID-19 Business Update” in Part II, Item 7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 and Environment, Health and Safety</w:t>
      </w:r>
    </w:p>
    <w:p>
      <w:pPr>
        <w:spacing w:after="0" w:line="121" w:lineRule="exact"/>
        <w:rPr>
          <w:sz w:val="20"/>
          <w:szCs w:val="20"/>
          <w:color w:val="auto"/>
        </w:rPr>
      </w:pPr>
    </w:p>
    <w:p>
      <w:pPr>
        <w:ind w:right="80" w:firstLine="445"/>
        <w:spacing w:after="0" w:line="342" w:lineRule="auto"/>
        <w:rPr>
          <w:sz w:val="20"/>
          <w:szCs w:val="20"/>
          <w:color w:val="auto"/>
        </w:rPr>
      </w:pPr>
      <w:r>
        <w:rPr>
          <w:rFonts w:ascii="Arial" w:cs="Arial" w:eastAsia="Arial" w:hAnsi="Arial"/>
          <w:sz w:val="16"/>
          <w:szCs w:val="16"/>
          <w:color w:val="auto"/>
        </w:rPr>
        <w:t xml:space="preserve">Jazz is committed to creating a company where the culture embodies our corporate purpose to innovate to transform the lives of patients and reflects our key goals: (1) be a great place to work; and (2) live our core values of </w:t>
      </w:r>
      <w:r>
        <w:rPr>
          <w:rFonts w:ascii="Arial" w:cs="Arial" w:eastAsia="Arial" w:hAnsi="Arial"/>
          <w:sz w:val="16"/>
          <w:szCs w:val="16"/>
          <w:i w:val="1"/>
          <w:iCs w:val="1"/>
          <w:color w:val="auto"/>
        </w:rPr>
        <w:t>Integrity, Collaboration, Passion, Innovation, and Pursuit of Excellence.</w:t>
      </w:r>
    </w:p>
    <w:p>
      <w:pPr>
        <w:spacing w:after="0" w:line="16"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i w:val="1"/>
          <w:iCs w:val="1"/>
          <w:color w:val="auto"/>
        </w:rPr>
        <w:t xml:space="preserve">Employee Demographics. </w:t>
      </w:r>
      <w:r>
        <w:rPr>
          <w:rFonts w:ascii="Arial" w:cs="Arial" w:eastAsia="Arial" w:hAnsi="Arial"/>
          <w:sz w:val="18"/>
          <w:szCs w:val="18"/>
          <w:color w:val="auto"/>
        </w:rPr>
        <w:t>As of February 22, 2022, Jazz employed approximately 3,200 people worldwide, of which approximately 50% were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in the U.S. and approximately 50% were outside the U.S. primarily in the U.K., Ireland and across the European Union, or EU. As an innovative biopharmaceutical company, we have over 700 full-time employees — greater than 22% of our global workforce — supporting our research and development activities. We consider our employee relations to be very good.</w:t>
      </w:r>
    </w:p>
    <w:p>
      <w:pPr>
        <w:spacing w:after="0" w:line="79"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i w:val="1"/>
          <w:iCs w:val="1"/>
          <w:color w:val="auto"/>
        </w:rPr>
        <w:t xml:space="preserve">Diversity, Equity, Inclusion and Belonging. </w:t>
      </w:r>
      <w:r>
        <w:rPr>
          <w:rFonts w:ascii="Arial" w:cs="Arial" w:eastAsia="Arial" w:hAnsi="Arial"/>
          <w:sz w:val="18"/>
          <w:szCs w:val="18"/>
          <w:color w:val="auto"/>
        </w:rPr>
        <w:t>We make diversity, equity, inclusion and belonging, or DEIB, a priority because it is a key to unlocking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potential of our people and living our core values.</w:t>
      </w:r>
    </w:p>
    <w:p>
      <w:pPr>
        <w:spacing w:after="0" w:line="62"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We strive to create a workplace culture that fosters the ability of our employees to be their authentic selves and contribute boldly. We aspire to have multi-dimensional diversity through our entire Jazz workforce. We seek to surround underrepresented groups with allies to enable all employees to thrive equitably. Our Board and management team are committed to fostering DEIB in all parts of our business.</w:t>
      </w:r>
    </w:p>
    <w:p>
      <w:pPr>
        <w:spacing w:after="0" w:line="76"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Our DEIB strategy includes: (1) building a more diverse workforce in terms of gender identity, race, ethnicity and sexual orientation and that represent unique backgrounds, experiences, thoughts and talents; (2) investing in developing our diverse talent and driving equity; and (3) and creating a culture of inclusion and belonging.</w:t>
      </w:r>
    </w:p>
    <w:p>
      <w:pPr>
        <w:spacing w:after="0" w:line="76"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designed our Employee DEIB program to empower employees to guide and support our strategy and programs related to hiring diverse talent and using education and communication to continue fostering an inclusive environment. We also have a DEIB Delegation, a committee of employees focused on helping to embed DEIB into all we do.</w:t>
      </w:r>
    </w:p>
    <w:p>
      <w:pPr>
        <w:spacing w:after="0" w:line="76"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Jazz ConcERTos, our employee resource teams, are self-led teams of employee volunteers with diverse backgrounds who come together to promote innovation through inclusion and to increase awareness of all dimensions of diversity. We believe that these groups will contribute positively to Jazz’s culture and business success by working cross-functionally to drive innovation, helping to decrease unconscious bias, and encouraging employees to be their whole selves so they can perform at their best.</w:t>
      </w:r>
    </w:p>
    <w:p>
      <w:pPr>
        <w:spacing w:after="0" w:line="79"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have established goals related to increasing all dimensions of diversity, including representation of females and people of color, particularly at the leadership level (i.e., employees at executive director and above). In this regard, we have made some meaningful progress, as demonstrated by the following, as of February 9, 2022:</w:t>
      </w:r>
    </w:p>
    <w:p>
      <w:pPr>
        <w:spacing w:after="0" w:line="76"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 of each of our board of directors and Executive Committee is diverse in terms of gender, ethnicity and sexual orientation.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Females represent 55% of our global workforce and 43% at the leadership level (employees at executive director and above).</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U.S., people of color represent 33% of our U.S. workforce and 20% at the leadership level.</w:t>
      </w:r>
    </w:p>
    <w:p>
      <w:pPr>
        <w:spacing w:after="0" w:line="117" w:lineRule="exact"/>
        <w:rPr>
          <w:sz w:val="20"/>
          <w:szCs w:val="20"/>
          <w:color w:val="auto"/>
        </w:rPr>
      </w:pPr>
    </w:p>
    <w:p>
      <w:pPr>
        <w:ind w:right="220" w:firstLine="445"/>
        <w:spacing w:after="0" w:line="308" w:lineRule="auto"/>
        <w:rPr>
          <w:sz w:val="20"/>
          <w:szCs w:val="20"/>
          <w:color w:val="auto"/>
        </w:rPr>
      </w:pPr>
      <w:r>
        <w:rPr>
          <w:rFonts w:ascii="Arial" w:cs="Arial" w:eastAsia="Arial" w:hAnsi="Arial"/>
          <w:sz w:val="17"/>
          <w:szCs w:val="17"/>
          <w:color w:val="auto"/>
        </w:rPr>
        <w:t>While we are proud of what we have accomplished to date, we recognize there is still much to do. We remain committed to furthering our goals of providing a diverse, equitable and inclusive workplace that is supportive of all backgrounds, including among our broader leadership.</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 xml:space="preserve">Employee Engagement. </w:t>
      </w:r>
      <w:r>
        <w:rPr>
          <w:rFonts w:ascii="Arial" w:cs="Arial" w:eastAsia="Arial" w:hAnsi="Arial"/>
          <w:sz w:val="16"/>
          <w:szCs w:val="16"/>
          <w:color w:val="auto"/>
        </w:rPr>
        <w:t>Jazz has a strong employee value proposition anchored in our shared commitment to our purpose to innovate to transform the</w:t>
      </w:r>
      <w:r>
        <w:rPr>
          <w:rFonts w:ascii="Arial" w:cs="Arial" w:eastAsia="Arial" w:hAnsi="Arial"/>
          <w:sz w:val="16"/>
          <w:szCs w:val="16"/>
          <w:i w:val="1"/>
          <w:iCs w:val="1"/>
          <w:color w:val="auto"/>
        </w:rPr>
        <w:t xml:space="preserve"> </w:t>
      </w:r>
      <w:r>
        <w:rPr>
          <w:rFonts w:ascii="Arial" w:cs="Arial" w:eastAsia="Arial" w:hAnsi="Arial"/>
          <w:sz w:val="16"/>
          <w:szCs w:val="16"/>
          <w:color w:val="auto"/>
        </w:rPr>
        <w:t>lives of patients. We are committed to ensuring that we create a rich culture that provides a great place to work for our employees through company-wide efforts to connect employees to our shared purpose and to create an environment where our people feel valued, respected, and able to contribute to their full potential. We believe employee engagement and the power of our employee voices is foundational to strong performance. We have transparent and regular communication channels with our employees consisting of many forms – including all employee meetings, regular communication messages from executive leadership, top leadership forums, pulse check feedback mechanisms and engagement surveys.</w:t>
      </w:r>
    </w:p>
    <w:p>
      <w:pPr>
        <w:spacing w:after="0" w:line="56"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Our employee feedback surveys are designed to help us measure overall employee engagement and we consistently achieve participation rates between 80 to 90% in our annual engagement survey. We consistently have high levels of engagement measured by feelings of connection to our mission, Jazz as a great place to work where their well-being is supported and they feel valued and included. It also provides important insight into the areas where we need to focus in the year ahead for several key components of our company objectives, such as decision-making, opportunities for development, and diversity, equity and inclusion. Our survey informs programs and activities aligned with achieving our corporate objectives and achieving our goal of evolving our operating culture for agility and scalability.</w:t>
      </w:r>
    </w:p>
    <w:p>
      <w:pPr>
        <w:spacing w:after="0" w:line="84" w:lineRule="exact"/>
        <w:rPr>
          <w:sz w:val="20"/>
          <w:szCs w:val="20"/>
          <w:color w:val="auto"/>
        </w:rPr>
      </w:pPr>
    </w:p>
    <w:p>
      <w:pPr>
        <w:ind w:right="440" w:firstLine="445"/>
        <w:spacing w:after="0" w:line="311" w:lineRule="auto"/>
        <w:rPr>
          <w:sz w:val="20"/>
          <w:szCs w:val="20"/>
          <w:color w:val="auto"/>
        </w:rPr>
      </w:pPr>
      <w:r>
        <w:rPr>
          <w:rFonts w:ascii="Arial" w:cs="Arial" w:eastAsia="Arial" w:hAnsi="Arial"/>
          <w:sz w:val="16"/>
          <w:szCs w:val="16"/>
          <w:color w:val="auto"/>
        </w:rPr>
        <w:t>Our Community Beat teams are employee volunteers and representatives that promote company culture and create a sense of belonging and camaraderie among our employees. They foster programs and engagement activities on a local level to draw better connections to employees with the company strategy and business milestones, give back through community service, and promote different health and well-being initiatives.</w:t>
      </w:r>
    </w:p>
    <w:p>
      <w:pPr>
        <w:spacing w:after="0" w:line="4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i w:val="1"/>
          <w:iCs w:val="1"/>
          <w:color w:val="auto"/>
        </w:rPr>
        <w:t>Growth, Development and Total Rewards</w:t>
      </w:r>
      <w:r>
        <w:rPr>
          <w:rFonts w:ascii="Arial" w:cs="Arial" w:eastAsia="Arial" w:hAnsi="Arial"/>
          <w:sz w:val="18"/>
          <w:szCs w:val="18"/>
          <w:i w:val="1"/>
          <w:iCs w:val="1"/>
          <w:color w:val="323337"/>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talent strategy focuses on attracting the best talent, recognizing and rewarding the performance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employees as defined by both </w:t>
      </w:r>
      <w:r>
        <w:rPr>
          <w:rFonts w:ascii="Arial" w:cs="Arial" w:eastAsia="Arial" w:hAnsi="Arial"/>
          <w:sz w:val="18"/>
          <w:szCs w:val="18"/>
          <w:i w:val="1"/>
          <w:iCs w:val="1"/>
          <w:color w:val="auto"/>
        </w:rPr>
        <w:t>what</w:t>
      </w:r>
      <w:r>
        <w:rPr>
          <w:rFonts w:ascii="Arial" w:cs="Arial" w:eastAsia="Arial" w:hAnsi="Arial"/>
          <w:sz w:val="18"/>
          <w:szCs w:val="18"/>
          <w:color w:val="auto"/>
        </w:rPr>
        <w:t xml:space="preserve"> they accomplished and </w:t>
      </w:r>
      <w:r>
        <w:rPr>
          <w:rFonts w:ascii="Arial" w:cs="Arial" w:eastAsia="Arial" w:hAnsi="Arial"/>
          <w:sz w:val="18"/>
          <w:szCs w:val="18"/>
          <w:i w:val="1"/>
          <w:iCs w:val="1"/>
          <w:color w:val="auto"/>
        </w:rPr>
        <w:t>how</w:t>
      </w:r>
      <w:r>
        <w:rPr>
          <w:rFonts w:ascii="Arial" w:cs="Arial" w:eastAsia="Arial" w:hAnsi="Arial"/>
          <w:sz w:val="18"/>
          <w:szCs w:val="18"/>
          <w:color w:val="auto"/>
        </w:rPr>
        <w:t xml:space="preserve"> they accomplished it, and continually developing our talent through new experiences and learning opportunities. We believe there is ample opportunity for growth and development at Jazz and there is not a one size fits all approach to growing our talent. We strive to create the best career experience for all of our employees. We work with each employee to chart their own course that matches their career ambitions and strengths with customized development.</w:t>
      </w:r>
    </w:p>
    <w:p>
      <w:pPr>
        <w:spacing w:after="0" w:line="80" w:lineRule="exact"/>
        <w:rPr>
          <w:sz w:val="20"/>
          <w:szCs w:val="20"/>
          <w:color w:val="auto"/>
        </w:rPr>
      </w:pPr>
    </w:p>
    <w:p>
      <w:pPr>
        <w:ind w:right="120" w:firstLine="445"/>
        <w:spacing w:after="0" w:line="342" w:lineRule="auto"/>
        <w:rPr>
          <w:sz w:val="20"/>
          <w:szCs w:val="20"/>
          <w:color w:val="auto"/>
        </w:rPr>
      </w:pPr>
      <w:r>
        <w:rPr>
          <w:rFonts w:ascii="Arial" w:cs="Arial" w:eastAsia="Arial" w:hAnsi="Arial"/>
          <w:sz w:val="16"/>
          <w:szCs w:val="16"/>
          <w:color w:val="auto"/>
        </w:rPr>
        <w:t>Our performance management process supports our culture of continual feedback and coaching, and ongoing growth and development through new experiences and learning. We encourage all employees to have an individual development plan to outline learning and growth interests and focus areas.</w:t>
      </w:r>
    </w:p>
    <w:p>
      <w:pPr>
        <w:spacing w:after="0" w:line="16" w:lineRule="exact"/>
        <w:rPr>
          <w:sz w:val="20"/>
          <w:szCs w:val="20"/>
          <w:color w:val="auto"/>
        </w:rPr>
      </w:pPr>
    </w:p>
    <w:p>
      <w:pPr>
        <w:ind w:right="340" w:firstLine="445"/>
        <w:spacing w:after="0" w:line="259" w:lineRule="auto"/>
        <w:rPr>
          <w:sz w:val="20"/>
          <w:szCs w:val="20"/>
          <w:color w:val="auto"/>
        </w:rPr>
      </w:pPr>
      <w:r>
        <w:rPr>
          <w:rFonts w:ascii="Arial" w:cs="Arial" w:eastAsia="Arial" w:hAnsi="Arial"/>
          <w:sz w:val="18"/>
          <w:szCs w:val="18"/>
          <w:color w:val="auto"/>
        </w:rPr>
        <w:t>We leverage several digital learning platforms to provide on demand bite sized learning to all employees that can be accessed 24/7 on a range of topics from leadership, personal effectiveness and well-being. We deliver our “Harmonize” program to all managers to ensure they are grounded in our core Leadership Behaviors we expect all leaders to demonstrate (Instills Trust, Values Differences, Executes through Teams, Develops Talent, Drives Accountability and Provides and Receives Feedback).</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2021, we targeted a development effort towards our Global Leadership Team (top 70 leaders) and created a 9-month learning journey to build leadership excellence, strengthen relationships, and encourage cross functional collaboration in pursuit of our enterprise strategic goals. Additionally, we focused on diverse early career talent by piloting an executive coaching program to support their development. We offer tuition reimbursement in our major markets aimed at growth and career development.</w:t>
      </w:r>
    </w:p>
    <w:p>
      <w:pPr>
        <w:spacing w:after="0" w:line="79"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Our management and leadership teams place significant focus and attention to diversity, capability development, and succession planning for critical roles. We regularly review talent development and succession plans for each of our functions to successfully maintain business operations and develop a pipeline of talent. We have goals concerning employee retention, diversity, and talent development.</w:t>
      </w:r>
    </w:p>
    <w:p>
      <w:pPr>
        <w:spacing w:after="0" w:line="76" w:lineRule="exact"/>
        <w:rPr>
          <w:sz w:val="20"/>
          <w:szCs w:val="20"/>
          <w:color w:val="auto"/>
        </w:rPr>
      </w:pPr>
    </w:p>
    <w:p>
      <w:pPr>
        <w:ind w:right="800" w:firstLine="445"/>
        <w:spacing w:after="0" w:line="308" w:lineRule="auto"/>
        <w:rPr>
          <w:sz w:val="20"/>
          <w:szCs w:val="20"/>
          <w:color w:val="auto"/>
        </w:rPr>
      </w:pPr>
      <w:r>
        <w:rPr>
          <w:rFonts w:ascii="Arial" w:cs="Arial" w:eastAsia="Arial" w:hAnsi="Arial"/>
          <w:sz w:val="17"/>
          <w:szCs w:val="17"/>
          <w:color w:val="auto"/>
        </w:rPr>
        <w:t>We provide our employees with what we believe to be market competitive and locally relevant compensation and benefits that support our overarching strategy to attract, retain and reward highly talented employees in an extremely competitive and dynamic industry.</w:t>
      </w:r>
    </w:p>
    <w:p>
      <w:pPr>
        <w:spacing w:after="0" w:line="3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strive to create a culture of health and well-being throughout the organization by offering a diverse and customizable set of programs focusing on employee experience, self-care, work-life balance, flexibility and early intervention. In addition to traditional employee benefits, Jazz supports employees and their families through access to a suite of innovative programs that are designed to enhance their physical, financial, emotional and social well-being. For 2022, we are introducing an enhanced suite of differentiated global leave and time-off polices to address the needs of our diverse employee population through varying stages of life, including minimum standards for new parent leave (irrespective of gender or how a family is created), family caregiver leave, and bereavement leave. Additionally, in 2022, we are launching a new global volunteer day, which will provide employees time off with full pay to give back to their communities.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i w:val="1"/>
          <w:iCs w:val="1"/>
          <w:color w:val="auto"/>
        </w:rPr>
        <w:t>Workplace Safety &amp; Employee Care During COVID-19</w:t>
      </w:r>
      <w:r>
        <w:rPr>
          <w:rFonts w:ascii="Arial" w:cs="Arial" w:eastAsia="Arial" w:hAnsi="Arial"/>
          <w:sz w:val="18"/>
          <w:szCs w:val="18"/>
          <w:color w:val="auto"/>
        </w:rPr>
        <w:t>. Workplace safety is always a top priority for Jazz. To create and sustain a safe and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workplace, we have implemented initiatives designed to address risk evaluation, education and training of employees, use of appropriate personal protective equipment, and compliance with relevant national and international health and safety standards.</w:t>
      </w:r>
    </w:p>
    <w:p>
      <w:pPr>
        <w:spacing w:after="0" w:line="7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In response to COVID-19, we launched an employee support framework focused on Care, Connection, Continuity and Consciousness (our “4Cs”) to enable our employees to live into our values and support one another while doing everything we can to deliver on our patient mission. Important to this framework were new leader expectations and tools given the rise and complexity of emerging employee demands and needs – including more flexibility to address personal needs, a greater connection to understand the whole person and their lives, and more active support surrounding social injustice. For example, we provided productivity and collaboration tools and resources for employees working remotely, including training and toolkits to help leaders effectively lead and manage remote teams; increased flexibility within work schedules and leave programs to support employees caring for children and others; expanded employees assistance and mindfulness programs to help employees and their families manage anxiety, stress, and overall wellbeing; and increased investment in resources focused on inclusion and belonging.</w:t>
      </w:r>
    </w:p>
    <w:p>
      <w:pPr>
        <w:spacing w:after="0" w:line="70"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i w:val="1"/>
          <w:iCs w:val="1"/>
          <w:color w:val="auto"/>
        </w:rPr>
        <w:t>Environment, Health and Safety</w:t>
      </w:r>
      <w:r>
        <w:rPr>
          <w:rFonts w:ascii="Arial" w:cs="Arial" w:eastAsia="Arial" w:hAnsi="Arial"/>
          <w:sz w:val="16"/>
          <w:szCs w:val="16"/>
          <w:color w:val="auto"/>
        </w:rPr>
        <w:t>. Our operations are subject to complex and increasingly stringent environmental, health and safety laws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in the countries where we operate and, in particular, in Ireland, the U.K. and Italy where we have manufacturing facilities. Our manufacturing activities involve the controlled storage, use and disposal of chemicals and solvents. Environmental and health and safety authorities in Ireland, the U.K. and Italy administer laws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60" w:lineRule="exact"/>
        <w:rPr>
          <w:sz w:val="20"/>
          <w:szCs w:val="20"/>
          <w:color w:val="auto"/>
        </w:rPr>
      </w:pPr>
    </w:p>
    <w:p>
      <w:pPr>
        <w:ind w:right="100" w:firstLine="445"/>
        <w:spacing w:after="0" w:line="290" w:lineRule="auto"/>
        <w:rPr>
          <w:sz w:val="20"/>
          <w:szCs w:val="20"/>
          <w:color w:val="auto"/>
        </w:rPr>
      </w:pPr>
      <w:r>
        <w:rPr>
          <w:rFonts w:ascii="Arial" w:cs="Arial" w:eastAsia="Arial" w:hAnsi="Arial"/>
          <w:sz w:val="16"/>
          <w:szCs w:val="16"/>
          <w:color w:val="auto"/>
        </w:rPr>
        <w:t>We seek to operate our manufacturing facilities in an environmentally responsible way to protect our people, our business, our environment and the local communities in which we operate. In light of the potential impact of our business on the environment, we have adopted a number of internal environmental policies and management systems designed to manage our operations in compliance with applicable laws, directives and regulations on environmental protection and in support of environmental sustainability and local biodiversity. Our environmental policies and management systems include procedures for assessing compliance with applicable environmental laws and regulations and reporting incidents of non-compliance to applicable governmental authorities. For example, we have environmental policies governing our manufacturing facilities in Ireland, the U.K. and Italy, which demonstrate our commitment to environmental sustainability and require us to minimize resource use (e.g., energy and water) and waste generation, optimize the use of raw materials, and undertake continuous improvement in environmental performance, with an emphasis on pollution prevention.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biopharmaceutical industry is highly competitive. Our products compete, and our product candidates may in the future compete, with currently existing therapies, product candidates currently under development by us and others and/or future product candidates, including new chemical entities that may be safer,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80"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With respect to competition we face from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prices at which branded products can be sold.</w:t>
      </w:r>
    </w:p>
    <w:p>
      <w:pPr>
        <w:spacing w:after="0" w:line="76"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We are aware of: exploratory research into the effects of THC and CBD drug formulations; discovery research within the pharmaceutical industry into synthetic agonists and antagonists of CB1 and CB2 receptors; companies that supply synthetic cannabinoids and cannabis extracts to researchers for pre-clinical and clinical investigation; and various companies that cultivate cannabis plants with a view to supplying herbal cannabis or nonpharmaceutical cannabis-based formulations to patients. These activities have not been approved by the FDA but may in the future compete with our products.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particular, our products and most advanced product candidates face or may face competition as described below:</w:t>
      </w:r>
    </w:p>
    <w:p>
      <w:pPr>
        <w:spacing w:after="0" w:line="117" w:lineRule="exact"/>
        <w:rPr>
          <w:sz w:val="20"/>
          <w:szCs w:val="20"/>
          <w:color w:val="auto"/>
        </w:rPr>
      </w:pPr>
    </w:p>
    <w:p>
      <w:pPr>
        <w:ind w:left="740" w:right="20" w:hanging="327"/>
        <w:spacing w:after="0" w:line="218" w:lineRule="exact"/>
        <w:tabs>
          <w:tab w:leader="none" w:pos="735"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Xywav and Xyrem</w:t>
      </w:r>
      <w:r>
        <w:rPr>
          <w:rFonts w:ascii="Arial" w:cs="Arial" w:eastAsia="Arial" w:hAnsi="Arial"/>
          <w:sz w:val="16"/>
          <w:szCs w:val="16"/>
          <w:color w:val="auto"/>
        </w:rPr>
        <w:t>. While Xywav and Xyrem are currently the only products approved by FDA and marketed in the U.S. for the treatment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cataplexy and EDS in both adult and pediatric patients with narcolepsy, we and others have launched products to treat EDS in narcolepsy and may in the future launch products to treat cataplexy in narcolepsy that are competitive with or disrupt the market. We expect to face competition from authorized generic and generic versions of sodium oxybate. For a description of generic versions of sodium oxybate and/or new products for the treatment of cataplexy and/or EDS that could compete with, or otherwise disrupt the market for, Xywav and Xyrem, as well as a description of our settlement agreements with abbreviated new drug application, or ANDA, filers, see the risk factor under the heading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introduction of new products in the U.S. market that compete with, or otherwise disrupt the market for, our oxybate products and product candidates would adversely affect sales of our oxybate products and product candidates” </w:t>
      </w:r>
      <w:r>
        <w:rPr>
          <w:rFonts w:ascii="Arial" w:cs="Arial" w:eastAsia="Arial" w:hAnsi="Arial"/>
          <w:sz w:val="16"/>
          <w:szCs w:val="16"/>
          <w:color w:val="auto"/>
        </w:rPr>
        <w:t>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4" w:lineRule="exact"/>
        <w:rPr>
          <w:rFonts w:ascii="Arial" w:cs="Arial" w:eastAsia="Arial" w:hAnsi="Arial"/>
          <w:sz w:val="16"/>
          <w:szCs w:val="16"/>
          <w:i w:val="1"/>
          <w:iCs w:val="1"/>
          <w:color w:val="auto"/>
        </w:rPr>
      </w:pPr>
    </w:p>
    <w:p>
      <w:pPr>
        <w:ind w:left="740" w:right="40"/>
        <w:spacing w:after="0" w:line="271" w:lineRule="auto"/>
        <w:rPr>
          <w:rFonts w:ascii="Arial" w:cs="Arial" w:eastAsia="Arial" w:hAnsi="Arial"/>
          <w:sz w:val="16"/>
          <w:szCs w:val="16"/>
          <w:i w:val="1"/>
          <w:iCs w:val="1"/>
          <w:color w:val="auto"/>
        </w:rPr>
      </w:pPr>
      <w:r>
        <w:rPr>
          <w:rFonts w:ascii="Arial" w:cs="Arial" w:eastAsia="Arial" w:hAnsi="Arial"/>
          <w:sz w:val="17"/>
          <w:szCs w:val="17"/>
          <w:color w:val="auto"/>
        </w:rPr>
        <w:t>In addition to generic competition, Xywav and Xyrem may face competition in the future from other new sodium oxybate formulations for treatment of narcolepsy. In February 2021, FDA accepted for filing an NDA submitted by Avadel Pharmaceuticals plc, or Avadel, for an extended-release formulation of sodium oxybate which uses its proprietary technology for the treatment of EDS and cataplexy in patients with narcolepsy with a Prescription Drug User Fee Act, or PDUFA, target action date of October 15, 2021. On October 15, 2021, Avadel announced that FDA review is ongoing and FDA will likely not take action in October 2021 and will provide a new target action date. To obtain approval with ODE, Avadel will have to show clinical superiority to Xywav and Xyrem.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70" w:lineRule="exact"/>
        <w:rPr>
          <w:rFonts w:ascii="Arial" w:cs="Arial" w:eastAsia="Arial" w:hAnsi="Arial"/>
          <w:sz w:val="16"/>
          <w:szCs w:val="16"/>
          <w:i w:val="1"/>
          <w:iCs w:val="1"/>
          <w:color w:val="auto"/>
        </w:rPr>
      </w:pPr>
    </w:p>
    <w:p>
      <w:pPr>
        <w:ind w:left="740" w:right="300"/>
        <w:spacing w:after="0" w:line="301" w:lineRule="auto"/>
        <w:rPr>
          <w:rFonts w:ascii="Arial" w:cs="Arial" w:eastAsia="Arial" w:hAnsi="Arial"/>
          <w:sz w:val="16"/>
          <w:szCs w:val="16"/>
          <w:i w:val="1"/>
          <w:iCs w:val="1"/>
          <w:color w:val="auto"/>
        </w:rPr>
      </w:pPr>
      <w:r>
        <w:rPr>
          <w:rFonts w:ascii="Arial" w:cs="Arial" w:eastAsia="Arial" w:hAnsi="Arial"/>
          <w:sz w:val="16"/>
          <w:szCs w:val="16"/>
          <w:color w:val="auto"/>
        </w:rPr>
        <w:t>Xywav and Xyrem may also face increased competition from new branded entrants to treat EDS or cataplexy in narcolepsy such as pitolisant, which has been approved by FDA for the treatment of both cataplexy and EDS in adult patients with narcolepsy. Other companies have announced that they have product candidates in various phases of development to treat the symptoms of narcolepsy, such as Axsome Therapeutics, Inc.’s reboxetine, and various companies are performing research on orexin agonists for the treatment of sleep disorders.</w:t>
      </w:r>
    </w:p>
    <w:p>
      <w:pPr>
        <w:spacing w:after="0" w:line="49" w:lineRule="exact"/>
        <w:rPr>
          <w:rFonts w:ascii="Arial" w:cs="Arial" w:eastAsia="Arial" w:hAnsi="Arial"/>
          <w:sz w:val="16"/>
          <w:szCs w:val="16"/>
          <w:i w:val="1"/>
          <w:iCs w:val="1"/>
          <w:color w:val="auto"/>
        </w:rPr>
      </w:pPr>
    </w:p>
    <w:p>
      <w:pPr>
        <w:ind w:left="740" w:right="40"/>
        <w:spacing w:after="0" w:line="272" w:lineRule="auto"/>
        <w:rPr>
          <w:rFonts w:ascii="Arial" w:cs="Arial" w:eastAsia="Arial" w:hAnsi="Arial"/>
          <w:sz w:val="16"/>
          <w:szCs w:val="16"/>
          <w:i w:val="1"/>
          <w:iCs w:val="1"/>
          <w:color w:val="auto"/>
        </w:rPr>
      </w:pPr>
      <w:r>
        <w:rPr>
          <w:rFonts w:ascii="Arial" w:cs="Arial" w:eastAsia="Arial" w:hAnsi="Arial"/>
          <w:sz w:val="17"/>
          <w:szCs w:val="17"/>
          <w:color w:val="auto"/>
        </w:rPr>
        <w:t>In addition, we are also aware that prescribers often prescribe branded or generic medications for cataplexy before prescribing or instead of prescribing oxybate therapy in Xywav or Xyrem, and that payors often require patients to try such medications before they will cover Xywav or Xyrem, even if they are not approved for this use. For example, prescribers often treat mild cataplexy with drugs that have not been approved by FDA for this indication, including tricyclic antidepressants and selective serotonin reuptake inhibitors or selective norepinephrine reuptake inhibitors. We are also aware that branded or generic stimulants may be prescribed off-label for treatment of EDS in narcolepsy. Wake-promoting agents modafinil and armodafinil, including both branded and generic equivalents, are approved for the treatment of EDS in narcolepsy and other conditions, and may be used in conjunction with or instead of Xywav or Xyrem.</w:t>
      </w:r>
    </w:p>
    <w:p>
      <w:pPr>
        <w:spacing w:after="0" w:line="69" w:lineRule="exact"/>
        <w:rPr>
          <w:rFonts w:ascii="Arial" w:cs="Arial" w:eastAsia="Arial" w:hAnsi="Arial"/>
          <w:sz w:val="16"/>
          <w:szCs w:val="16"/>
          <w:i w:val="1"/>
          <w:iCs w:val="1"/>
          <w:color w:val="auto"/>
        </w:rPr>
      </w:pPr>
    </w:p>
    <w:p>
      <w:pPr>
        <w:ind w:left="740" w:right="60" w:hanging="327"/>
        <w:spacing w:after="0" w:line="269" w:lineRule="auto"/>
        <w:tabs>
          <w:tab w:leader="none" w:pos="73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Epidiolex. </w:t>
      </w:r>
      <w:r>
        <w:rPr>
          <w:rFonts w:ascii="Arial" w:cs="Arial" w:eastAsia="Arial" w:hAnsi="Arial"/>
          <w:sz w:val="17"/>
          <w:szCs w:val="17"/>
          <w:color w:val="auto"/>
        </w:rPr>
        <w:t>Patients in the U.S. suffering from seizures associated with Dravet or LGS are treated with a variety of FDA-approved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clobazam, clonazepam, valproate, lamotrigine, levetiracetam, rufinamide, topiramate, ethosuximide, and zonisamide. FDA approved Zogenix, Inc.'s low-dose fenfluramine, or Fintepla, in DS in June 2020, and Zogenix submitted its supplemental NDA for LGS in 2021. In January 2022, Zogenix announced that it entered into a definitive agreement with UCB S.A. for the acquisition of Zogenix by UCB. Ovid Therapeutics Inc./Takeda Pharmaceutical Company Limited and Marinus Pharmaceuticals, Inc. are developing therapies for treating Developmental and Epileptic Encephalopathies (includes Dravet and LGS). Stiripentol has been approved in Europe for several years to treat DS and was approved in 2018 by the FDA. Zynerba Pharmaceuticals, Inc. is developing a topical formulation of CBD, for which it is working with FDA on a path forward on CONNECT-FX data for Zygel in Fragile X syndrome. There are a number of public and private companies in the early stages of developing genetic therapies for DS, including Stoke Therapeutics, Inc., which has an antisense oligonucleotide, STK-001, in early clinical trials.</w:t>
      </w:r>
    </w:p>
    <w:p>
      <w:pPr>
        <w:spacing w:after="0" w:line="77" w:lineRule="exact"/>
        <w:rPr>
          <w:rFonts w:ascii="Arial" w:cs="Arial" w:eastAsia="Arial" w:hAnsi="Arial"/>
          <w:sz w:val="17"/>
          <w:szCs w:val="17"/>
          <w:i w:val="1"/>
          <w:iCs w:val="1"/>
          <w:color w:val="auto"/>
        </w:rPr>
      </w:pPr>
    </w:p>
    <w:p>
      <w:pPr>
        <w:ind w:left="740" w:hanging="327"/>
        <w:spacing w:after="0" w:line="271" w:lineRule="auto"/>
        <w:tabs>
          <w:tab w:leader="none" w:pos="73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Sunosi</w:t>
      </w:r>
      <w:r>
        <w:rPr>
          <w:rFonts w:ascii="Arial" w:cs="Arial" w:eastAsia="Arial" w:hAnsi="Arial"/>
          <w:sz w:val="17"/>
          <w:szCs w:val="17"/>
          <w:color w:val="auto"/>
        </w:rPr>
        <w:t>. Sunosi faces competition from existing branded and generic products that treat EDS or improve wakefulness in adult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narcolepsy or OSA in a competitive retail pharmacy market. To successfully commercialize Sunosi, we need to differentiate Sunosi from other branded and generic products that treat EDS in patients with narcolepsy, including stimulants, wake-promoting agents, such as modafinil and armodafinil, and generic versions of stimulants and wake-promoting agents. We are also aware that stimulants are prescribed off-label for patients to treat excessive sleepiness in OSA. Sunosi faces competition from new branded entrants such as pitolisant, a drug that was approved by FDA in August 2019 for the treatment of EDS in adult patients with narcolepsy and in October 2020 for the treatment of cataplexy in adult patients with narcolepsy. Pitolisant became commercially available in the U.S. in the fourth quarter of 2019, and has also been approved and marketed in Europe to treat adult patients with narcolepsy,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right="260"/>
        <w:spacing w:after="0" w:line="277" w:lineRule="auto"/>
        <w:rPr>
          <w:sz w:val="20"/>
          <w:szCs w:val="20"/>
          <w:color w:val="auto"/>
        </w:rPr>
      </w:pPr>
      <w:r>
        <w:rPr>
          <w:rFonts w:ascii="Arial" w:cs="Arial" w:eastAsia="Arial" w:hAnsi="Arial"/>
          <w:sz w:val="18"/>
          <w:szCs w:val="18"/>
          <w:color w:val="auto"/>
        </w:rPr>
        <w:t>with or without cataplexy, and OSA. Sunosi may also face competition from other products in development as potential treatments for EDS in patients with narcolepsy or OSA.</w:t>
      </w:r>
    </w:p>
    <w:p>
      <w:pPr>
        <w:spacing w:after="0" w:line="62" w:lineRule="exact"/>
        <w:rPr>
          <w:sz w:val="20"/>
          <w:szCs w:val="20"/>
          <w:color w:val="auto"/>
        </w:rPr>
      </w:pPr>
    </w:p>
    <w:p>
      <w:pPr>
        <w:ind w:left="740" w:right="400" w:hanging="327"/>
        <w:spacing w:after="0" w:line="301" w:lineRule="auto"/>
        <w:tabs>
          <w:tab w:leader="none" w:pos="73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Nabiximols. </w:t>
      </w:r>
      <w:r>
        <w:rPr>
          <w:rFonts w:ascii="Arial" w:cs="Arial" w:eastAsia="Arial" w:hAnsi="Arial"/>
          <w:sz w:val="16"/>
          <w:szCs w:val="16"/>
          <w:color w:val="auto"/>
        </w:rPr>
        <w:t>Nabiximols aims to treat adult patients with MS-related spasticity. Patients in the U.S. suffering from MS-related spasticity are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treated with a variety of FDA-approved therapies such as baclofen, tizanidine, gabapentin, dantrolene and various botulinum toxin products. Bionorica SE is in late stage development of an oral solution containing dronabinol for spasticity due to MS. Ipsen and Echo pharmaceuticals are in the early stages of development with various oral products aimed to treat MS-related spasticity.</w:t>
      </w:r>
    </w:p>
    <w:p>
      <w:pPr>
        <w:spacing w:after="0" w:line="49" w:lineRule="exact"/>
        <w:rPr>
          <w:rFonts w:ascii="Arial" w:cs="Arial" w:eastAsia="Arial" w:hAnsi="Arial"/>
          <w:sz w:val="16"/>
          <w:szCs w:val="16"/>
          <w:color w:val="auto"/>
        </w:rPr>
      </w:pPr>
    </w:p>
    <w:p>
      <w:pPr>
        <w:ind w:left="740" w:right="60" w:hanging="327"/>
        <w:spacing w:after="0" w:line="263" w:lineRule="auto"/>
        <w:tabs>
          <w:tab w:leader="none" w:pos="73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Zepzelca. </w:t>
      </w:r>
      <w:r>
        <w:rPr>
          <w:rFonts w:ascii="Arial" w:cs="Arial" w:eastAsia="Arial" w:hAnsi="Arial"/>
          <w:sz w:val="18"/>
          <w:szCs w:val="18"/>
          <w:color w:val="auto"/>
        </w:rPr>
        <w:t>Zepzelca faces competition from topotecan, which is also an approved treatment in second line SCLC in the U.S., as well as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regimens for relapsed SCLC currently recommended in compendia guidelines. There are also a number of products and immunotherapies for the treatment of second line SCLC in various phases of development.</w:t>
      </w:r>
    </w:p>
    <w:p>
      <w:pPr>
        <w:spacing w:after="0" w:line="75" w:lineRule="exact"/>
        <w:rPr>
          <w:rFonts w:ascii="Arial" w:cs="Arial" w:eastAsia="Arial" w:hAnsi="Arial"/>
          <w:sz w:val="18"/>
          <w:szCs w:val="18"/>
          <w:i w:val="1"/>
          <w:iCs w:val="1"/>
          <w:color w:val="auto"/>
        </w:rPr>
      </w:pPr>
    </w:p>
    <w:p>
      <w:pPr>
        <w:ind w:left="740" w:right="20" w:hanging="327"/>
        <w:spacing w:after="0" w:line="290" w:lineRule="auto"/>
        <w:tabs>
          <w:tab w:leader="none" w:pos="73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Rylaze. </w:t>
      </w:r>
      <w:r>
        <w:rPr>
          <w:rFonts w:ascii="Arial" w:cs="Arial" w:eastAsia="Arial" w:hAnsi="Arial"/>
          <w:sz w:val="16"/>
          <w:szCs w:val="16"/>
          <w:color w:val="auto"/>
        </w:rPr>
        <w:t>Rylaze may face competition from Erwinase, which was previously approved and commercialized by Jazz as a treatment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In April 2020, Porton Biopharma Limited, or PBL, granted Clinigen Group plc, or Clinigen, a global license for Erwinase. However, in December 2021, Clinigen announced that FDA has issued a Complete Response Letter to PBL’s BLA for Erwinaze, indicating that the BLA cannot be approved in its current form. Rylaze may also face competition from other companies who have developed or are developing new treatments for ALL, including an L-asparaginase product candidate that is in development for the treatment of ALL patients. In addition,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 As a biologic product, Rylaze also faces potential competition from biosimilar products.</w:t>
      </w:r>
    </w:p>
    <w:p>
      <w:pPr>
        <w:spacing w:after="0" w:line="57" w:lineRule="exact"/>
        <w:rPr>
          <w:rFonts w:ascii="Arial" w:cs="Arial" w:eastAsia="Arial" w:hAnsi="Arial"/>
          <w:sz w:val="16"/>
          <w:szCs w:val="16"/>
          <w:i w:val="1"/>
          <w:iCs w:val="1"/>
          <w:color w:val="auto"/>
        </w:rPr>
      </w:pPr>
    </w:p>
    <w:p>
      <w:pPr>
        <w:ind w:left="740" w:hanging="327"/>
        <w:spacing w:after="0" w:line="269" w:lineRule="auto"/>
        <w:tabs>
          <w:tab w:leader="none" w:pos="735"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Vyxeos</w:t>
      </w:r>
      <w:r>
        <w:rPr>
          <w:rFonts w:ascii="Arial" w:cs="Arial" w:eastAsia="Arial" w:hAnsi="Arial"/>
          <w:sz w:val="17"/>
          <w:szCs w:val="17"/>
          <w:color w:val="auto"/>
        </w:rPr>
        <w:t>. With respect to Vyxeos, there are a number of alternative established therapies in AML. A key consideration in the treatment of AML</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is the patient’s suitability for chemotherapy. The AML patient population studied in the Vyxeos Phase 3 clinical trial supporting our NDA included 60-75 year old fit patients, or those deemed able to tolerate intensive induction chemotherapy. Prior to Vyxeos, the most widely recognized option for the treatment of newly-diagnosed t-AML and AML-MRC in fit patients was cytarabine in combination with daunorubicin, known as 7+3, which is still used today in this population, along with other intensive chemotherapy regimens, particularly in patients under the age of 60. Also, since Vyxeos was approved, several other products have been approved by FDA or are in development as treatment options for newly diagnosed AML patients eligible for intensive chemotherapy, such as targeted agents (e.g. midostaurin, enasidenib and ivosidenib), immunotherapies (e.g., gemtuzumab ozogamicin and chimeric antigen receptor T-cell therapy), and agents disrupting leukemia cell survival (e.g., glasdegib). We are also aware of the increasing use of venetoclax combined with either a hypomethylating agent or low-dose cytarabine, a treatment approved by FDA in newly diagnosed AML patients who are age 75 years or older, or who have comorbidities that preclude use of intensive induction chemotherapy.</w:t>
      </w:r>
    </w:p>
    <w:p>
      <w:pPr>
        <w:spacing w:after="0" w:line="73" w:lineRule="exact"/>
        <w:rPr>
          <w:rFonts w:ascii="Arial" w:cs="Arial" w:eastAsia="Arial" w:hAnsi="Arial"/>
          <w:sz w:val="17"/>
          <w:szCs w:val="17"/>
          <w:i w:val="1"/>
          <w:iCs w:val="1"/>
          <w:color w:val="auto"/>
        </w:rPr>
      </w:pPr>
    </w:p>
    <w:p>
      <w:pPr>
        <w:ind w:left="740" w:right="160" w:hanging="327"/>
        <w:spacing w:after="0" w:line="277" w:lineRule="auto"/>
        <w:tabs>
          <w:tab w:leader="none" w:pos="73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Defitelio</w:t>
      </w:r>
      <w:r>
        <w:rPr>
          <w:rFonts w:ascii="Arial" w:cs="Arial" w:eastAsia="Arial" w:hAnsi="Arial"/>
          <w:sz w:val="18"/>
          <w:szCs w:val="18"/>
          <w:color w:val="auto"/>
        </w:rPr>
        <w:t>. While there is currently no direct competition to Defitelio to treat severe VOD, changes in the types of conditioning regimens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HSCT may affect the incidence of VOD diagnosis and demand for Defitelio.</w:t>
      </w:r>
    </w:p>
    <w:p>
      <w:pPr>
        <w:spacing w:after="0" w:line="62"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An important part of our corporate strategy is to build a diversified product pipeline, including by acquiring or in-licensing and developing, or partnering to license and develop, additional products and product candidates that we believe are highly differentiated and have significant commercial potential. Our ability to continue to grow our product portfolio requires that we compete successfully with other pharmaceutical companies, many of which may have substantially greater financial sales and marketing resources, to acquire or in-license products and product candidates.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In the U.S., Xywav and Xyrem are sold to one certified specialty pharmacy, ESSDS, that ships Xywav and Xyrem directly to patients. Also in the U.S., Epidiolex is sold to specialty pharmacies, wholesalers and specialty distributors. Sunosi is distributed through a retail channel consisting of numerous distributors who sell Sunosi to retail pharmacies. Defitelio is sold to hospital customers through subsidiary specialty distributors of McKesson Corporation, or McKesson. Zepzelca, Rylaze and Vyxeos are sold to customers through subsidiary specialty distributors of McKesson, AmerisourceBergen Corporation, or ABC, and Cardinal Health, Inc., or Cardinal. We have distribution services agreements made in the ordinary course of business with McKesson, ABC and Cardinal and a pharmacy services agreement with ESSDS that provides for the distribution of Xywav and Xyrem to patients. For more information regarding our relationship with ESSDS, see “Business—Our Commercialized Products—Xyrem” in this Part I, Item 1. Purchases are made on a purchase order basis.</w:t>
      </w:r>
    </w:p>
    <w:p>
      <w:pPr>
        <w:spacing w:after="0" w:line="84"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In certain countries in Europe, Sunosi, Defitelio and Vyxeos are sold pursuant to marketing authorizations. We distribute these products through Durbin PLC, a U.K.-based wholesaler and distributor, and O&amp;M Movianto Nederland BV, our centralized European logistics services provider, to hospitals and local wholesalers in Europe where we market these products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directly and, in other markets in Europe and elsewhere where we do not market these products directly, to local distributors and wholesalers. In certain countries in Europe, Epidyolex is sold pursuant to marketing authorizations. We distribute Epidyolex through a variety of wholesalers and distributors. Sativex is sold outside of the United States for the treatment of spasticity due to MS, pursuant to license agreements with commercial partners and directly to customers in the U.K. In countries where there is no marketing authorization, Defitelio, Vyxeos, Epidyolex and Sativex are sold pursuant to named patient programs, temporary use authorizations or similar authorizations.</w:t>
      </w:r>
    </w:p>
    <w:p>
      <w:pPr>
        <w:spacing w:after="0" w:line="68"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We directly market Xyrem in Canada for the treatment of cataplexy in patients with narcolepsy. Xyrem is also sold in 21 countries by UCB (which has rights to market Xyrem in 54 countries).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have a manufacturing and development facility in Athlone, Ireland where we manufacture Xywav and Xyrem, a manufacturing and development facility in the U.K. in Kent Science Park, where we produce Epidiolex/Epidyolex and Sativex, and a manufacturing plant in Villa Guardia, Italy where we produce the defibrotide drug substance.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 Our manufacturing facilities currently continue to be operational with essential staff onsite and office-based staff working onsite and remotely as business needs require.</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Lead Marketed Products</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i w:val="1"/>
          <w:iCs w:val="1"/>
          <w:color w:val="auto"/>
        </w:rPr>
        <w:t xml:space="preserve">Xywav. </w:t>
      </w:r>
      <w:r>
        <w:rPr>
          <w:rFonts w:ascii="Arial" w:cs="Arial" w:eastAsia="Arial" w:hAnsi="Arial"/>
          <w:sz w:val="18"/>
          <w:szCs w:val="18"/>
          <w:color w:val="auto"/>
        </w:rPr>
        <w:t>Xywav is manufactured at our Athlone facility. Xywav, like Xyrem, is a Schedule III controlled substance in the U.S. The API of Xywav 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calcium, magnesium, potassium and sodium salts of gamma-hydroxybutyric acid (as gamma-hydroxybutyric acid is the API for Xyrem), which are Schedule I controlled substances in the U.S. As a result, Xywav and Xyrem are subject to regulation by the U.S. Drug Enforcement Administration, or DEA, under the Federal Controlled Substances Act, or CSA, and its manufacturing and distribution are highly restricted. Quotas from the DEA are required in order to manufacture and package calcium, magnesium, potassium and sodium oxybate, Xywav and Xyrem in the U.S. For information related to DEA quota requirements, see “Business—Government Regulation—Other Post-Approval Pharmaceutical Product Regulation—Controlled Substance Regulations” in this Part I, Item 1.</w:t>
      </w:r>
    </w:p>
    <w:p>
      <w:pPr>
        <w:spacing w:after="0" w:line="8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 xml:space="preserve">Xyrem. </w:t>
      </w:r>
      <w:r>
        <w:rPr>
          <w:rFonts w:ascii="Arial" w:cs="Arial" w:eastAsia="Arial" w:hAnsi="Arial"/>
          <w:sz w:val="17"/>
          <w:szCs w:val="17"/>
          <w:color w:val="auto"/>
        </w:rPr>
        <w:t>Xyrem is manufactured by us in our Athlone facility and by Patheon Pharmaceuticals Inc., which we refer to together with its affiliates as</w:t>
      </w:r>
      <w:r>
        <w:rPr>
          <w:rFonts w:ascii="Arial" w:cs="Arial" w:eastAsia="Arial" w:hAnsi="Arial"/>
          <w:sz w:val="17"/>
          <w:szCs w:val="17"/>
          <w:i w:val="1"/>
          <w:iCs w:val="1"/>
          <w:color w:val="auto"/>
        </w:rPr>
        <w:t xml:space="preserve"> </w:t>
      </w:r>
      <w:r>
        <w:rPr>
          <w:rFonts w:ascii="Arial" w:cs="Arial" w:eastAsia="Arial" w:hAnsi="Arial"/>
          <w:sz w:val="17"/>
          <w:szCs w:val="17"/>
          <w:color w:val="auto"/>
        </w:rPr>
        <w:t>Patheon, under a Master Manufacturing Services Agreement, or the Patheon Agreement, entered into with Patheon in 2015. We manufacture Xyrem in our Athlone facility for most of our U.S. commercial supply and rely on Patheon to supply Xyrem for other markets, though we are not required to purchase Xyrem exclusively from Patheon. The current term of the Patheon Agreement will expire in December 2024, subject to further automatic two-yearly extensions if Patheon is then providing manufacturing services for any product, unless either party provides prior notice of termination. In addition, we may terminate the Patheon Agreement for any reason upon 12 months’ prior written notice.</w:t>
      </w:r>
    </w:p>
    <w:p>
      <w:pPr>
        <w:spacing w:after="0" w:line="70"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Siegfried USA, LLC and its European affiliates, or Siegfried, supply sodium oxybate, the API of Xyrem, to Patheon and our Athlone facility. Although Siegfried has been our only supplier of sodium oxybate since 2012, we have the right to purchase a portion of our worldwide requirements of sodium oxybate from other suppliers. The agreement with Siegfried expires in April 2024, subject to automatic three-year extensions until either party provides advance notice of its intent to terminate the agreement. During the term of the agreement and, under certain circumstances for 18 months after the agreement terminates, Siegfried is not permitted to manufacture sodium oxybate for any other company.</w:t>
      </w:r>
    </w:p>
    <w:p>
      <w:pPr>
        <w:spacing w:after="0" w:line="68" w:lineRule="exact"/>
        <w:rPr>
          <w:sz w:val="20"/>
          <w:szCs w:val="20"/>
          <w:color w:val="auto"/>
        </w:rPr>
      </w:pPr>
    </w:p>
    <w:p>
      <w:pPr>
        <w:jc w:val="both"/>
        <w:ind w:right="540" w:firstLine="445"/>
        <w:spacing w:after="0" w:line="342" w:lineRule="auto"/>
        <w:rPr>
          <w:sz w:val="20"/>
          <w:szCs w:val="20"/>
          <w:color w:val="auto"/>
        </w:rPr>
      </w:pPr>
      <w:r>
        <w:rPr>
          <w:rFonts w:ascii="Arial" w:cs="Arial" w:eastAsia="Arial" w:hAnsi="Arial"/>
          <w:sz w:val="16"/>
          <w:szCs w:val="16"/>
          <w:i w:val="1"/>
          <w:iCs w:val="1"/>
          <w:color w:val="auto"/>
        </w:rPr>
        <w:t xml:space="preserve">Epidiolex. </w:t>
      </w:r>
      <w:r>
        <w:rPr>
          <w:rFonts w:ascii="Arial" w:cs="Arial" w:eastAsia="Arial" w:hAnsi="Arial"/>
          <w:sz w:val="16"/>
          <w:szCs w:val="16"/>
          <w:color w:val="auto"/>
        </w:rPr>
        <w:t>Epidiolex/Epidyolex is manufactured by us in our Kent Science Park facility in the U.K. Epidiolex is a pharmaceutical formulation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comprising highly purified plant-derived CBD. We cultivate our cannabinoid plants in the U.K. under highly controlled and standardized conditions.</w:t>
      </w:r>
    </w:p>
    <w:p>
      <w:pPr>
        <w:spacing w:after="0" w:line="1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i w:val="1"/>
          <w:iCs w:val="1"/>
          <w:color w:val="auto"/>
        </w:rPr>
        <w:t xml:space="preserve">Sunosi. </w:t>
      </w:r>
      <w:r>
        <w:rPr>
          <w:rFonts w:ascii="Arial" w:cs="Arial" w:eastAsia="Arial" w:hAnsi="Arial"/>
          <w:sz w:val="18"/>
          <w:szCs w:val="18"/>
          <w:color w:val="auto"/>
        </w:rPr>
        <w:t>Siegfried AG is our sole supplier of both the API and finished product for Sunosi for both commercial sale as well as development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Siegfried AG is currently our only manufacturer and supplier of Sunosi, we have the right to purchase a portion of our worldwide requirements of API and drug product from other suppliers. Under our agreement, we provide periodic rolling forecasts to Siegfried AG, and a portion of each rolling forecast is binding. The initial term of the agreement with Siegfried AG will expire in December 2024 and will then be subject to automatic one-year extensions until either party provides advance notice of its intent to terminate the agreement. Solriamfetol, the API of Sunosi, and Sunosi were designated Schedule IV controlled substances by the DEA under the CSA.</w:t>
      </w:r>
    </w:p>
    <w:p>
      <w:pPr>
        <w:spacing w:after="0" w:line="84"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i w:val="1"/>
          <w:iCs w:val="1"/>
          <w:color w:val="auto"/>
        </w:rPr>
        <w:t xml:space="preserve">Sativex. </w:t>
      </w:r>
      <w:r>
        <w:rPr>
          <w:rFonts w:ascii="Arial" w:cs="Arial" w:eastAsia="Arial" w:hAnsi="Arial"/>
          <w:sz w:val="17"/>
          <w:szCs w:val="17"/>
          <w:color w:val="auto"/>
        </w:rPr>
        <w:t>Sativex is manufactured by us in our Kent Science Park facility in the U.K. Sativex (nabiximols) is a complex botanical mixture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from extracts of the cannabis sativa plant that contains the principal cannabinoids THC and CBD as well as specific minor cannabinoids and other non-cannabinoid components. We cultivate our cannabinoid plants in the U.K. under highly controlled and standardized conditions.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i w:val="1"/>
          <w:iCs w:val="1"/>
          <w:color w:val="auto"/>
        </w:rPr>
        <w:t>Zepzelca</w:t>
      </w:r>
      <w:r>
        <w:rPr>
          <w:rFonts w:ascii="Arial" w:cs="Arial" w:eastAsia="Arial" w:hAnsi="Arial"/>
          <w:sz w:val="18"/>
          <w:szCs w:val="18"/>
          <w:color w:val="auto"/>
        </w:rPr>
        <w:t>. Zepzelca is manufactured by Baxter. The initial term of the agreement with Baxter will expire in December 2023 and will then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automatic two-year extensions, unless either party provides advance notice of its intent to terminate the agreement. PharmaMar retains manufacturing rights for the API for U.S. and Canadian commercial supply of Zepzelca. We also entered into a manufacturing agreement for ongoing commercial supply of the drug product Zepzelca with GP Pharm S.A.</w:t>
      </w:r>
    </w:p>
    <w:p>
      <w:pPr>
        <w:spacing w:after="0" w:line="79" w:lineRule="exact"/>
        <w:rPr>
          <w:sz w:val="20"/>
          <w:szCs w:val="20"/>
          <w:color w:val="auto"/>
        </w:rPr>
      </w:pPr>
    </w:p>
    <w:p>
      <w:pPr>
        <w:ind w:right="380" w:firstLine="445"/>
        <w:spacing w:after="0" w:line="279" w:lineRule="auto"/>
        <w:rPr>
          <w:sz w:val="20"/>
          <w:szCs w:val="20"/>
          <w:color w:val="auto"/>
        </w:rPr>
      </w:pPr>
      <w:r>
        <w:rPr>
          <w:rFonts w:ascii="Arial" w:cs="Arial" w:eastAsia="Arial" w:hAnsi="Arial"/>
          <w:sz w:val="17"/>
          <w:szCs w:val="17"/>
          <w:i w:val="1"/>
          <w:iCs w:val="1"/>
          <w:color w:val="auto"/>
        </w:rPr>
        <w:t xml:space="preserve">Rylaze. </w:t>
      </w:r>
      <w:r>
        <w:rPr>
          <w:rFonts w:ascii="Arial" w:cs="Arial" w:eastAsia="Arial" w:hAnsi="Arial"/>
          <w:sz w:val="17"/>
          <w:szCs w:val="17"/>
          <w:color w:val="auto"/>
        </w:rPr>
        <w:t>Rylaze is currently manufactured by Patheon, and the API of Rylaze is manufactured by AGC Biologics A/S. The initial term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Patheon will expire in December 2025 and will then be subject to automatic two-year extensions, unless either party provides advance notice of its intent to terminate the agreement. The initial term of the agreement with AGC Biologics A/S will expire in October 2026 and will then be subject to automatic three-year extensions, unless either party provides advance notice of its intent to terminate the agreement.</w:t>
      </w:r>
    </w:p>
    <w:p>
      <w:pPr>
        <w:spacing w:after="0" w:line="63" w:lineRule="exact"/>
        <w:rPr>
          <w:sz w:val="20"/>
          <w:szCs w:val="20"/>
          <w:color w:val="auto"/>
        </w:rPr>
      </w:pPr>
    </w:p>
    <w:p>
      <w:pPr>
        <w:ind w:right="160" w:firstLine="445"/>
        <w:spacing w:after="0" w:line="272" w:lineRule="auto"/>
        <w:rPr>
          <w:sz w:val="20"/>
          <w:szCs w:val="20"/>
          <w:color w:val="auto"/>
        </w:rPr>
      </w:pPr>
      <w:r>
        <w:rPr>
          <w:rFonts w:ascii="Arial" w:cs="Arial" w:eastAsia="Arial" w:hAnsi="Arial"/>
          <w:sz w:val="17"/>
          <w:szCs w:val="17"/>
          <w:i w:val="1"/>
          <w:iCs w:val="1"/>
          <w:color w:val="auto"/>
        </w:rPr>
        <w:t xml:space="preserve">Vyxeos. </w:t>
      </w:r>
      <w:r>
        <w:rPr>
          <w:rFonts w:ascii="Arial" w:cs="Arial" w:eastAsia="Arial" w:hAnsi="Arial"/>
          <w:sz w:val="17"/>
          <w:szCs w:val="17"/>
          <w:color w:val="auto"/>
        </w:rPr>
        <w:t>Vyxeos is manufactured by Baxter Oncology GmbH, or Baxter, which is a sole source supplier from a single site location,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CombiPlex technology platform. CombiPlex products represent formulations with increased manufacturing complexities associated with producing drug delivery vehicles encapsulating two or more drugs that are maintained at a fixed ratio and, in the case of Vyxeos, two drugs that are co-encapsulated in a freeze-dried liposomal format. Our manufacturing agreement with Baxter expires in August 2025, subject to automatic three-year renewal terms, unless either party provides advance notice of its intent to terminate the agreement. While other contract manufacturers may be able to produce Vyxeos, the proprietary technology that supports the manufacture of Vyxeos is not easily transferable. The marketing authorization in the EU for Vyxeos also requires us to comply with certain manufacturing-related post-approval commitments.</w:t>
      </w:r>
    </w:p>
    <w:p>
      <w:pPr>
        <w:spacing w:after="0" w:line="69"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i w:val="1"/>
          <w:iCs w:val="1"/>
          <w:color w:val="auto"/>
        </w:rPr>
        <w:t xml:space="preserve">Defitelio. </w:t>
      </w:r>
      <w:r>
        <w:rPr>
          <w:rFonts w:ascii="Arial" w:cs="Arial" w:eastAsia="Arial" w:hAnsi="Arial"/>
          <w:sz w:val="17"/>
          <w:szCs w:val="17"/>
          <w:color w:val="auto"/>
        </w:rPr>
        <w:t>We are our own sole supplier of, and we believe that we are currently the sole worldwide producer of, the defibrotide API. We manufacture</w:t>
      </w:r>
      <w:r>
        <w:rPr>
          <w:rFonts w:ascii="Arial" w:cs="Arial" w:eastAsia="Arial" w:hAnsi="Arial"/>
          <w:sz w:val="17"/>
          <w:szCs w:val="17"/>
          <w:i w:val="1"/>
          <w:iCs w:val="1"/>
          <w:color w:val="auto"/>
        </w:rPr>
        <w:t xml:space="preserve"> </w:t>
      </w:r>
      <w:r>
        <w:rPr>
          <w:rFonts w:ascii="Arial" w:cs="Arial" w:eastAsia="Arial" w:hAnsi="Arial"/>
          <w:sz w:val="17"/>
          <w:szCs w:val="17"/>
          <w:color w:val="auto"/>
        </w:rPr>
        <w:t>the defibrotide API from porcine DNA in a single facility located in Villa Guardia, Italy. Patheon currently processes the defibrotide API into its finished vial form under a specific product agreement entered into under a separate agreement with Patheon. Patheon is the sole provider of our commercial and clinical supply of Defitelio; however, we are not required to purchase Defitelio exclusively from Patheon.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17" w:lineRule="exact"/>
        <w:rPr>
          <w:sz w:val="20"/>
          <w:szCs w:val="20"/>
          <w:color w:val="auto"/>
        </w:rPr>
      </w:pPr>
    </w:p>
    <w:p>
      <w:pPr>
        <w:ind w:right="60" w:firstLine="445"/>
        <w:spacing w:after="0" w:line="220" w:lineRule="exact"/>
        <w:rPr>
          <w:sz w:val="20"/>
          <w:szCs w:val="20"/>
          <w:color w:val="auto"/>
        </w:rPr>
      </w:pPr>
      <w:r>
        <w:rPr>
          <w:rFonts w:ascii="Arial" w:cs="Arial" w:eastAsia="Arial" w:hAnsi="Arial"/>
          <w:sz w:val="18"/>
          <w:szCs w:val="18"/>
          <w:color w:val="auto"/>
        </w:rPr>
        <w:t>For discussion of the challenges we face with respect to supply of our products and product candidates, see the risk factor under the heading “</w:t>
      </w:r>
      <w:r>
        <w:rPr>
          <w:rFonts w:ascii="Arial" w:cs="Arial" w:eastAsia="Arial" w:hAnsi="Arial"/>
          <w:sz w:val="18"/>
          <w:szCs w:val="18"/>
          <w:i w:val="1"/>
          <w:iCs w:val="1"/>
          <w:color w:val="auto"/>
        </w:rPr>
        <w:t>Delays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w:t>
      </w:r>
      <w:r>
        <w:rPr>
          <w:rFonts w:ascii="Arial" w:cs="Arial" w:eastAsia="Arial" w:hAnsi="Arial"/>
          <w:sz w:val="18"/>
          <w:szCs w:val="18"/>
          <w:color w:val="auto"/>
        </w:rPr>
        <w:t>in Part I, Item 1A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We actively seek to patent, or to acquire or obtain licenses to third party patents, to protect our products and product candidates and related inventions and improvements that we consider important to our business. We own a portfolio of U.S. and non-U.S. patents and patent applications and have licensed rights to a number of issued patents and patent applications. Our owned and licensed patents and patent applications cover or relate to our products and product candidates, including certain formulations, used to treat particular conditions, distribution methods and methods of administration, drug delivery technologies and delivery profiles and methods of making and use. Patents extend for varying periods according to the date of the patent filing or grant and the legal term of patents in the various countries where patent protection is obtained. The patent laws of non-U.S. countries differ from those in U.S., and the degree of protection afforded by non-U.S. patents may be different from the protection offered by U.S. patents. In addition to patents, our products and product candidates are in some instances protected by various regulatory exclusivities. For a description of those exclusivities and their regulatory background, see “Business—Government Regulation—Marketing Exclusivity—The Hatch-Waxman Act” in this Part I, Item 1.</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patents, patent applications and regulatory exclusivities that relate to our marketed products include:</w:t>
      </w:r>
    </w:p>
    <w:p>
      <w:pPr>
        <w:spacing w:after="0" w:line="117" w:lineRule="exact"/>
        <w:rPr>
          <w:sz w:val="20"/>
          <w:szCs w:val="20"/>
          <w:color w:val="auto"/>
        </w:rPr>
      </w:pPr>
    </w:p>
    <w:p>
      <w:pPr>
        <w:ind w:left="740" w:hanging="327"/>
        <w:spacing w:after="0" w:line="263" w:lineRule="auto"/>
        <w:tabs>
          <w:tab w:leader="none" w:pos="73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Xywav. </w:t>
      </w:r>
      <w:r>
        <w:rPr>
          <w:rFonts w:ascii="Arial" w:cs="Arial" w:eastAsia="Arial" w:hAnsi="Arial"/>
          <w:sz w:val="18"/>
          <w:szCs w:val="18"/>
          <w:color w:val="auto"/>
        </w:rPr>
        <w:t>We have 12 U.S. patents that relate to Xywav. These patents expire from 2023 to 2033. In addition, we have patent applications that relate</w:t>
      </w:r>
      <w:r>
        <w:rPr>
          <w:rFonts w:ascii="Arial" w:cs="Arial" w:eastAsia="Arial" w:hAnsi="Arial"/>
          <w:sz w:val="18"/>
          <w:szCs w:val="18"/>
          <w:i w:val="1"/>
          <w:iCs w:val="1"/>
          <w:color w:val="auto"/>
        </w:rPr>
        <w:t xml:space="preserve"> </w:t>
      </w:r>
      <w:r>
        <w:rPr>
          <w:rFonts w:ascii="Arial" w:cs="Arial" w:eastAsia="Arial" w:hAnsi="Arial"/>
          <w:sz w:val="18"/>
          <w:szCs w:val="18"/>
          <w:color w:val="auto"/>
        </w:rPr>
        <w:t>to Xywav for use in additional indications that would, if issued, expire between 2040 and 2041. Xywav has been granted ODE by FDA to treat narcolepsy through 2027 and to treat IH through 2028.</w:t>
      </w:r>
    </w:p>
    <w:p>
      <w:pPr>
        <w:spacing w:after="0" w:line="75" w:lineRule="exact"/>
        <w:rPr>
          <w:rFonts w:ascii="Arial" w:cs="Arial" w:eastAsia="Arial" w:hAnsi="Arial"/>
          <w:sz w:val="18"/>
          <w:szCs w:val="18"/>
          <w:i w:val="1"/>
          <w:iCs w:val="1"/>
          <w:color w:val="auto"/>
        </w:rPr>
      </w:pPr>
    </w:p>
    <w:p>
      <w:pPr>
        <w:ind w:left="740" w:right="80" w:hanging="327"/>
        <w:spacing w:after="0" w:line="301" w:lineRule="auto"/>
        <w:tabs>
          <w:tab w:leader="none" w:pos="73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Xyrem. </w:t>
      </w:r>
      <w:r>
        <w:rPr>
          <w:rFonts w:ascii="Arial" w:cs="Arial" w:eastAsia="Arial" w:hAnsi="Arial"/>
          <w:sz w:val="16"/>
          <w:szCs w:val="16"/>
          <w:color w:val="auto"/>
        </w:rPr>
        <w:t>We currently have six issued, unexpired patents in the U.S. relating to Xyrem. These patents are listed in FDA’s publication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Drug Products with Therapeutic Equivalence Evaluations,” or the Orange Book. Our patents relate to Xyrem’s restricted distribution system and a drug-drug interaction, or DDI, between Xyrem and divalproex sodium. In October 2018, as a result of FDA’s grant of pediatric exclusivity, an additional six months was added to the original expiration dates of all of our Orange Book-listed patents that existed at that time. As a result,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740" w:right="60"/>
        <w:spacing w:after="0" w:line="287" w:lineRule="auto"/>
        <w:rPr>
          <w:sz w:val="20"/>
          <w:szCs w:val="20"/>
          <w:color w:val="auto"/>
        </w:rPr>
      </w:pPr>
      <w:r>
        <w:rPr>
          <w:rFonts w:ascii="Arial" w:cs="Arial" w:eastAsia="Arial" w:hAnsi="Arial"/>
          <w:sz w:val="16"/>
          <w:szCs w:val="16"/>
          <w:color w:val="auto"/>
        </w:rPr>
        <w:t>our Orange Book-listed patents have periods of exclusivity between December 2022 and September 2033. Some of our Xyrem patents have been subject to patent litigation with the companies who filed ANDAs seeking to market a generic version of Xyrem, including challenge through the inter partes review, or IPR, procedures of the Patent Trial and Appeal Board, or PTAB, of the U.S. Patent and Trademark Office, or USPTO.</w:t>
      </w:r>
    </w:p>
    <w:p>
      <w:pPr>
        <w:spacing w:after="0" w:line="2" w:lineRule="exact"/>
        <w:rPr>
          <w:sz w:val="20"/>
          <w:szCs w:val="20"/>
          <w:color w:val="auto"/>
        </w:rPr>
      </w:pPr>
    </w:p>
    <w:p>
      <w:pPr>
        <w:ind w:left="740"/>
        <w:spacing w:after="0" w:line="216" w:lineRule="exact"/>
        <w:rPr>
          <w:sz w:val="20"/>
          <w:szCs w:val="20"/>
          <w:color w:val="auto"/>
        </w:rPr>
      </w:pPr>
      <w:r>
        <w:rPr>
          <w:rFonts w:ascii="Arial" w:cs="Arial" w:eastAsia="Arial" w:hAnsi="Arial"/>
          <w:sz w:val="17"/>
          <w:szCs w:val="17"/>
          <w:color w:val="auto"/>
        </w:rPr>
        <w:t>Some IPR petitions were dismissed by the PTAB. However, in July 2018, the United States Court of Appeals for the Federal Circuit upheld on appeal PTAB decisions finding that six patents associated with the Xywav and Xyrem REMS and three claims of a seventh REMS patent were unpatentable. As a result, we will not be able to enforce patents or claims that the PTAB found unpatentable. Although we have settled all patent litigation against the nine companies that filed ANDAs, it is possible that additional companies may challenge our U.S. patents for Xyrem in the future. For a description of our Xyrem settlements, see the risk factor under the heading “</w:t>
      </w:r>
      <w:r>
        <w:rPr>
          <w:rFonts w:ascii="Arial" w:cs="Arial" w:eastAsia="Arial" w:hAnsi="Arial"/>
          <w:sz w:val="17"/>
          <w:szCs w:val="17"/>
          <w:i w:val="1"/>
          <w:iCs w:val="1"/>
          <w:color w:val="auto"/>
        </w:rPr>
        <w:t>The introduction of new products in the U.S. market that</w:t>
      </w:r>
      <w:r>
        <w:rPr>
          <w:rFonts w:ascii="Arial" w:cs="Arial" w:eastAsia="Arial" w:hAnsi="Arial"/>
          <w:sz w:val="17"/>
          <w:szCs w:val="17"/>
          <w:color w:val="auto"/>
        </w:rPr>
        <w:t xml:space="preserve"> </w:t>
      </w:r>
      <w:r>
        <w:rPr>
          <w:rFonts w:ascii="Arial" w:cs="Arial" w:eastAsia="Arial" w:hAnsi="Arial"/>
          <w:sz w:val="17"/>
          <w:szCs w:val="17"/>
          <w:i w:val="1"/>
          <w:iCs w:val="1"/>
          <w:color w:val="auto"/>
        </w:rPr>
        <w:t>compete with, or otherwise disrupt the market for, our oxybate products and product candidates would adversely affect sales of our oxybate products and product candidates</w:t>
      </w:r>
      <w:r>
        <w:rPr>
          <w:rFonts w:ascii="Arial" w:cs="Arial" w:eastAsia="Arial" w:hAnsi="Arial"/>
          <w:sz w:val="17"/>
          <w:szCs w:val="17"/>
          <w:color w:val="auto"/>
        </w:rPr>
        <w:t>” in Part I, Item 1A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95" w:lineRule="exact"/>
        <w:rPr>
          <w:sz w:val="20"/>
          <w:szCs w:val="20"/>
          <w:color w:val="auto"/>
        </w:rPr>
      </w:pPr>
    </w:p>
    <w:p>
      <w:pPr>
        <w:ind w:left="740" w:right="140"/>
        <w:spacing w:after="0" w:line="259" w:lineRule="auto"/>
        <w:rPr>
          <w:sz w:val="20"/>
          <w:szCs w:val="20"/>
          <w:color w:val="auto"/>
        </w:rPr>
      </w:pPr>
      <w:r>
        <w:rPr>
          <w:rFonts w:ascii="Arial" w:cs="Arial" w:eastAsia="Arial" w:hAnsi="Arial"/>
          <w:sz w:val="18"/>
          <w:szCs w:val="18"/>
          <w:color w:val="auto"/>
        </w:rPr>
        <w:t>A Xyrem formulation patent that had issued in multiple non-U.S. countries expired in 2019. The European Patent Office has issued a method of administration patent relating to the DDI between Xyrem and divalproex sodium that will expire in 2034. That patent is licensed to UCB as the marketing authorization holder outside of the U.S. and Canada, and UCB has the right to enforce it. In addition to our issued patents, we have patent applications relating to Xyrem pending in the U.S. and other countries.</w:t>
      </w:r>
    </w:p>
    <w:p>
      <w:pPr>
        <w:spacing w:after="0" w:line="79" w:lineRule="exact"/>
        <w:rPr>
          <w:sz w:val="20"/>
          <w:szCs w:val="20"/>
          <w:color w:val="auto"/>
        </w:rPr>
      </w:pPr>
    </w:p>
    <w:p>
      <w:pPr>
        <w:ind w:left="740" w:right="20" w:hanging="327"/>
        <w:spacing w:after="0" w:line="288" w:lineRule="auto"/>
        <w:tabs>
          <w:tab w:leader="none" w:pos="73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Epidiolex. </w:t>
      </w:r>
      <w:r>
        <w:rPr>
          <w:rFonts w:ascii="Arial" w:cs="Arial" w:eastAsia="Arial" w:hAnsi="Arial"/>
          <w:sz w:val="16"/>
          <w:szCs w:val="16"/>
          <w:color w:val="auto"/>
        </w:rPr>
        <w:t>Our patent portfolio relating to the use of CBD in the treatment of epileptic encephalopathies includes 90 distinct patent families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either granted or filed. Most of the patent families in this portfolio claim the use of CBD in the treatment of particular childhood epilepsy syndromes, seizure sub-types and interactions with other concomitantly dosed anti-seizure drugs. To date, we have obtained 21 issued U.S. patents, including patents with claims for the use of CBD for the treatment of convulsive, drop and atonic seizures associated with both LGS and DS, an oral composition of CBD, as well as the use of CBD with clobazam, and the teaching that dose adjustment may be needed when concomitantly prescribed. These issued patents are directly aligned with the Epidiolex label, and we have listed them in the Orange Book. These patents have expiry between 2022 and 2041. We have filed corresponding patent applications in many jurisdictions worldwide, including Europe, UK, Canada, Japan, Mexico, Australia and New Zealand. The USPTO has granted a patent based on data that demonstrates that Epidiolex provides a benefit over synthetic CBD in an animal model of epilepsy, which has an expiry date of 2039 and we have listed it in the Orange Book. Epidiolex has received ODE to treat seizures associated with LGS and DS through 2025 and TSC through 2027.</w:t>
      </w:r>
    </w:p>
    <w:p>
      <w:pPr>
        <w:spacing w:after="0" w:line="60" w:lineRule="exact"/>
        <w:rPr>
          <w:rFonts w:ascii="Arial" w:cs="Arial" w:eastAsia="Arial" w:hAnsi="Arial"/>
          <w:sz w:val="16"/>
          <w:szCs w:val="16"/>
          <w:color w:val="auto"/>
        </w:rPr>
      </w:pPr>
    </w:p>
    <w:p>
      <w:pPr>
        <w:ind w:left="740" w:right="140" w:hanging="327"/>
        <w:spacing w:after="0" w:line="269" w:lineRule="auto"/>
        <w:tabs>
          <w:tab w:leader="none" w:pos="73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Sunosi</w:t>
      </w:r>
      <w:r>
        <w:rPr>
          <w:rFonts w:ascii="Arial" w:cs="Arial" w:eastAsia="Arial" w:hAnsi="Arial"/>
          <w:sz w:val="17"/>
          <w:szCs w:val="17"/>
          <w:color w:val="auto"/>
        </w:rPr>
        <w:t>. We acquired worldwide development, manufacturing and commercial rights to solriamfetol from Aerial BioPharma LLC, or Aerial,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including Aerial’s patent rights relating to solriamfetol, other than in certain jurisdictions in Asia where SK Biopharmaceuticals Co., Ltd. retains rights. We have a portfolio of U.S. and non-U.S. patents and patent applications for solriamfetol relating to various compositions, formulations and methods of use. Four of our U.S. patents are method of use patents covering treatment of sleep-related conditions expiring between 2026 and 2027 and another U.S. patent is directed to dose escalation regimens expiring in 2038. Two other U.S. patents cover, respectively, the formulation of solriamfetol and the method of treating select conditions with formulations of solriamfetol (both expiring in 2037). A request for a patent term extension for one of the above method of use patents has been filed. Requests for Supplementary Protection Certificate in certain European validation countries for a related European patent have been granted in Austria, Denmark, France, Ireland, Italy, Netherlands, Spain and Sweden (expiring in 2031) and remain pending in the others. Sunosi has also been granted ODE for narcolepsy and new chemical entity exclusivity in the U.S.</w:t>
      </w:r>
    </w:p>
    <w:p>
      <w:pPr>
        <w:spacing w:after="0" w:line="77" w:lineRule="exact"/>
        <w:rPr>
          <w:rFonts w:ascii="Arial" w:cs="Arial" w:eastAsia="Arial" w:hAnsi="Arial"/>
          <w:sz w:val="17"/>
          <w:szCs w:val="17"/>
          <w:i w:val="1"/>
          <w:iCs w:val="1"/>
          <w:color w:val="auto"/>
        </w:rPr>
      </w:pPr>
    </w:p>
    <w:p>
      <w:pPr>
        <w:ind w:left="740" w:right="180" w:hanging="327"/>
        <w:spacing w:after="0" w:line="275" w:lineRule="auto"/>
        <w:tabs>
          <w:tab w:leader="none" w:pos="73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Sativex. </w:t>
      </w:r>
      <w:r>
        <w:rPr>
          <w:rFonts w:ascii="Arial" w:cs="Arial" w:eastAsia="Arial" w:hAnsi="Arial"/>
          <w:sz w:val="17"/>
          <w:szCs w:val="17"/>
          <w:color w:val="auto"/>
        </w:rPr>
        <w:t>In the U.S., our patents (and our pending applications if they issue) relating to nabiximols would expire on various dates between 2022</w:t>
      </w:r>
      <w:r>
        <w:rPr>
          <w:rFonts w:ascii="Arial" w:cs="Arial" w:eastAsia="Arial" w:hAnsi="Arial"/>
          <w:sz w:val="17"/>
          <w:szCs w:val="17"/>
          <w:i w:val="1"/>
          <w:iCs w:val="1"/>
          <w:color w:val="auto"/>
        </w:rPr>
        <w:t xml:space="preserve"> </w:t>
      </w:r>
      <w:r>
        <w:rPr>
          <w:rFonts w:ascii="Arial" w:cs="Arial" w:eastAsia="Arial" w:hAnsi="Arial"/>
          <w:sz w:val="17"/>
          <w:szCs w:val="17"/>
          <w:color w:val="auto"/>
        </w:rPr>
        <w:t>and 2029, excluding possible patent term extensions. We have at least seven different patent families containing one or more pending and/or issued patents directed to the nabiximols formulation, the medical use of nabiximols, the extracts from which nabiximols is composed, the extraction technique used to produce the extracts and the therapeutic use of nabiximols. Due to the product’s significant complexity, we believe that nabiximols will benefit from strong long-term market regulatory protection.</w:t>
      </w:r>
    </w:p>
    <w:p>
      <w:pPr>
        <w:spacing w:after="0" w:line="68" w:lineRule="exact"/>
        <w:rPr>
          <w:rFonts w:ascii="Arial" w:cs="Arial" w:eastAsia="Arial" w:hAnsi="Arial"/>
          <w:sz w:val="17"/>
          <w:szCs w:val="17"/>
          <w:i w:val="1"/>
          <w:iCs w:val="1"/>
          <w:color w:val="auto"/>
        </w:rPr>
      </w:pPr>
    </w:p>
    <w:p>
      <w:pPr>
        <w:ind w:left="740" w:right="40" w:hanging="327"/>
        <w:spacing w:after="0" w:line="272" w:lineRule="auto"/>
        <w:tabs>
          <w:tab w:leader="none" w:pos="7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Zepzelca</w:t>
      </w:r>
      <w:r>
        <w:rPr>
          <w:rFonts w:ascii="Arial" w:cs="Arial" w:eastAsia="Arial" w:hAnsi="Arial"/>
          <w:sz w:val="17"/>
          <w:szCs w:val="17"/>
          <w:color w:val="auto"/>
        </w:rPr>
        <w:t>. In December 2019, we entered into an exclusive license agreement with PharmaMar pursuant to which we obtained exclusive U.S.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commercialization rights to Zepzelca. In October 2020, we entered into the amended license agreement which expanded our exclusive license to include rights to develop and commercialize Zepzelca in Canada. We have a portfolio of in-licensed U.S. and Canadian patents for lurbinectedin relating to compositions, methods of use, and processes. For example, one U.S. patent (expiring in 2024) covers a genus of compounds, including lurbinectedin, and use in treating various cancers. A request for a patent term extension for this U.S. patent has been filed and, if granted, would extend to 2029. A request for extension (CSP) has also been filed in Canada. Zepzelca has also been granted orphan drug exclusivity for the treatment of adults with metastatic</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SCLC with disease progression on or after platinum-based chemotherapy until 2027 and new chemical entity exclusivity until 2025 in the U.S.</w:t>
      </w:r>
    </w:p>
    <w:p>
      <w:pPr>
        <w:spacing w:after="0" w:line="140" w:lineRule="exact"/>
        <w:rPr>
          <w:sz w:val="20"/>
          <w:szCs w:val="20"/>
          <w:color w:val="auto"/>
        </w:rPr>
      </w:pPr>
    </w:p>
    <w:p>
      <w:pPr>
        <w:ind w:left="740" w:right="220" w:hanging="327"/>
        <w:spacing w:after="0" w:line="293" w:lineRule="auto"/>
        <w:tabs>
          <w:tab w:leader="none" w:pos="73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Rylaze</w:t>
      </w:r>
      <w:r>
        <w:rPr>
          <w:rFonts w:ascii="Arial" w:cs="Arial" w:eastAsia="Arial" w:hAnsi="Arial"/>
          <w:sz w:val="16"/>
          <w:szCs w:val="16"/>
          <w:color w:val="auto"/>
        </w:rPr>
        <w:t>. In 2016, we obtained worldwide rights from Pfenex, Inc., including Pfenex’s patent rights relating to Rylaze, to develop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commercialize multiple early-stage hematology product candidates, including a license to two U.S. process patents relating to Rylaze, with respective expirations in 2026 and 2038. Pfenex has been acquired by Ligand Pharmaceuticals Incorporated. Rylaze has been granted ODE for the treatment of patients with ALL or LBL until 2028. We have two patent application families relating to dosing regimens. One covers the current dosing regimen (25mg/m2 intramuscularly every 48 hours), while the other covers various dosing regimens of interest. If issued, these would expire in 2040 and 2042, respectively. Another application relating to formulations of asparaginase would expire in 2042 if issued.</w:t>
      </w:r>
    </w:p>
    <w:p>
      <w:pPr>
        <w:spacing w:after="0" w:line="56" w:lineRule="exact"/>
        <w:rPr>
          <w:rFonts w:ascii="Arial" w:cs="Arial" w:eastAsia="Arial" w:hAnsi="Arial"/>
          <w:sz w:val="16"/>
          <w:szCs w:val="16"/>
          <w:color w:val="auto"/>
        </w:rPr>
      </w:pPr>
    </w:p>
    <w:p>
      <w:pPr>
        <w:ind w:left="740" w:hanging="327"/>
        <w:spacing w:after="0" w:line="271" w:lineRule="auto"/>
        <w:tabs>
          <w:tab w:leader="none" w:pos="7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Vyxeos. </w:t>
      </w:r>
      <w:r>
        <w:rPr>
          <w:rFonts w:ascii="Arial" w:cs="Arial" w:eastAsia="Arial" w:hAnsi="Arial"/>
          <w:sz w:val="17"/>
          <w:szCs w:val="17"/>
          <w:color w:val="auto"/>
        </w:rPr>
        <w:t>We have a portfolio of U.S. and non-U.S. patents and patent applications for Vyxeos and the CombiPlex technology platform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compositions and methods of making and use. These include seven U.S. patents covering Vyxeos compositions and methods of use expiring between 2025 and 2034 and two U.S. patents covering CombiPlex (which also cover Vyxeos) expiring in January 2027. These patents are listed in the Orange Book. Vyxeos has been granted ODE by FDA until August 2024, seven years from its FDA approval, for the treatment of adults with newly-diagnosed t-AML or AML-MRC. In March 2021, FDA approved an expanded label for Vyxeos for the treatment of t-AML or AML-MRC in pediatric patients 1 year and older. In addition, Vyxeos has been granted orphan drug designation by the EC until August 2028, ten years from its EC approval for the treatment of adults with newly-diagnosed t-AML or AML-MRC and was approved by Health Canada for treatment of adults with newly diagnosed t-AML or AML-MRC in April 2021.</w:t>
      </w:r>
    </w:p>
    <w:p>
      <w:pPr>
        <w:spacing w:after="0" w:line="70" w:lineRule="exact"/>
        <w:rPr>
          <w:rFonts w:ascii="Arial" w:cs="Arial" w:eastAsia="Arial" w:hAnsi="Arial"/>
          <w:sz w:val="17"/>
          <w:szCs w:val="17"/>
          <w:color w:val="auto"/>
        </w:rPr>
      </w:pPr>
    </w:p>
    <w:p>
      <w:pPr>
        <w:ind w:left="740" w:hanging="327"/>
        <w:spacing w:after="0" w:line="270" w:lineRule="auto"/>
        <w:tabs>
          <w:tab w:leader="none" w:pos="7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Defitelio</w:t>
      </w:r>
      <w:r>
        <w:rPr>
          <w:rFonts w:ascii="Arial" w:cs="Arial" w:eastAsia="Arial" w:hAnsi="Arial"/>
          <w:sz w:val="17"/>
          <w:szCs w:val="17"/>
          <w:color w:val="auto"/>
        </w:rPr>
        <w:t>. The unique process of deriving defibrotide from porcine DNA is extensive and uses both chemical and biological processes that rely on</w:t>
      </w:r>
      <w:r>
        <w:rPr>
          <w:rFonts w:ascii="Arial" w:cs="Arial" w:eastAsia="Arial" w:hAnsi="Arial"/>
          <w:sz w:val="17"/>
          <w:szCs w:val="17"/>
          <w:i w:val="1"/>
          <w:iCs w:val="1"/>
          <w:color w:val="auto"/>
        </w:rPr>
        <w:t xml:space="preserve"> </w:t>
      </w:r>
      <w:r>
        <w:rPr>
          <w:rFonts w:ascii="Arial" w:cs="Arial" w:eastAsia="Arial" w:hAnsi="Arial"/>
          <w:sz w:val="17"/>
          <w:szCs w:val="17"/>
          <w:color w:val="auto"/>
        </w:rPr>
        <w:t>complex characterization methods. We have U.S. and non-U.S. patents and patent applications relating to various compositions, methods of use and methods of characterization, with the issued patents expiring at various times between 2021 and 2035. One U.S. patent is listed in the Orange Book and an additional allowed patent is expected to be Orange Book listed in 2022. Defibrotide has been granted ODE by FDA to treat and prevent VOD until March 2023. Defibrotide has also been granted orphan drug designation by the EC and the Korean Ministry of Food and Drug Safety to treat and prevent VOD, by the Commonwealth of Australia-Department of Health for the treatment of VOD and by the EC for the prevention of acute Graft-versus-Host Disease, or aGvHD, and have also received approvals in Canada, Brazil and Switzerland. We acquired the rights to defibrotide for the treatment and prevention of VOD in North America, Central America and South America from Sigma-Tau Pharmaceuticals, Inc. in 2014.</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patents and/or patent applications that relate to our product candidates include:</w:t>
      </w:r>
    </w:p>
    <w:p>
      <w:pPr>
        <w:spacing w:after="0" w:line="117" w:lineRule="exact"/>
        <w:rPr>
          <w:sz w:val="20"/>
          <w:szCs w:val="20"/>
          <w:color w:val="auto"/>
        </w:rPr>
      </w:pPr>
    </w:p>
    <w:p>
      <w:pPr>
        <w:ind w:left="740" w:right="120" w:hanging="327"/>
        <w:spacing w:after="0" w:line="257" w:lineRule="auto"/>
        <w:tabs>
          <w:tab w:leader="none" w:pos="7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Suvecaltamide (JZP385)</w:t>
      </w:r>
      <w:r>
        <w:rPr>
          <w:rFonts w:ascii="Arial" w:cs="Arial" w:eastAsia="Arial" w:hAnsi="Arial"/>
          <w:sz w:val="18"/>
          <w:szCs w:val="18"/>
          <w:color w:val="auto"/>
        </w:rPr>
        <w:t>. Through the acquisition of Cavion in 2019, we obtained a portfolio of U.S. and non-U.S. patents and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including rights relating to compositions and methods of using suvecaltamide. The portfolio includes a U.S. composition of matter patent relating to suvecaltamide, which expires in 2027, but which can be extended to 2032 depending on regulatory approval. Two further U.S. patents to the treatment of specific conditions (Angelman Syndrome and memory and cognitive disorders) provide supplemental protection to 2038.</w:t>
      </w:r>
    </w:p>
    <w:p>
      <w:pPr>
        <w:spacing w:after="0" w:line="79" w:lineRule="exact"/>
        <w:rPr>
          <w:rFonts w:ascii="Arial" w:cs="Arial" w:eastAsia="Arial" w:hAnsi="Arial"/>
          <w:sz w:val="18"/>
          <w:szCs w:val="18"/>
          <w:color w:val="auto"/>
        </w:rPr>
      </w:pPr>
    </w:p>
    <w:p>
      <w:pPr>
        <w:ind w:left="740" w:right="80" w:hanging="327"/>
        <w:spacing w:after="0" w:line="263" w:lineRule="auto"/>
        <w:tabs>
          <w:tab w:leader="none" w:pos="7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JZP150. </w:t>
      </w:r>
      <w:r>
        <w:rPr>
          <w:rFonts w:ascii="Arial" w:cs="Arial" w:eastAsia="Arial" w:hAnsi="Arial"/>
          <w:sz w:val="18"/>
          <w:szCs w:val="18"/>
          <w:color w:val="auto"/>
        </w:rPr>
        <w:t>Through the asset purchase and exclusive license agreement with SpringWorks in 2020, we obtained a license to a portfolio of U.S. and</w:t>
      </w:r>
      <w:r>
        <w:rPr>
          <w:rFonts w:ascii="Arial" w:cs="Arial" w:eastAsia="Arial" w:hAnsi="Arial"/>
          <w:sz w:val="18"/>
          <w:szCs w:val="18"/>
          <w:i w:val="1"/>
          <w:iCs w:val="1"/>
          <w:color w:val="auto"/>
        </w:rPr>
        <w:t xml:space="preserve"> </w:t>
      </w:r>
      <w:r>
        <w:rPr>
          <w:rFonts w:ascii="Arial" w:cs="Arial" w:eastAsia="Arial" w:hAnsi="Arial"/>
          <w:sz w:val="18"/>
          <w:szCs w:val="18"/>
          <w:color w:val="auto"/>
        </w:rPr>
        <w:t>non-U.S. patents and patent applications, including rights relating to compositions and methods of using JZP150. The portfolio includes a U.S. composition of matter patent relating to JZP150, which expires in 2029.</w:t>
      </w:r>
    </w:p>
    <w:p>
      <w:pPr>
        <w:spacing w:after="0" w:line="76" w:lineRule="exact"/>
        <w:rPr>
          <w:sz w:val="20"/>
          <w:szCs w:val="20"/>
          <w:color w:val="auto"/>
        </w:rPr>
      </w:pPr>
    </w:p>
    <w:p>
      <w:pPr>
        <w:ind w:right="240" w:firstLine="445"/>
        <w:spacing w:after="0" w:line="220" w:lineRule="exact"/>
        <w:rPr>
          <w:sz w:val="20"/>
          <w:szCs w:val="20"/>
          <w:color w:val="auto"/>
        </w:rPr>
      </w:pPr>
      <w:r>
        <w:rPr>
          <w:rFonts w:ascii="Arial" w:cs="Arial" w:eastAsia="Arial" w:hAnsi="Arial"/>
          <w:sz w:val="18"/>
          <w:szCs w:val="18"/>
          <w:color w:val="auto"/>
        </w:rPr>
        <w:t>In addition, we have rights to a number of trademarks and service marks, and pending trademark and service mark applications, in the U.S. and elsewhere in the world to further protect the proprietary position of our products. For a discussion of the challenges we face in obtaining or maintaining patent and/or trade secret protection, see the risk factors under the heading “Risks Related to Our Intellectual Property”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As a global pharmaceutical company, our activities are subject to extensive regulation in the U.S., Europe and other countries where we do business. Regulatory requirements encompass the entire life cycle of pharmaceutical products, from research and development activities to marketing approval, manufacturing, labeling, packaging, adverse event and safety reporting, storage, advertising, promotion, sale, pricing and reimbursement, recordkeeping, distribution, importing and exporting. Regulations differ from country to country and are constantly evolving.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Testing and Approval of Pharmaceutical Products</w:t>
      </w:r>
    </w:p>
    <w:p>
      <w:pPr>
        <w:spacing w:after="0" w:line="117"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We are not permitted to market a product in a country until we receive approval from the relevant regulatory authority, such as FDA in the U.S. and the EC or the competent authorities of the EU member states. An application for marketing approval must contain information generated by the applicant, also called a sponsor, demonstrating the quality, safety and efficacy of the product candidate, including data from preclinical and clinical trials, proposed product packaging and labeling and information pertaining to product formulation and the manufacture and analytical testing of the API and the finished product.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U.S., FDA reviews and, if warranted, approves applications for marketing approval. The process for obtaining marketing approval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 drug or biologic product candidate generally includes:</w:t>
      </w:r>
    </w:p>
    <w:p>
      <w:pPr>
        <w:spacing w:after="0" w:line="103" w:lineRule="exact"/>
        <w:rPr>
          <w:sz w:val="20"/>
          <w:szCs w:val="20"/>
          <w:color w:val="auto"/>
        </w:rPr>
      </w:pPr>
    </w:p>
    <w:p>
      <w:pPr>
        <w:ind w:left="740" w:right="520" w:hanging="327"/>
        <w:spacing w:after="0" w:line="277"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preclinical laboratory and animal testing and submitting the results to FDA in an investigational new drug, or IND, application requesting approval to test the product candidate in human clinical trials;</w:t>
      </w:r>
    </w:p>
    <w:p>
      <w:pPr>
        <w:spacing w:after="0" w:line="62" w:lineRule="exact"/>
        <w:rPr>
          <w:rFonts w:ascii="Arial" w:cs="Arial" w:eastAsia="Arial" w:hAnsi="Arial"/>
          <w:sz w:val="18"/>
          <w:szCs w:val="18"/>
          <w:color w:val="auto"/>
        </w:rPr>
      </w:pPr>
    </w:p>
    <w:p>
      <w:pPr>
        <w:ind w:left="740" w:right="720" w:hanging="327"/>
        <w:spacing w:after="0" w:line="277"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adequate and well-controlled human clinical trials to establish the safety and efficacy of the product candidate in the desired indication;</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submitting an NDA, sNDA, or BLA, as appropriate, to FDA seeking approval for a specific indication; and</w:t>
      </w:r>
    </w:p>
    <w:p>
      <w:pPr>
        <w:spacing w:after="0" w:line="117" w:lineRule="exact"/>
        <w:rPr>
          <w:rFonts w:ascii="Arial" w:cs="Arial" w:eastAsia="Arial" w:hAnsi="Arial"/>
          <w:sz w:val="18"/>
          <w:szCs w:val="18"/>
          <w:color w:val="auto"/>
        </w:rPr>
      </w:pPr>
    </w:p>
    <w:p>
      <w:pPr>
        <w:ind w:left="740" w:right="140" w:hanging="327"/>
        <w:spacing w:after="0" w:line="263"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inspections by FDA of the facilities where the product candidate is manufactured, analyzed and stored to demonstrate compliance with current Good Manufacturing Practices, or cGMP, and any requested FDA audits of the clinical trial sites that generated the data supporting the application.</w:t>
      </w:r>
    </w:p>
    <w:p>
      <w:pPr>
        <w:spacing w:after="0" w:line="76"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Human clinical trials conducted before approval of a product generally proceed in three sequential phases, although the phases may overlap. In Phase 1, the initial introduction of the product candidate in humans, the product candidate is typically tested to assess metabolism, pharmacokinetics, pharmacological actions and tolerability, including side effects associated with increasing doses. Phase 2 usually involves clinical trials in a limited patient population to determine the effectiveness of the product candidate for a particular indication or indications, dosage tolerance and optimum dosage and to identify common adverse effects and safety risks. If a product candidate demonstrates evidence of effectiveness and an acceptable safety profile in Phase 2, Phase 3 clinical trials are undertaken to obtain additional information about clinical efficacy and safety in a larger number of patients. Clinical trials must be conducted in accordance with specific protocols, as well as FDA requirements related to conducting the trials and recording and reporting the results, commonly referred to as good clinical practices, to ensure that the resulting data are credible and accurate and that the trial participants are adequately protected. FDA enforces good clinical practices through periodic inspections of trial sponsors, clinical investigators and trial sites.</w:t>
      </w:r>
    </w:p>
    <w:p>
      <w:pPr>
        <w:spacing w:after="0" w:line="58"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Once an NDA, sNDA or BLA has been compiled and submitted, FDA performs an initial review before it accepts the application for filing. FDA may refuse to file an application and/or request additional information before acceptance. Once accepted for filing, FDA begins an in-depth review of the application. Under the current goals and policies agreed to by FDA under the PDUFA for a new molecular entity, FDA has ten months from the filing decision in which to complete its initial review of a standard application and respond to the applicant, and six months from the filing decision for a priority application. FDA does not always meet its PDUFA goal dates, and in certain circumstances, the PDUFA goal date may be extended.</w:t>
      </w:r>
    </w:p>
    <w:p>
      <w:pPr>
        <w:spacing w:after="0" w:line="68"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FDA also has various programs, including Fast Track, Priority Review, Breakthrough Therapy and Accelerated Approval (Subpart H and E), RTOR pilot program, that are intended to expedite the process for reviewing certain applications and/or provide for approval on the basis of surrogate endpoints or restricted distribution. Generally, products may be eligible for one or more of these programs if they are intended for serious or life-threatening diseases or conditions, have potential to address unmet medical needs, or may provide meaningful benefit over existing treatments. For example, FDA granted Vyxeos Breakthrough Therapy and Fast Track designations and granted Priority Review with respect to our NDA for Vyxeos for the treatment of t-AML and AML-MRC that was approved in August 2017. In addition, a priority review voucher, or PRV, may be used to obtain priority review by FDA for one of our future regulatory submissions. We used the PRV we acquired in May 2018 to obtain priority review for our Xywav for the treatment of IH sNDA, which was approved by FDA in August 2021. In June 2020, FDA granted Accelerated Approval to Zepzelca for relapsed SCLC. In December 2020, we initiated the submission of a BLA for Rylaze for ALL under the RTOR pilot program, which was approved by FDA in June 2021.</w:t>
      </w:r>
    </w:p>
    <w:p>
      <w:pPr>
        <w:spacing w:after="0" w:line="5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During its review of an application, FDA evaluates whether the product demonstrates the required level of safety and efficacy for the indication for which approval is sought and conducts the inspections and audits described above. FDA may also refer an application to an advisory committee, typically a panel of clinicians, for review, evaluation and a non-binding recommendation as to whether the application should be approved. When FDA completes its evaluation, it issues either an approval letter or a complete response letter. A complete response letter generally outlines what FDA considers to be the deficiencies in the application and may indicate that substantial additional testing or information is required prior to FDA approval of the product. If and when identified deficiencies have been addressed to FDA’s satisfaction after a review of the resubmission of the application FDA will issue an approval letter.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Even if a product is approved, the approval may be subject to limitations based on FDA’s interpretation of the data submitted in the application. For example, as a condition of approval, FDA may require the sponsor to agree to certain post-marketing requirements, such as conducting Phase 4, or post-approval, clinical trials to gain additional safety data or to document a clinical benefit in the case of products approved under Accelerated Approval regulations. FDA’s approval of the NDA for Defitelio included a number of post-marketing commitments and requirements, including the requirement that we conduct a clinical trial to analyze the safety of defibrotide versus best supportive care in the prevention of VOD in adult and pediatric patients. For its approval of Vyxeos, FDA required that we conduct a safety study to characterize infusion-related reactions in patients treated with Vyxeos and a clinical trial to determine dosing to minimize toxicity in patients with moderate and severe renal impairment. Further, FDA granted Accelerated Approval to Zepzelca for relapsed SCLC based on data from a Phase 2 trial, which approval is contingent upon verification and description of clinical benefit in a post-marketing clinical trial.</w:t>
      </w:r>
    </w:p>
    <w:p>
      <w:pPr>
        <w:spacing w:after="0" w:line="88" w:lineRule="exact"/>
        <w:rPr>
          <w:sz w:val="20"/>
          <w:szCs w:val="20"/>
          <w:color w:val="auto"/>
        </w:rPr>
      </w:pPr>
    </w:p>
    <w:p>
      <w:pPr>
        <w:ind w:right="120" w:firstLine="445"/>
        <w:spacing w:after="0" w:line="218" w:lineRule="exact"/>
        <w:rPr>
          <w:sz w:val="20"/>
          <w:szCs w:val="20"/>
          <w:color w:val="auto"/>
        </w:rPr>
      </w:pPr>
      <w:r>
        <w:rPr>
          <w:rFonts w:ascii="Arial" w:cs="Arial" w:eastAsia="Arial" w:hAnsi="Arial"/>
          <w:sz w:val="16"/>
          <w:szCs w:val="16"/>
          <w:color w:val="auto"/>
        </w:rPr>
        <w:t>In addition, if FDA determines that a REMS is necessary to ensure that the benefits of the product outweigh the risks, a sponsor may be required to include a proposed REMS (either as part of the application or after approval), which may include a patient package insert or a medication guide to provide information to consumers about the product’s risks and benefits; a plan for communication to healthcare providers; or conditions on the product’s prescribing or distribution referred to as elements to assure safe use. Xywav and Xyrem are required to have a REMS. For more discussion regarding the Xywav and Xyrem REMS, see the risk factors under the headings “</w:t>
      </w:r>
      <w:r>
        <w:rPr>
          <w:rFonts w:ascii="Arial" w:cs="Arial" w:eastAsia="Arial" w:hAnsi="Arial"/>
          <w:sz w:val="16"/>
          <w:szCs w:val="16"/>
          <w:i w:val="1"/>
          <w:iCs w:val="1"/>
          <w:color w:val="auto"/>
        </w:rPr>
        <w:t>The distribution and sale of our oxybate products are subject to significant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restrictions, including the requirements of a REMS, and these regulatory requirements subject us to risks and uncertainties, any of which could negatively impact sales of Xywav and Xyrem</w:t>
      </w:r>
      <w:r>
        <w:rPr>
          <w:rFonts w:ascii="Arial" w:cs="Arial" w:eastAsia="Arial" w:hAnsi="Arial"/>
          <w:sz w:val="16"/>
          <w:szCs w:val="16"/>
          <w:color w:val="auto"/>
        </w:rPr>
        <w:t>” and “Risks Related to Our Intellectual Property”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6"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The EU and many individual countries have regulatory structures similar to the U.S. for conducting preclinical and clinical testing and applying for marketing approval or authorization, although specifics may vary widely from country to country. Clinical trials in the EU must be conducted in accordance with the requirements of the EU Clinical Trials Regulation and applicable good clinical practice standards. In the EU, there are several procedures for requesting marketing authorization which can be more efficient than applying for authorization on a country-by-country basis. There is a “centralized” procedure allowing submission of a single marketing authorization application to the European Medicines Agency, or EMA. If the EMA issues a positive opinion, the EC will grant a centralized marketing authorization that is valid in all EU member states and three of the four European Free Trade Association countries (Iceland, Liechtenstein and Norway). The centralized procedure is mandatory for certain medicinal products, including orphan medicinal products and biotechnology-derived medicinal products, and optional for others. There is also a “decentralized” procedure allowing companies to file identical applications to several EU member states simultaneously for product candidates that have not yet been authorized in any EU member state and a “mutual recognition” procedure allowing companies that have a product already authorized in one EU member state to apply for that authorization to be recognized by the competent authorities in other EU member states. The U.K.’s withdrawal from the EU on January 31, 2020, commonly referred to as Brexit, has created uncertainty concerning the future relationship between the U.K. and the EU. Among the changes that have had a direct impact are that Great Britain (England, Scotland and Wales) is now treated as a third country. To mitigate the immediate impact of this in December 2020, the EU and U.K. reached an agreement in principle on the framework for their future relationship, the EU-U.K. Trade and Cooperation Agreement, or TCA. With regard to EU regulations, Northern Ireland continues to follow the EU regulatory rules. As part of the TCA, the EU and the U.K. recognize Good Manufacturing Practice, or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introduced a separate regulatory submission process, approval process and a separate national marketing authorization. Northern Ireland, however, continues to be covered by the marketing authorizations granted by the EC.</w:t>
      </w:r>
    </w:p>
    <w:p>
      <w:pPr>
        <w:spacing w:after="0" w:line="286"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maximum timeframe for the evaluation of an application in the EU under the centralized procedure is 210 days, subject to certain exceptions and clock stops. An initial marketing authorization granted in the EU is valid for five years, with renewal subject to re-evaluation of the risk-benefit profile of the product. Once renewed, the authorization is usually valid for an unlimited period unless the national competent authority or the EC decides on justified grounds to proceed with one additional five-year renewal.</w:t>
      </w:r>
    </w:p>
    <w:p>
      <w:pPr>
        <w:spacing w:after="0" w:line="79"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In the EU, if an applicant can demonstrate that comprehensive data on the efficacy and safety of the product under normal conditions of use cannot be provided due to certain specified objective and verifiable reasons, products may be granted marketing authorization “under exceptional circumstances.” A marketing authorization granted under exceptional circumstances is valid for five years, subject to an annual reassessment of conditions imposed by the EC. The marketing authorization in the EU for Defitelio was granted under exceptional circumstances because it was not possible to obtain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complete information about the product due to the rarity of the disease and because ethical considerations prevented conducting a study directly comparing Defitelio with best supportive care or a placebo. As a result, the marketing authorization requires us to comply with a number of post-marketing obligations, including obligations relating to the manufacture of the drug substance and finished product, the submission of data concerning patients treated with the product collected through a third-party patient registry and the establishment of a multi-center, multinational and prospective observational patient registry to investigate the long-term safety, health outcomes and patterns of utilization of Defitelio during normal use. We are in the process of conducting the post-authorization study in the EU to provide further data on long-term safety, health outcomes and patterns of utilization of Defitelio in normal use.</w:t>
      </w:r>
    </w:p>
    <w:p>
      <w:pPr>
        <w:spacing w:after="0" w:line="56"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Similar to the use of REMS in the U.S. to ensure that the benefits of a product outweigh its risks, in the EU and other countries we are required and may, in the future in relation to new products, be required to agree to post-marketing obligations or conditions in the marketing authorization for our products, to include a patient package insert or a medication guide to provide information to consumers about the product’s risks and benefits, to implement a plan for communication to healthcare providers, and to impose restrictions on the product’s distribution. For example, the marketing authorization in the EU for Vyxeos requires us to comply with certain manufacturing-related post-approval commitments.</w:t>
      </w:r>
    </w:p>
    <w:p>
      <w:pPr>
        <w:spacing w:after="0" w:line="6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 to demonstrate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Manufacture of Pharmaceutical Products</w:t>
      </w:r>
    </w:p>
    <w:p>
      <w:pPr>
        <w:spacing w:after="0" w:line="11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the third party suppliers of our products are subject to cGMP, which are extensive regulations governing manufacturing processes, stability testing, recordkeeping and quality standards as defined by FDA, the EC, the EMA, competent authorities of EU member states and other regulatory authorities. FDA also periodically inspects manufacturing facilities and the sponsor’s and manufacturer’s records related to manufacturing, and assesses compliance with cGMP. Following such inspections, FDA may issue notices on Form FDA 483 and warning letters. In addition to Form FDA 483 notices and warning letters, failure to comply with the statutory and regulatory requirements may result in suspension of manufacturing, product seizure, withdrawal of the product from the market, administrative, civil and criminal penalties, among other enforcement remedies both in the U.S. and in non-U.S. countries.</w:t>
      </w:r>
    </w:p>
    <w:p>
      <w:pPr>
        <w:spacing w:after="0" w:line="84"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In the EU, a manufacturing authorization is required to manufacture medicinal products, and the manufacturing authorization holder must comply with various requirements set out in applicable EU laws, regulations and guidance. These requirements include compliance with EU cGMP standards when manufacturing products and their APIs, including APIs manufactured outside of the EU with the intention of importing them into the EU. In addition to inspection reports, manufacturers and marketing authorization holders may be subject to civil, criminal or administrative sanctions, including suspension of manufacturing authorization, in cases of non-compliance with the EU or EU member states’ requirements applicable to manufacturing.</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of Pharmaceutical Products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Promotional Activities</w:t>
      </w:r>
    </w:p>
    <w:p>
      <w:pPr>
        <w:spacing w:after="0" w:line="11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FDA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FDA actively investigates allegations of off-label promotion in order to enforce regulations prohibiting these types of activities. FDA routinely issues informal and more formal communications such as untitled letters or warning letters interpreting its authority over these matters. While such communications may not be considered final agency decisions, many companies may decide not to contest the agency’s interpretations so as to avoid disputes with FDA, even if they believe the claims they were making to be truthful, not misleading and otherwise lawful.</w:t>
      </w:r>
    </w:p>
    <w:p>
      <w:pPr>
        <w:spacing w:after="0" w:line="70" w:lineRule="exact"/>
        <w:rPr>
          <w:sz w:val="20"/>
          <w:szCs w:val="20"/>
          <w:color w:val="auto"/>
        </w:rPr>
      </w:pPr>
    </w:p>
    <w:p>
      <w:pPr>
        <w:ind w:right="140" w:firstLine="445"/>
        <w:spacing w:after="0" w:line="272" w:lineRule="auto"/>
        <w:rPr>
          <w:sz w:val="20"/>
          <w:szCs w:val="20"/>
          <w:color w:val="auto"/>
        </w:rPr>
      </w:pPr>
      <w:r>
        <w:rPr>
          <w:rFonts w:ascii="Arial" w:cs="Arial" w:eastAsia="Arial" w:hAnsi="Arial"/>
          <w:sz w:val="17"/>
          <w:szCs w:val="17"/>
          <w:color w:val="auto"/>
        </w:rPr>
        <w:t>In the EU,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or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 Other applicable laws at the EU level and in the individual EU member states also apply to the advertising and promotion of medicinal products, including laws that prohibit the direct-to-consumer advertising of prescription-only medicinal products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further limit or restrict the advertising and promotion of our products to the general public and to health care professionals. Violations of the rules governing the promotion of medicinal products in the EU could be penalized by administrative measures, fines and imprisonment.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Fraud and Abuse</w:t>
      </w:r>
    </w:p>
    <w:p>
      <w:pPr>
        <w:spacing w:after="0" w:line="117"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are subject to regulatory revision or changes in interpretation by the U.S Department of Justice, or DOJ, and the Office of Inspector General of the U.S. Department of Health and Human Services, or OIG. Practices or arrangements that involve remuneration may be subject to scrutiny if they do not qualify for an exemption or safe harbor. For example, in November 2020, the OIG issued a Special Fraud Alert to highlight certain inherent risks of remuneration related to speaker programs sponsored by drug and device companies, which do not fall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OIG, including meals exceeding modest value or where alcohol is made available; lack of substantive or new content presented; programs held at venues not conducive to the exchange of educational information; repeat attendees or attendees without a legitimate business interest; sales or marketing influence on speaker selection; and excessive speaker compensation.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63"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The federal civil False Claims Act prohibits, among other things, any person from knowingly presenting, or causing to be presented, a false or fraudulent claim for payment of federal funds, or knowingly making, or causing to be made, a false statement to get a false claim paid.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70"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5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majority of individual states also have statutes or regulations similar to the federal anti-kickback law and the False Claims Act,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Post-Approval Pharmaceutical Product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Reporting/Pharmacovigilance</w:t>
      </w:r>
    </w:p>
    <w:p>
      <w:pPr>
        <w:spacing w:after="0" w:line="117"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FDA, the EMA and other governmental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 intensive collection of data regarding the risks and benefits of marketed products and ongoing assessments of those risks and benefits and/or require or conduct other actions, potentially including withdrawal or suspension of the product from the market. For example, if the EMA has concerns that the risk-benefit profile of a product has changed, it can, following an investigation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procedure, adopt an opinion advising that the existing marketing authorization for the product be varied or suspended and requiring the marketing authorization holder to conduct post-authorization safety studies. The opinion is then submitted for approval by the EC. Also, from time to time, FDA issues drug safety communications on its adverse event reporting system based on its review of reported adverse events.</w:t>
      </w:r>
    </w:p>
    <w:p>
      <w:pPr>
        <w:spacing w:after="0" w:line="57"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FDA and the competent authorities of the EU member states on behalf of the EMA also periodically inspect our records related to safety reporting. Following such inspections, FDA may issue notices on FDA Form 483 and warning letters that could cause us to modify certain activities. An FDA Form 483 notice, if issued, can list conditions FDA investigators believe may have violated relevant FDA regulations or guidance. Failure to adequately and promptly correct the observation(s) can result in a warning letter or other regulatory enforcement action. Similarly, the EMA’s Pharmacovigilance Risk Assessment Committee may propose to the Committee for Medicinal Products for Human Use that the marketing authorization holder be required to take specific steps. Non-compliance can lead to the variation, suspension or withdrawal of marketing authorization or imposition of financial penalties or other enforcement measures.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Sunshine Act and Transparency Laws</w:t>
      </w:r>
    </w:p>
    <w:p>
      <w:pPr>
        <w:spacing w:after="0" w:line="117"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The Physician Payment Sunshine Act requires tracking of payments and transfers of value to physicians and teaching hospitals and ownership interests held by physicians and their families, and reporting to the federal government and public disclosure of these data. Beginning in 2022, reporting will also be required of information regarding payments and transfers of value provided to physician assistants, nurse practitioners, clinical nurse specialists, certified nurse anesthetists, and certified nurse-midwives. A number of states now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56" w:lineRule="exact"/>
        <w:rPr>
          <w:sz w:val="20"/>
          <w:szCs w:val="20"/>
          <w:color w:val="auto"/>
        </w:rPr>
      </w:pPr>
    </w:p>
    <w:p>
      <w:pPr>
        <w:ind w:right="100" w:firstLine="445"/>
        <w:spacing w:after="0" w:line="290"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in “Business—Government Regulation—Anti-Corruption Legislation” in this Part I, Item 1. Violation of these laws could result in substantial fines and imprisonment. Certain EU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Controlled Substance Regulations</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A drug product approved by FDA may be subject to scheduling as a controlled substance under the CSA depending on the drug’s potential for abuse. Controlled substances that are pharmaceutical products are subject to a high degree of regulation under the CSA, which establishes, among other things, certain registration, manufacturing quotas, security, recordkeeping, reporting, import, export and other requirements administered by the DEA. The DEA classifies controlled substances into five schedules. Schedule I substances by definition have a high potential for abuse, have no currently “accepted medical use” in the U.S., lack accepted safety for use under medical supervision, and may not be prescribed, marketed or sold in the U.S. Pharmaceutical products approved for use in the U.S. may be listed as Schedule II, III, IV or V, with Schedule II substances considered to present the highest potential for abuse or dependence and Schedule V substances the lowest relative risk of abuse. The API of Xywav and Xyrem, oxybate salts, are regulated by the DEA as Schedule I controlled substances, and Xywav and Xyrem are regulated as Schedule III controlled substances. The API of Sunosi, solriamfetol, and Sunosi are regulated as Schedule IV controlled substances. Individual countries also impose similar requirements for controlled substances. Nabiximols and certain other product candidates we are developing contain controlled substances as defined in the CSA. Drug products approved by FDA that contain cannabis or cannabis extracts may be controlled substances and will be rescheduled to Schedules II-V after approval, or, like Epidiolex, removed completely from the schedules by operation of other laws.</w:t>
      </w:r>
    </w:p>
    <w:p>
      <w:pPr>
        <w:spacing w:after="0" w:line="7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DEA limits the quantity of certain Schedule I controlled substances that may be manufactured and procured in the U.S. in any given calendar year through a quota system and, as a result, quotas from the DEA are required in order to manufacture and package sodium oxybate and Xyrem in the U.S. Accordingly, we require DEA quotas for Siegfried, our U.S. based sodium oxybate supplier, to procure sodium oxybate and for Patheon, our U.S.-based Xyrem supplier, to obtain the sodium oxybate from Siegfried in order to manufacture and supply us with Xyrem. Xywav and Xyrem manufactured at our plant in Ireland enters the U.S. as a Schedule III drug and thus does not require a manufacturing quota.</w:t>
      </w:r>
    </w:p>
    <w:p>
      <w:pPr>
        <w:spacing w:after="0" w:line="68"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As Schedule III drugs, Xywav and Xyrem are also subject to DEA import volume limits and state regulations relating to manufacturing, storage, distribution and physician prescription procedures, including limitations on prescription refills. In addition, the third parties who perform our clinical and commercial manufacturing, distribution, dispensing and clinical studies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Xywav and Xyrem are required to maintain necessary DEA registrations and state licenses. The DEA periodically inspects facilities for compliance with its rules and regulations.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Regulations</w:t>
      </w:r>
    </w:p>
    <w:p>
      <w:pPr>
        <w:spacing w:after="0" w:line="11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There are many other requirements and restrictions in the U.S. and elsewhere imposed on pharmaceutical companies and their activities, including those related to the posting of information relating to clinical studies and their outcomes, the export and importation of products, required authorizations for distributors, the identification or licensing of sales representatives, restrictions on the ability of manufacturers to offer co-pay support to patients for certain prescription drugs, implementation of required compliance programs or marketing codes of conduct, protection of the environment, taxation and work safety. Non-compliance with such requirements may result in civil, criminal or administrative sanctions.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Anti-Corruption Legislation</w:t>
      </w:r>
    </w:p>
    <w:p>
      <w:pPr>
        <w:spacing w:after="0" w:line="117"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industry self-regulation codes of conduct and physicians’ codes of professional conduct or rules of other countries in which we operate, including the U.K. Bribery Act of 2010, or the U.K. Bribery Act. The FCPA and similar anti-corruption laws in other countries generally prohibit the offering, promising, giving, or authorizing others to give anything of value, either directly or indirectly, to U.S. or non-U.S. government officials in order to improperly influence any act or decision, secure an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U.K. and non-U.K. government officials and private persons, as well as requesting, agreeing to receive, or accepting bribes from any person. In addition, under the U.K. Bribery Act, companies that carry on a business or part of a business in the U.K. may be held liable for bribes given, offered or promised to any person, including U.K. and non-U.K. government officials and private persons in any country,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As described above, our business is heavily regulated and therefore involves significant interaction with government officials in many countries. Additionally, in certain countries, the health care providers who prescribe pharmaceuticals are employed by their government, and the purchasers of pharmaceuticals are government entities; therefore, our dealings with these prescribers and purchasers may be subject to the FCPA, the U.K. Bribery Act and similar laws. Recently the Securities and Exchange Commission, or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engage in ongoing efforts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our suppliers and other third party agents, although we may be liable for their actions. Violation of these laws may result in civil or criminal sanctions, which could include monetary fines, criminal penalties, and disgorgement of past profits.</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Data Protection and Privacy</w:t>
      </w:r>
    </w:p>
    <w:p>
      <w:pPr>
        <w:spacing w:after="0" w:line="117" w:lineRule="exact"/>
        <w:rPr>
          <w:sz w:val="20"/>
          <w:szCs w:val="20"/>
          <w:color w:val="auto"/>
        </w:rPr>
      </w:pPr>
    </w:p>
    <w:p>
      <w:pPr>
        <w:ind w:right="160" w:firstLine="445"/>
        <w:spacing w:after="0" w:line="296" w:lineRule="auto"/>
        <w:rPr>
          <w:sz w:val="20"/>
          <w:szCs w:val="20"/>
          <w:color w:val="auto"/>
        </w:rPr>
      </w:pPr>
      <w:r>
        <w:rPr>
          <w:rFonts w:ascii="Arial" w:cs="Arial" w:eastAsia="Arial" w:hAnsi="Arial"/>
          <w:sz w:val="16"/>
          <w:szCs w:val="16"/>
          <w:color w:val="auto"/>
        </w:rPr>
        <w:t>We are subject to data protection and privacy laws and regulations globally, which restrict the processing of personal data. The legislative and regulatory landscape for privacy and data security continues to evolve with an increased attention in countries globally that could potentially affect our business. In particular, we are subject to the EU General Data Protection Regulation, which imposes penalties up to 4% of annual global revenue, and the California Consumer Privacy Act of 2018. These laws and regulations applicable to our business, increase potential enforcement and litigation activity. In order to manage these evolving risks, we have adopted a global privacy program that governs the processing of personal data across our business.</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Hatch-Waxman Act</w:t>
      </w:r>
    </w:p>
    <w:p>
      <w:pPr>
        <w:spacing w:after="0" w:line="117"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The marketing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United States Federal Food, Drug, and Cosmetic Act, or FDCA. A Section 505(b)(1) NDA contains full reports of investigations of safety and effectiveness, which includes the results of preclinical and clinical trials, together with detailed information on the manufacture and composition of the product, in addition to other information. As an alternative, the Drug Price Competition and Patent Term Restoration Act of 1984, or the Hatch-Waxman Act, provides two abbreviated approval pathways for certain drug products.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The first path, under Section 505(b)(2) of the FDCA, usually is used for the approval of a product that is similar, but not identical, to a previously-approved brand-name product, referred to as the reference listed drug, or RLD. Under this path, the applicant is permitted to rely to some degree on FDA’s finding that the RLD is safe and effective and must submit its own product-specific data on safety and effectiveness only to the extent necessary to bridge the differences between the products. The second abbreviated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RLD (i) have the same active ingredient, in the same strength and dosage form, to be delivered via the same route of administration, (ii) are intended for the same uses, and (iii) are bioequivalent. This data and information are provided instead of data and information independently demonstrating the proposed generic product’s safety and effectiveness.</w:t>
      </w:r>
    </w:p>
    <w:p>
      <w:pPr>
        <w:spacing w:after="0" w:line="5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Hatch-Waxman Act requires an ANDA or a Section 505(b)(2) NDA applicant to certify that there are no patents listed for that product in the Orange Book, or that for each Orange Book-listed patent either the listed patent has expired, the listed patent will expire on a particular date and approval is sought after patent expiration, or the listed patent is invalid or will not be infringed by the manufacture, use or sale of the new product. A certification that approval is sought after patent expiration is called a “Paragraph III Certification.” A certification that the new product will not infringe the RLD’s Orange Book-listed patents, or that such patents are invalid, is called a “Paragraph IV Certification.” If a relevant patent covers an approved method of use, an ANDA or Section 505(b)(2) NDA applicant can also file a statement, called, in the case of an ANDA, a “section viii statement,” that the application does not seek approval of the method of use covered by the listed patent. With such a statement, the applicant must “carve out” the protected method of use (typically an indication and related material) from the proposed product’s labeling. If the applicant makes a Paragraph III Certification, the ANDA or the Section 505(b)(2) NDA will not be approved until the listed patents claiming the RLD have expired.</w:t>
      </w:r>
    </w:p>
    <w:p>
      <w:pPr>
        <w:spacing w:after="0" w:line="73"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If the applicant has provided a Paragraph IV Certification to FDA, the applicant must also send a notice of that certification to the NDA holder and the relevant patent holders once FDA accepts the ANDA or the Section 505(b)(2) NDA for filing. The NDA and patent holders then have 45 days to initiate a patent infringement lawsuit. Filing the lawsuit triggers an automatic stay on FDA’s approval of the ANDA or the Section 505(b)(2) NDA until the earliest of 30 months after the NDA holder’s receipt of the notice of Paragraph IV Certification, expiration of the patent, certain settlements of the lawsuit, or a decision in the infringement case that is favorable to the applicant. FDA may issue tentative approval of an application if the application meets all conditions for approval but cannot receive effective approval because the 30-month stay or another period of regulatory exclusivity has not expired. If an ANDA or Section 505(b)(2) NDA is approved before conclusion of any relevant patent litigation, the applicant can choose to launch the product, but does so “at risk” of being liable for damages, and potentially treble damages, if the RLD sponsor or patent holder ultimately prevails in patent litigation.</w:t>
      </w:r>
    </w:p>
    <w:p>
      <w:pPr>
        <w:spacing w:after="0" w:line="57"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Under the Hatch-Waxman Act, newly approved drugs and indications may benefit from statutory periods of non-patent marketing exclusivity that can potentially delay review or approval of an ANDA or Section 505(b)(2) application. For example, the Hatch-Waxman Act provides five-year marketing exclusivity to the first applicant to gain approval of an NDA for a new chemical entity, meaning a drug containing an active moiety that FDA has not previously approved. During this period, FDA cannot accept for review an ANDA or a Section 505(b)(2) NDA for a product containing the same moiety, except that an application containing a Paragraph IV Certification may be submitted after four years, which may trigger the litigation and stay described above. The Hatch-Waxman Act also provides three years of marketing exclusivity with the approval of an NDA, including a Section 505(b)(2) NDA, for a product containing a previously-approved moiety but that incorporates a change (such as a new indication, dosage form or strength) from an approved product with the same moiety, if the change required clinical data from new investigations that were conducted or sponsored by the applicant. This three-year exclusivity does not preclude submission of the ANDA or Section 505(b)(2) NDA for such a product, but prevents FDA from giving final approval to such product.</w:t>
      </w:r>
    </w:p>
    <w:p>
      <w:pPr>
        <w:spacing w:after="0" w:line="77"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The Hatch-Waxman Act also permits a patent term extension of up to five years (but not beyond 14 years from the date of approval) for an NDA, including a Section 505(b)(2) NDA, that is approved for a product that contains an active ingredient that has not previously been approved. The extension, which compensates for patent term lost during product development and FDA regulatory review process, is generally equal to the sum of one-half the time between the effective date of an IND application and the submission date of an NDA, and all of the time between the submission date of an NDA and the approval of that application. It is available for only one patent for a given product, and it must be a patent that claims the product or a method of using or manufacturing the product. The USPTO, in consultation with FDA, reviews and approves applications for patent term extension.</w:t>
      </w:r>
    </w:p>
    <w:p>
      <w:pPr>
        <w:spacing w:after="0" w:line="56"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In the EU, innovative medicinal products that are subject to marketing authorization on the basis of a full dossier qualify for eight years’ data exclusivity upon marketing authorization and an additional two years’ market exclusivity. Data exclusivity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and Other Exclusivities</w:t>
      </w:r>
    </w:p>
    <w:p>
      <w:pPr>
        <w:spacing w:after="0" w:line="117"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Some jurisdictions, including the U.S., may designate drugs or biologics for relatively small patient populations as orphan drugs.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FDA. If a product is approved for its orphan designated use, it may be entitled to ODE, which blocks FDA from approving for seven years any other application for a product that is the same drug for the same indication. If there is a previously-approved product that is the same drug for the same indication, orphan drug designation requires the sponsor to provide a plausible hypothesis of clinical superiority over the approved product, whereas ODE requires the sponsor to actually demonstrate clinical superiority. Clinical superiority can be established by way of greater efficacy, greater safety, or making a major contribution to patient care. Additionally, a later product can be approved if the sponsor holding ODE consents, or cannot adequately supply the market. ODE does not prevent approval of another sponsor’s application for different indications or uses of the same drug, or for different drugs for the same indication. Defibrotide has been granted ODE by FDA to treat and prevent VOD until March 2023. Vyxeos has been granted ODE by FDA for the treatment of AML until August 2024. Epidiolex has received ODE to treat seizures associated with LGS and DS through 2025 and TSC through 2027. In June 2021, FDA, recognized seven years of ODE for Xywav stating that Xywav is clinically superior to Xyrem by means of greater safety due to reduced chronic sodium burden. Xywav has been granted ODE by FDA to treat narcolepsy through 2027 and to treat IH through 2028. Rylaze has been granted ODE for the treatment of patients with ALL or LBL until 2028.</w:t>
      </w:r>
    </w:p>
    <w:p>
      <w:pPr>
        <w:spacing w:after="0" w:line="72"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Biologic products approved under a BLA are subject to the Biologics Price Competition and Innovation Act, or BPCIA, which authorizes an abbreviated approval pathway for a biological product that is “biosimilar” to an already approved biologic, or reference product. The BPCIA provides periods of exclusivity that protect a reference product from competition by biosimilars. FDA may not accept a biosimilar application for review until four years after the date of first licensure of the reference product, and the biosimilar cannot be licensed until 12 years after the reference product was first licensed.</w:t>
      </w:r>
    </w:p>
    <w:p>
      <w:pPr>
        <w:spacing w:after="0" w:line="80" w:lineRule="exact"/>
        <w:rPr>
          <w:sz w:val="20"/>
          <w:szCs w:val="20"/>
          <w:color w:val="auto"/>
        </w:rPr>
      </w:pPr>
    </w:p>
    <w:p>
      <w:pPr>
        <w:ind w:right="140" w:firstLine="445"/>
        <w:spacing w:after="0" w:line="271" w:lineRule="auto"/>
        <w:rPr>
          <w:sz w:val="20"/>
          <w:szCs w:val="20"/>
          <w:color w:val="auto"/>
        </w:rPr>
      </w:pPr>
      <w:r>
        <w:rPr>
          <w:rFonts w:ascii="Arial" w:cs="Arial" w:eastAsia="Arial" w:hAnsi="Arial"/>
          <w:sz w:val="17"/>
          <w:szCs w:val="17"/>
          <w:color w:val="auto"/>
        </w:rPr>
        <w:t>Under certain circumstances, the exclusivity periods applicable to drugs and biologics and the patent-related protections applicable to drugs may be eligible for a six-month extension if the sponsor submits pediatric data that fairly respond to a written request from FDA for such data. This exclusivity may be granted even if the data does not support a pediatric indication. We consider seeking pediatric exclusivity for our products whenever appropriate. For example, in response to a written request from FDA, we conducted a Phase 3 clinical trial to assess the safety and efficacy of Xyrem in children and adolescents aged seven to 17 who have narcolepsy with cataplexy, and submitted study results in a supplement to the Xyrem NDA, seeking approval for this indication. In October 2018, FDA approved the sNDA and notified us that we had been granted pediatric exclusivity, extending by six months the preclusive effect of our Orange Book-listed patents for Xyrem, as well as the three-year regulatory exclusivity period granted to the Xyrem pediatric indication because of the clinical studies that were necessary for approval of the sNDA.</w:t>
      </w:r>
    </w:p>
    <w:p>
      <w:pPr>
        <w:spacing w:after="0" w:line="70"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the EU, orphan drug designation may be granted to products that can be used to treat life-threatening diseases or chronically debilitating conditions with an incidence of no more than five in 10,000 people or that, for economic reasons, would be unlikely to be developed without incentives. Orphan designated medicinal products are entitled to a range of benefits during the development and regulatory review process and ten years of market exclusivity in all EU member states upon approval. As in the U.S., a similar medicinal product with the same orphan indication may be approved, notwithstanding orphan product exclusivity, if the exclusivity holder gives consent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market exclusivity granted in relation to the original orphan medicinal product may, in addition, be reduced to six years if it can be demonstrated, on the basis of available evidence, that the original orphan medicinal product is sufficiently profitable not to justify maintenance of market exclusivity. Defibrotide has been granted orphan drug designation by the EC for the treatment of VOD and prevention of GvHD until October 2023, by the Korean Ministry of Food and Drug Safety to treat and prevent VOD, and by the Commonwealth of Australia-Department of Health for the treatment of VOD. Vyxeos has been granted orphan drug designation by the EC until August 2028. We also received Orphan Designation from EMA’s Committee for Orphan Medicinal Products, or COMP, for Epidyolex for DS, LGS and TSC, and the COMP reconfirmed the designation for DS, LGS and TSC upon EC’s approval.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Reimbursement by Government and Private Payors and Patient Access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17"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Successful commercialization of our products depends in significant part on adequate financial coverage and reimbursement from third party payors, including governmental payors (such as the Medicaid and Medicare programs in the U.S.), managed care organizations and private health insurers. Third party payors decide which drugs will be reimbursed and establish reimbursement and co-pay levels and conditions for reimbursement. Third party payors are increasingly challenging the prices charged for medical products and services by examining their cost effectiveness, as demonstrated in pharmacoeconomic and/or clinical studies, in addition to their safety and efficacy. In some cases, for example, third party payors try to encourage the use of less expensive products, when available, through their prescription benefits coverage and reimbursement, co-pay and prior authorization policies. The process for determining whether a payor will provide coverage for a product may be separate from the process for setting the price or reimbursement rate that the payor will pay for the product once coverage is approved. Third party payors may require prior approval before covering a specific product, or may require patients and health care providers to try other covered products first. Third party payors may also limit coverage to specific products on an approved list, or formulary, which might not include all of the approved products for a particular indication. For certain categories of products, third party payors, principally through contracted pharmacy benefit managers, or PBMs, negotiate rebates with drug manufacturers for inclusion of products on their formularies in specific positions or coverage criteria. Beginning in the third quarter of 2019, we have been entering into agreements with certain PBMs to provide rebates for our products where coverage was provided and products were listed in certain formulary positions, among other conditions.</w:t>
      </w:r>
    </w:p>
    <w:p>
      <w:pPr>
        <w:spacing w:after="0" w:line="66" w:lineRule="exact"/>
        <w:rPr>
          <w:sz w:val="20"/>
          <w:szCs w:val="20"/>
          <w:color w:val="auto"/>
        </w:rPr>
      </w:pPr>
    </w:p>
    <w:p>
      <w:pPr>
        <w:ind w:firstLine="445"/>
        <w:spacing w:after="0" w:line="217" w:lineRule="exact"/>
        <w:rPr>
          <w:sz w:val="20"/>
          <w:szCs w:val="20"/>
          <w:color w:val="auto"/>
        </w:rPr>
      </w:pPr>
      <w:r>
        <w:rPr>
          <w:rFonts w:ascii="Arial" w:cs="Arial" w:eastAsia="Arial" w:hAnsi="Arial"/>
          <w:sz w:val="16"/>
          <w:szCs w:val="16"/>
          <w:color w:val="auto"/>
        </w:rPr>
        <w:t>Medicaid is a joint federal and state program that is administered by the states for low</w:t>
      </w:r>
      <w:r>
        <w:rPr>
          <w:rFonts w:ascii="MS PGothic" w:cs="MS PGothic" w:eastAsia="MS PGothic" w:hAnsi="MS PGothic"/>
          <w:sz w:val="16"/>
          <w:szCs w:val="16"/>
          <w:color w:val="auto"/>
        </w:rPr>
        <w:t>‑</w:t>
      </w:r>
      <w:r>
        <w:rPr>
          <w:rFonts w:ascii="Arial" w:cs="Arial" w:eastAsia="Arial" w:hAnsi="Arial"/>
          <w:sz w:val="16"/>
          <w:szCs w:val="16"/>
          <w:color w:val="auto"/>
        </w:rPr>
        <w:t>income and disabled beneficiaries. Medicare is a federal program that is administered by the federal government covering individuals age 65 and over as well as those with certain disabilities. Medicare Part B pays physicians who administer our products. Under the Medicaid Drug Rebate Program, as a condition of having federal funds made available to the states for our drugs under Medicare Part B, we are required to pay a rebate to each state Medicaid program for our covered outpatient drugs that are dispensed to Medicaid beneficiaries and paid for by a state Medicaid program. Medicaid rebates are based on pricing data we report on a monthly and quarterly basis to the U.S. Centers for Medicare &amp; Medicaid Services, or CMS, the federal agency that administers the Medicaid Drug Rebate Program and Medicare. These data include the average manufacturer price and, in the case of innovator products, the best price for each drug which, in general, represents the lowest price available from the manufacturer to any entity in the U.S. in any pricing structure, calculated to include all applicable sales and associated rebates, discounts and other price concessions. If we become aware that our reporting for a prior quarter was incorrect, or has changed as a result of recalculation of the pricing data, we are obligated to resubmit the corrected data for up to three years after those data originally were due. We are required to provide average sales price, or ASP, information for certain of our products to CMS on a quarterly basis. The ASP is calculated based on a statutorily defined formula as well as regulations and interpretations of the statute by CMS. This information is used to compute Medicare payment rates, with rates for Medicare Part B drugs outside the hospital outpatient setting and in the hospital outpatient setting consisting of ASP plus a specified percentage.</w:t>
      </w:r>
    </w:p>
    <w:p>
      <w:pPr>
        <w:spacing w:after="0" w:line="96"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program, or the 340B program, in order for federal funds to be available for the manufacturer’s drugs 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drugs used in an outpatient setting.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 regulation regarding the calculation of the 340B ceiling price and the imposition of civil monetary penalties on manufacturers that knowingly and intentionally overcharge covered entities became effective on January 1, 2019. We also are required to report our 340B ceiling prices to HRSA on a quarterly basis and HRSA then publishes them to 340B covered entities.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66"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A provision in The American Rescue Plan Act of 2021 eliminates, effective January 2024, the statutory cap on rebates drug manufacturers are required to pay under the Medicaid Drug Rebate Program. Since 2010, the total Medicaid rebate amount a drug manufacturer is required to pay under the Medicaid Drug Rebate Program has been capped at 100 percent of the Average Manufacturer Price. The elimination of the cap on rebates means that manufacturer discounts to Medicaid may rise beginning in 2024 and, in certain circumstances, rebates could exceed the amount that state Medicaid programs pay for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drug. This policy change will have the greatest impact on drugs whose prices have reached the 100 percent Average Manufacturer Price rebate cap.</w:t>
      </w:r>
    </w:p>
    <w:p>
      <w:pPr>
        <w:spacing w:after="0" w:line="129"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Effective January 2023, a provision of the Infrastructure Investment and Jobs Act requires a manufacturer of single source drugs or biologicals in single-use packages or single dose containers to pay a refund on discarded amounts of drug under Medicare Part B where the discarded amount exceeds an applicable threshold.</w:t>
      </w:r>
    </w:p>
    <w:p>
      <w:pPr>
        <w:spacing w:after="0" w:line="76"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and grantees, we also participate in the U.S. Department of Veterans Affairs, or VA, Federal Supply Schedule, or FSS, pricing program. Under this program, we are obligated to make our products available for procurement on an FSS contract under which we must comply with standard government terms and conditions and charge a price to certain federal agencies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Pricing and rebate calculations vary across products and programs, are complex, and are often subject to interpretation by us, governmental or regulatory agencies and the courts, which can change and evolve over time.</w:t>
      </w:r>
    </w:p>
    <w:p>
      <w:pPr>
        <w:spacing w:after="0" w:line="73"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In addition, in the U.S., drug pricing by pharmaceutical companies is currently, and is expected to continue to be, under close scrutiny, including with respect to companies that have increased the price of products after acquiring those products from other companies. There are numerous ongoing efforts at the federal and state level seeking to indirectly or directly regulate drug prices to reduce overall healthcare costs using tools such as price ceilings, value-based pricing and increased transparency and disclosure obligations. Several states have passed or are considering legislation that requires or purports to require companies to report pricing information, including proprietary pricing information. For example, in 2017, California adopted a prescription drug price transparency state bill requiring advance notice of and an explanation for price increases of certain drugs that exceed a specified threshold. Similar bills have been previously introduced at the federal level and additional legislation could be introduced this year.</w:t>
      </w:r>
    </w:p>
    <w:p>
      <w:pPr>
        <w:spacing w:after="0" w:line="58"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Similar to what is occurring in the U.S., political, economic and regulatory developments outside of the U.S. are also subjecting the healthcare industry to fundamental changes and challenges. Pressure by governments and other stakeholders on prices and reimbursement levels continue to exist. In various EU member states we expect to be subject to continuous cost-cutting measures, such as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compares attributes of individual medicinal products, as compared with other treatment options available on the market. The outcome of HTA regarding specific medicinal products will often influence the pricing and reimbursement status granted to these medicinal products by the competent authorities of individual EU member states. In December 2021, the EC adopted a HTA regulation intended to boost cooperation among EU member states in assessing health technologies, including new medicinal products. The regulation will apply to all EU member states from January 2025 provides that EU member states will be able to use common HTA tools, methodologies, and procedures across the EU. Individual EU member states will continue to be responsible for drawing conclusions on the overall value of a new health technology for their healthcare system, and pricing and reimbursement decisions.</w:t>
      </w:r>
    </w:p>
    <w:p>
      <w:pPr>
        <w:spacing w:after="0" w:line="76" w:lineRule="exact"/>
        <w:rPr>
          <w:sz w:val="20"/>
          <w:szCs w:val="20"/>
          <w:color w:val="auto"/>
        </w:rPr>
      </w:pPr>
    </w:p>
    <w:p>
      <w:pPr>
        <w:ind w:right="120" w:firstLine="445"/>
        <w:spacing w:after="0" w:line="288" w:lineRule="auto"/>
        <w:rPr>
          <w:sz w:val="20"/>
          <w:szCs w:val="20"/>
          <w:color w:val="auto"/>
        </w:rPr>
      </w:pPr>
      <w:r>
        <w:rPr>
          <w:rFonts w:ascii="Arial" w:cs="Arial" w:eastAsia="Arial" w:hAnsi="Arial"/>
          <w:sz w:val="16"/>
          <w:szCs w:val="16"/>
          <w:color w:val="auto"/>
        </w:rPr>
        <w:t>In the EU, our products are marketed through various channels and within different legal frameworks. The making available or placing on the EU market of unauthorized medicinal products is generally prohibited. However, the competent authorities of the EU member states may exceptionally and temporarily allow and reimburse the supply of such unauthorized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 Such reimbursement may no longer be available if authorization for named patient or compassionate use programs expire or is terminated or if marketing authorization is granted for the product. In some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EU member states.</w:t>
      </w:r>
    </w:p>
    <w:p>
      <w:pPr>
        <w:spacing w:after="0" w:line="60"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For more information, including with respect to recent legal developments regarding the Medicaid Drug Rebate Program, Medicare Part B, and the 340B program, see the risk factors under the headings “</w:t>
      </w:r>
      <w:r>
        <w:rPr>
          <w:rFonts w:ascii="Arial" w:cs="Arial" w:eastAsia="Arial" w:hAnsi="Arial"/>
          <w:sz w:val="18"/>
          <w:szCs w:val="18"/>
          <w:i w:val="1"/>
          <w:iCs w:val="1"/>
          <w:color w:val="auto"/>
        </w:rPr>
        <w:t>Adequate coverage and reimbursement from</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18" w:lineRule="exact"/>
        <w:rPr>
          <w:sz w:val="20"/>
          <w:szCs w:val="20"/>
          <w:color w:val="auto"/>
        </w:rPr>
      </w:pPr>
      <w:r>
        <w:rPr>
          <w:rFonts w:ascii="Arial" w:cs="Arial" w:eastAsia="Arial" w:hAnsi="Arial"/>
          <w:sz w:val="16"/>
          <w:szCs w:val="16"/>
          <w:i w:val="1"/>
          <w:iCs w:val="1"/>
          <w:color w:val="auto"/>
        </w:rPr>
        <w:t xml:space="preserve">third party payors may not be available for our products and we 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 discounts or other restrictions to reimbursement that could diminish our sales,” </w:t>
      </w:r>
      <w:r>
        <w:rPr>
          <w:rFonts w:ascii="Arial" w:cs="Arial" w:eastAsia="Arial" w:hAnsi="Arial"/>
          <w:sz w:val="16"/>
          <w:szCs w:val="16"/>
          <w:color w:val="auto"/>
        </w:rPr>
        <w:t>“</w:t>
      </w:r>
      <w:r>
        <w:rPr>
          <w:rFonts w:ascii="Arial" w:cs="Arial" w:eastAsia="Arial" w:hAnsi="Arial"/>
          <w:sz w:val="16"/>
          <w:szCs w:val="16"/>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r>
        <w:rPr>
          <w:rFonts w:ascii="Arial" w:cs="Arial" w:eastAsia="Arial" w:hAnsi="Arial"/>
          <w:sz w:val="16"/>
          <w:szCs w:val="16"/>
          <w:color w:val="auto"/>
        </w:rPr>
        <w:t>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Patient Copay Assistance and Free Product Programs</w:t>
      </w:r>
    </w:p>
    <w:p>
      <w:pPr>
        <w:spacing w:after="0" w:line="117"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We have various patient programs to help patients access and pay for our products, including co-pay coupons for certain products, services that help patients determine their insurance coverage for our products, and a free product program. We also make grants to independent charitable foundations that help financially needy patients with their premium, and co-pay and co-insurance obligations. There has been enhanced scrutiny of company-sponsored patient assistance programs, including co-pay assistance programs and donations to third-party charities that provide such assistance, as well as reimbursement support offerings.</w:t>
      </w:r>
    </w:p>
    <w:p>
      <w:pPr>
        <w:spacing w:after="0" w:line="80"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 xml:space="preserve">The OIG has established guidelines for pharmaceutical manufacturers who make donations to charitable organizations providing co-pay assistance to Medicare patients. Such donations are unlikely to run afoul of the anti-kickback laws provided that the organizations receiving donations, among other things, are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charities, are entirely independent of and not controlled by the manufacturer, provide aid to applicants on a first-come basis according to consistent financial criteria, and do not link aid to use of a donor’s product. 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to ensure compliance with OIG’s policies around charitable contributions for a period of five years from the effective date of the corporate integrity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Pharmaceuticals plc</w:t>
      </w:r>
    </w:p>
    <w:p>
      <w:pPr>
        <w:spacing w:after="0" w:line="12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or Azur Pharma,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w:t>
      </w:r>
    </w:p>
    <w:p>
      <w:pPr>
        <w:spacing w:after="0" w:line="80" w:lineRule="exact"/>
        <w:rPr>
          <w:sz w:val="20"/>
          <w:szCs w:val="20"/>
          <w:color w:val="auto"/>
        </w:rPr>
      </w:pPr>
    </w:p>
    <w:p>
      <w:pPr>
        <w:ind w:right="340" w:firstLine="445"/>
        <w:spacing w:after="0" w:line="375" w:lineRule="auto"/>
        <w:rPr>
          <w:sz w:val="20"/>
          <w:szCs w:val="20"/>
          <w:color w:val="auto"/>
        </w:rPr>
      </w:pPr>
      <w:r>
        <w:rPr>
          <w:rFonts w:ascii="Arial" w:cs="Arial" w:eastAsia="Arial" w:hAnsi="Arial"/>
          <w:sz w:val="18"/>
          <w:szCs w:val="18"/>
          <w:color w:val="auto"/>
        </w:rPr>
        <w:t xml:space="preserve">Our predecessor, Jazz Pharmaceuticals, Inc., was incorporated in California in March 2003 and was reincorporated in Delaware in January 2004. </w:t>
      </w:r>
      <w:r>
        <w:rPr>
          <w:rFonts w:ascii="Arial" w:cs="Arial" w:eastAsia="Arial" w:hAnsi="Arial"/>
          <w:sz w:val="18"/>
          <w:szCs w:val="18"/>
          <w:b w:val="1"/>
          <w:bCs w:val="1"/>
          <w:color w:val="auto"/>
        </w:rPr>
        <w:t>Available Information</w:t>
      </w:r>
    </w:p>
    <w:p>
      <w:pPr>
        <w:spacing w:after="0" w:line="1"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The mailing address of our headquarters is Fifth Floor, Waterloo Exchange, Waterloo Road, Dublin 4, Ireland, and our telephone number at that location is 353-1-634-7800. Our website is www.jazzpharmaceuticals.com.</w:t>
      </w:r>
    </w:p>
    <w:p>
      <w:pPr>
        <w:spacing w:after="0" w:line="62"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6"/>
          <w:szCs w:val="16"/>
          <w:color w:val="auto"/>
        </w:rPr>
        <w:t>We file or furnish pursuant to Section 13(a) or 15(d) of the Securities Exchange Act of 1934, as amended, as applicable,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8-K, amendments to those reports, proxy statements and other information electronically with the SEC. Through a link on our website, we make copies of our periodic and current reports, amendments to those reports, proxy statements and other information available, free of charge, as soon as reasonably practicable after we electronically file such material with, or furnish it to, the SEC. Information found on, or accessible through, our website is not a part of, and is not incorporated into,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4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firstLine="445"/>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including our consolidated financial statements and accompanying notes.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oxybate franchise would have a material adverse effect on our business, financial condition, results of operations and growth prospects.</w:t>
      </w:r>
    </w:p>
    <w:p>
      <w:pPr>
        <w:spacing w:after="0" w:line="57" w:lineRule="exact"/>
        <w:rPr>
          <w:sz w:val="20"/>
          <w:szCs w:val="20"/>
          <w:color w:val="auto"/>
        </w:rPr>
      </w:pPr>
    </w:p>
    <w:p>
      <w:pPr>
        <w:ind w:right="60" w:firstLine="445"/>
        <w:spacing w:after="0" w:line="251" w:lineRule="auto"/>
        <w:rPr>
          <w:sz w:val="20"/>
          <w:szCs w:val="20"/>
          <w:color w:val="auto"/>
        </w:rPr>
      </w:pPr>
      <w:r>
        <w:rPr>
          <w:rFonts w:ascii="Arial" w:cs="Arial" w:eastAsia="Arial" w:hAnsi="Arial"/>
          <w:sz w:val="17"/>
          <w:szCs w:val="17"/>
          <w:color w:val="auto"/>
        </w:rPr>
        <w:t>Our business has been substantially dependent on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and our financial results have been significantly influenced by sales of Xyrem. Our future plans assume that Xywav</w:t>
      </w:r>
      <w:r>
        <w:rPr>
          <w:rFonts w:ascii="Arial" w:cs="Arial" w:eastAsia="Arial" w:hAnsi="Arial"/>
          <w:sz w:val="22"/>
          <w:szCs w:val="22"/>
          <w:color w:val="auto"/>
          <w:vertAlign w:val="superscript"/>
        </w:rPr>
        <w:t>®</w:t>
      </w:r>
      <w:r>
        <w:rPr>
          <w:rFonts w:ascii="Arial" w:cs="Arial" w:eastAsia="Arial" w:hAnsi="Arial"/>
          <w:sz w:val="17"/>
          <w:szCs w:val="17"/>
          <w:color w:val="auto"/>
        </w:rPr>
        <w:t>, our oxybate product launched in November 2020 with 92%, or approximately 1,000 to 1,500 milligrams per day, less sodium than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In June 2021, U.S. Food and Drug Administration, or FDA, recognized seven years of Orphan Drug Exclusivity through July 21, 2027 for Xywav in narcolepsy stating that Xywav is clinically superior to Xyrem by means of greater safety due to reduced chronic sodium burden. Our ability to successfully commercialize Xywav will depend on, among other things, our ability to maintain adequate coverage and reimbursement for Xywav and acceptance of Xywav by payors, physicians and patients.</w:t>
      </w:r>
    </w:p>
    <w:p>
      <w:pPr>
        <w:spacing w:after="0" w:line="8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Our ability to maintain or increase oxybate product sales and realize the anticipated benefits from our investment in Xywav is subject to a number of additional risks and uncertainties as discussed in greater detail below, including those related to the near-term introduction of authorized generic and generic versions of sodium oxybate and new products for treatment of cataplexy and/or excessive daytime sleepiness, or EDS, in narcolepsy in the U.S. market; the current and potential impacts of the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including our ability to maintain adequate coverage and reimbursement for Xywav; and challenges to our intellectual property around Xyrem and/or Xywav. While we expect that our business will continue to be substantially dependent on oxybate product sales, there is no guarantee that we can maintain oxybate sales at or near historical levels, or that oxybate sales will continue to grow. A significant decline in oxybate sales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7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 xml:space="preserve">While Xywav and Xyrem are currently the only products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new treatment options for cataplexy and EDS in narcolepsy have launched, and in the future, other products may be launched that are competitive with or disrupt the market for our oxybate products.</w:t>
      </w:r>
    </w:p>
    <w:p>
      <w:pPr>
        <w:spacing w:after="0" w:line="76"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For example, in the future, we expect Xywav and Xyrem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risk evaluation and mitigation strategy, or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 It is possible that additional companies may file ANDAs seeking to market a generic version of Xyrem which could lead to additional patent litigation or challenges with respect to Xyrem.</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A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from our sales of Xywav or if a third party introduces a product to treat EDS or cataplexy in narcolepsy that leads to a substantial decline in Xyrem net sales. Accordingly, our strategy to drive revenue growth in our key franchises through, among other things, rapid adoption and broad access of Xywav in the U.S. could lead to the acceleration of such launch dates. Other companies may develop a sodium oxybate product for treatment of narcolepsy, using an alternative formulation or a different delivery technology, and seek approval in the U.S. using a new drug application, or NDA, approval pathway under Section 505(b)(2) and referencing the safety and efficacy data for Xyrem. In February 2021, FDA accepted for filing an NDA submitted by Avadel Pharmaceuticals plc, or Avadel, for an extended-release formulation of sodium oxybate which uses its proprietary technology for the treatment of EDS and cataplexy in patients with narcolepsy with a Prescription Drug User Fee Act, or PDUFA, target action date of October 15, 2021. On October 15, 2021, Avadel announced that FDA review is ongoing and FDA will likely not take action in October 2021 and will provide a new target action date. Xyrem may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w:t>
      </w:r>
    </w:p>
    <w:p>
      <w:pPr>
        <w:spacing w:after="0" w:line="63" w:lineRule="exact"/>
        <w:rPr>
          <w:sz w:val="20"/>
          <w:szCs w:val="20"/>
          <w:color w:val="auto"/>
        </w:rPr>
      </w:pPr>
    </w:p>
    <w:p>
      <w:pPr>
        <w:ind w:right="20" w:firstLine="445"/>
        <w:spacing w:after="0" w:line="294" w:lineRule="auto"/>
        <w:rPr>
          <w:sz w:val="20"/>
          <w:szCs w:val="20"/>
          <w:color w:val="auto"/>
        </w:rPr>
      </w:pPr>
      <w:r>
        <w:rPr>
          <w:rFonts w:ascii="Arial" w:cs="Arial" w:eastAsia="Arial" w:hAnsi="Arial"/>
          <w:sz w:val="16"/>
          <w:szCs w:val="16"/>
          <w:color w:val="auto"/>
        </w:rPr>
        <w:t>We expect that Xywav for the treatment of both cataplexy and EDS in patients with narcolepsy will face competition similar to that described above for Xyrem, including from generic or authorized generic sodium oxybate products or new branded entrants in narcolepsy notwithstanding FDA recognizing Orphan Drug Exclusivity for Xywav. For example, we received notice in June 2021 that Lupin filed an ANDA for a generic version of Xywav. Additional companies may file ANDAs seeking to market a generic version of Xywav which could lead to additional patent litigation or challenges with respect to</w:t>
      </w:r>
    </w:p>
    <w:p>
      <w:pPr>
        <w:spacing w:after="0" w:line="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Xywav. Moreover, Avadel has announced that it has obtained an orphan drug designation from FDA for its extended-release sodium oxybate formulation. To obtain approval with Orphan Drug Exclusivity, Avadel will have to show clinical superiority to Xywav and Xyrem.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63" w:lineRule="exact"/>
        <w:rPr>
          <w:sz w:val="20"/>
          <w:szCs w:val="20"/>
          <w:color w:val="auto"/>
        </w:rPr>
      </w:pPr>
    </w:p>
    <w:p>
      <w:pPr>
        <w:ind w:right="80" w:firstLine="445"/>
        <w:spacing w:after="0" w:line="217" w:lineRule="exact"/>
        <w:rPr>
          <w:sz w:val="20"/>
          <w:szCs w:val="20"/>
          <w:color w:val="auto"/>
        </w:rPr>
      </w:pPr>
      <w:r>
        <w:rPr>
          <w:rFonts w:ascii="Arial" w:cs="Arial" w:eastAsia="Arial" w:hAnsi="Arial"/>
          <w:sz w:val="17"/>
          <w:szCs w:val="17"/>
          <w:color w:val="auto"/>
        </w:rPr>
        <w:t>Moreover, non-oxybate products intended for the treatment of EDS or cataplexy in narcolepsy,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To date, we have not seen a material impact to our business from the introduction of these new market entrants. Examples of such new market entrants include our product, Sunosi, and pitolisant, a drug that was approved by FDA in 2019 for the treatment of EDS in adult patients with narcolepsy and approved by FDA in October 2020 pursuant to a complete response resubmission for an adult cataplexy indication in the U.S. Pitolisant has also been approved and marketed in Europe to treat adult patients with narcolepsy, with or without cataplexy, and to treat EDS in obstructive sleep apnea, or OSA. In addition, we are also aware that prescribers often prescribe branded or generic medications for cataplexy, before or instead of prescribing oxybate therapy in Xywav and Xyrem, and that payors often require patients to try such medications before they will cover Xywav or Xyrem, even if they are not approved for this use. Examples of such products are described in “Business— Competition” in Part I, Item 1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02" w:lineRule="exact"/>
        <w:rPr>
          <w:sz w:val="20"/>
          <w:szCs w:val="20"/>
          <w:color w:val="auto"/>
        </w:rPr>
      </w:pPr>
    </w:p>
    <w:p>
      <w:pPr>
        <w:ind w:right="240" w:firstLine="445"/>
        <w:spacing w:after="0" w:line="296" w:lineRule="auto"/>
        <w:rPr>
          <w:sz w:val="20"/>
          <w:szCs w:val="20"/>
          <w:color w:val="auto"/>
        </w:rPr>
      </w:pPr>
      <w:r>
        <w:rPr>
          <w:rFonts w:ascii="Arial" w:cs="Arial" w:eastAsia="Arial" w:hAnsi="Arial"/>
          <w:sz w:val="16"/>
          <w:szCs w:val="16"/>
          <w:color w:val="auto"/>
        </w:rPr>
        <w:t>We expect that the approval and launch of an AG Product or other generic version of Xyrem could have a material adverse effect on our sales of Xywav and Xyrem and on our business, financial condition, results of operations and growth prospects. We also expect that sales of Xywav will, and the approval and launch of any other sodium oxybate (including Avadel’s extended-release sodium oxybate formulation) or alternative product that treats narcolepsy could, have a material adverse effect on our sales of Xyrem, which could have the additional impact of potentially triggering acceleration of market entry of AG Products or other generic sodium oxybate products under our patent litigation settlement agreements.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76"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The active pharmaceutical ingredient, or API, of Xywav and Xyrem,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including as a result of business or other interruptions resulting from the evolving effects of the COVID-19 pandemic,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58"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FDA has stated that it will evaluate the Xywav and Xyrem REMS on an ongoing basis and will require modifications as may be appropriate.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73"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We depend on outside vendors, including Express Scripts Specialty Distribution Services, Inc.,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evolving effects of the COVID-19 pandemic or otherwise,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60"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In its approval of Hikma’s ANDA, FDA waived the requirement of a single shared REMS between the brand drug and generic versions, approving Hikma’s ANDA with a generic sodium oxybate REMS separate from the Xywav and Xyrem REMS, except for the requirement that the generic sodium oxybate REMS program pharmacies contact the Xywav and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64"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We may face pressure to further modify the Xywav and Xyrem REMS or to license or share intellectual property pertinent to that REMS, including proprietary data required for the safe distribution of sodium oxybate, in connection with</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9" w:lineRule="exact"/>
        <w:rPr>
          <w:sz w:val="20"/>
          <w:szCs w:val="20"/>
          <w:color w:val="auto"/>
        </w:rPr>
      </w:pPr>
    </w:p>
    <w:p>
      <w:pPr>
        <w:ind w:right="20" w:firstLine="445"/>
        <w:spacing w:after="0" w:line="217" w:lineRule="exact"/>
        <w:rPr>
          <w:sz w:val="20"/>
          <w:szCs w:val="20"/>
          <w:color w:val="auto"/>
        </w:rPr>
      </w:pPr>
      <w:r>
        <w:rPr>
          <w:rFonts w:ascii="Arial" w:cs="Arial" w:eastAsia="Arial" w:hAnsi="Arial"/>
          <w:sz w:val="17"/>
          <w:szCs w:val="17"/>
          <w:color w:val="auto"/>
        </w:rPr>
        <w:t>It is possible that the FTC, FDA or other governmental authorities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October 2021, we were served with a number of lawsuits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lawsuits, see Note 14,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100"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58"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of Epidiolex/Epidyolex would have a material adverse effect on our business, financial condition, results of operations and growth prospects.</w:t>
      </w:r>
    </w:p>
    <w:p>
      <w:pPr>
        <w:spacing w:after="0" w:line="103"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Our ability to maintain or increase sales of Epidiolex/Epidyolex (cannabidiol) is subject to many risks. While we have established our Epidiolex commercial team and have hired our U.S. and European sales forces, we will need to continue to maintain and further develop the teams in order to successfully coordinate the commercialization of Epidiolex. Even if we are successful in maintaining and continuing to develop our Epidiolex commercial team,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Lennox-Gastaut syndrome, or LGS, Dravet syndrome and Tuberous Sclerosis Complex,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negative development for Epidiolex in the market, in clinical development for additional indications, or in regulatory processes in other jurisdictions, may adversely impact the commercial results and potential of Epidiolex.</w:t>
      </w:r>
    </w:p>
    <w:p>
      <w:pPr>
        <w:spacing w:after="0" w:line="62"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b w:val="1"/>
          <w:bCs w:val="1"/>
          <w:i w:val="1"/>
          <w:iCs w:val="1"/>
          <w:color w:val="auto"/>
        </w:rPr>
        <w:t>While we expect our oxybate products and Epidiolex/Epidyolex to remain the largest parts of our business, our success also depends on our ability to effectively commercialize other products in our neuroscience and oncology therapeutic areas.</w:t>
      </w:r>
    </w:p>
    <w:p>
      <w:pPr>
        <w:spacing w:after="0" w:line="62"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In addition to Xywav, Xyrem, Epidiolex/Epidyolex and our other neuroscience products and product candidates, we are commercializing a portfolio of products, including our other lead marketed products, Sunosi, Zepzelca, Rylaze, Vyxeos and Defitelio. An inability to effectively commercialize our other lead marketed products and to maximize their potential where possible through successful research and development activities, whether due to the evolving effects of the COVID-19 pandemic or otherwise, could have a material adverse effect on our business, financial condition, results of operations and growth prospects.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Sunosi</w:t>
      </w:r>
    </w:p>
    <w:p>
      <w:pPr>
        <w:spacing w:after="0" w:line="112" w:lineRule="exact"/>
        <w:rPr>
          <w:sz w:val="20"/>
          <w:szCs w:val="20"/>
          <w:color w:val="auto"/>
        </w:rPr>
      </w:pPr>
    </w:p>
    <w:p>
      <w:pPr>
        <w:ind w:right="60" w:firstLine="445"/>
        <w:spacing w:after="0" w:line="281" w:lineRule="auto"/>
        <w:rPr>
          <w:sz w:val="20"/>
          <w:szCs w:val="20"/>
          <w:color w:val="auto"/>
        </w:rPr>
      </w:pPr>
      <w:r>
        <w:rPr>
          <w:rFonts w:ascii="Arial" w:cs="Arial" w:eastAsia="Arial" w:hAnsi="Arial"/>
          <w:sz w:val="16"/>
          <w:szCs w:val="16"/>
          <w:color w:val="auto"/>
        </w:rPr>
        <w:t>We obtained approval of Sunosi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(solriamfetol) in the U.S. in 2019, in the European Union, or EU, in January 2020, in Canada in May 2021 and subsequently in other countries for the treatment of EDS associated with narcolepsy or OSA. </w:t>
      </w:r>
      <w:r>
        <w:rPr>
          <w:rFonts w:ascii="Arial" w:cs="Arial" w:eastAsia="Arial" w:hAnsi="Arial"/>
          <w:sz w:val="16"/>
          <w:szCs w:val="16"/>
          <w:color w:val="212529"/>
        </w:rPr>
        <w:t>Our ability to realize the anticipated benefits from our</w:t>
      </w:r>
      <w:r>
        <w:rPr>
          <w:rFonts w:ascii="Arial" w:cs="Arial" w:eastAsia="Arial" w:hAnsi="Arial"/>
          <w:sz w:val="16"/>
          <w:szCs w:val="16"/>
          <w:color w:val="auto"/>
        </w:rPr>
        <w:t xml:space="preserve"> </w:t>
      </w:r>
      <w:r>
        <w:rPr>
          <w:rFonts w:ascii="Arial" w:cs="Arial" w:eastAsia="Arial" w:hAnsi="Arial"/>
          <w:sz w:val="16"/>
          <w:szCs w:val="16"/>
          <w:color w:val="212529"/>
        </w:rPr>
        <w:t xml:space="preserve">investment in </w:t>
      </w:r>
      <w:r>
        <w:rPr>
          <w:rFonts w:ascii="Arial" w:cs="Arial" w:eastAsia="Arial" w:hAnsi="Arial"/>
          <w:sz w:val="16"/>
          <w:szCs w:val="16"/>
          <w:color w:val="000000"/>
        </w:rPr>
        <w:t>Sunosi</w:t>
      </w:r>
      <w:r>
        <w:rPr>
          <w:rFonts w:ascii="Arial" w:cs="Arial" w:eastAsia="Arial" w:hAnsi="Arial"/>
          <w:sz w:val="16"/>
          <w:szCs w:val="16"/>
          <w:color w:val="212529"/>
        </w:rPr>
        <w:t xml:space="preserve"> is subject to a number of risks and uncertainties, including the potential impacts of the continuing COVID-19 pandemic on the successful commercialization in the U.S. and the rolling launch in Europe; market acceptance of Sunosi; our ability, in a competitive retail pharmacy market, to differentiate Sunosi from other products that are prescribed to treat excessive sleepiness in patients with OSA or EDS in patients with narcolepsy; adequate coverage and reimbursement by government programs and other third party payors, including the impact of future coverage decisions by payors; restrictions on permitted promotional activities based on any additional limitations on the labeling for the product that may be required by </w:t>
      </w:r>
      <w:r>
        <w:rPr>
          <w:rFonts w:ascii="Arial" w:cs="Arial" w:eastAsia="Arial" w:hAnsi="Arial"/>
          <w:sz w:val="16"/>
          <w:szCs w:val="16"/>
          <w:color w:val="000000"/>
        </w:rPr>
        <w:t>FDA,</w:t>
      </w:r>
      <w:r>
        <w:rPr>
          <w:rFonts w:ascii="Arial" w:cs="Arial" w:eastAsia="Arial" w:hAnsi="Arial"/>
          <w:sz w:val="16"/>
          <w:szCs w:val="16"/>
          <w:color w:val="212529"/>
        </w:rPr>
        <w:t xml:space="preserve"> </w:t>
      </w:r>
      <w:r>
        <w:rPr>
          <w:rFonts w:ascii="Arial" w:cs="Arial" w:eastAsia="Arial" w:hAnsi="Arial"/>
          <w:sz w:val="16"/>
          <w:szCs w:val="16"/>
          <w:color w:val="000000"/>
        </w:rPr>
        <w:t xml:space="preserve">or </w:t>
      </w:r>
      <w:r>
        <w:rPr>
          <w:rFonts w:ascii="Arial" w:cs="Arial" w:eastAsia="Arial" w:hAnsi="Arial"/>
          <w:sz w:val="16"/>
          <w:szCs w:val="16"/>
          <w:color w:val="212529"/>
        </w:rPr>
        <w:t>the European Commission, or the EC, or other regulatory authorities; and our ability to satisfy FDA’s post-marketing requirements.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Zepzelca</w:t>
      </w:r>
    </w:p>
    <w:p>
      <w:pPr>
        <w:spacing w:after="0" w:line="112" w:lineRule="exact"/>
        <w:rPr>
          <w:sz w:val="20"/>
          <w:szCs w:val="20"/>
          <w:color w:val="auto"/>
        </w:rPr>
      </w:pPr>
    </w:p>
    <w:p>
      <w:pPr>
        <w:ind w:right="20" w:firstLine="445"/>
        <w:spacing w:after="0" w:line="261" w:lineRule="auto"/>
        <w:rPr>
          <w:sz w:val="20"/>
          <w:szCs w:val="20"/>
          <w:color w:val="auto"/>
        </w:rPr>
      </w:pPr>
      <w:r>
        <w:rPr>
          <w:rFonts w:ascii="Arial" w:cs="Arial" w:eastAsia="Arial" w:hAnsi="Arial"/>
          <w:sz w:val="17"/>
          <w:szCs w:val="17"/>
          <w:color w:val="212529"/>
        </w:rPr>
        <w:t>Our ability to realize the anticipated benefits from our investment in Zepzelca</w:t>
      </w:r>
      <w:r>
        <w:rPr>
          <w:rFonts w:ascii="Arial" w:cs="Arial" w:eastAsia="Arial" w:hAnsi="Arial"/>
          <w:sz w:val="22"/>
          <w:szCs w:val="22"/>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(lurbinectedin)</w:t>
      </w:r>
      <w:r>
        <w:rPr>
          <w:rFonts w:ascii="Arial" w:cs="Arial" w:eastAsia="Arial" w:hAnsi="Arial"/>
          <w:sz w:val="17"/>
          <w:szCs w:val="17"/>
          <w:color w:val="212529"/>
        </w:rPr>
        <w:t xml:space="preserve"> is subject to a number of risks and uncertainties, including </w:t>
      </w:r>
      <w:r>
        <w:rPr>
          <w:rFonts w:ascii="Arial" w:cs="Arial" w:eastAsia="Arial" w:hAnsi="Arial"/>
          <w:sz w:val="17"/>
          <w:szCs w:val="17"/>
          <w:color w:val="000000"/>
        </w:rPr>
        <w:t>our ability to successfully commercialize Zepzelca in the U.S.; adequate supply of Zepzelca to meet demand;</w:t>
      </w:r>
      <w:r>
        <w:rPr>
          <w:rFonts w:ascii="Arial" w:cs="Arial" w:eastAsia="Arial" w:hAnsi="Arial"/>
          <w:sz w:val="17"/>
          <w:szCs w:val="17"/>
          <w:color w:val="212529"/>
        </w:rPr>
        <w:t xml:space="preserve"> availability of favorable pricing and adequate coverage and reimbursement</w:t>
      </w:r>
      <w:r>
        <w:rPr>
          <w:rFonts w:ascii="Arial" w:cs="Arial" w:eastAsia="Arial" w:hAnsi="Arial"/>
          <w:sz w:val="17"/>
          <w:szCs w:val="17"/>
          <w:color w:val="000000"/>
        </w:rPr>
        <w:t>;</w:t>
      </w:r>
      <w:r>
        <w:rPr>
          <w:rFonts w:ascii="Arial" w:cs="Arial" w:eastAsia="Arial" w:hAnsi="Arial"/>
          <w:sz w:val="17"/>
          <w:szCs w:val="17"/>
          <w:color w:val="212529"/>
        </w:rPr>
        <w:t xml:space="preserve"> the limited experience of, and need to educate, physicians in the use of Zepzelca for the treatment of </w:t>
      </w:r>
      <w:r>
        <w:rPr>
          <w:rFonts w:ascii="Arial" w:cs="Arial" w:eastAsia="Arial" w:hAnsi="Arial"/>
          <w:sz w:val="17"/>
          <w:szCs w:val="17"/>
          <w:color w:val="000000"/>
        </w:rPr>
        <w:t>metastatic</w:t>
      </w:r>
      <w:r>
        <w:rPr>
          <w:rFonts w:ascii="Arial" w:cs="Arial" w:eastAsia="Arial" w:hAnsi="Arial"/>
          <w:sz w:val="17"/>
          <w:szCs w:val="17"/>
          <w:color w:val="212529"/>
        </w:rPr>
        <w:t xml:space="preserve"> </w:t>
      </w:r>
      <w:r>
        <w:rPr>
          <w:rFonts w:ascii="Arial" w:cs="Arial" w:eastAsia="Arial" w:hAnsi="Arial"/>
          <w:sz w:val="17"/>
          <w:szCs w:val="17"/>
          <w:color w:val="000000"/>
        </w:rPr>
        <w:t xml:space="preserve">small cell lung cancer, or </w:t>
      </w:r>
      <w:r>
        <w:rPr>
          <w:rFonts w:ascii="Arial" w:cs="Arial" w:eastAsia="Arial" w:hAnsi="Arial"/>
          <w:sz w:val="17"/>
          <w:szCs w:val="17"/>
          <w:color w:val="212529"/>
        </w:rPr>
        <w:t>SCLC</w:t>
      </w:r>
      <w:r>
        <w:rPr>
          <w:rFonts w:ascii="Arial" w:cs="Arial" w:eastAsia="Arial" w:hAnsi="Arial"/>
          <w:sz w:val="17"/>
          <w:szCs w:val="17"/>
          <w:color w:val="000000"/>
        </w:rPr>
        <w:t xml:space="preserve">; </w:t>
      </w:r>
      <w:r>
        <w:rPr>
          <w:rFonts w:ascii="Arial" w:cs="Arial" w:eastAsia="Arial" w:hAnsi="Arial"/>
          <w:sz w:val="17"/>
          <w:szCs w:val="17"/>
          <w:color w:val="212529"/>
        </w:rPr>
        <w:t>the potential for negative trial data read-outs in ongoing or future Zepzelca clinical trials; our and Pharma Mar, S.A., or</w:t>
      </w:r>
      <w:r>
        <w:rPr>
          <w:rFonts w:ascii="Arial" w:cs="Arial" w:eastAsia="Arial" w:hAnsi="Arial"/>
          <w:sz w:val="17"/>
          <w:szCs w:val="17"/>
          <w:color w:val="000000"/>
        </w:rPr>
        <w:t xml:space="preserve"> </w:t>
      </w:r>
      <w:r>
        <w:rPr>
          <w:rFonts w:ascii="Arial" w:cs="Arial" w:eastAsia="Arial" w:hAnsi="Arial"/>
          <w:sz w:val="17"/>
          <w:szCs w:val="17"/>
          <w:color w:val="212529"/>
        </w:rPr>
        <w:t xml:space="preserve">PharmaMar’s, ability to maintain accelerated approval or successfully complete a confirmatory study of Zepzelca; and the impact of the evolving effects of the COVID-19 pandemic on our ability to educate health care providers about Zepzelca in the treatment of relapsed, metastatic SCLC in the U.S. and on patients’ access to lung cancer screening, diagnosis and treatment. </w:t>
      </w:r>
      <w:r>
        <w:rPr>
          <w:rFonts w:ascii="Arial" w:cs="Arial" w:eastAsia="Arial" w:hAnsi="Arial"/>
          <w:sz w:val="17"/>
          <w:szCs w:val="17"/>
          <w:color w:val="000000"/>
        </w:rPr>
        <w:t>If we are unable to successfully commercialize Zepzelca in the U.S. and Canada, or if</w:t>
      </w:r>
      <w:r>
        <w:rPr>
          <w:rFonts w:ascii="Arial" w:cs="Arial" w:eastAsia="Arial" w:hAnsi="Arial"/>
          <w:sz w:val="17"/>
          <w:szCs w:val="17"/>
          <w:color w:val="212529"/>
        </w:rPr>
        <w:t xml:space="preserve"> </w:t>
      </w:r>
      <w:r>
        <w:rPr>
          <w:rFonts w:ascii="Arial" w:cs="Arial" w:eastAsia="Arial" w:hAnsi="Arial"/>
          <w:sz w:val="17"/>
          <w:szCs w:val="17"/>
          <w:color w:val="000000"/>
        </w:rPr>
        <w:t>sales of Zepzelca do not reach the levels we expect, our anticipated revenue from Zepzelca will be negatively affected, which would have an adverse effect on our business, financial condition, results of operations and growth prospects.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Rylaze</w:t>
      </w:r>
    </w:p>
    <w:p>
      <w:pPr>
        <w:spacing w:after="0" w:line="112" w:lineRule="exact"/>
        <w:rPr>
          <w:sz w:val="20"/>
          <w:szCs w:val="20"/>
          <w:color w:val="auto"/>
        </w:rPr>
      </w:pPr>
    </w:p>
    <w:p>
      <w:pPr>
        <w:ind w:right="140" w:firstLine="445"/>
        <w:spacing w:after="0" w:line="258" w:lineRule="auto"/>
        <w:rPr>
          <w:sz w:val="20"/>
          <w:szCs w:val="20"/>
          <w:color w:val="auto"/>
        </w:rPr>
      </w:pPr>
      <w:r>
        <w:rPr>
          <w:rFonts w:ascii="Arial" w:cs="Arial" w:eastAsia="Arial" w:hAnsi="Arial"/>
          <w:sz w:val="17"/>
          <w:szCs w:val="17"/>
          <w:color w:val="auto"/>
        </w:rPr>
        <w:t>Our ability to realize the anticipated benefits from our investments in Rylaze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is subject to a number of uncertainties, including our ability to successfully commercialize Rylaze in the U.S. including creating awareness among health care professionals and ensuring physicians are confident in its supply and that patients with acute lymphoblastic leukemia, or ALL, or lymphoblastic lymphoma, or LBL, will be given the appropriate course of therapy based on current FDA approval. In addition, there continues to be the potential of a competitive erwinia product being reintroduced into the marketplace that could create uncertainty in demand and utilization of Rylaze moving forward.</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Vyxeos</w:t>
      </w:r>
    </w:p>
    <w:p>
      <w:pPr>
        <w:spacing w:after="0" w:line="112" w:lineRule="exact"/>
        <w:rPr>
          <w:sz w:val="20"/>
          <w:szCs w:val="20"/>
          <w:color w:val="auto"/>
        </w:rPr>
      </w:pPr>
    </w:p>
    <w:p>
      <w:pPr>
        <w:ind w:firstLine="445"/>
        <w:spacing w:after="0" w:line="281" w:lineRule="auto"/>
        <w:rPr>
          <w:sz w:val="20"/>
          <w:szCs w:val="20"/>
          <w:color w:val="auto"/>
        </w:rPr>
      </w:pPr>
      <w:r>
        <w:rPr>
          <w:rFonts w:ascii="Arial" w:cs="Arial" w:eastAsia="Arial" w:hAnsi="Arial"/>
          <w:sz w:val="16"/>
          <w:szCs w:val="16"/>
          <w:color w:val="212529"/>
        </w:rPr>
        <w:t xml:space="preserve">Our ability to realize the anticipated benefits from our investment in </w:t>
      </w:r>
      <w:r>
        <w:rPr>
          <w:rFonts w:ascii="Arial" w:cs="Arial" w:eastAsia="Arial" w:hAnsi="Arial"/>
          <w:sz w:val="16"/>
          <w:szCs w:val="16"/>
          <w:color w:val="000000"/>
        </w:rPr>
        <w:t>Vyxeos</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(daunorubicin and cytarabine) liposome for injection by successfully</w:t>
      </w:r>
      <w:r>
        <w:rPr>
          <w:rFonts w:ascii="Arial" w:cs="Arial" w:eastAsia="Arial" w:hAnsi="Arial"/>
          <w:sz w:val="16"/>
          <w:szCs w:val="16"/>
          <w:color w:val="212529"/>
        </w:rPr>
        <w:t xml:space="preserve"> </w:t>
      </w:r>
      <w:r>
        <w:rPr>
          <w:rFonts w:ascii="Arial" w:cs="Arial" w:eastAsia="Arial" w:hAnsi="Arial"/>
          <w:sz w:val="16"/>
          <w:szCs w:val="16"/>
          <w:color w:val="000000"/>
        </w:rPr>
        <w:t xml:space="preserve">and sustainably growing sales </w:t>
      </w:r>
      <w:r>
        <w:rPr>
          <w:rFonts w:ascii="Arial" w:cs="Arial" w:eastAsia="Arial" w:hAnsi="Arial"/>
          <w:sz w:val="16"/>
          <w:szCs w:val="16"/>
          <w:color w:val="212529"/>
        </w:rPr>
        <w:t>is subject to a number of risks and uncertainties, including</w:t>
      </w:r>
      <w:r>
        <w:rPr>
          <w:rFonts w:ascii="Arial" w:cs="Arial" w:eastAsia="Arial" w:hAnsi="Arial"/>
          <w:sz w:val="16"/>
          <w:szCs w:val="16"/>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6"/>
          <w:szCs w:val="16"/>
          <w:color w:val="212529"/>
        </w:rPr>
        <w:t>acceptance by</w:t>
      </w:r>
      <w:r>
        <w:rPr>
          <w:rFonts w:ascii="Arial" w:cs="Arial" w:eastAsia="Arial" w:hAnsi="Arial"/>
          <w:sz w:val="16"/>
          <w:szCs w:val="16"/>
          <w:color w:val="000000"/>
        </w:rPr>
        <w:t xml:space="preserve"> </w:t>
      </w:r>
      <w:r>
        <w:rPr>
          <w:rFonts w:ascii="Arial" w:cs="Arial" w:eastAsia="Arial" w:hAnsi="Arial"/>
          <w:sz w:val="16"/>
          <w:szCs w:val="16"/>
          <w:color w:val="212529"/>
        </w:rPr>
        <w:t xml:space="preserve">hospital pharmacy and therapeutics committees in the U.S., the EU and other countries; </w:t>
      </w:r>
      <w:r>
        <w:rPr>
          <w:rFonts w:ascii="Arial" w:cs="Arial" w:eastAsia="Arial" w:hAnsi="Arial"/>
          <w:sz w:val="16"/>
          <w:szCs w:val="16"/>
          <w:color w:val="000000"/>
        </w:rPr>
        <w:t>the increasing complexity of the acute myeloid leukemia, or AML,</w:t>
      </w:r>
      <w:r>
        <w:rPr>
          <w:rFonts w:ascii="Arial" w:cs="Arial" w:eastAsia="Arial" w:hAnsi="Arial"/>
          <w:sz w:val="16"/>
          <w:szCs w:val="16"/>
          <w:color w:val="212529"/>
        </w:rPr>
        <w:t xml:space="preserve"> </w:t>
      </w:r>
      <w:r>
        <w:rPr>
          <w:rFonts w:ascii="Arial" w:cs="Arial" w:eastAsia="Arial" w:hAnsi="Arial"/>
          <w:sz w:val="16"/>
          <w:szCs w:val="16"/>
          <w:color w:val="000000"/>
        </w:rPr>
        <w:t xml:space="preserve">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 patients who may potentially be indicated for treatment with Vyxeos, particularly as a result of the shift of healthcare resources toward less intensive outpatient AML treatments in the U.S. in light of the COVID-19 pandemic which is directly negatively impacting, or delaying, the use of Vyxeos, as well as the suspension of in-person interactions with healthcare professionals due to the COVID-19 pandemic; </w:t>
      </w:r>
      <w:r>
        <w:rPr>
          <w:rFonts w:ascii="Arial" w:cs="Arial" w:eastAsia="Arial" w:hAnsi="Arial"/>
          <w:sz w:val="16"/>
          <w:szCs w:val="16"/>
          <w:color w:val="212529"/>
        </w:rPr>
        <w:t>the availability of adequate coverage, pricing and reimbursement approvals; and competition from</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212529"/>
        </w:rPr>
        <w:t xml:space="preserve">new and existing products and potential competition from products in development. </w:t>
      </w:r>
      <w:r>
        <w:rPr>
          <w:rFonts w:ascii="Arial" w:cs="Arial" w:eastAsia="Arial" w:hAnsi="Arial"/>
          <w:sz w:val="16"/>
          <w:szCs w:val="16"/>
          <w:color w:val="000000"/>
        </w:rPr>
        <w:t>Although we saw some recovery in demand for Vyxeos beginning in</w:t>
      </w:r>
      <w:r>
        <w:rPr>
          <w:rFonts w:ascii="Arial" w:cs="Arial" w:eastAsia="Arial" w:hAnsi="Arial"/>
          <w:sz w:val="16"/>
          <w:szCs w:val="16"/>
          <w:color w:val="212529"/>
        </w:rPr>
        <w:t xml:space="preserve"> </w:t>
      </w:r>
      <w:r>
        <w:rPr>
          <w:rFonts w:ascii="Arial" w:cs="Arial" w:eastAsia="Arial" w:hAnsi="Arial"/>
          <w:sz w:val="16"/>
          <w:szCs w:val="16"/>
          <w:color w:val="000000"/>
        </w:rPr>
        <w:t xml:space="preserve">the end of the second quarter of 2020, due to the ongoing impacts of the COVID-19 pandemic, we continue to expect a negative impact on demand growth trends for and utilization of Vyxeos compared to historical periods. </w:t>
      </w:r>
      <w:r>
        <w:rPr>
          <w:rFonts w:ascii="Arial" w:cs="Arial" w:eastAsia="Arial" w:hAnsi="Arial"/>
          <w:sz w:val="16"/>
          <w:szCs w:val="16"/>
          <w:color w:val="212529"/>
        </w:rPr>
        <w:t>If sales of Vyxeos do not reach the levels we expect, our anticipated revenue from the</w:t>
      </w:r>
      <w:r>
        <w:rPr>
          <w:rFonts w:ascii="Arial" w:cs="Arial" w:eastAsia="Arial" w:hAnsi="Arial"/>
          <w:sz w:val="16"/>
          <w:szCs w:val="16"/>
          <w:color w:val="000000"/>
        </w:rPr>
        <w:t xml:space="preserve"> </w:t>
      </w:r>
      <w:r>
        <w:rPr>
          <w:rFonts w:ascii="Arial" w:cs="Arial" w:eastAsia="Arial" w:hAnsi="Arial"/>
          <w:sz w:val="16"/>
          <w:szCs w:val="16"/>
          <w:color w:val="212529"/>
        </w:rPr>
        <w:t>product would be negatively affected, which would have an adverse effect on our business, financial condition, results of operations and growth prospects.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Defitelio</w:t>
      </w:r>
    </w:p>
    <w:p>
      <w:pPr>
        <w:spacing w:after="0" w:line="112" w:lineRule="exact"/>
        <w:rPr>
          <w:sz w:val="20"/>
          <w:szCs w:val="20"/>
          <w:color w:val="auto"/>
        </w:rPr>
      </w:pPr>
    </w:p>
    <w:p>
      <w:pPr>
        <w:ind w:right="20" w:firstLine="445"/>
        <w:spacing w:after="0" w:line="281" w:lineRule="auto"/>
        <w:rPr>
          <w:sz w:val="20"/>
          <w:szCs w:val="20"/>
          <w:color w:val="auto"/>
        </w:rPr>
      </w:pPr>
      <w:r>
        <w:rPr>
          <w:rFonts w:ascii="Arial" w:cs="Arial" w:eastAsia="Arial" w:hAnsi="Arial"/>
          <w:sz w:val="16"/>
          <w:szCs w:val="16"/>
          <w:color w:val="212529"/>
        </w:rPr>
        <w:t xml:space="preserve">Our ability to maintain and grow sales and to realize the anticipated benefits from our investment in </w:t>
      </w:r>
      <w:r>
        <w:rPr>
          <w:rFonts w:ascii="Arial" w:cs="Arial" w:eastAsia="Arial" w:hAnsi="Arial"/>
          <w:sz w:val="16"/>
          <w:szCs w:val="16"/>
          <w:color w:val="000000"/>
        </w:rPr>
        <w:t>Defitelio</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(defibrotide sodium)</w:t>
      </w:r>
      <w:r>
        <w:rPr>
          <w:rFonts w:ascii="Arial" w:cs="Arial" w:eastAsia="Arial" w:hAnsi="Arial"/>
          <w:sz w:val="16"/>
          <w:szCs w:val="16"/>
          <w:color w:val="212529"/>
        </w:rPr>
        <w:t xml:space="preserve"> is subject to a number of risks and uncertainties, including continued acceptance by hospital pharmacy and therapeutics committees in the U.S., the EU </w:t>
      </w:r>
      <w:r>
        <w:rPr>
          <w:rFonts w:ascii="Arial" w:cs="Arial" w:eastAsia="Arial" w:hAnsi="Arial"/>
          <w:sz w:val="16"/>
          <w:szCs w:val="16"/>
          <w:color w:val="000000"/>
        </w:rPr>
        <w:t>and other</w:t>
      </w:r>
      <w:r>
        <w:rPr>
          <w:rFonts w:ascii="Arial" w:cs="Arial" w:eastAsia="Arial" w:hAnsi="Arial"/>
          <w:sz w:val="16"/>
          <w:szCs w:val="16"/>
          <w:color w:val="212529"/>
        </w:rPr>
        <w:t xml:space="preserve"> </w:t>
      </w:r>
      <w:r>
        <w:rPr>
          <w:rFonts w:ascii="Arial" w:cs="Arial" w:eastAsia="Arial" w:hAnsi="Arial"/>
          <w:sz w:val="16"/>
          <w:szCs w:val="16"/>
          <w:color w:val="000000"/>
        </w:rPr>
        <w:t xml:space="preserve">countries; the </w:t>
      </w:r>
      <w:r>
        <w:rPr>
          <w:rFonts w:ascii="Arial" w:cs="Arial" w:eastAsia="Arial" w:hAnsi="Arial"/>
          <w:sz w:val="16"/>
          <w:szCs w:val="16"/>
          <w:color w:val="212529"/>
        </w:rPr>
        <w:t>continued availability of favorable pricing and adequate coverage and reimbursement</w:t>
      </w:r>
      <w:r>
        <w:rPr>
          <w:rFonts w:ascii="Arial" w:cs="Arial" w:eastAsia="Arial" w:hAnsi="Arial"/>
          <w:sz w:val="16"/>
          <w:szCs w:val="16"/>
          <w:color w:val="000000"/>
        </w:rPr>
        <w:t xml:space="preserve">; </w:t>
      </w:r>
      <w:r>
        <w:rPr>
          <w:rFonts w:ascii="Arial" w:cs="Arial" w:eastAsia="Arial" w:hAnsi="Arial"/>
          <w:sz w:val="16"/>
          <w:szCs w:val="16"/>
          <w:color w:val="212529"/>
        </w:rPr>
        <w:t>the limited experience of, and need to educate,</w:t>
      </w:r>
      <w:r>
        <w:rPr>
          <w:rFonts w:ascii="Arial" w:cs="Arial" w:eastAsia="Arial" w:hAnsi="Arial"/>
          <w:sz w:val="16"/>
          <w:szCs w:val="16"/>
          <w:color w:val="000000"/>
        </w:rPr>
        <w:t xml:space="preserve"> </w:t>
      </w:r>
      <w:r>
        <w:rPr>
          <w:rFonts w:ascii="Arial" w:cs="Arial" w:eastAsia="Arial" w:hAnsi="Arial"/>
          <w:sz w:val="16"/>
          <w:szCs w:val="16"/>
          <w:color w:val="212529"/>
        </w:rPr>
        <w:t xml:space="preserve">physicians in recognizing, diagnosing and treating </w:t>
      </w:r>
      <w:r>
        <w:rPr>
          <w:rFonts w:ascii="Arial" w:cs="Arial" w:eastAsia="Arial" w:hAnsi="Arial"/>
          <w:sz w:val="16"/>
          <w:szCs w:val="16"/>
          <w:color w:val="000000"/>
        </w:rPr>
        <w:t>hepatic veno-occlusive disease, or VOD, particularly in adults; the possibility that physicians</w:t>
      </w:r>
      <w:r>
        <w:rPr>
          <w:rFonts w:ascii="Arial" w:cs="Arial" w:eastAsia="Arial" w:hAnsi="Arial"/>
          <w:sz w:val="16"/>
          <w:szCs w:val="16"/>
          <w:color w:val="212529"/>
        </w:rPr>
        <w:t xml:space="preserve"> </w:t>
      </w:r>
      <w:r>
        <w:rPr>
          <w:rFonts w:ascii="Arial" w:cs="Arial" w:eastAsia="Arial" w:hAnsi="Arial"/>
          <w:sz w:val="16"/>
          <w:szCs w:val="16"/>
          <w:color w:val="000000"/>
        </w:rPr>
        <w:t xml:space="preserve">recognizing VOD symptoms may not initiate or may delay initiation of treatment while waiting for those symptoms to improve, or may terminate treatment before the end of the recommended dosing schedule; </w:t>
      </w:r>
      <w:r>
        <w:rPr>
          <w:rFonts w:ascii="Arial" w:cs="Arial" w:eastAsia="Arial" w:hAnsi="Arial"/>
          <w:sz w:val="16"/>
          <w:szCs w:val="16"/>
          <w:color w:val="212529"/>
        </w:rPr>
        <w:t>and the limited size of the population of VOD patients who are indicated for treatment with Defitelio</w:t>
      </w:r>
      <w:r>
        <w:rPr>
          <w:rFonts w:ascii="Arial" w:cs="Arial" w:eastAsia="Arial" w:hAnsi="Arial"/>
          <w:sz w:val="16"/>
          <w:szCs w:val="16"/>
          <w:color w:val="000000"/>
        </w:rPr>
        <w:t xml:space="preserve"> </w:t>
      </w:r>
      <w:r>
        <w:rPr>
          <w:rFonts w:ascii="Arial" w:cs="Arial" w:eastAsia="Arial" w:hAnsi="Arial"/>
          <w:sz w:val="16"/>
          <w:szCs w:val="16"/>
          <w:color w:val="212529"/>
        </w:rPr>
        <w:t xml:space="preserve">(particularly if changes in </w:t>
      </w:r>
      <w:r>
        <w:rPr>
          <w:rFonts w:ascii="Arial" w:cs="Arial" w:eastAsia="Arial" w:hAnsi="Arial"/>
          <w:sz w:val="16"/>
          <w:szCs w:val="16"/>
          <w:color w:val="000000"/>
        </w:rPr>
        <w:t>hematopoietic stem cell transplantation</w:t>
      </w:r>
      <w:r>
        <w:rPr>
          <w:rFonts w:ascii="Arial" w:cs="Arial" w:eastAsia="Arial" w:hAnsi="Arial"/>
          <w:sz w:val="16"/>
          <w:szCs w:val="16"/>
          <w:color w:val="212529"/>
        </w:rPr>
        <w:t xml:space="preserve"> treatment protocols reduce the incidence of VOD diagnosis and demand for Defitelio).</w:t>
      </w:r>
    </w:p>
    <w:p>
      <w:pPr>
        <w:spacing w:after="0" w:line="64"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Although we saw a resurgence in demand for Defitelio in the U.S. and outside the U.S. beginning in the end of the second quarter of 2020, due to t</w:t>
      </w:r>
      <w:r>
        <w:rPr>
          <w:rFonts w:ascii="Arial" w:cs="Arial" w:eastAsia="Arial" w:hAnsi="Arial"/>
          <w:sz w:val="17"/>
          <w:szCs w:val="17"/>
          <w:color w:val="212529"/>
        </w:rPr>
        <w:t>he</w:t>
      </w:r>
      <w:r>
        <w:rPr>
          <w:rFonts w:ascii="Arial" w:cs="Arial" w:eastAsia="Arial" w:hAnsi="Arial"/>
          <w:sz w:val="17"/>
          <w:szCs w:val="17"/>
          <w:color w:val="auto"/>
        </w:rPr>
        <w:t xml:space="preserve"> </w:t>
      </w:r>
      <w:r>
        <w:rPr>
          <w:rFonts w:ascii="Arial" w:cs="Arial" w:eastAsia="Arial" w:hAnsi="Arial"/>
          <w:sz w:val="17"/>
          <w:szCs w:val="17"/>
          <w:color w:val="212529"/>
        </w:rPr>
        <w:t xml:space="preserve">evolving effects of the COVID-19 pandemic, the reprioritization of healthcare resources and related delays, postponements or suspensions of certain medical procedures such as stem cell transplants, </w:t>
      </w:r>
      <w:r>
        <w:rPr>
          <w:rFonts w:ascii="Arial" w:cs="Arial" w:eastAsia="Arial" w:hAnsi="Arial"/>
          <w:sz w:val="17"/>
          <w:szCs w:val="17"/>
          <w:color w:val="000000"/>
        </w:rPr>
        <w:t>we continue to expect a negative impact on demand growth trends and utilization of Defitelio compared</w:t>
      </w:r>
      <w:r>
        <w:rPr>
          <w:rFonts w:ascii="Arial" w:cs="Arial" w:eastAsia="Arial" w:hAnsi="Arial"/>
          <w:sz w:val="17"/>
          <w:szCs w:val="17"/>
          <w:color w:val="212529"/>
        </w:rPr>
        <w:t xml:space="preserve"> </w:t>
      </w:r>
      <w:r>
        <w:rPr>
          <w:rFonts w:ascii="Arial" w:cs="Arial" w:eastAsia="Arial" w:hAnsi="Arial"/>
          <w:sz w:val="17"/>
          <w:szCs w:val="17"/>
          <w:color w:val="000000"/>
        </w:rPr>
        <w:t xml:space="preserve">to historical periods. </w:t>
      </w:r>
      <w:r>
        <w:rPr>
          <w:rFonts w:ascii="Arial" w:cs="Arial" w:eastAsia="Arial" w:hAnsi="Arial"/>
          <w:sz w:val="17"/>
          <w:szCs w:val="17"/>
          <w:color w:val="212529"/>
        </w:rPr>
        <w:t>If sales of Defitelio do not reach the levels we expect, our anticipated revenue from the product would be negatively affected and our</w:t>
      </w:r>
      <w:r>
        <w:rPr>
          <w:rFonts w:ascii="Arial" w:cs="Arial" w:eastAsia="Arial" w:hAnsi="Arial"/>
          <w:sz w:val="17"/>
          <w:szCs w:val="17"/>
          <w:color w:val="000000"/>
        </w:rPr>
        <w:t xml:space="preserve"> </w:t>
      </w:r>
      <w:r>
        <w:rPr>
          <w:rFonts w:ascii="Arial" w:cs="Arial" w:eastAsia="Arial" w:hAnsi="Arial"/>
          <w:sz w:val="17"/>
          <w:szCs w:val="17"/>
          <w:color w:val="212529"/>
        </w:rPr>
        <w:t xml:space="preserve">business, financial condition, results of operations and growth prospects would be adversely affected. </w:t>
      </w:r>
      <w:r>
        <w:rPr>
          <w:rFonts w:ascii="Arial" w:cs="Arial" w:eastAsia="Arial" w:hAnsi="Arial"/>
          <w:sz w:val="17"/>
          <w:szCs w:val="17"/>
          <w:color w:val="000000"/>
        </w:rPr>
        <w:t>In addition, because VOD is an ultra-rare disease, we</w:t>
      </w:r>
      <w:r>
        <w:rPr>
          <w:rFonts w:ascii="Arial" w:cs="Arial" w:eastAsia="Arial" w:hAnsi="Arial"/>
          <w:sz w:val="17"/>
          <w:szCs w:val="17"/>
          <w:color w:val="212529"/>
        </w:rPr>
        <w:t xml:space="preserve"> </w:t>
      </w:r>
      <w:r>
        <w:rPr>
          <w:rFonts w:ascii="Arial" w:cs="Arial" w:eastAsia="Arial" w:hAnsi="Arial"/>
          <w:sz w:val="17"/>
          <w:szCs w:val="17"/>
          <w:color w:val="000000"/>
        </w:rPr>
        <w:t>have experienced inter-quarter variability in our Defitelio sales, which makes Defitelio sales difficult to predict from period to period. As a result, Defitelio sales results or trends in any period may not necessarily be indicative of future performance.</w:t>
      </w:r>
    </w:p>
    <w:p>
      <w:pPr>
        <w:spacing w:after="0" w:line="6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face substantial competition from other companies, including companies with larger sales organizations and more experience working with large and diverse product portfolios, and face competition from generic drugs and potentially from non-FDA approved cannabidiol preparations.</w:t>
      </w:r>
    </w:p>
    <w:p>
      <w:pPr>
        <w:spacing w:after="0" w:line="16"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66"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There is a substantial amount of change occurring in the U.S. regarding the use of medical and recreational marijuana products. While federal law prohibits the sale and distribution of most marijuana products not approved or authorized by FDA, 46 states and the District of Columbia have legalized either cannabidiol, or CBD, or marijuana for either recreational or medical use, or both. Under the U.S. Farm Bill, enacted in late 2018, certain extracts and other material derived from cannabis are no longer controlled under the Federal Controlled Substances Act, or CSA. Although the marketing of such products as a food, dietary supplement, or for medical purposes remains subject to FDA requirements, FDA continues to evaluate regulatory pathways to permit CBD in conventional foods and dietary supplements. In addition, Congressional efforts related to legalization of marijuana continue. Although our business is distinct from that of entities marketing FDA-unapproved marijuana and CBD-containing dietary supplement, future legislation or federal government action authorizing the sale, distribution, use, and insurance reimbursement of non-FDA approved marijuana or cannabinoid products could increase competition for and adversely affect our ability to generate sales of Epidiolex and our cannabinoid product candidates.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In addition, Epidiolex and nabiximols compete with product offerings from a variety of companies. FDA approved Zogenix, Inc.'s low-dose fenfluramine, or Fintepla, in Dravet syndrome in June 2020, and Zogenix submitted its supplemental NDA for LGS in 2021. In January 2022, Zogenix announced that it entered into a definitive agreement with UCB for the acquisition of Zogenix by UCB. Ovid Therapeutics Inc./Takeda Pharmaceutical Company Limited, Eisai Company Limited, and Marinus Pharmaceuticals, Inc. are developing therapies for treating Developmental and Epileptic Encephalopathies (includes Dravet and LGS). Stiripentol has been approved in Europe for several years to treat Dravet syndrome and was approved in 2018 by FDA. Zynerba Pharmaceuticals, Inc. is developing a topical formulation of CBD, for which it is working with FDA on a path forward on CONNECT-FX data for Zygel in Fragile X syndrome. There are a number of public and private companies in the early stages of developing genetic therapies for the underlying causes of Dravet syndrome, including Stoke Therapeutics, Inc., which has an antisense oligonucleotide, STK-001, in early clinical trials. Other companies, including those with greater resources than us may announce similar plans in the future. In addition, there are non-FDA approved CBD preparations being made available from companies in the medical marijuana industry, which might attempt to compete with Epidiolex and, if approved by FDA, nabiximols. If we are unable to compete successfully, our commercial opportunities will be reduced and our business, results of operations and financial conditions may be materially harmed.</w:t>
      </w:r>
    </w:p>
    <w:p>
      <w:pPr>
        <w:spacing w:after="0" w:line="71" w:lineRule="exact"/>
        <w:rPr>
          <w:sz w:val="20"/>
          <w:szCs w:val="20"/>
          <w:color w:val="auto"/>
        </w:rPr>
      </w:pPr>
    </w:p>
    <w:p>
      <w:pPr>
        <w:ind w:right="100" w:firstLine="445"/>
        <w:spacing w:after="0" w:line="220" w:lineRule="exact"/>
        <w:rPr>
          <w:sz w:val="20"/>
          <w:szCs w:val="20"/>
          <w:color w:val="auto"/>
        </w:rPr>
      </w:pPr>
      <w:r>
        <w:rPr>
          <w:rFonts w:ascii="Arial" w:cs="Arial" w:eastAsia="Arial" w:hAnsi="Arial"/>
          <w:sz w:val="18"/>
          <w:szCs w:val="18"/>
          <w:color w:val="auto"/>
        </w:rPr>
        <w:t>For a description of the competition that our lead marketed products and most advanced product candidates face or may face, see the discussion in “Business—Competition” in Part I, Item 1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the risk factor under the heading “</w:t>
      </w:r>
      <w:r>
        <w:rPr>
          <w:rFonts w:ascii="Arial" w:cs="Arial" w:eastAsia="Arial" w:hAnsi="Arial"/>
          <w:sz w:val="18"/>
          <w:szCs w:val="18"/>
          <w:i w:val="1"/>
          <w:iCs w:val="1"/>
          <w:color w:val="auto"/>
        </w:rPr>
        <w:t>The introduction of new products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U.S. market that compete with, or otherwise disrupt the market for, our oxybate products and product candidates would adversely affect sales of our oxybate products and product candidates” </w:t>
      </w:r>
      <w:r>
        <w:rPr>
          <w:rFonts w:ascii="Arial" w:cs="Arial" w:eastAsia="Arial" w:hAnsi="Arial"/>
          <w:sz w:val="18"/>
          <w:szCs w:val="18"/>
          <w:color w:val="auto"/>
        </w:rPr>
        <w:t>in this Part I, Item 1A.</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state Medicaid programs, the Medicare program, other healthcare programs in the U.S. or elsewhere, or third party commercial payors in the U.S. or elsewhere deny reimbursement for our products, limit the indications for which our products will be reimbursed, or provide reimbursement only on unfavorable terms. In particular, we cannot predict to what extent the evolving effects of the COVID-19 pandemic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could adversely affect net revenue.</w:t>
      </w:r>
    </w:p>
    <w:p>
      <w:pPr>
        <w:spacing w:after="0" w:line="7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Third party pharmacy benefit managers, or PBMs, other similar organizations and payors can limit coverage to specific products on an approved list, or formulary, which might not include all of the approved products for a particular indication,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maintaining broad coverage for our products, our anticipated revenue from and growth prospects for our products could be negatively affected.</w:t>
      </w:r>
    </w:p>
    <w:p>
      <w:pPr>
        <w:spacing w:after="0" w:line="66"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beginning in January 2025, the EU HTA regulation will apply; this regulation aims to harmonize the clinical benefit assessment of HTA across the EU. If we are unable to maintain favorable pricing and reimbursement status in EU member states that represent significant markets, our anticipated revenue from and growth prospects for our products in the EU could be negatively affected. For example, the EC granted marketing authorization for Vyxeos in August 2018, for Epidyolex in September 2019 and for Sunosi in January 2020, and, as part of our rolling launches of Vyxeos, Epidyolex and Sunosi in Europe, we are making pricing and reimbursement submissions in European countries. Due to the evolving effects of the COVID-19 pandemic, we currently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 member states would be delayed, which could negatively impact anticipated revenue from and growth prospects for Vyxeos, Epidyolex and/or Sunosi.</w:t>
      </w:r>
    </w:p>
    <w:p>
      <w:pPr>
        <w:spacing w:after="0" w:line="2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w:t>
      </w:r>
    </w:p>
    <w:p>
      <w:pPr>
        <w:spacing w:after="0" w:line="84"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facilitate the importation of drugs into the U.S. from other countries, and to increase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manufacturer liability in the Medicare Part D pharmaceutical benefit.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76"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the Biden administration and U.S. Congress have taken and are expected to continue to take notable steps towards expanding health care coverage beyond the Affordable Care Act, which could have ramifications for the pharmaceutical industry. Additional legislative changes, regulatory changes, or guidance could be adopted, which may impact the marketing approvals and reimbursement for our product candidates. For example, there has been increasing legislative, regulatory, and 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w:t>
      </w:r>
    </w:p>
    <w:p>
      <w:pPr>
        <w:spacing w:after="0" w:line="58"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Xyrem, most recently in January 2022, and there is no guarantee that we will make similar price adjustments to Xywav and Xyrem in the future or that price adjustments we have taken or may take in the future will not negatively affect Xywav or Xyrem sales volumes and revenues. We also have made and may in the future make price adjustments on our other products. There is no guarantee that such price adjustments will not negatively affect our reputation and our ability to secure and maintain reimbursement coverage for our products, which could limit the prices that we charge for our products, including Xywav and Xyrem, limit the commercial opportunities for our products and/or negatively impact revenues from sales of our products.</w:t>
      </w:r>
    </w:p>
    <w:p>
      <w:pPr>
        <w:spacing w:after="0" w:line="57"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If we become the subject of any future government investigation or U.S. Congressional oversight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49"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We expect that legislators, policymakers and healthcare insurance funds in Europe will continue to propose and implement cost-containing measures to keep healthcare costs down; particularly due to the financial strain that the COVID-19 pandemic has placed on their healthcare systems. These measures could include limitations on the prices we 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62" w:lineRule="exact"/>
        <w:rPr>
          <w:sz w:val="20"/>
          <w:szCs w:val="20"/>
          <w:color w:val="auto"/>
        </w:rPr>
      </w:pPr>
    </w:p>
    <w:p>
      <w:pPr>
        <w:ind w:left="660" w:right="38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of the product in regular 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serious adverse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clinical superiority and/or advantages over alternative treatments;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overcoming negative publicity surrounding illicit use of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GHB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cannabinoid and marijuana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the view of patients, law enforcement agencies, physicians and regulators of our products as being the same or similar to illicit products;</w:t>
      </w:r>
    </w:p>
    <w:p>
      <w:pPr>
        <w:spacing w:after="0" w:line="12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Xywav and Xyrem, physician and patient assessment of the burdens associated with obtaining or maintaining the certifications required under the Xywav and Xyrem REMS;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17" w:lineRule="exact"/>
        <w:rPr>
          <w:sz w:val="20"/>
          <w:szCs w:val="20"/>
          <w:color w:val="auto"/>
        </w:rPr>
      </w:pPr>
    </w:p>
    <w:p>
      <w:pPr>
        <w:jc w:val="both"/>
        <w:ind w:right="80" w:firstLine="445"/>
        <w:spacing w:after="0" w:line="286" w:lineRule="auto"/>
        <w:rPr>
          <w:sz w:val="20"/>
          <w:szCs w:val="20"/>
          <w:color w:val="auto"/>
        </w:rPr>
      </w:pPr>
      <w:r>
        <w:rPr>
          <w:rFonts w:ascii="Arial" w:cs="Arial" w:eastAsia="Arial" w:hAnsi="Arial"/>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57"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evolving effects of the COVID-19 pandemic (including as a result of disruptions of global shipping and the transport of products)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6"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Sativex.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53"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67" w:lineRule="auto"/>
        <w:rPr>
          <w:sz w:val="20"/>
          <w:szCs w:val="20"/>
          <w:color w:val="auto"/>
        </w:rPr>
      </w:pPr>
      <w:r>
        <w:rPr>
          <w:rFonts w:ascii="Arial" w:cs="Arial" w:eastAsia="Arial" w:hAnsi="Arial"/>
          <w:sz w:val="17"/>
          <w:szCs w:val="17"/>
          <w:color w:val="auto"/>
        </w:rPr>
        <w:t>We are responsible for the manufacture and supply of Sativex (nabiximols) to our collaboration partners and for the manufacture and supply of Epidiolex/Epidyolex, nabiximols and other cannabinoid product candidates for commercial use and for use in clinical trials. The manufacturing of Epidiolex/Epidyolex, nabiximols and our product candidates necessitates compliance with GMP and other regulatory requirements in jurisdictions internationally. Our ability to successfully manufacture Epidiolex/Epidyolex, nabiximols and other cannabinoid product candidates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For certain steps in the manufacturing process for nabiximols, we are currently reliant on single manufacturing facilities and no back-up facilities are yet in place. We have a second site at which we can grow the specific cannabinoid plants that produce the CBD used in Epidiolex/Epidyolex, a second site at which we can extract CBD from botanical raw material and a second site at which we can crystallize the purified CBD from the liquid plant extract. Because nabiximols is a complex mixture manufactured from plant materials, and because the release specifications may not be identical in all countries, certain batches may fail release testing and not be able to be commercialized. A number of our product candidates (excluding Epidiolex/Epidyolex) also consist of a complex mixture manufactured from plant materials, and are therefore subject to a similar risk. If we are unable to manufacture Epidiolex/Epidyolex, nabiximols or other product candidates in accordance with regulatory specifications, including Good Manufacturing Practice, or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nabiximols and our product candidates on a timely or cost-competitive basis, if at all. Our manufacturing program requires significant time and resources and may not be successful, may lead to delays, interruptions to supply or may prove to be more costly than anticipated.</w:t>
      </w:r>
    </w:p>
    <w:p>
      <w:pPr>
        <w:spacing w:after="0" w:line="79"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Vyxeos is manufactured by Baxter Oncology GmbH, or Baxter, which is a sole source supplier from a single site location. There have been batch failures due to mechanical, component, raw materials and other issues in the production of Vyxeos, and batches have been produced that have otherwise not been in compliance with applicable specifications. We are continuing to work with Baxter and others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 In addition, while the APIs in Vyxeos, daunorubicin and cytarabine, are available from a number of suppliers, certain suppliers have received warning letters from FDA. As a result, we have qualified other suppliers for each API, and we provided the qualification data to FDA. If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71" w:lineRule="exact"/>
        <w:rPr>
          <w:sz w:val="20"/>
          <w:szCs w:val="20"/>
          <w:color w:val="auto"/>
        </w:rPr>
      </w:pPr>
    </w:p>
    <w:p>
      <w:pPr>
        <w:ind w:right="200" w:firstLine="445"/>
        <w:spacing w:after="0" w:line="273" w:lineRule="auto"/>
        <w:rPr>
          <w:sz w:val="20"/>
          <w:szCs w:val="20"/>
          <w:color w:val="auto"/>
        </w:rPr>
      </w:pPr>
      <w:r>
        <w:rPr>
          <w:rFonts w:ascii="Arial" w:cs="Arial" w:eastAsia="Arial" w:hAnsi="Arial"/>
          <w:sz w:val="17"/>
          <w:szCs w:val="17"/>
          <w:color w:val="auto"/>
        </w:rPr>
        <w:t>Rylaze drug substance is manufactured by AGC Biologics at its facility in Copenhagen, Denmark and the drug product is manufactured and packaged by Patheon at its facility in Greenville, North Carolina. Both sites have ample capacity to support forecast demand and we have secured supply for more than one year's forecast demand.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70"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62"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If the effects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our approved products and our business, financial condition, results of operations and growth prospects would be materially adversely affected. For example, supply chain interruptions and shortage of construction materials could lead to delays and rising costs associated with our planned construction project at our commercial manufacturing facility in the U.K. at Kent Science Park. In addition, energy prices have spiked recently due to global macro-economic issues, which can have a direct impact on CO2 prices and availability. CO2 is a critical raw material for manufacturing our cannabinoid products.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The testing, manufacturing and marketing of our products require regulatory approvals, including approval from FDA and similar bodies in Europe and other countries. If FDA, the European Medicines Agency, or EMA,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69"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Due to the evolving effects of the COVID-19 pandemic, it is possible that we could experience delays in the timing of marketing application review by regulatory authorities and/or our interactions with regulatory authorities due to limited staffing or working hours of governmental employees, governmental “stay-at-home” orders and travel restrictions with respect to physical inspections if required for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For example, due to travel restrictions in 2021 that prevented an on-site inspection, we experienced a delay in FDA’s approval of GP Pharm as a second manufacturer of Zepzelca. It is possible that we could experience delays in regulatory interactions and review of submissions due to COVID-19 impacts described above, such as with respect to our development pathway for nabiximols.</w:t>
      </w:r>
    </w:p>
    <w:p>
      <w:pPr>
        <w:spacing w:after="0" w:line="7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Xywav and Xyrem,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8"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Epidiolex, Defitelio, Vyxeos, Sunosi, Rylaze and Zepzelca. These post-marketing requirements and commitments include satisfactorily conducting multiple post-marketing clinical trials and safety studies. For example, FDA granted accelerated approval to Zepzelca for relapsed SCLC based on data from a Phase 2 trial, which approval is contingent upon verification and description of clinical benefit in a post-marketing clinical trial. We and our licensor PharmaMar are committed to the further study of lurbinectedin, both as a single agent and in combination, and have reached agreement with FDA regarding a confirmatory clinical development program. Our failure to confirm its clinical benefit could result in the withdrawal of approval of Zepzelca, which could have a material adverse effect on our business, financial condition, results of operations and growth prospects. With respect to FDA’s and EC’s approvals of Epidiolex/Epidyolex, we are subject to certain post-marketing requirements. Failure to comply with these post-marketing requirements could result in withdrawal of our marketing approvals for Epidiolex/Epidyolex and/or other civil or criminal penalties. In any event, if we are unable to comply with our post-marketing obligations imposed as part of the marketing approvals in the U.S., the EU, or other countries, our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approval may be varied, suspended or revoked, product supply may be delayed and our sales of our products could be materially adversely affected.</w:t>
      </w:r>
    </w:p>
    <w:p>
      <w:pPr>
        <w:spacing w:after="0" w:line="129" w:lineRule="exact"/>
        <w:rPr>
          <w:sz w:val="20"/>
          <w:szCs w:val="20"/>
          <w:color w:val="auto"/>
        </w:rPr>
      </w:pPr>
    </w:p>
    <w:p>
      <w:pPr>
        <w:ind w:right="40" w:firstLine="445"/>
        <w:spacing w:after="0" w:line="267" w:lineRule="auto"/>
        <w:rPr>
          <w:sz w:val="20"/>
          <w:szCs w:val="20"/>
          <w:color w:val="auto"/>
        </w:rPr>
      </w:pPr>
      <w:r>
        <w:rPr>
          <w:rFonts w:ascii="Arial" w:cs="Arial" w:eastAsia="Arial" w:hAnsi="Arial"/>
          <w:sz w:val="17"/>
          <w:szCs w:val="17"/>
          <w:color w:val="auto"/>
        </w:rPr>
        <w:t xml:space="preserve">We are pursuing activities related to the development of additional asparaginase products for patients with ALL or other hematological malignancies. Several of our external research and development collaborations are focused on these efforts, including our agreement with Ligand Pharmaceuticals Incorporated, or Ligand. We developed Rylaze, a recombinant Erwinia asparaginase product for the treatment of patients with ALL and LBL who have hypersensitivity to E. coli-derived asparaginase, under our Ligand agreement. We also have clinical development efforts in a variety of other areas, including those focused on expanding the potential of </w:t>
      </w:r>
      <w:r>
        <w:rPr>
          <w:rFonts w:ascii="Arial" w:cs="Arial" w:eastAsia="Arial" w:hAnsi="Arial"/>
          <w:sz w:val="17"/>
          <w:szCs w:val="17"/>
          <w:color w:val="212529"/>
        </w:rPr>
        <w:t>Defitelio,</w:t>
      </w:r>
      <w:r>
        <w:rPr>
          <w:rFonts w:ascii="Arial" w:cs="Arial" w:eastAsia="Arial" w:hAnsi="Arial"/>
          <w:sz w:val="17"/>
          <w:szCs w:val="17"/>
          <w:color w:val="auto"/>
        </w:rPr>
        <w:t xml:space="preserve"> Epidiolex/Epidyolex, </w:t>
      </w:r>
      <w:r>
        <w:rPr>
          <w:rFonts w:ascii="Arial" w:cs="Arial" w:eastAsia="Arial" w:hAnsi="Arial"/>
          <w:sz w:val="17"/>
          <w:szCs w:val="17"/>
          <w:color w:val="212529"/>
        </w:rPr>
        <w:t>Vyxeos, Sunosi, Rylaze and Xywav, as well as clinical development</w:t>
      </w:r>
      <w:r>
        <w:rPr>
          <w:rFonts w:ascii="Arial" w:cs="Arial" w:eastAsia="Arial" w:hAnsi="Arial"/>
          <w:sz w:val="17"/>
          <w:szCs w:val="17"/>
          <w:color w:val="auto"/>
        </w:rPr>
        <w:t xml:space="preserve"> </w:t>
      </w:r>
      <w:r>
        <w:rPr>
          <w:rFonts w:ascii="Arial" w:cs="Arial" w:eastAsia="Arial" w:hAnsi="Arial"/>
          <w:sz w:val="17"/>
          <w:szCs w:val="17"/>
          <w:color w:val="212529"/>
        </w:rPr>
        <w:t>efforts focused on s</w:t>
      </w:r>
      <w:r>
        <w:rPr>
          <w:rFonts w:ascii="Arial" w:cs="Arial" w:eastAsia="Arial" w:hAnsi="Arial"/>
          <w:sz w:val="17"/>
          <w:szCs w:val="17"/>
          <w:color w:val="000000"/>
        </w:rPr>
        <w:t>uvecaltamide (</w:t>
      </w:r>
      <w:r>
        <w:rPr>
          <w:rFonts w:ascii="Arial" w:cs="Arial" w:eastAsia="Arial" w:hAnsi="Arial"/>
          <w:sz w:val="17"/>
          <w:szCs w:val="17"/>
          <w:color w:val="212529"/>
        </w:rPr>
        <w:t xml:space="preserve">JZP385) </w:t>
      </w:r>
      <w:r>
        <w:rPr>
          <w:rFonts w:ascii="Arial" w:cs="Arial" w:eastAsia="Arial" w:hAnsi="Arial"/>
          <w:sz w:val="17"/>
          <w:szCs w:val="17"/>
          <w:color w:val="000000"/>
        </w:rPr>
        <w:t>for the treatment of essential tremor, JZP150 for post-traumatic stress disorder and nabiximols for multiple</w:t>
      </w:r>
      <w:r>
        <w:rPr>
          <w:rFonts w:ascii="Arial" w:cs="Arial" w:eastAsia="Arial" w:hAnsi="Arial"/>
          <w:sz w:val="17"/>
          <w:szCs w:val="17"/>
          <w:color w:val="212529"/>
        </w:rPr>
        <w:t xml:space="preserve"> </w:t>
      </w:r>
      <w:r>
        <w:rPr>
          <w:rFonts w:ascii="Arial" w:cs="Arial" w:eastAsia="Arial" w:hAnsi="Arial"/>
          <w:sz w:val="17"/>
          <w:szCs w:val="17"/>
          <w:color w:val="000000"/>
        </w:rPr>
        <w:t>sclerosis-related spasticity</w:t>
      </w:r>
      <w:r>
        <w:rPr>
          <w:rFonts w:ascii="Arial" w:cs="Arial" w:eastAsia="Arial" w:hAnsi="Arial"/>
          <w:sz w:val="17"/>
          <w:szCs w:val="17"/>
          <w:color w:val="212529"/>
        </w:rPr>
        <w:t>. Because combination regimens and the continual generation of new data have become particularly important in AML, if we are</w:t>
      </w:r>
      <w:r>
        <w:rPr>
          <w:rFonts w:ascii="Arial" w:cs="Arial" w:eastAsia="Arial" w:hAnsi="Arial"/>
          <w:sz w:val="17"/>
          <w:szCs w:val="17"/>
          <w:color w:val="000000"/>
        </w:rPr>
        <w:t xml:space="preserve"> </w:t>
      </w:r>
      <w:r>
        <w:rPr>
          <w:rFonts w:ascii="Arial" w:cs="Arial" w:eastAsia="Arial" w:hAnsi="Arial"/>
          <w:sz w:val="17"/>
          <w:szCs w:val="17"/>
          <w:color w:val="212529"/>
        </w:rPr>
        <w:t xml:space="preserve">unable to initiate multiple combination studies, safely combine Vyxeos with novel agents, or if efficacy results do not meet clinicians’ expectations, our growth prospects could be materially adversely affected. </w:t>
      </w:r>
      <w:r>
        <w:rPr>
          <w:rFonts w:ascii="Arial" w:cs="Arial" w:eastAsia="Arial" w:hAnsi="Arial"/>
          <w:sz w:val="17"/>
          <w:szCs w:val="17"/>
          <w:color w:val="000000"/>
        </w:rPr>
        <w:t>Epidiolex has been administered only to a limited number of patients and in limited populations in</w:t>
      </w:r>
      <w:r>
        <w:rPr>
          <w:rFonts w:ascii="Arial" w:cs="Arial" w:eastAsia="Arial" w:hAnsi="Arial"/>
          <w:sz w:val="17"/>
          <w:szCs w:val="17"/>
          <w:color w:val="212529"/>
        </w:rPr>
        <w:t xml:space="preserve"> </w:t>
      </w:r>
      <w:r>
        <w:rPr>
          <w:rFonts w:ascii="Arial" w:cs="Arial" w:eastAsia="Arial" w:hAnsi="Arial"/>
          <w:sz w:val="17"/>
          <w:szCs w:val="17"/>
          <w:color w:val="000000"/>
        </w:rPr>
        <w:t>clinical trials. While FDA and EC granted approval of Epidiolex/Epidyolex based on the data included in GW's NDA, sNDA and marketing authorization application, we do not know whether the results will be consistent with those resulting from administration of the drug to a large number of patients. New data relating to Epidiolex/Epidyolex, including from adverse event reports and post-marketing studies in the U.S. and Europe, and from other ongoing clinical trials, may result in changes to the product label and/or imposition of a REMS and may adversely affect sales, or result in withdrawal of Epidiolex/Epidyolex from the market. FDA, EMA and regulatory authorities in other jurisdictions may also consider the new data in reviewing Epidiolex/Epidyolex marketing applications for indications other than our approved uses in other jurisdictions, or impose additional post-approval requirements. If any of these actions were to occur, it could result in significant expense and delay or limit our ability to generate sales of Epidiolex/Epidyolex.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6"/>
          <w:szCs w:val="16"/>
          <w:color w:val="212529"/>
        </w:rPr>
        <w:t>Further, while we seek to mitigate risks and liabilities of potential acquisitions and</w:t>
      </w:r>
      <w:r>
        <w:rPr>
          <w:rFonts w:ascii="Arial" w:cs="Arial" w:eastAsia="Arial" w:hAnsi="Arial"/>
          <w:sz w:val="16"/>
          <w:szCs w:val="16"/>
          <w:color w:val="auto"/>
        </w:rPr>
        <w:t xml:space="preserve"> </w:t>
      </w:r>
      <w:r>
        <w:rPr>
          <w:rFonts w:ascii="Arial" w:cs="Arial" w:eastAsia="Arial" w:hAnsi="Arial"/>
          <w:sz w:val="16"/>
          <w:szCs w:val="16"/>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6"/>
          <w:szCs w:val="16"/>
          <w:color w:val="000000"/>
        </w:rPr>
        <w:t>In addition, product and product candidate acquisitions,</w:t>
      </w:r>
      <w:r>
        <w:rPr>
          <w:rFonts w:ascii="Arial" w:cs="Arial" w:eastAsia="Arial" w:hAnsi="Arial"/>
          <w:sz w:val="16"/>
          <w:szCs w:val="16"/>
          <w:color w:val="212529"/>
        </w:rPr>
        <w:t xml:space="preserve"> </w:t>
      </w:r>
      <w:r>
        <w:rPr>
          <w:rFonts w:ascii="Arial" w:cs="Arial" w:eastAsia="Arial" w:hAnsi="Arial"/>
          <w:sz w:val="16"/>
          <w:szCs w:val="16"/>
          <w:color w:val="000000"/>
        </w:rPr>
        <w:t>particularly when the acquisition takes the form of a merger or other business 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5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212529"/>
        </w:rPr>
        <w:t>As a result of these or other factors, products or product candidates we acquire, or obtain licenses to, may not produce the revenues, earnings or business synergies that we anticipated, acquired or in-licensed product candidates may not result in regulatory approvals, and acquired or licensed products may not perform as expected. Failure to manage effectively our growth through acquisitions or in-licensing transactions could adversely affect our growth prospects, business, results of operations and financial condition.</w:t>
      </w:r>
    </w:p>
    <w:p>
      <w:pPr>
        <w:spacing w:after="0" w:line="7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As a condition to regulatory approval, each product candidate must undergo extensive and expensive preclinical studies and clinical trials to demonstrate that the product candidate is safe and effective. The results at any stage of the development process may lack the desired safety, efficacy or pharmacokinetic characteristics. If FDA determines that the safety or efficacy data included in any marketing application we submit do not warrant marketing approval for the affected product or product candidate, we may be required to conduct additional preclinical studies or clinical trials, which could be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29" w:lineRule="exact"/>
        <w:rPr>
          <w:sz w:val="20"/>
          <w:szCs w:val="20"/>
          <w:color w:val="auto"/>
        </w:rPr>
      </w:pPr>
    </w:p>
    <w:p>
      <w:pPr>
        <w:ind w:left="660" w:right="12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and indirect impacts of the evolving effects of the COVID-19 pandemic on various aspects and stages of the clinical development process, including the inherent limitations of remote and virtual approaches, and interruption of key clinical trial activities, such as clinical trial site monitoring, due to limitations on travel, quarantines or social distancing protocols imposed or recommended by federal or state governments, employers and others;</w:t>
      </w:r>
    </w:p>
    <w:p>
      <w:pPr>
        <w:spacing w:after="0" w:line="78"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with enrollment criteria targeting the same patient population, and in rare diseases with small patient populations;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spacing w:after="0" w:line="62" w:lineRule="exact"/>
        <w:rPr>
          <w:rFonts w:ascii="Arial" w:cs="Arial" w:eastAsia="Arial" w:hAnsi="Arial"/>
          <w:sz w:val="18"/>
          <w:szCs w:val="18"/>
          <w:color w:val="auto"/>
        </w:rPr>
      </w:pPr>
    </w:p>
    <w:p>
      <w:pPr>
        <w:ind w:left="660" w:right="40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57" w:lineRule="exact"/>
        <w:rPr>
          <w:sz w:val="20"/>
          <w:szCs w:val="20"/>
          <w:color w:val="auto"/>
        </w:rPr>
      </w:pPr>
    </w:p>
    <w:p>
      <w:pPr>
        <w:ind w:right="100" w:firstLine="445"/>
        <w:spacing w:after="0" w:line="269" w:lineRule="auto"/>
        <w:rPr>
          <w:sz w:val="20"/>
          <w:szCs w:val="20"/>
          <w:color w:val="auto"/>
        </w:rPr>
      </w:pPr>
      <w:r>
        <w:rPr>
          <w:rFonts w:ascii="Arial" w:cs="Arial" w:eastAsia="Arial" w:hAnsi="Arial"/>
          <w:sz w:val="17"/>
          <w:szCs w:val="17"/>
          <w:color w:val="auto"/>
        </w:rPr>
        <w:t>Our ability to recruit and retain patients and principal investigators and site staff who, as health care providers, may have heightened exposure to COVID-19, may adversely impact our clinical trial operations. In light of the evolving effects of the COVID-19 pandemic, we have taken measures to implement remote and virtual approaches, including remote data monitoring where possible, to maintain patient safety and trial continuity and to preserve study integrity. We have seen limited COVID-19-related impact to our mid- and late-stage clinical trial activity, despite delays in initiating trial sites. However, GW had begun to recruit patients for an early-stage clinical trial of Epidiolex in the treatment of Rett syndrome and GW terminated this trial in November 2020 due to severe feasibility challenges arising from COVID-19.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 healthcare services.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GW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from the acquisition of GW.</w:t>
      </w:r>
    </w:p>
    <w:p>
      <w:pPr>
        <w:spacing w:after="0" w:line="117"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On May 5, 2021, we completed the acquisition of GW. The success of the acquisition will depend, in part, on our ability to realize the anticipated benefits from successfully combining our and GW's historical businesses and the integration of our business practices and operations with GW's so that we can fully realize the anticipated benefits of the acquisition. Epidiolex and the other products and technologies acquired may not be successful or continue to grow at the same rate as if our companies operated independently or they may require significantly greater resources and investments than originally anticipated. Conversely, the liabilities assumed in the transaction could be greater than originally anticipated.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and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360" w:firstLine="445"/>
        <w:spacing w:after="0" w:line="279" w:lineRule="auto"/>
        <w:rPr>
          <w:sz w:val="20"/>
          <w:szCs w:val="20"/>
          <w:color w:val="auto"/>
        </w:rPr>
      </w:pPr>
      <w:r>
        <w:rPr>
          <w:rFonts w:ascii="Arial" w:cs="Arial" w:eastAsia="Arial" w:hAnsi="Arial"/>
          <w:sz w:val="17"/>
          <w:szCs w:val="17"/>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5540" w:right="3900" w:hanging="5208"/>
        <w:spacing w:after="0" w:line="919" w:lineRule="auto"/>
        <w:tabs>
          <w:tab w:leader="none" w:pos="6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160" w:hanging="328"/>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5"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62"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patents covering certain aspects of our products could be delisted from FDA's publication “Approved Drug Products with Therapeutic Equivalence Evaluations,” or Orange Book, as a result of challenges by third parties before FDA or the courts;</w:t>
      </w:r>
    </w:p>
    <w:p>
      <w:pPr>
        <w:spacing w:after="0" w:line="62"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spacing w:after="0" w:line="6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29"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Patent enforcement generally must be sought on a country-by-country basis, and issues of patent validity and infringement may be judged differently in different countries. Many companies have encountered significant problems in protecting, defending and enforcing intellectual property rights in foreign jurisdictions. The legal systems of certain countries, particularly certain developing countries, do not favor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70"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80" w:lineRule="exact"/>
        <w:rPr>
          <w:sz w:val="20"/>
          <w:szCs w:val="20"/>
          <w:color w:val="auto"/>
        </w:rPr>
      </w:pPr>
    </w:p>
    <w:p>
      <w:pPr>
        <w:jc w:val="both"/>
        <w:ind w:right="60" w:firstLine="445"/>
        <w:spacing w:after="0" w:line="259" w:lineRule="auto"/>
        <w:rPr>
          <w:sz w:val="20"/>
          <w:szCs w:val="20"/>
          <w:color w:val="auto"/>
        </w:rPr>
      </w:pPr>
      <w:r>
        <w:rPr>
          <w:rFonts w:ascii="Arial" w:cs="Arial" w:eastAsia="Arial" w:hAnsi="Arial"/>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w:t>
      </w:r>
    </w:p>
    <w:p>
      <w:pPr>
        <w:spacing w:after="0" w:line="79" w:lineRule="exact"/>
        <w:rPr>
          <w:sz w:val="20"/>
          <w:szCs w:val="20"/>
          <w:color w:val="auto"/>
        </w:rPr>
      </w:pPr>
    </w:p>
    <w:p>
      <w:pPr>
        <w:ind w:right="100" w:firstLine="445"/>
        <w:spacing w:after="0" w:line="294" w:lineRule="auto"/>
        <w:rPr>
          <w:sz w:val="20"/>
          <w:szCs w:val="20"/>
          <w:color w:val="auto"/>
        </w:rPr>
      </w:pPr>
      <w:r>
        <w:rPr>
          <w:rFonts w:ascii="Arial" w:cs="Arial" w:eastAsia="Arial" w:hAnsi="Arial"/>
          <w:sz w:val="16"/>
          <w:szCs w:val="16"/>
          <w:color w:val="auto"/>
        </w:rPr>
        <w:t>On July 28,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w:t>
      </w:r>
    </w:p>
    <w:p>
      <w:pPr>
        <w:spacing w:after="0" w:line="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October 4, 2021, Lupin filed an answer to the complaint and counterclaims asserting that the patents are invalid or not enforceable, and that its product, if approved, will not infringe our patents.</w:t>
      </w:r>
    </w:p>
    <w:p>
      <w:pPr>
        <w:spacing w:after="0" w:line="6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76" w:lineRule="exact"/>
        <w:rPr>
          <w:sz w:val="20"/>
          <w:szCs w:val="20"/>
          <w:color w:val="auto"/>
        </w:rPr>
      </w:pPr>
    </w:p>
    <w:p>
      <w:pPr>
        <w:jc w:val="both"/>
        <w:ind w:right="60" w:firstLine="445"/>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We also currently rely on trade secret protection for several of our products, including Defitelio, and product candidates, including nabiximols.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5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69"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which were invalidated through the IPR process and delisted from the Orange Book.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53"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October 2021, a number of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lawsuits, see Note 14,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It is possible that additional lawsuits will be filed against us making similar or related allegations. We cannot predict the outcome of these or potential additional lawsuits or government actions;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7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58"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December 2020, Canopy Growth Corporation, or Canopy, filed a complaint against GW alleging infringement of its patent, U.S. Patent No. 10,870,632. Canopy claims that our extraction process used to produce material used to produce Epidiolex infringes its patent. Canopy seeks a judgment that we have infringed their patent and an award of monetary damages. On July 28, 2021, we filed an answer to the amended complaint, and counterclaims seeking judgment that the ‘632 patent is invalid and that we have not infringed the patent. In October 2021, the court held a claim construction hearing regarding the disputed terms of the ‘632 patent. If we were found to infringe upon a patent or other intellectual property right, or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Litigation, whether filed by us or against us, can be expensive and time consuming to defend and divert management’s attention and resources. Our competitive position could suffer as a result. In addition, if we have declined or failed to enter into a valid non-disclosure or assignment agreement for any reason, we may not own the invention or our intellectual property, and our products may not be adequately protected.</w:t>
      </w:r>
    </w:p>
    <w:p>
      <w:pPr>
        <w:spacing w:after="0" w:line="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62"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Orphan Drug Exclusivity and other regulatory exclusivities to protect Xywav, Epidiolex, Zepzelca, Sunosi, Defitelio (defibrotide), Vyxeos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orphan drug exclusivity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The limited circumstances include a showing that the second drug is clinically superior to the drug with marketing exclusivity through a demonstration of superior safety or efficacy or that it makes a major contribution to patient care.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FDA’s regulations and policies concerning the exclusivity provisions of the Orphan Drug Act, including whether two drugs are the same drug product, and future challenges could lead to changes that affect the protections potentially afforded our products in ways that are difficult to predict. In a successful legal challenge, a court invalidated FDA’s denial of orphan exclusivity to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drug on the grounds that the drug was not proven to be clinically superior to a previously approved product containing the same ingredient for the same orphan use. In response to the decision, FDA released a policy statement stating that the court’s decision is limited just to the facts of that particular case and that FDA will continue to require the sponsor of a designated drug that is the “same” as a previously approved drug to demonstrate that its drug is clinically superior to that drug upon approval in order to be eligible for orphan drug exclusivity, or in some cases, to even be eligible for marketing approval. In the future, there is the potential for additional legal challenges to FDA’s orphan drug regulations and policies, and it is uncertain how such challenges might affect our business.</w:t>
      </w:r>
    </w:p>
    <w:p>
      <w:pPr>
        <w:spacing w:after="0" w:line="84"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the European Union, if a marketing authorization is granted for a medicinal product that is designated an orphan drug, that product is entitled to ten years of marketing exclusivity. We rely in part on this orphan drug exclusivity and other regulatory exclusivities to protect Epidyolex, Vyxeos, Defitelio, and Sunosi.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Even if we obtain orphan exclusivity for any product candidate, the exclusivity period can be reduced to six years if at the end of the fifth year it is established that the orphan designation criteria are no longer met or if it is demonstrated that the orphan drug is sufficiently profitable that market exclusivity is no longer justified. Further, a similar medicinal product may be granted a marketing authorization for the same indication notwithstanding our marketing exclusivity if we are unable to supply sufficient quantities of our product, or if the second product is safer, more effective or otherwise clinically superior to our orphan drug. In addition, if a competitor obtains marketing authorization and orphan exclusivity for a 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obtain directors and officers liability insurance.</w:t>
      </w:r>
    </w:p>
    <w:p>
      <w:pPr>
        <w:spacing w:after="0" w:line="62"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In recent years, the market for directors and officers liability insurance for biopharmaceuticals and life sciences companies has changed in ways adverse to us. The premiums charged for such policies have generally increased and the terms of such policies have generally become less favorable. As a result, it is currently expensive and may become significantly more expensive for us to maintain directors and officers liability insurance, and we may be required to accept reduced policy limits and coverage or incur substantially higher costs to obtain the same or similar coverage. In any event, there can be no assurance that directors and officers liability insurance will be adequate to cover our potential liabilities or will be generally available to us in the future or, if available, that the cost of such insurance will be commercially justifiable. The increased cost and decreased availability of directors and officers liability insurance could make it more difficult for us to attract and retain qualified persons to serve on our board of directors or as executive officers, and could also make it more difficult and more expensive for us to negotiate and consummate future corporate development transactions, all of which could have a material adverse effect on our business, financial condition, results of operations and growth prospects.</w:t>
      </w:r>
    </w:p>
    <w:p>
      <w:pPr>
        <w:spacing w:after="0" w:line="58" w:lineRule="exact"/>
        <w:rPr>
          <w:sz w:val="20"/>
          <w:szCs w:val="20"/>
          <w:color w:val="auto"/>
        </w:rPr>
      </w:pPr>
    </w:p>
    <w:p>
      <w:pPr>
        <w:ind w:right="540"/>
        <w:spacing w:after="0" w:line="221" w:lineRule="exact"/>
        <w:rPr>
          <w:sz w:val="20"/>
          <w:szCs w:val="20"/>
          <w:color w:val="auto"/>
        </w:rPr>
      </w:pPr>
      <w:r>
        <w:rPr>
          <w:rFonts w:ascii="Arial" w:cs="Arial" w:eastAsia="Arial" w:hAnsi="Arial"/>
          <w:sz w:val="17"/>
          <w:szCs w:val="17"/>
          <w:b w:val="1"/>
          <w:bCs w:val="1"/>
          <w:i w:val="1"/>
          <w:iCs w:val="1"/>
          <w:color w:val="auto"/>
        </w:rPr>
        <w:t>Our business is currently adversely affected and could be materially and adversely affected in the future by the evolving effects of the COVID</w:t>
      </w:r>
      <w:r>
        <w:rPr>
          <w:rFonts w:ascii="MS PGothic" w:cs="MS PGothic" w:eastAsia="MS PGothic" w:hAnsi="MS PGothic"/>
          <w:sz w:val="17"/>
          <w:szCs w:val="17"/>
          <w:color w:val="auto"/>
        </w:rPr>
        <w:t>‑</w:t>
      </w:r>
      <w:r>
        <w:rPr>
          <w:rFonts w:ascii="Arial" w:cs="Arial" w:eastAsia="Arial" w:hAnsi="Arial"/>
          <w:sz w:val="17"/>
          <w:szCs w:val="17"/>
          <w:b w:val="1"/>
          <w:bCs w:val="1"/>
          <w:i w:val="1"/>
          <w:iCs w:val="1"/>
          <w:color w:val="auto"/>
        </w:rPr>
        <w:t>19 pandemic and related global economic slowdown, including with respect to our commercialization efforts, clinical trial activity, research and development activities, supply chain and corporate development activities and other business operations.</w:t>
      </w:r>
    </w:p>
    <w:p>
      <w:pPr>
        <w:spacing w:after="0" w:line="94"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COVID-19 pandemic continues to have a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 enroll new patients and monitor patients in clinical trials. Health care provider offices and institutions have experienced workforce disruption, including the inability to hire staff and challenges maintaining appropriate staffing. The lack of access to health care providers has caused, and may continue to cause, delays in appropriate diagnosis, treatment and ongoing care for some patients, which could subsequently impact prescribing and use of our products. The evolving effects of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73"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Continued remote work policies, quarantines, shelter-in-place and similar government orders, shutdowns or other restrictions on the conduct of business operations related to the effects of the COVID-19 pandemic may materially and adversely affect our business, our ability to generate sales of our approved products, our supply chain, regulatory, clinical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development and corporate development activities.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Due to the nature of the pandemic, we are not able to accurately predict the duration or extent of these impacts on demand for our products.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combined with virtual engagement. The level of renewed in-person engagement varies by account, region and country and may be adversely impacted in the future as a result of the continuing impact of the COVID-19 pandemic. The absence of in-person interactions has had a negative impact our ability to effectively communicate product benefits to physicians, limiting their awareness and understanding and use of our products.</w:t>
      </w:r>
    </w:p>
    <w:p>
      <w:pPr>
        <w:spacing w:after="0" w:line="6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For Xywav and Xyrem, COVID-19 protocols and staffing shortages at sleep labs across the U.S. have resulted in reduced access to sleep testing. Since the end of the first quarter of 2020, we have seen a decline in prescribers’ ability to diagnose new narcolepsy patients and a related overall decline in new patients starting on therapy. Although patient persistence and compliance with oxybate therapy remained steady during 2021, we continue to expect that delays in obtaining a narcolepsy diagnosis will have a negative impact on new Xywav and Xyrem patient enrollments in future quarters. We believe these dynamics have negatively impacted new patient starts in the U.S. For Sunosi, the impact on demand has been primarily related to the reduced ability of our field-based teams to interact with prescribers and patients’ inability to meet with health care providers during this time. As a result, we have seen slower than expected growth of Sunosi prescribers and new patient starts in the U.S. We also anticipate that pricing and reimbursement reviews by certain European regulatory authorities may take longer in certain countries due to the pandemic, which could delay our rolling Sunosi launch and growth prospects for Vyxeos and Epidyolex in those EU member states. In addition, due to the ongoing impacts of the COVID-19 pandemic, we continue to expect a negative impact on demand for and utilization of Defitelio and Vyxeos.</w:t>
      </w:r>
    </w:p>
    <w:p>
      <w:pPr>
        <w:spacing w:after="0" w:line="77" w:lineRule="exact"/>
        <w:rPr>
          <w:sz w:val="20"/>
          <w:szCs w:val="20"/>
          <w:color w:val="auto"/>
        </w:rPr>
      </w:pPr>
    </w:p>
    <w:p>
      <w:pPr>
        <w:ind w:right="140" w:firstLine="445"/>
        <w:spacing w:after="0" w:line="273" w:lineRule="auto"/>
        <w:rPr>
          <w:sz w:val="20"/>
          <w:szCs w:val="20"/>
          <w:color w:val="auto"/>
        </w:rPr>
      </w:pPr>
      <w:r>
        <w:rPr>
          <w:rFonts w:ascii="Arial" w:cs="Arial" w:eastAsia="Arial" w:hAnsi="Arial"/>
          <w:sz w:val="17"/>
          <w:szCs w:val="17"/>
          <w:color w:val="auto"/>
        </w:rPr>
        <w:t>We have also seen an upward trend in demand for patient assistance programs since the end of the first quarter of 2020. In this regard, total revenue bottle volume on a combined basis for Xywav and Xyrem decreased by 1% in the year ended December 31, 2021, compared to the same period in 2020 reflecting our continued investment in patient access programs during the launch of Xywav. Depending on the ultimate duration and severity of the COVID-19 pandemic and the extent of a global economic slowdown, widespread unemployment and resulting loss of employer-sponsored insurance coverage or other market dynamics, we may experience an increasing shift from commercial payor coverage to government payor coverage or increasing demand for patient assistance and/or free drug programs, which could continue to adversely affect net product sales.</w:t>
      </w:r>
    </w:p>
    <w:p>
      <w:pPr>
        <w:spacing w:after="0" w:line="70"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In addition, the COVID-19 pandemic continues to rapidly evolve and has resulted in significant volatility in the global financial markets. If this volatility persists and deepens,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the current recession or additional market corrections resulting from the impact of the evolving effects of the COVID-19 pandemic could materially affect our business and the value of our ordinary shares. While we expect these effects to adversely affect our business operations and financial results, the extent of the impact on our ability to generate sales of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developments include continued spread of the Delta and Omicron variants in the U.S. and other countries and the potential emergence of other SARS-CoV-2 variants that may prove especially contagious or virulent, the ultimate duration and severity of the pandemic, governmental “stay-at-home” orders and travel restrictions, quarantines, social distancing and business closure requirements in the U.S., Ireland and other countries, and the effectiveness of vaccination programs and other actions taken globally to contain and treat the disease. For example, the inability of our workforce to return to office and field-based work and the ongoing stress and reprioritization within the healthcare systems in our key markets may require us to reassess the timing and scope of key business activities for 2022, including with respect to our ability to continue the launch momentum for Epidiolex, Sunosi, Xywav, Zepzelca and Rylaze. These effects could materially and adversely affect our business, financial condition, results of operations and growth prospects, as further described in the risks and uncertainties described elsewhere in this ‘‘Risk Factors’’ section.</w:t>
      </w:r>
    </w:p>
    <w:p>
      <w:pPr>
        <w:spacing w:after="0" w:line="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We are headquartered in Dublin, Ireland and have offices in multiple locations, including the U.S., the U.K., Italy and Canada. We may further expand our international operations into other countries in the future, either organically or by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acquisition. Conducting our business in multiple countries subjects us to a variety of risks and complexities that may materially and adversely affect our business, results of operations, financial condition and growth prospects, including:</w:t>
      </w:r>
    </w:p>
    <w:p>
      <w:pPr>
        <w:spacing w:after="0" w:line="62" w:lineRule="exact"/>
        <w:rPr>
          <w:sz w:val="20"/>
          <w:szCs w:val="20"/>
          <w:color w:val="auto"/>
        </w:rPr>
      </w:pPr>
    </w:p>
    <w:p>
      <w:pPr>
        <w:ind w:left="660" w:right="9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Brexit on trade relations between the EU and the U.K.;</w:t>
      </w:r>
    </w:p>
    <w:p>
      <w:pPr>
        <w:spacing w:after="0" w:line="117"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140"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Brexit continues to create uncertainty concerning the future relationship between the U.K. and the EU, following the U.K. withdrawal from the EU in January 2020. We have a commercial manufacturing facility in the U.K. at Kent Science Park, and multiple offices in England. Since a significant portion of the regulatory framework in the U.K. is derived from EU laws, Brexit materially impacts the regulatory regime with respect to the development, manufacture, importation, approval and commercialization of our product candidates in the U.K. or the EU. In this regard, in December 2020, the EU and U.K. reached an agreement in principle on the framework for their future relationship, the EU-U.K. Trade and Cooperation Agreement, or TCA. Among the changes that have had a direct impact are that Great Britain (England, Scotland and Wales) will be treated as a "third country," a country that is not a member of the EU and whose citizens do not enjoy the EU right to free movement. Northern Ireland continues to follow many aspects of the EU regulatory rules, particularly in relation to trade in goods. As part of the TCA, the EU and the U.K. will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has introduced a separate regulatory submission process, approval process and a separate national marketing authorization. Northern Ireland, however, continues to be covered by the marketing authorizations granted by the EC. Therefore, our medicine candidates require a separate marketing authorization for Great Britain, which involves additional administrative burden. Any delay in obtaining, or an inability to obtain, any marketing approvals, as a result of Brexit or otherwise, could prevent us from or delay us commercializing our medicine candidates in the U.K. and/or the European Economic Area, or EEA, and restrict our ability to generate revenue and achieve and sustain profitability. If any of these outcomes occur, we may be forced to restrict or delay efforts to seek regulatory approval in the U.K. and/or EEA for our medicine candidates, which could significantly and materially harm our business. In addition, the EU’s regulatory environment for clinical trials has been harmonized as part of the Clinical Trials Regulation from January 31, 2022, but it is currently unclear as to what extent the U.K. will seek to align its regulations with the EU. Failure of the U.K. to closely align its regulations with the EU may have an effect on the cost of conducting clinical trials in the U.K. as opposed to other countries and/or make it harder to seek a marketing authorization for our medicine candidates in the EEA on the basis of clinical trials conducted in the U.K. In the short term there is a risk of disrupted import and export processes due to a lack of administrative processing capacity by the respective U.K. and EU customs agencies that may delay time-sensitive shipments and may negatively impact our product supply chain. All of these changes could increase our costs and otherwise adversely affect our business.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data.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73"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the COVID-19 pandemic,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data), and could result in financial, legal, business and reputational harm to us. Any such event that leads to unauthorized access, use or disclosure of personal data, including personal data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Xywav and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6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Defibrotide, Vyxeos, Epidyolex and Sativex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 of these products exceeding historical sales on a named patient basis could have an adverse effect on our business, financial condition, results of operations and growth prospects.</w:t>
      </w:r>
    </w:p>
    <w:p>
      <w:pPr>
        <w:spacing w:after="0" w:line="84"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00" w:firstLine="445"/>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right="20" w:firstLine="445"/>
        <w:spacing w:after="0" w:line="217" w:lineRule="exact"/>
        <w:rPr>
          <w:sz w:val="20"/>
          <w:szCs w:val="20"/>
          <w:color w:val="auto"/>
        </w:rPr>
      </w:pPr>
      <w:r>
        <w:rPr>
          <w:rFonts w:ascii="Arial" w:cs="Arial" w:eastAsia="Arial" w:hAnsi="Arial"/>
          <w:sz w:val="16"/>
          <w:szCs w:val="16"/>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While we maintain a comprehensive compliance program to try to ensure that our practices and the activities of our third-party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U.S. Department of Health and Human Services finalized a previously abandoned proposal to amend the discount safe harbor regulation of the federal anti-kickback statute in a purported effort to create incentives to manufacturers to lower their list prices, and to lower federal program beneficiary out-of-pocket costs. The rule, which is currently slated to take full effect January 1, 2023, revises the discount safe harbor to exclude manufacturer rebates to Medicare Part D plans, either directly or through PBMs, creates a new safe harbor for point-of-sale price reductions that are set in advance and are available to the beneficiary at the point-of-sale, and creates a new safe harbor for service fees paid by manufacturers to PBMs for services rendered to the manufacturer. The effective date of the rule was already delayed by the Biden Administration and legal challenges. It is unclear whether the rule will be further delayed, rewritten, or allowed to go into effect, and if so, what the effect of the rule will be on negotiations of coverage for our products with Medicare Part D plans, or whether the rule will affect our coverage arrangements with commercial insurers. It is also unclear whether the rule will have the intended effect of reducing net prices and beneficiary out-of-pocket costs without also increasing Medicare Part D premiums, which may impact the willingness of Part D plans to cover our products and the price concessions or other terms the plans or their PBMs may seek from us. In addition, in November 2020, the OIG issued a Special Fraud Alert to highlight certain inherent fraud and abuse risks associated with speaker fees, honorariums and expenses paid by pharmaceutical and medical device companies to healthcare professionals participating in company-sponsored events. The Special Fraud Alert sent a clear signal that speaker programs will be subject to potentially heightened enforcement scrutiny.</w:t>
      </w:r>
    </w:p>
    <w:p>
      <w:pPr>
        <w:spacing w:after="0" w:line="105"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 xml:space="preserve">Many companies have faced government investigations or lawsuits by whistleblowers who bring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76" w:lineRule="exact"/>
        <w:rPr>
          <w:sz w:val="20"/>
          <w:szCs w:val="20"/>
          <w:color w:val="auto"/>
        </w:rPr>
      </w:pPr>
    </w:p>
    <w:p>
      <w:pPr>
        <w:ind w:right="60" w:firstLine="445"/>
        <w:spacing w:after="0" w:line="218" w:lineRule="exact"/>
        <w:rPr>
          <w:sz w:val="20"/>
          <w:szCs w:val="20"/>
          <w:color w:val="auto"/>
        </w:rPr>
      </w:pPr>
      <w:r>
        <w:rPr>
          <w:rFonts w:ascii="Arial" w:cs="Arial" w:eastAsia="Arial" w:hAnsi="Arial"/>
          <w:sz w:val="18"/>
          <w:szCs w:val="18"/>
          <w:color w:val="auto"/>
        </w:rPr>
        <w:t>Public reporting under the Physician Payment Sunshine Act, or Sunshine provisions, and other similar state laws, the requirements of which are discussed in “Business—Government Regulation” in Part I, Item 1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has resulted in increased scrutiny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97"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8"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These obligations are being extended to the GW legacy organization as part of ongoing integration efforts, and we are working with OIG in that regard. Although we have structured our programs to follow available guidance and the requirements of our corporate integrity agreement, including with regard to our ongoing integration of GW,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6"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reduced coverage of our products, including by federal and state health care programs. If any or all of these events occur, our business, financial condition, results of operations and stock price could be materially and adversely affected.</w:t>
      </w:r>
    </w:p>
    <w:p>
      <w:pPr>
        <w:spacing w:after="0" w:line="68"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As an example,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41" w:lineRule="exact"/>
        <w:rPr>
          <w:sz w:val="20"/>
          <w:szCs w:val="20"/>
          <w:color w:val="auto"/>
        </w:rPr>
      </w:pPr>
    </w:p>
    <w:p>
      <w:pPr>
        <w:ind w:right="40" w:firstLine="445"/>
        <w:spacing w:after="0" w:line="285" w:lineRule="auto"/>
        <w:rPr>
          <w:sz w:val="20"/>
          <w:szCs w:val="20"/>
          <w:color w:val="auto"/>
        </w:rPr>
      </w:pPr>
      <w:r>
        <w:rPr>
          <w:rFonts w:ascii="Arial" w:cs="Arial" w:eastAsia="Arial" w:hAnsi="Arial"/>
          <w:sz w:val="16"/>
          <w:szCs w:val="16"/>
          <w:color w:val="auto"/>
        </w:rPr>
        <w:t>We are also subject to federal, state, national and international laws and regulations governing the privacy and security of health related and other personal data we collect and maintain (e.g., Section 5 of the Federal Trade Commission Act, the California Consumer Privacy Act, or CCPA, and the EU’s General Data Protection Regulation, or GDPR). These laws and regulations are evolving and subject to interpretation, and may impose limitations on our activities or otherwise adversely affect our business.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data, including health data. We may also need to collect more extensive health-related information from our employees to manage our workforce. If we or our third party partners fail to comply or are alleged to have failed to comply with applicable data protection and privacy laws and regulations, and related employment rules, or if we were to experience a data breach involving personal data,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For example, in July 2020, the Court of Justice of the European Union, or the Court of Justice, declared the EC’s privacy shield framework between the EU and U.S. was invalid, which could adversely impact our ability to transfer personal data from the EU to the U.S. The Court of Justice further ruled that in order to transfer data outside of the EU, under the existing mechanism known as the Standard Contractual Clauses, or SCCs, the importing country’s level of protection must be adequate. If the level of protection in the U.S. or any other importing country is called into question under the SCCs, this could further impact our ability to transfer data outside of the EU or Switzerland. Furthermore, following the U.K.’s exit from the EU, the U.K. became a third country to the EU in terms of personal data transfers. The EC has adopted an Adequacy Decision concerning the level of personal data protection in the U.K. under which personal data may now flow freely from the EU to the U.K. However, personal data transfers from the EU to the U.K. may nevertheless be at a greater risk than before because the Adequacy Decision may be suspended.</w:t>
      </w:r>
    </w:p>
    <w:p>
      <w:pPr>
        <w:spacing w:after="0" w:line="63"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addition, numerous other federal, state, national and international laws and regulations govern the privacy and security of the personal data we collect and maintain, including data breach notification laws, state health information and/or genetic privacy laws, federal and state consumer protection laws (e.g., Section 5 of the Federal Trade Commission Act, and the CCPA), and laws outside of the United States that may apply to us, such as the GDPR and other country laws. Many of these laws and regimes, across countries but even within the United States, differ from each other in significant ways and may not have the same effect, thus complicating compliance efforts. Compliance with these laws is difficult, constantly evolving, and time consuming. International regulators, federal regulators, state attorneys general, and plaintiffs’ attorneys, including class action attorneys, have been and will likely continue to be active in this space.</w:t>
      </w:r>
    </w:p>
    <w:p>
      <w:pPr>
        <w:spacing w:after="0" w:line="8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California, the CCPA establishes certain requirements for data use and sharing transparency and creates new data privacy rights for California residents. The CCPA and its implementing regulations have already been amended multiple times since their enactment.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in other jurisdictions that could impose new obligations or limitations in areas affecting our business. In addition, some countries are considering or have passed legislation implementing data protection or privacy requirements or requiring local storage and processing of data or similar requirements that could increase the cost and complexity of delivering our services and research activities.</w:t>
      </w:r>
    </w:p>
    <w:p>
      <w:pPr>
        <w:spacing w:after="0" w:line="87"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We participate in the Medicaid Drug Rebate Program, the 340B program, the U.S. Department of Veterans Affairs, Federal Supply Schedule, or FSS, pricing program, and the Tricare Retail Pharmacy program, and have obligations to report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average sales price for certain of our drugs to the Medicare program. All of these programs are described in more detail under the heading “Business— Pharmaceutical Pricing, Reimbursement by Government and Private Payors and Patient Access” in Part I, Item 1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calendar quarters beginning January 1, 2022, manufacturers will need to start reporting the average sales price for drugs under the Medicare program regardless of whether they are enrolled in the Medicaid Drug Rebate Program. Currently, only manufacturers participating in the Medicaid Drug Rebate Program are obligated to do so.</w:t>
      </w:r>
    </w:p>
    <w:p>
      <w:pPr>
        <w:spacing w:after="0" w:line="97"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69" w:lineRule="exact"/>
        <w:rPr>
          <w:sz w:val="20"/>
          <w:szCs w:val="20"/>
          <w:color w:val="auto"/>
        </w:rPr>
      </w:pPr>
    </w:p>
    <w:p>
      <w:pPr>
        <w:jc w:val="both"/>
        <w:ind w:right="40" w:firstLine="445"/>
        <w:spacing w:after="0" w:line="296"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The Centers for Medicare &amp; Medicaid Services, or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53"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in April 2016, to implement the changes to the Medicaid Drug Rebate Program under the Affordable Care Act. In December 2020, CMS issued a final regulation that modified prior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(beginning in 2022); provide definitions for “line extension,” “new formulation,” and related terms, with the practical effect of expanding the scope of drugs considered to be line extensions that are subject to an alternative rebate formula (beginning in 2022); and revise best price and average manufacturer price exclusions of manufacturer-sponsored patient benefit programs, specifically regarding applicability of such exclusions in the context of pharmacy benefit manager “accumulator” programs (beginning in 2023). The pharmaceutical industry has challenged the provisions of the rule applicable to patient benefit programs in court. It is currently unclear whether CMS will delay or suspend implementation of any of the provisions of this rule or whether any other provisions will become subject to judicial challenge.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w:t>
      </w:r>
    </w:p>
    <w:p>
      <w:pPr>
        <w:spacing w:after="0" w:line="100"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in January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newly established an administrative dispute resolution, or ADR, process under a final regulation effective January 2021,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This ADR regulation has been challenged in separate litigation instituted by PhRMA and by pharmaceutical manufacturers in multiple federal courts. Also, a public notice published in December 2021 by the Office of Management and Budget revealed that HRSA intends to propose a new ADR rule to replace the ADR rule which became effective in January 2021 and that this new rule will propose new requirements and procedures for the 340B program’s ADR process. Under the ADR final rule which became effective in January 2021, an ADR proceeding could potentially subject us to discovery by covered entities and other onerous procedural requirements and could result in additional liability. HRSA could also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our 340B ceiling price calculations and negatively impact our results of operations.</w:t>
      </w:r>
    </w:p>
    <w:p>
      <w:pPr>
        <w:spacing w:after="0" w:line="7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84"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Ireland, the U.K. and Italy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Xyrem, Xywav, Sunosi and nabiximols are controlled substances and certain other cannabis-derived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79"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Xyrem, Xywav, Sunosi, nabiximols and certain other product candidates we are developing contain controlled substances as defined in the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w:t>
      </w:r>
    </w:p>
    <w:p>
      <w:pPr>
        <w:spacing w:after="0" w:line="58"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Drug products approved by FDA that contain cannabis or cannabis extracts may be controlled substances and will be rescheduled to Schedules II-V after approval, or, like Epidiolex, removed completely from the schedules by operation of other laws.</w:t>
      </w:r>
    </w:p>
    <w:p>
      <w:pPr>
        <w:spacing w:after="0" w:line="6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80"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8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Nabiximols and other cannabinoid product candidates are currently controlled substances, the use of which may generate public controversy.</w:t>
      </w:r>
    </w:p>
    <w:p>
      <w:pPr>
        <w:spacing w:after="0" w:line="140"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Since nabiximols and some of our other product candidates derived from botanical marijuana contain controlled substances, their regulatory approval may generate public controversy. Political and social pressures and adverse publicity could lead to challenges in the approval of, and increased expenses for, nabiximols and our product candidates. These pressures could also limit or restrict the introduction and marketing of nabiximols and our product candidates. Adverse publicity from cannabis misuse or adverse side effects from cannabis or other cannabinoid products may adversely affect the commercial success or market penetration achievable by nabiximols and our other cannabinoid product candidates. The nature of our business attracts a high level of public and media interest, and in the event of any resultant adverse publicity, our reputation may be harmed.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ability to research, develop and commercialize Epidiolex, nabiximols and certain of our product candidates is dependent on our ability to maintain licenses relating to the cultivation, possession and supply of botanical cannabis, a controlled substance.</w:t>
      </w:r>
    </w:p>
    <w:p>
      <w:pPr>
        <w:spacing w:after="0" w:line="62"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cannabinoid research and manufacturing facilities are located exclusively in the U.K. In the U.K., licenses to cultivate, possess and supply cannabis for medical research are granted by the Home Office on an annual basis. Although the Home Office has renewed our licenses each year since 1998, it may not do so in the future, in which case we may not be in a position to carry on our research and development program in the U.K. In addition, we are required to maintain our existing commercial licenses to cultivate, produce and supply cannabis. However, if the Home Office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 an established track record of successfully obtaining such licenses as required, this may change in the future, which could materially and adversely affect our business, results of operations, financial condition and growth prospects.</w:t>
      </w:r>
    </w:p>
    <w:p>
      <w:pPr>
        <w:spacing w:after="0" w:line="5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Controlled substance legislation differs between countries and legislation in certain countries may restrict or limit our ability to sell Epidyolex, nabiximols and certain of our product candidates.</w:t>
      </w:r>
    </w:p>
    <w:p>
      <w:pPr>
        <w:spacing w:after="0" w:line="6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to our obtaining regulatory approval for Epidyolex, nabiximols and certain of our other products in those countries. These countries may not be willing or able to amend or otherwise modify their laws and regulations to permit Epidyolex, nabiximols or certain of our other products to be marketed, or achieving such amendments to the laws and regulations may take a prolonged period of time. In the case of countries with similar obstacles, we would be unable to market Epidyolex, nabiximols and certain of our product candidates in countries in the near future or perhaps at all if the laws and regulations in those countries do not change.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2021, we had total indebtedness of approximately $6.4 billion. Our substantial indebtedness may:</w:t>
      </w:r>
    </w:p>
    <w:p>
      <w:pPr>
        <w:spacing w:after="0" w:line="117" w:lineRule="exact"/>
        <w:rPr>
          <w:sz w:val="20"/>
          <w:szCs w:val="20"/>
          <w:color w:val="auto"/>
        </w:rPr>
      </w:pPr>
    </w:p>
    <w:p>
      <w:pPr>
        <w:ind w:left="660" w:right="5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our ability to use our cash flow or borrow additional funds for working capital, capital expenditures, acquisitions, investments or other general business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credit agreement, are at variable rates of interest;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or senior secured notes, the credit agreement lenders and note holders could proceed against the collateral granted to them to secure that debt, which would seriously harm our business.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Covenants in our credit agreement and indenture governing our senior secured notes restrict our business and operations in many ways and if we do not effectively manage our covenants, our financial conditions and results of operations could be adversely affected.</w:t>
      </w:r>
    </w:p>
    <w:p>
      <w:pPr>
        <w:spacing w:after="0" w:line="38"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 credit agreement and the indenture governing our senior secured notes contain various covenants that, among other things, limit our ability and/or our restricted subsidiaries’ ability to:</w:t>
      </w:r>
    </w:p>
    <w:p>
      <w:pPr>
        <w:spacing w:after="0" w:line="6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loans, investments, acquisitions (including certain acquisitions of exclusive licenses) and 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 transfer or exclusively license certain assets, including material intellectual property, and capital stock of our subsidiaries;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If we undergo a change of control triggering event, we would be required to make an offer to purchase all of the senior secured notes at a purchase price in cash equal to 101% of their principal amount, plus accrued and unpaid interest, subject to certain exceptions. If we engage in certain asset sales, we will be required under certain circumstances to make an offer to purchase the senior secured notes at 100% of the principal amount, plus accrued and unpaid interest.</w:t>
      </w:r>
    </w:p>
    <w:p>
      <w:pPr>
        <w:spacing w:after="0" w:line="79"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The credit agreement also includes certain financial covenants that require us to maintain a maximum secured leverage ratio and a minimum interest coverage ratio as long as we have drawn funds under the revolving credit facility (or letters of credit in excess of $50 million have been issued and remain undrawn).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unable to compete effectively, take advantage of new business opportunities or grow in accordance with our plans.</w:t>
      </w:r>
    </w:p>
    <w:p>
      <w:pPr>
        <w:spacing w:after="0" w:line="11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failure to comply with any of the covenants could result in a default under the credit agreement and the indenture governing our senior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credit agreement may permit the lenders to refuse to permit additional borrowings under the revolving credit facility or to terminate all commitments to extend further credit under the revolving credit facility. Furthermore, if we are unable to repay the amounts due and payable under the credit agreement or senior secured notes, the lenders and note holders may be able to proceed against the collateral granted to them to secure that indebtedness. In the event our lenders or note holders accelerate the repayment of such borrowings, we cannot assure you that we will have sufficient assets to repay such indebtedness.</w:t>
      </w:r>
    </w:p>
    <w:p>
      <w:pPr>
        <w:spacing w:after="0" w:line="58" w:lineRule="exact"/>
        <w:rPr>
          <w:sz w:val="20"/>
          <w:szCs w:val="20"/>
          <w:color w:val="auto"/>
        </w:rPr>
      </w:pPr>
    </w:p>
    <w:p>
      <w:pPr>
        <w:ind w:right="440" w:firstLine="445"/>
        <w:spacing w:after="0" w:line="311" w:lineRule="auto"/>
        <w:rPr>
          <w:sz w:val="20"/>
          <w:szCs w:val="20"/>
          <w:color w:val="auto"/>
        </w:rPr>
      </w:pPr>
      <w:r>
        <w:rPr>
          <w:rFonts w:ascii="Arial" w:cs="Arial" w:eastAsia="Arial" w:hAnsi="Arial"/>
          <w:sz w:val="16"/>
          <w:szCs w:val="16"/>
          <w:color w:val="auto"/>
        </w:rPr>
        <w:t>Moreover, our failure to repurchase our senior secured notes or our exchangeable senior notes at a time when the repurchase is required by the indentures governing our senior secured notes and our exchangeable senior notes or to pay any cash payable on future exchanges of our exchangeable senior notes as required by the indenture governing our exchangeable senior notes, would constitute a default under those indentures.</w:t>
      </w:r>
    </w:p>
    <w:p>
      <w:pPr>
        <w:spacing w:after="0" w:line="41" w:lineRule="exact"/>
        <w:rPr>
          <w:sz w:val="20"/>
          <w:szCs w:val="20"/>
          <w:color w:val="auto"/>
        </w:rPr>
      </w:pPr>
    </w:p>
    <w:p>
      <w:pPr>
        <w:ind w:right="340" w:firstLine="445"/>
        <w:spacing w:after="0" w:line="311" w:lineRule="auto"/>
        <w:rPr>
          <w:sz w:val="20"/>
          <w:szCs w:val="20"/>
          <w:color w:val="auto"/>
        </w:rPr>
      </w:pPr>
      <w:r>
        <w:rPr>
          <w:rFonts w:ascii="Arial" w:cs="Arial" w:eastAsia="Arial" w:hAnsi="Arial"/>
          <w:sz w:val="16"/>
          <w:szCs w:val="16"/>
          <w:color w:val="auto"/>
        </w:rPr>
        <w:t>A default under the indentures governing our exchangeable senior notes could also lead to a default under other debt agreements or obligations, including the credit agreement and indenture governing the senior secured notes. Likewise, a default under the credit agreement or senior secured notes could lead to a default under other debt agreements or obligations, including the indentures governing our exchangeable senior notes.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The scope of our business and operations has grown substantially since 2012,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potential worsening global economic conditions and the recent disruptions to, and volatility in, the credit and financial markets in the U.S. and worldwide resulting from the effects of the COVID-19 pandemic. In addition, under Irish law, we must have authority from our shareholders to issue any ordinary shares, including ordinary shares that are part of our authorized but unissued share capital.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extraordinary general meeting of shareholders in September 2021, our shareholders voted to approve our proposal to dis-apply the statutory pre-emption obligation on terms that are substantially more limited than our general pre-emption opt-out authority that had been in effect prior to August 4, 2021, which could adversely affect our ability to effectively</w:t>
      </w:r>
    </w:p>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use our unissued share capital to fund in-licensing or acquisition opportunities, or to otherwise raise additional capital for our business.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62" w:lineRule="exact"/>
        <w:rPr>
          <w:sz w:val="20"/>
          <w:szCs w:val="20"/>
          <w:color w:val="auto"/>
        </w:rPr>
      </w:pPr>
    </w:p>
    <w:p>
      <w:pPr>
        <w:ind w:right="180" w:firstLine="445"/>
        <w:spacing w:after="0" w:line="293" w:lineRule="auto"/>
        <w:rPr>
          <w:sz w:val="20"/>
          <w:szCs w:val="20"/>
          <w:color w:val="auto"/>
        </w:rPr>
      </w:pPr>
      <w:r>
        <w:rPr>
          <w:rFonts w:ascii="Arial" w:cs="Arial" w:eastAsia="Arial" w:hAnsi="Arial"/>
          <w:sz w:val="16"/>
          <w:szCs w:val="16"/>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For example, in the first quarter of 2020, we recorded a $136.1 million asset impairment charge following the decision to stop enrollment in our Phase 3 clinical study of defibrotide for the prevention of VOD due to a determination that the study is highly unlikely to reach one of its primary endpoints. Our results of operations and financial position in future periods could be negatively impacted should future impairments of intangible assets or goodwill occur.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17"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For example, our income tax expense for the year ended December 31, 2021 included an expense of $259.9 million arising on the remeasurement of our U.K. net deferred tax liability, which arose primarily in relation to the GW Acquisition, due to a change in the statutory tax rate in the U.K. following enactment of the U.K. Finance Act 2021.</w:t>
      </w:r>
    </w:p>
    <w:p>
      <w:pPr>
        <w:spacing w:after="0" w:line="70"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6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affiliates’ ability to use their net operating losses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76"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use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before they expire, as a result of this limitation, it may take our U.S. affiliates longer to use their NOLs.</w:t>
      </w:r>
    </w:p>
    <w:p>
      <w:pPr>
        <w:spacing w:after="0" w:line="84"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Our ability to use these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or BEPS. Many countries have implemented or begun to implement legislation and other guidance to align their international tax rules with the OECD’s BEPS recommendations. In addition, the OECD has been working on an extension of the BEPS project, referred to as BEPS 2.0, focusing on (1) global profit allocation and (2) a global minimum tax rate. In particular, the OECD has released a framework proposal reflecting the agreement of over 130 jurisdictions, including Ireland, to implement a global minimum tax rate of 15% for large multinational corporations on a jurisdiction-by-jurisdiction basis by 2023.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73"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Further, the Biden administration and U.S. Congress continue to consider changes in U.S. tax laws. In April 2021, the Biden administration released the Made in America Tax Plan, which includes significant modifications to key provisions of the existing U.S. corporate income tax regime, including an increase in the U.S. corporate income tax rate and an increase in the tax</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rate on certain earnings of controlled foreign corporations. In November 2021, the U.S. House of Representatives passed the “Build Back Better Act” budget reconciliation bill, which proposes significant changes to the U.S. tax treatment of multinational corporations. Congress continues to consider these and other legislative proposals. These changes, if enacted, could adversely impact our tax provision, cash tax liability and effective tax rate. At this stage, it is not possible to predict which, if any, proposals the U.S. Congress will ultimately accept, reject or modify and whether any proposals will be enacted into law.</w:t>
      </w:r>
    </w:p>
    <w:p>
      <w:pPr>
        <w:spacing w:after="0" w:line="80"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July 2017, the Financial Conduct Authority, or FCA, the authority that regulates the London Inter-bank Offered Rate, or LIBOR, announced that it intended to stop compelling banks to submit rates for the calculation of LIBOR after 2021. FCA also announced that certain of the commonly used USD LIBOR tenors will continue to be published until June 30, 2023; however, the Federal Reserve, Federal Deposit Insurance Corporation and the Office of the Comptroller of Currency in the U.S. as well as the FCA announced that all market participants should stop using LIBOR in new contracts after December 31, 2021, subject to limited exemptions for loans and derivative products. Accordingly, new contracts entered into after December 31, 2021, must utilize an alternative reference rate. We have certain financial contracts, including the credit agreement and our derivative instruments,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In addition, we have certain financial contracts, including the credit agreement and our derivative instruments, that are indexed to Euro Inter-bank Offered Rate, or EURIBOR (which is based on the average interest rates at which a large panel of European banks borrow funds from one another). There is no indication at this time that EURIBOR will cease to be published in the near future. However, the transition away from LIBOR, and also potentially EURIBOR,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70"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acquisition of GW and other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80" w:lineRule="exact"/>
        <w:rPr>
          <w:sz w:val="20"/>
          <w:szCs w:val="20"/>
          <w:color w:val="auto"/>
        </w:rPr>
      </w:pPr>
    </w:p>
    <w:p>
      <w:pPr>
        <w:jc w:val="both"/>
        <w:ind w:right="220" w:firstLine="445"/>
        <w:spacing w:after="0" w:line="287" w:lineRule="auto"/>
        <w:rPr>
          <w:sz w:val="20"/>
          <w:szCs w:val="20"/>
          <w:color w:val="auto"/>
        </w:rPr>
      </w:pPr>
      <w:r>
        <w:rPr>
          <w:rFonts w:ascii="Arial" w:cs="Arial" w:eastAsia="Arial" w:hAnsi="Arial"/>
          <w:sz w:val="16"/>
          <w:szCs w:val="16"/>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our credit agreement and the indentures governing our senior secured notes and exchangeable senior notes contain provisions that could delay or prevent a takeover of us by a third party.</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Furthermore, our credit agreement limits our ability to enter into certain fundamental changes, and the indentures governing our senior secured notes and exchangeable senior notes require us to offer to repurchase such notes for cash if we undergo certain fundamental changes. Additionally, in certain circumstances, the indentures governing our exchangeable senior notes require us to increase the exchange rate for a holder of our exchangeable senior notes in connection with a fundamental change. A takeover of us may trigger a default under the credit agreement or the requirement that we offer to purchase our senior secured notes or exchangeable senior notes and/or increase the exchange rate applicable to our exchangeable senior notes, which could make it more costly for a potential acquirer to engage in a business combination transaction with us.</w:t>
      </w:r>
    </w:p>
    <w:p>
      <w:pPr>
        <w:spacing w:after="0" w:line="70"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right="320" w:firstLine="445"/>
        <w:spacing w:after="0" w:line="293" w:lineRule="auto"/>
        <w:rPr>
          <w:sz w:val="20"/>
          <w:szCs w:val="20"/>
          <w:color w:val="auto"/>
        </w:rPr>
      </w:pPr>
      <w:r>
        <w:rPr>
          <w:rFonts w:ascii="Arial" w:cs="Arial" w:eastAsia="Arial" w:hAnsi="Arial"/>
          <w:sz w:val="16"/>
          <w:szCs w:val="16"/>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credit agreement and the indenture governing our senior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In addition, changes we make to our current and future work environments may not meet the needs or expectations of our employees or may be perceived as less favorable compared to other companies’ policies, which could negatively impact our ability to hire and retain qualified personnel, whether in a remote or in-office environment.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We do not carry “key person” insurance.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Shareholder activism, which takes many forms and arises in a variety of situations, has been increasingly prevalent. Stock price declines due to the evolving effects of the COVID-19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11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There are no material unresolved written comments that were received from the SEC staff 180 days or more before the end of our 2021 fiscal year relating to our periodic or current reports under the Securities Exchange Act of 1934, as amended.</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440" w:firstLine="445"/>
        <w:spacing w:after="0" w:line="259" w:lineRule="auto"/>
        <w:rPr>
          <w:sz w:val="20"/>
          <w:szCs w:val="20"/>
          <w:color w:val="auto"/>
        </w:rPr>
      </w:pPr>
      <w:r>
        <w:rPr>
          <w:rFonts w:ascii="Arial" w:cs="Arial" w:eastAsia="Arial" w:hAnsi="Arial"/>
          <w:sz w:val="18"/>
          <w:szCs w:val="18"/>
          <w:color w:val="auto"/>
        </w:rPr>
        <w:t>Our corporate headquarters are located in Dublin, Ireland, and our U.S. operations are located in Palo Alto, California, Carlsbad, California and Philadelphia, Pennsylvania. In addition to our owned manufacturing and development facilities and our leased administrative, manufacturing and development facilities, we also have dedicated growing facilities operated by contract partners. The following table contains information about our significant properties as of December 31,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w:t>
            </w:r>
          </w:p>
        </w:tc>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Approximate Square Feet</w:t>
            </w:r>
          </w:p>
        </w:tc>
        <w:tc>
          <w:tcPr>
            <w:tcW w:w="2140" w:type="dxa"/>
            <w:vAlign w:val="bottom"/>
          </w:tcPr>
          <w:p>
            <w:pPr>
              <w:jc w:val="right"/>
              <w:ind w:right="492"/>
              <w:spacing w:after="0"/>
              <w:rPr>
                <w:sz w:val="20"/>
                <w:szCs w:val="20"/>
                <w:color w:val="auto"/>
              </w:rPr>
            </w:pPr>
            <w:r>
              <w:rPr>
                <w:rFonts w:ascii="Arial" w:cs="Arial" w:eastAsia="Arial" w:hAnsi="Arial"/>
                <w:sz w:val="14"/>
                <w:szCs w:val="14"/>
                <w:b w:val="1"/>
                <w:bCs w:val="1"/>
                <w:color w:val="auto"/>
              </w:rPr>
              <w:t>Lease / Contract</w:t>
            </w:r>
          </w:p>
        </w:tc>
        <w:tc>
          <w:tcPr>
            <w:tcW w:w="0" w:type="dxa"/>
            <w:vAlign w:val="bottom"/>
          </w:tcPr>
          <w:p>
            <w:pPr>
              <w:spacing w:after="0"/>
              <w:rPr>
                <w:sz w:val="1"/>
                <w:szCs w:val="1"/>
                <w:color w:val="auto"/>
              </w:rPr>
            </w:pPr>
          </w:p>
        </w:tc>
      </w:tr>
      <w:tr>
        <w:trPr>
          <w:trHeight w:val="188"/>
        </w:trPr>
        <w:tc>
          <w:tcPr>
            <w:tcW w:w="3740" w:type="dxa"/>
            <w:vAlign w:val="bottom"/>
            <w:gridSpan w:val="2"/>
            <w:vMerge w:val="continue"/>
          </w:tcPr>
          <w:p>
            <w:pPr>
              <w:spacing w:after="0"/>
              <w:rPr>
                <w:sz w:val="16"/>
                <w:szCs w:val="16"/>
                <w:color w:val="auto"/>
              </w:rPr>
            </w:pPr>
          </w:p>
        </w:tc>
        <w:tc>
          <w:tcPr>
            <w:tcW w:w="312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2140" w:type="dxa"/>
            <w:vAlign w:val="bottom"/>
          </w:tcPr>
          <w:p>
            <w:pPr>
              <w:jc w:val="right"/>
              <w:ind w:right="492"/>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24"/>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Dublin, Ireland</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Palo Alto, United States</w:t>
            </w:r>
          </w:p>
        </w:tc>
        <w:tc>
          <w:tcPr>
            <w:tcW w:w="2160" w:type="dxa"/>
            <w:vAlign w:val="bottom"/>
          </w:tcPr>
          <w:p>
            <w:pPr>
              <w:jc w:val="right"/>
              <w:spacing w:after="0"/>
              <w:rPr>
                <w:sz w:val="20"/>
                <w:szCs w:val="20"/>
                <w:color w:val="auto"/>
              </w:rPr>
            </w:pPr>
            <w:r>
              <w:rPr>
                <w:rFonts w:ascii="Arial" w:cs="Arial" w:eastAsia="Arial" w:hAnsi="Arial"/>
                <w:sz w:val="18"/>
                <w:szCs w:val="18"/>
                <w:color w:val="auto"/>
              </w:rPr>
              <w:t>99,000</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Carlsbad, United States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2023-2027</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Philadelphia, United States</w:t>
            </w:r>
          </w:p>
        </w:tc>
        <w:tc>
          <w:tcPr>
            <w:tcW w:w="216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Oxford, United Kingdom</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Cambridge, United Kingdom</w:t>
            </w:r>
          </w:p>
        </w:tc>
        <w:tc>
          <w:tcPr>
            <w:tcW w:w="2160" w:type="dxa"/>
            <w:vAlign w:val="bottom"/>
          </w:tcPr>
          <w:p>
            <w:pPr>
              <w:jc w:val="right"/>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2030-2031</w:t>
            </w: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London, United Kingdom</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Administrative office and laboratory</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Villa Guardia (Como), Italy</w:t>
            </w:r>
          </w:p>
        </w:tc>
        <w:tc>
          <w:tcPr>
            <w:tcW w:w="2160" w:type="dxa"/>
            <w:vAlign w:val="bottom"/>
          </w:tcPr>
          <w:p>
            <w:pPr>
              <w:jc w:val="right"/>
              <w:spacing w:after="0"/>
              <w:rPr>
                <w:sz w:val="20"/>
                <w:szCs w:val="20"/>
                <w:color w:val="auto"/>
              </w:rPr>
            </w:pPr>
            <w:r>
              <w:rPr>
                <w:rFonts w:ascii="Arial" w:cs="Arial" w:eastAsia="Arial" w:hAnsi="Arial"/>
                <w:sz w:val="18"/>
                <w:szCs w:val="18"/>
                <w:color w:val="auto"/>
              </w:rPr>
              <w:t>34,000</w:t>
            </w:r>
          </w:p>
        </w:tc>
        <w:tc>
          <w:tcPr>
            <w:tcW w:w="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 and development</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Athlone, Ireland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8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Manufacturing and development</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Villa Guardia (Como), Italy</w:t>
            </w:r>
          </w:p>
        </w:tc>
        <w:tc>
          <w:tcPr>
            <w:tcW w:w="216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 and development</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Southern United Kingdom</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2022-2033</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Growing facility</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Eastern United Kingdom</w:t>
            </w:r>
          </w:p>
        </w:tc>
        <w:tc>
          <w:tcPr>
            <w:tcW w:w="2160" w:type="dxa"/>
            <w:vAlign w:val="bottom"/>
          </w:tcPr>
          <w:p>
            <w:pPr>
              <w:jc w:val="right"/>
              <w:spacing w:after="0"/>
              <w:rPr>
                <w:sz w:val="20"/>
                <w:szCs w:val="20"/>
                <w:color w:val="auto"/>
              </w:rPr>
            </w:pPr>
            <w:r>
              <w:rPr>
                <w:rFonts w:ascii="Arial" w:cs="Arial" w:eastAsia="Arial" w:hAnsi="Arial"/>
                <w:sz w:val="18"/>
                <w:szCs w:val="18"/>
                <w:color w:val="auto"/>
              </w:rPr>
              <w:t>1,960,000</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Growing facility</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Northern United Kingdom</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915,000</w:t>
            </w: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Growing facility</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Southern United Kingdom</w:t>
            </w:r>
          </w:p>
        </w:tc>
        <w:tc>
          <w:tcPr>
            <w:tcW w:w="2160" w:type="dxa"/>
            <w:vAlign w:val="bottom"/>
          </w:tcPr>
          <w:p>
            <w:pPr>
              <w:jc w:val="right"/>
              <w:spacing w:after="0"/>
              <w:rPr>
                <w:sz w:val="20"/>
                <w:szCs w:val="20"/>
                <w:color w:val="auto"/>
              </w:rPr>
            </w:pPr>
            <w:r>
              <w:rPr>
                <w:rFonts w:ascii="Arial" w:cs="Arial" w:eastAsia="Arial" w:hAnsi="Arial"/>
                <w:sz w:val="18"/>
                <w:szCs w:val="18"/>
                <w:color w:val="auto"/>
              </w:rPr>
              <w:t>165,000</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Growing facility under construction</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Southern United Kingdom</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have offices in Canada, Japan, Australia, France and elsewhere in Europe.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As we continue to expand our operations, we may need to lease additional or alternative facilities.</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0" w:firstLine="405"/>
        <w:spacing w:after="0" w:line="224" w:lineRule="exact"/>
        <w:rPr>
          <w:sz w:val="20"/>
          <w:szCs w:val="20"/>
          <w:color w:val="auto"/>
        </w:rPr>
      </w:pPr>
      <w:r>
        <w:rPr>
          <w:rFonts w:ascii="Arial" w:cs="Arial" w:eastAsia="Arial" w:hAnsi="Arial"/>
          <w:sz w:val="17"/>
          <w:szCs w:val="17"/>
          <w:color w:val="auto"/>
        </w:rPr>
        <w:t>The information required to be set forth under this Item 3 is incorporated by reference to Note 14,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4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4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3700" w:firstLine="445"/>
        <w:spacing w:after="0" w:line="375" w:lineRule="auto"/>
        <w:rPr>
          <w:sz w:val="20"/>
          <w:szCs w:val="20"/>
          <w:color w:val="auto"/>
        </w:rPr>
      </w:pPr>
      <w:r>
        <w:rPr>
          <w:rFonts w:ascii="Arial" w:cs="Arial" w:eastAsia="Arial" w:hAnsi="Arial"/>
          <w:sz w:val="18"/>
          <w:szCs w:val="18"/>
          <w:color w:val="auto"/>
        </w:rPr>
        <w:t xml:space="preserve">Our ordinary shares trade on The Nasdaq Global Select Market under the trading symbol “JAZZ.” </w:t>
      </w:r>
      <w:r>
        <w:rPr>
          <w:rFonts w:ascii="Arial" w:cs="Arial" w:eastAsia="Arial" w:hAnsi="Arial"/>
          <w:sz w:val="18"/>
          <w:szCs w:val="18"/>
          <w:b w:val="1"/>
          <w:bCs w:val="1"/>
          <w:color w:val="auto"/>
        </w:rPr>
        <w:t>Holders of Ordinary Shares</w:t>
      </w:r>
    </w:p>
    <w:p>
      <w:pPr>
        <w:spacing w:after="0" w:line="1" w:lineRule="exact"/>
        <w:rPr>
          <w:sz w:val="20"/>
          <w:szCs w:val="20"/>
          <w:color w:val="auto"/>
        </w:rPr>
      </w:pPr>
    </w:p>
    <w:p>
      <w:pPr>
        <w:ind w:right="160" w:firstLine="445"/>
        <w:spacing w:after="0" w:line="342" w:lineRule="auto"/>
        <w:rPr>
          <w:sz w:val="20"/>
          <w:szCs w:val="20"/>
          <w:color w:val="auto"/>
        </w:rPr>
      </w:pPr>
      <w:r>
        <w:rPr>
          <w:rFonts w:ascii="Arial" w:cs="Arial" w:eastAsia="Arial" w:hAnsi="Arial"/>
          <w:sz w:val="16"/>
          <w:szCs w:val="16"/>
          <w:color w:val="auto"/>
        </w:rPr>
        <w:t>As of February 22, 2022, there were 907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In 2021 and 2020, we did not declare or pay cash dividends on our common equity.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consolidated financial condition, results of operations, capital requirements, compliance with the terms our credit agreement or other future borrowing arrangements, and other factors our board of directors deems relevant.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440" w:firstLine="445"/>
        <w:spacing w:after="0" w:line="263"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Securities and Exchange Commission, or SEC, during the year ended December 31, 2021, there were no unregistered sales of equity securities by us during the year ended December 31,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Law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we are an Irish incorporated company, the following matters of Irish law are relevant to the holders of our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Restrictions on Import and Export of Capital</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European Union.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At present the Financial Transfers Act, 1992 prohibits financial transfers involving the late Slobodan Milosevic and associated persons,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Sudan, Somalia, Republic of Guinea, Republic of Guinea-Bissau, Afghanistan, Libya, Syria, Tunisia, certain known terrorists and terrorist groups, countries that harbor certain terrorist groups and Ukraine without the prior permission of the Central Bank of Ireland.</w:t>
      </w:r>
    </w:p>
    <w:p>
      <w:pPr>
        <w:spacing w:after="0" w:line="6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Taxes Applicable to U.S. Holders</w:t>
      </w:r>
    </w:p>
    <w:p>
      <w:pPr>
        <w:spacing w:after="0" w:line="117"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i w:val="1"/>
          <w:iCs w:val="1"/>
          <w:color w:val="auto"/>
        </w:rPr>
        <w:t xml:space="preserve">Irish Tax on Dividends. </w:t>
      </w:r>
      <w:r>
        <w:rPr>
          <w:rFonts w:ascii="Arial" w:cs="Arial" w:eastAsia="Arial" w:hAnsi="Arial"/>
          <w:sz w:val="18"/>
          <w:szCs w:val="18"/>
          <w:color w:val="auto"/>
        </w:rPr>
        <w:t>While we have no current plans to pay dividends, dividends on our ordinary shares would generally be subject to Irish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Withholding Tax at the standard rate (currently 25%), unless an exemption applies.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i w:val="1"/>
          <w:iCs w:val="1"/>
          <w:color w:val="auto"/>
        </w:rPr>
        <w:t>Irish Tax on Capital Gains</w:t>
      </w:r>
      <w:r>
        <w:rPr>
          <w:rFonts w:ascii="Arial" w:cs="Arial" w:eastAsia="Arial" w:hAnsi="Arial"/>
          <w:sz w:val="18"/>
          <w:szCs w:val="18"/>
          <w:color w:val="auto"/>
        </w:rPr>
        <w:t>. A shareholder who is neither resident nor ordinarily resident in Ireland and does not hold our ordinary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 trade or business carried on by such shareholder in Ireland through a branch or agency should not be subject to Irish tax on capital gains on a disposal of our ordinary shares.</w:t>
      </w:r>
    </w:p>
    <w:p>
      <w:pPr>
        <w:spacing w:after="0" w:line="76"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or CAT, is comprised principally of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79"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any tax consequences of holding our ordinary shares, including whether CAT is creditable or deductible in computing any domestic tax liabilities.</w:t>
      </w:r>
    </w:p>
    <w:p>
      <w:pPr>
        <w:spacing w:after="0" w:line="80"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 xml:space="preserve">Stamp Duty. </w:t>
      </w:r>
      <w:r>
        <w:rPr>
          <w:rFonts w:ascii="Arial" w:cs="Arial" w:eastAsia="Arial" w:hAnsi="Arial"/>
          <w:sz w:val="17"/>
          <w:szCs w:val="17"/>
          <w:color w:val="auto"/>
        </w:rPr>
        <w:t>Irish stamp duty (if any) may become payable in respect of ordinary share transfers. However, a transfer of our ordinary shares from a</w:t>
      </w:r>
      <w:r>
        <w:rPr>
          <w:rFonts w:ascii="Arial" w:cs="Arial" w:eastAsia="Arial" w:hAnsi="Arial"/>
          <w:sz w:val="17"/>
          <w:szCs w:val="17"/>
          <w:i w:val="1"/>
          <w:iCs w:val="1"/>
          <w:color w:val="auto"/>
        </w:rPr>
        <w:t xml:space="preserve"> </w:t>
      </w:r>
      <w:r>
        <w:rPr>
          <w:rFonts w:ascii="Arial" w:cs="Arial" w:eastAsia="Arial" w:hAnsi="Arial"/>
          <w:sz w:val="17"/>
          <w:szCs w:val="17"/>
          <w:color w:val="auto"/>
        </w:rPr>
        <w:t>seller who holds shares through Depository Trust Company, or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70"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graphs show the total shareholder return on the last day of each year of an investment of $100 in cash as if made on</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December 31, 2016 and December 31, 2011, respectively, in (i) our ordinary shares; (ii) the Nasdaq Composite Index; and (iii) the Nasdaq Biotechnology Index through December 31, 2021. The shareholder return shown in the graphs below are not necessarily indicative of future performance, and we do not make or endorse any predictions as to future shareholder returns.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FIVE YEAR CUMULATIVE TOTAL RETURN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TEN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51435</wp:posOffset>
            </wp:positionV>
            <wp:extent cx="5400675" cy="2828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0067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580" w:hanging="329"/>
        <w:spacing w:after="0" w:line="263" w:lineRule="auto"/>
        <w:tabs>
          <w:tab w:leader="none" w:pos="5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into any of our filings under the Securities Act of 1933, as amended, or the Securities Exchange Act of 1934, as amended, or Exchange Act, whether made before or after the date hereof and irrespective of any general incorporation language in any such filing.</w:t>
      </w:r>
    </w:p>
    <w:p>
      <w:pPr>
        <w:spacing w:after="0" w:line="21" w:lineRule="exact"/>
        <w:rPr>
          <w:rFonts w:ascii="Arial" w:cs="Arial" w:eastAsia="Arial" w:hAnsi="Arial"/>
          <w:sz w:val="18"/>
          <w:szCs w:val="18"/>
          <w:color w:val="auto"/>
        </w:rPr>
      </w:pPr>
    </w:p>
    <w:p>
      <w:pPr>
        <w:ind w:left="560" w:hanging="309"/>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used in the graph was obtained from Research Data Group, Inc.</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In November 2016, our board of directors authorized a share repurchase program and as of December 31, 2021 had authorized the repurchase of ordinary shares having an aggregate purchase price of up to $1.5 billion, exclusive of any brokerage commissions. Under this program, which has no expiration date, we may repurchase ordinary shares from time to time on the open market. In 2021, we did not repurchase any of our ordinary shares under the share repurchase program. As of December 31, 2021, the remaining amount authorized under the share repurchase program was $431.2 million.</w:t>
      </w:r>
    </w:p>
    <w:p>
      <w:pPr>
        <w:spacing w:after="0" w:line="49"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Under the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0" w:lineRule="exact"/>
        <w:rPr>
          <w:sz w:val="20"/>
          <w:szCs w:val="20"/>
          <w:color w:val="auto"/>
        </w:rPr>
      </w:pPr>
    </w:p>
    <w:p>
      <w:pPr>
        <w:spacing w:after="0" w:line="2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32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940" w:firstLine="648"/>
        <w:spacing w:after="0" w:line="291" w:lineRule="auto"/>
        <w:rPr>
          <w:sz w:val="20"/>
          <w:szCs w:val="20"/>
          <w:color w:val="auto"/>
        </w:rPr>
      </w:pPr>
      <w:r>
        <w:rPr>
          <w:rFonts w:ascii="Arial" w:cs="Arial" w:eastAsia="Arial" w:hAnsi="Arial"/>
          <w:sz w:val="16"/>
          <w:szCs w:val="16"/>
          <w:i w:val="1"/>
          <w:iCs w:val="1"/>
          <w:color w:val="auto"/>
        </w:rPr>
        <w:t>The purpose of the Management Discussion and Analysis is to present information that management believes is relevant to promote a understanding of our results of operations and cash flows for the fiscal year ended December 31, 2021 and our financial condition as of</w:t>
      </w:r>
    </w:p>
    <w:p>
      <w:pPr>
        <w:jc w:val="both"/>
        <w:ind w:right="120"/>
        <w:spacing w:after="0" w:line="216" w:lineRule="exact"/>
        <w:rPr>
          <w:sz w:val="20"/>
          <w:szCs w:val="20"/>
          <w:color w:val="auto"/>
        </w:rPr>
      </w:pPr>
      <w:r>
        <w:rPr>
          <w:rFonts w:ascii="Arial" w:cs="Arial" w:eastAsia="Arial" w:hAnsi="Arial"/>
          <w:sz w:val="16"/>
          <w:szCs w:val="16"/>
          <w:i w:val="1"/>
          <w:iCs w:val="1"/>
          <w:color w:val="auto"/>
        </w:rPr>
        <w:t>December 31, 2021 and should be read in conjunction with the consolidated financial statements and notes to consolidated financial statements included elsewhere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This discussion contains forward-looking statements that involve risks and uncertainties. When reviewing the discussion below, you should keep in mind the substantial risks and uncertainties that impact our business. In particular, we encourage you to review the risks and uncertainties described in “Risk Factors” in Part I, Item 1A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These risks and uncertainties could cause actual results to differ materially from those projected in forward-looking statements contained in this report or implied by past results and trends.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4"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color w:val="auto"/>
        </w:rPr>
        <w:t>At the 40th Annual J.P. Morgan Healthcare Conference 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17" w:lineRule="exact"/>
        <w:rPr>
          <w:sz w:val="20"/>
          <w:szCs w:val="20"/>
          <w:color w:val="auto"/>
        </w:rPr>
      </w:pPr>
    </w:p>
    <w:p>
      <w:pPr>
        <w:ind w:left="740" w:hanging="327"/>
        <w:spacing w:after="0" w:line="303" w:lineRule="auto"/>
        <w:tabs>
          <w:tab w:leader="none" w:pos="735"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Xywav® (calcium, magnesium, potassium, and sodium oxybates) oral solution</w:t>
      </w:r>
      <w:r>
        <w:rPr>
          <w:rFonts w:ascii="Arial" w:cs="Arial" w:eastAsia="Arial" w:hAnsi="Arial"/>
          <w:sz w:val="16"/>
          <w:szCs w:val="16"/>
          <w:color w:val="auto"/>
        </w:rPr>
        <w:t>, a product approved by the U.S. Food and Drug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or FDA, in July 2020 and launched in the U.S. in November 2020 for the treatment of cataplexy or excessive daytime sleepiness, or EDS, in patients with narcolepsy aged seven years of age and older, and also approved by FDA in August 2021 for the treatment of idiopathic hypersomnia, or IH, in adults and launched in the U.S. in November 2021. Xywav contains 92% less sodium than Xyrem®;</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right="120" w:hanging="327"/>
        <w:spacing w:after="0" w:line="314" w:lineRule="auto"/>
        <w:tabs>
          <w:tab w:leader="none" w:pos="735"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Xyrem (sodium oxybate) oral solution</w:t>
      </w:r>
      <w:r>
        <w:rPr>
          <w:rFonts w:ascii="Arial" w:cs="Arial" w:eastAsia="Arial" w:hAnsi="Arial"/>
          <w:sz w:val="16"/>
          <w:szCs w:val="16"/>
          <w:color w:val="auto"/>
        </w:rPr>
        <w:t>, a product approved by FDA and distributed in the U.S. for the treatment of both cataplexy and EDS in</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seven years of age and older with narcolepsy; Jazz also markets Xyrem in Canada for the treatment of cataplexy in patients with narcolepsy. Xyrem is also approved and distributed in Europe, Great Britain and other markets through a licensing agreement;</w:t>
      </w:r>
    </w:p>
    <w:p>
      <w:pPr>
        <w:spacing w:after="0" w:line="33" w:lineRule="exact"/>
        <w:rPr>
          <w:rFonts w:ascii="Arial" w:cs="Arial" w:eastAsia="Arial" w:hAnsi="Arial"/>
          <w:sz w:val="16"/>
          <w:szCs w:val="16"/>
          <w:color w:val="auto"/>
        </w:rPr>
      </w:pPr>
    </w:p>
    <w:p>
      <w:pPr>
        <w:ind w:left="740" w:right="60" w:hanging="327"/>
        <w:spacing w:after="0" w:line="298" w:lineRule="auto"/>
        <w:tabs>
          <w:tab w:leader="none" w:pos="735"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Epidiolex® (cannabidiol) oral solution</w:t>
      </w:r>
      <w:r>
        <w:rPr>
          <w:rFonts w:ascii="Arial" w:cs="Arial" w:eastAsia="Arial" w:hAnsi="Arial"/>
          <w:sz w:val="16"/>
          <w:szCs w:val="16"/>
          <w:color w:val="auto"/>
        </w:rPr>
        <w:t>, a product approved by FDA and launched in the U.S. in 2018 by GW Pharmaceuticals plc, or GW,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indicated for the treatments of seizures associated with Lennox-Gastaut syndrome, Dravet syndrome, or tuberous sclerosis complex (TSC) in patients one year of age or older; in Europe (where it is marketed as Epidyolex®) and other markets, it is approved for adjunctive treatment of seizures associated with Lennox-Gastaut syndrome or Dravet syndrome, in conjunction with clobazam (EU and Great Britain only), in patients 2 years of age and older and for adjunctive treatment of seizures associated with TSC in patients 2 years of age and older;</w:t>
      </w:r>
    </w:p>
    <w:p>
      <w:pPr>
        <w:spacing w:after="0" w:line="45" w:lineRule="exact"/>
        <w:rPr>
          <w:rFonts w:ascii="Arial" w:cs="Arial" w:eastAsia="Arial" w:hAnsi="Arial"/>
          <w:sz w:val="16"/>
          <w:szCs w:val="16"/>
          <w:color w:val="auto"/>
        </w:rPr>
      </w:pPr>
    </w:p>
    <w:p>
      <w:pPr>
        <w:ind w:left="740" w:right="340" w:hanging="327"/>
        <w:spacing w:after="0" w:line="282"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Sunosi® (solriamfetol)</w:t>
      </w:r>
      <w:r>
        <w:rPr>
          <w:rFonts w:ascii="Arial" w:cs="Arial" w:eastAsia="Arial" w:hAnsi="Arial"/>
          <w:sz w:val="18"/>
          <w:szCs w:val="18"/>
          <w:color w:val="auto"/>
        </w:rPr>
        <w:t>, a product approved by FDA and marketed in the U.S., Canada, Europe and Great Britain to improve wakefulness in</w:t>
      </w:r>
      <w:r>
        <w:rPr>
          <w:rFonts w:ascii="Arial" w:cs="Arial" w:eastAsia="Arial" w:hAnsi="Arial"/>
          <w:sz w:val="18"/>
          <w:szCs w:val="18"/>
          <w:b w:val="1"/>
          <w:bCs w:val="1"/>
          <w:color w:val="auto"/>
        </w:rPr>
        <w:t xml:space="preserve"> </w:t>
      </w:r>
      <w:r>
        <w:rPr>
          <w:rFonts w:ascii="Arial" w:cs="Arial" w:eastAsia="Arial" w:hAnsi="Arial"/>
          <w:sz w:val="18"/>
          <w:szCs w:val="18"/>
          <w:color w:val="auto"/>
        </w:rPr>
        <w:t>adult patients with EDS associated with narcolepsy or obstructive sleep apnea, or OSA; and</w:t>
      </w:r>
    </w:p>
    <w:p>
      <w:pPr>
        <w:spacing w:after="0" w:line="53" w:lineRule="exact"/>
        <w:rPr>
          <w:rFonts w:ascii="Arial" w:cs="Arial" w:eastAsia="Arial" w:hAnsi="Arial"/>
          <w:sz w:val="18"/>
          <w:szCs w:val="18"/>
          <w:color w:val="auto"/>
        </w:rPr>
      </w:pPr>
    </w:p>
    <w:p>
      <w:pPr>
        <w:ind w:left="740" w:right="220" w:hanging="327"/>
        <w:spacing w:after="0" w:line="261"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Sativex® (nabiximols) oral solution</w:t>
      </w:r>
      <w:r>
        <w:rPr>
          <w:rFonts w:ascii="Arial" w:cs="Arial" w:eastAsia="Arial" w:hAnsi="Arial"/>
          <w:sz w:val="18"/>
          <w:szCs w:val="18"/>
          <w:color w:val="auto"/>
        </w:rPr>
        <w:t>, a product approved and marketed in the U.K., Canada and other markets as treatment for symptom</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adult patients with moderate to severe spasticity due to multiple sclerosis, or MS, who have not responded adequately to other anti-spasticity medication and who demonstrate clinically significant improvement in spasticity-related symptoms during an initial trial of therapy.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17" w:lineRule="exact"/>
        <w:rPr>
          <w:sz w:val="20"/>
          <w:szCs w:val="20"/>
          <w:color w:val="auto"/>
        </w:rPr>
      </w:pPr>
    </w:p>
    <w:p>
      <w:pPr>
        <w:ind w:left="740" w:right="80" w:hanging="327"/>
        <w:spacing w:after="0" w:line="261"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and launched in the U.S. in July 2020 for the treatment of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metastatic small cell lung cancer, or SCLC, with disease progression on or after platinum-based chemotherapy; in Canada, Zepzelca was approved in September 2021 for the treatment of adults with Stage III or metastatic SCLC, who have progressed on or after platinum-containing therapy;</w:t>
      </w:r>
    </w:p>
    <w:p>
      <w:pPr>
        <w:spacing w:after="0" w:line="71" w:lineRule="exact"/>
        <w:rPr>
          <w:rFonts w:ascii="Arial" w:cs="Arial" w:eastAsia="Arial" w:hAnsi="Arial"/>
          <w:sz w:val="18"/>
          <w:szCs w:val="18"/>
          <w:color w:val="auto"/>
        </w:rPr>
      </w:pPr>
    </w:p>
    <w:p>
      <w:pPr>
        <w:ind w:left="740" w:right="100" w:hanging="327"/>
        <w:spacing w:after="0" w:line="289" w:lineRule="auto"/>
        <w:tabs>
          <w:tab w:leader="none" w:pos="735"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Rylaze™ </w:t>
      </w:r>
      <w:r>
        <w:rPr>
          <w:rFonts w:ascii="Arial" w:cs="Arial" w:eastAsia="Arial" w:hAnsi="Arial"/>
          <w:sz w:val="17"/>
          <w:szCs w:val="17"/>
          <w:color w:val="auto"/>
        </w:rPr>
        <w:t>(recombinant Erwinia asparaginase), a product approved by FDA in June 2021 and launched in the U.S. in July 2021 for use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component of a multi-agent chemotherapeutic regimen for the treatment of acute lymphoblastic leukemia, or ALL, or lymphoblastic lymphoma, or LBL, in adults and pediatric patients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w:t>
      </w:r>
    </w:p>
    <w:p>
      <w:pPr>
        <w:spacing w:after="0" w:line="49" w:lineRule="exact"/>
        <w:rPr>
          <w:rFonts w:ascii="Arial" w:cs="Arial" w:eastAsia="Arial" w:hAnsi="Arial"/>
          <w:sz w:val="17"/>
          <w:szCs w:val="17"/>
          <w:color w:val="auto"/>
        </w:rPr>
      </w:pPr>
    </w:p>
    <w:p>
      <w:pPr>
        <w:jc w:val="both"/>
        <w:ind w:left="740" w:right="80" w:hanging="327"/>
        <w:spacing w:after="0" w:line="261"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Vyxeos® (daunorubicin and cytarabine) liposome for injection</w:t>
      </w:r>
      <w:r>
        <w:rPr>
          <w:rFonts w:ascii="Arial" w:cs="Arial" w:eastAsia="Arial" w:hAnsi="Arial"/>
          <w:sz w:val="18"/>
          <w:szCs w:val="18"/>
          <w:color w:val="auto"/>
        </w:rPr>
        <w:t>, a product approved in the U.S., Canada, Europe and Great Britain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as Vyxeos® liposomal in Europe and Great Britain) for the treatment of adults with newly-diagnosed therapy-related acute myeloid leukemia, or t-AML, or AML with myelodysplasia-related changes (AML-MRC). An expanded indication was granted in the U.S. for the treatment of newly diagnosed t-AML or AML-MRC in pediatric patients aged 1 year and older; and</w:t>
      </w:r>
    </w:p>
    <w:p>
      <w:pPr>
        <w:spacing w:after="0" w:line="71" w:lineRule="exact"/>
        <w:rPr>
          <w:rFonts w:ascii="Arial" w:cs="Arial" w:eastAsia="Arial" w:hAnsi="Arial"/>
          <w:sz w:val="18"/>
          <w:szCs w:val="18"/>
          <w:color w:val="auto"/>
        </w:rPr>
      </w:pPr>
    </w:p>
    <w:p>
      <w:pPr>
        <w:ind w:left="740" w:right="100" w:hanging="327"/>
        <w:spacing w:after="0" w:line="258"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Defitelio® (defibrotide sodium) </w:t>
      </w:r>
      <w:r>
        <w:rPr>
          <w:rFonts w:ascii="Arial" w:cs="Arial" w:eastAsia="Arial" w:hAnsi="Arial"/>
          <w:sz w:val="18"/>
          <w:szCs w:val="18"/>
          <w:color w:val="auto"/>
        </w:rPr>
        <w:t>is a product approved in the U.S. and Brazil for the treatment of hepatic veno-occlusive disease, or VOD,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renal or pulmonary dysfunction following hematopoietic stem cell transplantation, or HSCT, and in Japan for the treatment of hepatic sinusoidal obstruction syndrome (hepatic-veno occlusive disease). It is currently approved in the EU, Great Britain, Canada, Israel, South Korea, Australia and Switzerland for the treatment of severe hepatic VOD, also known as sinusoidal obstructive syndrome, or SOS, in HSCT therapy. It is indicated in adults and pediatric patients over 1 month of age.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strategy to deliver sustainable growth and enhanced value is focused on:</w:t>
      </w:r>
    </w:p>
    <w:p>
      <w:pPr>
        <w:spacing w:after="0" w:line="117" w:lineRule="exact"/>
        <w:rPr>
          <w:sz w:val="20"/>
          <w:szCs w:val="20"/>
          <w:color w:val="auto"/>
        </w:rPr>
      </w:pPr>
    </w:p>
    <w:p>
      <w:pPr>
        <w:ind w:left="740" w:right="160" w:hanging="327"/>
        <w:spacing w:after="0" w:line="27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Expanding and advancing our pipeline to achieve a valuable product portfolio of durable, highly differentiated programs;</w:t>
      </w:r>
    </w:p>
    <w:p>
      <w:pPr>
        <w:spacing w:after="0" w:line="117" w:lineRule="exact"/>
        <w:rPr>
          <w:rFonts w:ascii="Arial" w:cs="Arial" w:eastAsia="Arial" w:hAnsi="Arial"/>
          <w:sz w:val="18"/>
          <w:szCs w:val="18"/>
          <w:color w:val="auto"/>
        </w:rPr>
      </w:pPr>
    </w:p>
    <w:p>
      <w:pPr>
        <w:ind w:left="740" w:right="280" w:hanging="327"/>
        <w:spacing w:after="0" w:line="27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areas to identify and progress early-, mid-and late-stage assets;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Identifying and acquiring novel product candidates and approved therapies to complement our existing pipeline and commercial portfolio;</w:t>
      </w:r>
    </w:p>
    <w:p>
      <w:pPr>
        <w:spacing w:after="0" w:line="128" w:lineRule="exact"/>
        <w:rPr>
          <w:rFonts w:ascii="Arial" w:cs="Arial" w:eastAsia="Arial" w:hAnsi="Arial"/>
          <w:sz w:val="17"/>
          <w:szCs w:val="17"/>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Investing in an efficient, scalable operating model and differentiated capabilities to enable growth;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Unlocking further value through indication expansion and entry into global markets.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2021, consistent with our strategy, we continued to focus on research and development activities within our neuroscience and oncology therapeutic areas. For a summary of our ongoing research and development activities, see “Business—Research and Development” in Part I, Item 1 of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17"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3" w:lineRule="exact"/>
        <w:rPr>
          <w:sz w:val="20"/>
          <w:szCs w:val="20"/>
          <w:color w:val="auto"/>
        </w:rPr>
      </w:pPr>
    </w:p>
    <w:p>
      <w:pPr>
        <w:jc w:val="both"/>
        <w:ind w:right="260" w:firstLine="445"/>
        <w:spacing w:after="0" w:line="263" w:lineRule="auto"/>
        <w:rPr>
          <w:sz w:val="20"/>
          <w:szCs w:val="20"/>
          <w:color w:val="auto"/>
        </w:rPr>
      </w:pPr>
      <w:r>
        <w:rPr>
          <w:rFonts w:ascii="Arial" w:cs="Arial" w:eastAsia="Arial" w:hAnsi="Arial"/>
          <w:sz w:val="18"/>
          <w:szCs w:val="18"/>
          <w:color w:val="auto"/>
        </w:rPr>
        <w:t xml:space="preserve">With the approvals and launches of Rylaze for the treatment ALL or LBL in pediatric and adult patients one month and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and Xywav for IH in 2021, we accomplished our goal to deliver five product launches through 2020 and 2021. We have taken both Rylaze and Xywav from concept to commercialization.</w:t>
      </w:r>
    </w:p>
    <w:p>
      <w:pPr>
        <w:spacing w:after="0" w:line="76"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Our neuroscience R&amp;D efforts include the planned initiation of a pivotal Phase 3 clinical trial of Epidiolex for the treatment of Epilepsy with Myoclonic-Atonic Seizures, or EMAS, also known as Doose syndrome, in the first half of 2022. This trial is expected to evaluate Epidiolex in a fourth childhood-onset epileptic encephalopathy with high unmet need. EMAS is characterized by generalized myoclonic-atonic seizures, and this trial is designed to provide the first randomized, controlled clinical data with Epidiolex in this syndrome type. Seizure types including atonic, tonic, clonic, tonic-clonic, and partial onset seizures are seen in Lennox-Gastaut syndrome, or LGS, Dravet syndrome, or DS, and tuberous sclerosis complex, or TSC.</w:t>
      </w:r>
    </w:p>
    <w:p>
      <w:pPr>
        <w:spacing w:after="0" w:line="5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For nabiximols, we have three ongoing Phase 3 clinical trials in multiple sclerosis (MS)-related spasticity. Spasticity occurs in up to 84% of MS patients, and approximately one-third of those who experience spasticity live with uncontrolled symptoms. The first trial is a smaller, shorter trial relative to the other two. If results from this first trial are positive, there is the potential for a New Drug Application, or NDA, submission in the U.S. by the end of 2022.</w:t>
      </w:r>
    </w:p>
    <w:p>
      <w:pPr>
        <w:spacing w:after="0" w:line="79"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Additionally, in December 2021 we initiated Phase 2 clinical trials for suvecaltamide (JZP385) for essential tremor, or ET, and for JZP150 for post-traumatic stress disorder, or PTSD. These are both patient populations that suffer significant impacts to their quality of life and for whom there are limited current treatment options. We are also pursuing early-stage activities related to the development of JZP324, an extended-release low sodium, oxybate formulation that we believe could provide a clinically meaningful option for narcolepsy patients.</w:t>
      </w:r>
    </w:p>
    <w:p>
      <w:pPr>
        <w:spacing w:after="0" w:line="119"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Within our oncology R&amp;D program, there is a robust development plan being executed for Zepzelca. We are collaborating with Roche on a pivotal Phase 3 clinical trial evaluating Zepzelca in combination with Tecentriq in first-line extensive stage SCLC. In December 2021, our licensor PharmaMar initiated a confirmatory trial in second-line SCLC. This is expected to be a three-arm trial comparing Zepzelca as either monotherapy or in combination with irinotecan to investigator's choice of irinotecan or topotecan. Data from this trial, if positive, could confirm the benefit of Zepzelca in the treatment of SCLC when patients progress following first-line treatment with a platinum-based regimen.</w:t>
      </w:r>
    </w:p>
    <w:p>
      <w:pPr>
        <w:spacing w:after="0" w:line="68"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In 2022 we initiated a Phase 2 basket trial to explore Zepzelca monotherapy in patients with select advanced or metastatic solid tumors. Cohorts will include advanced urothelial cancer, large cell neuroendocrine tumor of the lung, and homologous recombinant deficient positive (HRD+) cancers. In addition, we have initiated a Phase 4 observational study to collect real world safety and outcome data in adult Zepzelca monotherapy patients with SCLC who progress on or after prior platinum-containing chemotherapy.</w:t>
      </w:r>
    </w:p>
    <w:p>
      <w:pPr>
        <w:spacing w:after="0" w:line="79"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For Rylaze, in January 2022 we submitted a sBLA with data in support of a Monday/Wednesday/Friday (M/W/F) IM dosing schedule, which has been granted review under the Real-Time Oncology Review, or RTOR, program. Part two of the ongoing Rylaze study is evaluating intravenous administration. We are planning regulatory submissions in Europe in mid-2022.</w:t>
      </w:r>
    </w:p>
    <w:p>
      <w:pPr>
        <w:spacing w:after="0" w:line="76" w:lineRule="exact"/>
        <w:rPr>
          <w:sz w:val="20"/>
          <w:szCs w:val="20"/>
          <w:color w:val="auto"/>
        </w:rPr>
      </w:pPr>
    </w:p>
    <w:p>
      <w:pPr>
        <w:ind w:right="20" w:firstLine="445"/>
        <w:spacing w:after="0" w:line="223" w:lineRule="exact"/>
        <w:rPr>
          <w:sz w:val="20"/>
          <w:szCs w:val="20"/>
          <w:color w:val="auto"/>
        </w:rPr>
      </w:pPr>
      <w:r>
        <w:rPr>
          <w:rFonts w:ascii="Arial" w:cs="Arial" w:eastAsia="Arial" w:hAnsi="Arial"/>
          <w:sz w:val="18"/>
          <w:szCs w:val="18"/>
          <w:color w:val="auto"/>
        </w:rPr>
        <w:t>A summary of our key ongoing and planned development projects is provided under “Business—Research and Development” in Part I, Item 1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2021 Highlights and Recent Developments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Regulatory Submissions, Approvals and Commercial Launches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Oxybate Franchise</w:t>
      </w:r>
    </w:p>
    <w:p>
      <w:pPr>
        <w:spacing w:after="0" w:line="117" w:lineRule="exact"/>
        <w:rPr>
          <w:sz w:val="20"/>
          <w:szCs w:val="20"/>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June 2021, FDA recognized seven years of Orphan Drug Exclusivity (ODE) for Xywav in narcolepsy through July 21, 2027.</w:t>
      </w:r>
    </w:p>
    <w:p>
      <w:pPr>
        <w:spacing w:after="0" w:line="117" w:lineRule="exact"/>
        <w:rPr>
          <w:rFonts w:ascii="Arial" w:cs="Arial" w:eastAsia="Arial" w:hAnsi="Arial"/>
          <w:sz w:val="18"/>
          <w:szCs w:val="18"/>
          <w:color w:val="auto"/>
        </w:rPr>
      </w:pPr>
    </w:p>
    <w:p>
      <w:pPr>
        <w:ind w:left="740" w:right="720" w:hanging="327"/>
        <w:spacing w:after="0" w:line="27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August 2021, FDA approved our sNDA for Xywav for the treatment of IH in adults and in November 2021, we commenced the U.S. commercial launch.</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January 2022, FDA recognized seven years of ODE for Xywav in IH through August 12, 2028.</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Epidiolex/Epidyolex</w:t>
      </w:r>
    </w:p>
    <w:p>
      <w:pPr>
        <w:spacing w:after="0" w:line="117" w:lineRule="exact"/>
        <w:rPr>
          <w:sz w:val="20"/>
          <w:szCs w:val="20"/>
          <w:color w:val="auto"/>
        </w:rPr>
      </w:pPr>
    </w:p>
    <w:p>
      <w:pPr>
        <w:ind w:left="740" w:right="100" w:hanging="327"/>
        <w:spacing w:after="0" w:line="27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2021, the U.K. Medicines and Healthcare Products Regulatory Agency (MHRA), as well as the EU, approved a new indication for Epidyolex as an adjunctive treatment of seizures associated with TSC, for patients two years of age and older.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Sunosi</w:t>
      </w:r>
    </w:p>
    <w:p>
      <w:pPr>
        <w:spacing w:after="0" w:line="117" w:lineRule="exact"/>
        <w:rPr>
          <w:sz w:val="20"/>
          <w:szCs w:val="20"/>
          <w:color w:val="auto"/>
        </w:rPr>
      </w:pPr>
    </w:p>
    <w:p>
      <w:pPr>
        <w:ind w:left="420" w:right="1540" w:hanging="7"/>
        <w:spacing w:after="0" w:line="375" w:lineRule="auto"/>
        <w:tabs>
          <w:tab w:leader="none" w:pos="7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 May 2021, Sunosi was approved in Canada for the treatment of EDS associated with narcolepsy or OSA in adult patients. </w:t>
      </w:r>
      <w:r>
        <w:rPr>
          <w:rFonts w:ascii="Arial" w:cs="Arial" w:eastAsia="Arial" w:hAnsi="Arial"/>
          <w:sz w:val="18"/>
          <w:szCs w:val="18"/>
          <w:u w:val="single" w:color="auto"/>
          <w:color w:val="auto"/>
        </w:rPr>
        <w:t>Zepzelca</w:t>
      </w:r>
    </w:p>
    <w:p>
      <w:pPr>
        <w:spacing w:after="0" w:line="1" w:lineRule="exact"/>
        <w:rPr>
          <w:rFonts w:ascii="Arial" w:cs="Arial" w:eastAsia="Arial" w:hAnsi="Arial"/>
          <w:sz w:val="18"/>
          <w:szCs w:val="18"/>
          <w:color w:val="auto"/>
        </w:rPr>
      </w:pPr>
    </w:p>
    <w:p>
      <w:pPr>
        <w:ind w:left="740" w:right="120" w:hanging="327"/>
        <w:spacing w:after="0" w:line="342" w:lineRule="auto"/>
        <w:tabs>
          <w:tab w:leader="none" w:pos="7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September 2021, Zepzelca received conditional approval in Canada for the treatment of adult patients with Stage III or metastatic SCLC who have progressed on or after platinum-containing therapy. In November 2021, Zepzelca was made commercially available in Canada.</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Rylaze</w:t>
      </w:r>
    </w:p>
    <w:p>
      <w:pPr>
        <w:spacing w:after="0" w:line="117" w:lineRule="exact"/>
        <w:rPr>
          <w:sz w:val="20"/>
          <w:szCs w:val="20"/>
          <w:color w:val="auto"/>
        </w:rPr>
      </w:pPr>
    </w:p>
    <w:p>
      <w:pPr>
        <w:ind w:left="740" w:right="100" w:hanging="327"/>
        <w:spacing w:after="0" w:line="263"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June 2021, Rylaze was approved by FDA under the Real-Time Oncology Review, or RTOR, program for use as a component of a multi-agent chemotherapeutic regimen for the treatment of patients with ALL or LBL in pediatric and adult patients one month and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In July 2021, we launched Rylaze in the U.S.</w:t>
      </w:r>
    </w:p>
    <w:p>
      <w:pPr>
        <w:spacing w:after="0" w:line="75" w:lineRule="exact"/>
        <w:rPr>
          <w:rFonts w:ascii="Arial" w:cs="Arial" w:eastAsia="Arial" w:hAnsi="Arial"/>
          <w:sz w:val="18"/>
          <w:szCs w:val="18"/>
          <w:color w:val="auto"/>
        </w:rPr>
      </w:pPr>
    </w:p>
    <w:p>
      <w:pPr>
        <w:ind w:left="740" w:right="80" w:hanging="327"/>
        <w:spacing w:after="0" w:line="277" w:lineRule="auto"/>
        <w:tabs>
          <w:tab w:leader="none" w:pos="735"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In January 2022, we submitted a sBLA for Rylaze with additional data in support of a Monday/Wednesday/Friday (M/W/F) IM dosing schedule, which has been granted review under the RTOR program.</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Vyxeos</w:t>
      </w:r>
    </w:p>
    <w:p>
      <w:pPr>
        <w:spacing w:after="0" w:line="117" w:lineRule="exact"/>
        <w:rPr>
          <w:sz w:val="20"/>
          <w:szCs w:val="20"/>
          <w:color w:val="auto"/>
        </w:rPr>
      </w:pPr>
    </w:p>
    <w:p>
      <w:pPr>
        <w:ind w:left="740" w:right="960" w:hanging="327"/>
        <w:spacing w:after="0" w:line="27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March 2021, FDA approved a revised label for Vyxeos to include a new indication to treat newly-diagnosed t-AML or AML with myelodysplasia-related changes in pediatric patients aged one year and older.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&amp; Development</w:t>
      </w:r>
    </w:p>
    <w:p>
      <w:pPr>
        <w:spacing w:after="0" w:line="117" w:lineRule="exact"/>
        <w:rPr>
          <w:sz w:val="20"/>
          <w:szCs w:val="20"/>
          <w:color w:val="auto"/>
        </w:rPr>
      </w:pPr>
    </w:p>
    <w:p>
      <w:pPr>
        <w:ind w:left="740" w:hanging="327"/>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December 2021, we initiated a Phase 2 clinical trial for suvecaltamide (JZP385) for ET.</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December 2021, we initiated a Phase 2 trial for JZP150 for PTSD.</w:t>
      </w:r>
    </w:p>
    <w:p>
      <w:pPr>
        <w:spacing w:after="0" w:line="117" w:lineRule="exact"/>
        <w:rPr>
          <w:rFonts w:ascii="Arial" w:cs="Arial" w:eastAsia="Arial" w:hAnsi="Arial"/>
          <w:sz w:val="18"/>
          <w:szCs w:val="18"/>
          <w:color w:val="auto"/>
        </w:rPr>
      </w:pPr>
    </w:p>
    <w:p>
      <w:pPr>
        <w:ind w:left="740" w:hanging="327"/>
        <w:spacing w:after="0" w:line="274"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December 2021, in collaboration with Roche, we have initiated a Phase 3 pivotal clinical trial in first-line extensive stage SCLC of Zepzelca in combination with Tecentriq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(atezolizumab).</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Significant Developments</w:t>
      </w:r>
    </w:p>
    <w:p>
      <w:pPr>
        <w:spacing w:after="0" w:line="117" w:lineRule="exact"/>
        <w:rPr>
          <w:sz w:val="20"/>
          <w:szCs w:val="20"/>
          <w:color w:val="auto"/>
        </w:rPr>
      </w:pPr>
    </w:p>
    <w:p>
      <w:pPr>
        <w:ind w:left="740" w:right="860" w:hanging="327"/>
        <w:spacing w:after="0" w:line="308" w:lineRule="auto"/>
        <w:tabs>
          <w:tab w:leader="none" w:pos="7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May 2021, we acquired GW. The total consideration paid by us for the entire issued share capital of GW was $7.2 billion. The GW Acquisition, closed on May 5, 2021. As a result, GW became an indirect wholly owned subsidiary of the Company.</w:t>
      </w:r>
    </w:p>
    <w:p>
      <w:pPr>
        <w:spacing w:after="0" w:line="38" w:lineRule="exact"/>
        <w:rPr>
          <w:rFonts w:ascii="Arial" w:cs="Arial" w:eastAsia="Arial" w:hAnsi="Arial"/>
          <w:sz w:val="17"/>
          <w:szCs w:val="17"/>
          <w:color w:val="auto"/>
        </w:rPr>
      </w:pPr>
    </w:p>
    <w:p>
      <w:pPr>
        <w:ind w:left="740" w:right="100" w:hanging="327"/>
        <w:spacing w:after="0" w:line="294" w:lineRule="auto"/>
        <w:tabs>
          <w:tab w:leader="none" w:pos="7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connection with the financing of the transaction, in April 2021, we closed an offering of $1.5 billion in aggregate principal amount of 4.375% senior secured notes, due 2029, or the Secured Notes. In May 2021, we entered into a credit agreement, or the Credit Agreement, that provides for (i) a seven-year $3.1 billion term loan B facility, or the Dollar Term Loan, (ii) a seven-year €625.0 million term loan B facility, or the Euro Term Loan and, together with the Dollar Term Loan, collectively known as the Term Loan and (iii) a five-year $500.0 million revolving credit facility, or the Revolving Credit Facility. We financed the cash portion of the GW Acquisition consideration through a combination of cash on hand and borrowings under the Term Loan and the Secured Notes. The Revolving Credit Facility is currently undrawn</w:t>
      </w:r>
      <w:r>
        <w:rPr>
          <w:rFonts w:ascii="Arial" w:cs="Arial" w:eastAsia="Arial" w:hAnsi="Arial"/>
          <w:sz w:val="17"/>
          <w:szCs w:val="17"/>
          <w:color w:val="auto"/>
        </w:rPr>
        <w: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 of GW Pharmaceuticals Plc</w:t>
      </w:r>
    </w:p>
    <w:p>
      <w:pPr>
        <w:spacing w:after="0" w:line="117" w:lineRule="exact"/>
        <w:rPr>
          <w:sz w:val="20"/>
          <w:szCs w:val="20"/>
          <w:color w:val="auto"/>
        </w:rPr>
      </w:pPr>
    </w:p>
    <w:p>
      <w:pPr>
        <w:jc w:val="both"/>
        <w:ind w:right="840" w:firstLine="445"/>
        <w:spacing w:after="0" w:line="342" w:lineRule="auto"/>
        <w:rPr>
          <w:sz w:val="20"/>
          <w:szCs w:val="20"/>
          <w:color w:val="auto"/>
        </w:rPr>
      </w:pPr>
      <w:r>
        <w:rPr>
          <w:rFonts w:ascii="Arial" w:cs="Arial" w:eastAsia="Arial" w:hAnsi="Arial"/>
          <w:sz w:val="16"/>
          <w:szCs w:val="16"/>
          <w:color w:val="auto"/>
        </w:rPr>
        <w:t>In May 2021, we acquired GW with the objectives of broadening our neuroscience portfolio, further diversifying our revenue and driving sustainable, long-term value creation opportunities. The total consideration paid by us for the entire issued share capital of GW was $7.2 billion.</w:t>
      </w:r>
    </w:p>
    <w:p>
      <w:pPr>
        <w:spacing w:after="0" w:line="16"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GW's lead product, Epidiolex (cannabidiol) oral solution, is approved in patients one-year and older for the treatment of seizures associated with LGS, DS and TSC, all of which are rare diseases characterized by severe early-onset epilepsy. Epidiolex was the first plant-derived cannabinoid medicine ever approved by FDA, and has also been approved in Europe under the trade name Epidyolex. In addition to the approved indications for Epidiolex, we believe there are considerable opportunities to pursue other indications within the epilepsy field, including other treatment-resistant epilepsies where significant unmet needs of patients exist. We plan to initiate a pivotal Phase 3 clinical trial of Epidiolex for the treatment of seizures associated with EMAS, known as Doose syndrome, in the first half of 2022. EMAS represents the fourth target indication for Epidiolex.</w:t>
      </w:r>
    </w:p>
    <w:p>
      <w:pPr>
        <w:spacing w:after="0" w:line="7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plan to continue to leverage the GW cannabinoid platform and significant expertise in discovering, developing, manufacturing and commercializing therapeutics to address a broad range of diseases. This platform includes nabiximols, which is in Phase 3 clinical trials for the treatment of spasticity associated with multiple sclerosis with an additional planned Phase 3 clinical trial in spasticity associated with spinal cord injury, as well as earlier-stage cannabinoid product candidates.</w:t>
      </w:r>
    </w:p>
    <w:p>
      <w:pPr>
        <w:spacing w:after="0" w:line="79"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We view the GW Acquisition as consistent with our overall business and capital allocation strategy to expand our neuroscience portfolio and drive substantial value for our shareholders.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100" w:firstLine="445"/>
        <w:spacing w:after="0" w:line="269" w:lineRule="auto"/>
        <w:rPr>
          <w:sz w:val="20"/>
          <w:szCs w:val="20"/>
          <w:color w:val="auto"/>
        </w:rPr>
      </w:pPr>
      <w:r>
        <w:rPr>
          <w:rFonts w:ascii="Arial" w:cs="Arial" w:eastAsia="Arial" w:hAnsi="Arial"/>
          <w:sz w:val="17"/>
          <w:szCs w:val="17"/>
          <w:color w:val="auto"/>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virtual scientific congresses designed to ensure we can continue to provide promotional and non-promotional interactions and have supported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We anticipate that our teams will increase the frequency of in-person interactions as medical congresses and healthcare practices begin to resume in-person activities, taking into account applicable public health authority and local government guidelines which are designed to ensure community and employee safety.</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 xml:space="preserve">We have implemented a comprehensive response strategy designed to manage the impact of the COVID-19 pandemic on our employees, patients and our business. The prolonged nature of the pandemic is negatively impacting our business in a varied manner due to the emergence of the Delta and Omicron variants and other variants with increased transmissibility, even in some cases in vaccinated people, including limited access to health care provider offices and institutions and the willingness of patients or parents of patients to seek treatment or change existing treatments. We expect that our business, financial condition, results of operations and growth prospects may continue to be negatively impacted by the pandemic on a limited basis that may vary depending on the context. However </w:t>
      </w:r>
      <w:r>
        <w:rPr>
          <w:rFonts w:ascii="Arial" w:cs="Arial" w:eastAsia="Arial" w:hAnsi="Arial"/>
          <w:sz w:val="18"/>
          <w:szCs w:val="18"/>
          <w:color w:val="212529"/>
        </w:rPr>
        <w:t>we have begun to observe, and expect to continue to observe, a gradual normalization in patient and</w:t>
      </w:r>
      <w:r>
        <w:rPr>
          <w:rFonts w:ascii="Arial" w:cs="Arial" w:eastAsia="Arial" w:hAnsi="Arial"/>
          <w:sz w:val="18"/>
          <w:szCs w:val="18"/>
          <w:color w:val="auto"/>
        </w:rPr>
        <w:t xml:space="preserve"> </w:t>
      </w:r>
      <w:r>
        <w:rPr>
          <w:rFonts w:ascii="Arial" w:cs="Arial" w:eastAsia="Arial" w:hAnsi="Arial"/>
          <w:sz w:val="18"/>
          <w:szCs w:val="18"/>
          <w:color w:val="212529"/>
        </w:rPr>
        <w:t>healthcare provider practices, as providers and patients have adapted their behaviors and procedures to the evolving circumstances and as COVID-19 vaccines continue to be administered.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Workplace and Employees</w:t>
      </w:r>
    </w:p>
    <w:p>
      <w:pPr>
        <w:spacing w:after="0" w:line="121" w:lineRule="exact"/>
        <w:rPr>
          <w:sz w:val="20"/>
          <w:szCs w:val="20"/>
          <w:color w:val="auto"/>
        </w:rPr>
      </w:pPr>
    </w:p>
    <w:p>
      <w:pPr>
        <w:ind w:right="120" w:firstLine="445"/>
        <w:spacing w:after="0" w:line="290" w:lineRule="auto"/>
        <w:rPr>
          <w:sz w:val="20"/>
          <w:szCs w:val="20"/>
          <w:color w:val="auto"/>
        </w:rPr>
      </w:pPr>
      <w:r>
        <w:rPr>
          <w:rFonts w:ascii="Arial" w:cs="Arial" w:eastAsia="Arial" w:hAnsi="Arial"/>
          <w:sz w:val="16"/>
          <w:szCs w:val="16"/>
          <w:color w:val="auto"/>
        </w:rPr>
        <w:t>We support broad public health strategies designed to prevent the spread of COVID-19 and are focused on the health and welfare of our employees. Our global organization has mobilized to enable our employees to accomplish our most critical goals through a combination of remote work and in-person initiatives. In addition to rolling out new technologies and collaboration tools, we have implemented processes and resources to support our employees in the event an employee receives a positive COVID-19 diagnosis. We have developed plans regarding the opening of our sites to enable our employees to return to work in our global offices, the field and our manufacturing facilities, which take into account applicable public health authority and local government guidelines and which are designed to ensure community and employee safety. We are moving to a more flexible mix of virtual and in-person working to advance our culture, drive innovation and agility and enable greater balance and well-being for our workforce. This will also enable us to reconfigure our physical workspaces to optimize the footprint of our company-owned or leased office spaces.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There continues to be some negative impact on demand, new patient starts and treatments for our products arising from the pandemic, primarily due to the inherent limitations of telemedicine and a reprioritization of healthcare resources toward COVID-19. As healthcare systems have adapted to cope with the ongoing situation, we have seen improvements. We are utilizing technology to continue to engage healthcare professionals and other customers virtually to support patient care. As more clinics and institutions begin to allow in-person interactions pursuant to local health authority and government guidelines, our field teams continue to resume in-person interactions with healthcare professionals and clinics combined with virtual engagement. The level of renewed in-person engagement varies by account, region and country and may be adversely impacted in the future as a result of the continuing impact of the COVID-19 pandemic. The lack of access to health care providers has caused, and may continue to cause, delays in appropriate diagnosis, treatment and ongoing care for some patients, which has negatively impacted, and could continue to impact, prescribing and use of our products.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manufacturing facilities in Athlone, Ireland, which produces Xywav and Xyrem, Villa Guardia, Italy, which produces defibrotide, and Kent Science Park, U.K., which produces Epidiolex/Epidyolex and Sativex, are operational with essential staff onsite and office-based staff working onsite and remotely as business needs require. We currently expect to have adequate global supply of all products for 2022.</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With respect to our clinical trial activities, we have taken measures to implement remote and virtual approaches, including remote data monitoring where possible, to maintain patient safety and trial continuity and to preserve study integrity. We have seen limited COVID-19-related impact to our mid-and late-stage clinical trial activity, despite delays in initiating trial sites.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Similarly, our ability to recruit and retain patients and principal investigators and site staff who, as health care providers, may have heightened exposure to COVID-19, may adversely impact our clinical trial operations. Supply chain disruptions related to the pandemic may also impact our ability to initiate clinical trials in a timely manner.</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To this end, we have granted requests for several ISTs to evaluate the use of defibrotide in COVID-19 patients experiencing respiratory distress.</w:t>
      </w:r>
    </w:p>
    <w:p>
      <w:pPr>
        <w:spacing w:after="0" w:line="5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In addition, we are supporting our local communities and patient-focused organizations in COVID-19 relief efforts including through corporate donations to charitable organizations providing food and medical relief to communities in which we operate, and other localities where the needs related to the impact of COVID-19 are greatest. We are engaging with patient advocacy organizations to better understand the impact of COVID-19 and working to enable patients living with sleep disorders, epilepsies and oncology conditions with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Our business has been substantially dependent on Xyrem. Our future plans assume that our newly launched oxybate product Xywav, with 92% lower sodium compared to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In June 2021, FDA recognized seven years of ODE for Xywav in narcolepsy through July 21, 2027 stating that Xywav is clinically superior to Xyrem by means of greater safety due to reduced chronic sodium burden. While we expect that our business will continue to be substantially dependent on oxybate product sales from both Xywav and Xyrem, there is no guarantee that we can maintain oxybate sales at or near historical levels, or that oxybate sales will continue to grow.</w:t>
      </w:r>
    </w:p>
    <w:p>
      <w:pPr>
        <w:spacing w:after="0" w:line="69"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Our ability to successfully commercialize Xywav will depend on, among other things, our ability to maintain adequate coverage and reimbursement for Xywav and acceptance of Xywav by payors, physicians and patients, including of Xywav for the treatment of idiopathic hypersomnia in adults. In an effort to support strong adoption of Xywav, we are focused on providing robust patient copay and savings programs and facilitating payor coverage for Xywav. Moreover, we have increasingly experienced pressure from third party payors to agree to discounts, rebates or restrictive pricing terms, and we cannot guarantee we will be able to agree to commercially reasonable terms with pharmacy benefit managers, or PBMs, and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other third party payors, or that we will be able to ensure patient access and acceptance on institutional formularies. Entering into agreements with PBMs and payors to ensure patient access has and will likely continue to result in higher gross to net deductions. In addition to the COVID-19 related impacts described above, in the future, we expect our oxybate products to face competition from generic and authorized generic versions of sodium oxybate pursuant to the settlement agreements we have entered into with multiple abbreviated new drug application, or ANDA, filers. Generic competition can decrease the prices at which Xywav and Xyrem are sold and the number of prescriptions written for Xywav and Xyrem. Xywav and Xyrem may also face increased competition from new branded products for treatment of cataplexy and/or EDS in narcolepsy in the U.S. market.</w:t>
      </w:r>
    </w:p>
    <w:p>
      <w:pPr>
        <w:spacing w:after="0" w:line="56"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 for its approved indications. While we have established our Epidiolex commercial team and have hired our U.S. and European sales forces, we will need to continue to maintain and further develop the teams to continue to successfully coordinate the commercialization of Epidiolex. The commercial success of Epidiolex depends on the extent to which patients and physicians accept and adopt Epidiolex as a treatment for seizures associated with LGS, DS and TSC,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after launch, in clinical development for additional indications, or in regulatory processes in other jurisdictions, may adversely impact the commercial results and potential of Epidiolex. Thus, significant uncertainty remains regarding the commercial potential of Epidiolex.</w:t>
      </w:r>
    </w:p>
    <w:p>
      <w:pPr>
        <w:spacing w:after="0" w:line="77" w:lineRule="exact"/>
        <w:rPr>
          <w:sz w:val="20"/>
          <w:szCs w:val="20"/>
          <w:color w:val="auto"/>
        </w:rPr>
      </w:pPr>
    </w:p>
    <w:p>
      <w:pPr>
        <w:ind w:right="36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Vyxeos, Rylaze and Zepzelca. An inability to effectively commercialize Defitelio, Vyxeos, Rylaze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addition to continued investment in our research and development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84"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color w:val="auto"/>
        </w:rPr>
        <w:t>The success of the GW Acquisition will depend, in part, on our ability to realize the anticipated benefits from successfully combining our and GW’s businesses and we plan to continue to devote substantial management attention and resources to integrating our business practices and operations with GW’s in an effort to fully realize the anticipated benefits of the GW Acquisition. Nonetheless, Epidiolex and the other products and technologies acquired may not be successful or continue to grow at the same rate as if our companies operated independently or they may require significantly greater resources and investments than originally anticipated. Conversely, the liabilities assumed in the GW Acquisition may be greater than originally anticipated.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and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GW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60" w:lineRule="exact"/>
        <w:rPr>
          <w:sz w:val="20"/>
          <w:szCs w:val="20"/>
          <w:color w:val="auto"/>
        </w:rPr>
      </w:pPr>
    </w:p>
    <w:p>
      <w:pPr>
        <w:ind w:right="160" w:firstLine="445"/>
        <w:spacing w:after="0" w:line="296"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are also subject to increasing pricing pressure and restrictions on reimbursement imposed by payors. If we fail to obtain and maintain adequate formulary positions and</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institutional access for our products and future approved products, we will not be able to achieve a return on our investment and our business, financial condition, results of operations and growth prospects would be materially adversely affected.</w:t>
      </w:r>
    </w:p>
    <w:p>
      <w:pPr>
        <w:spacing w:after="0" w:line="62"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While certain preparations of cannabis remain Schedule I controlled substances, if such products are approved by FDA for medical use in the U.S. they are rescheduled to Schedules II-V, since approval by FDA satisfies the “accepted medical use” requirement; or may be removed from control under the Controlled Substances Act entirely. If any of our product candidates receive FDA approval, the U.S. Drug Enforcement Administration, or DEA, will make a scheduling determination. If any foreign regulatory authority determines that Epidyolex may have potential for abuse, or if DEA makes a similar determination for nabiximols, it may require us to generate more clinical or other data than we currently anticipate to establish whether or to what extent the substance has an abuse potential, which could increase the cost, delay the approval and/or delay the launch of that product. In addition, there are non-FDA approved cannabidiol preparations being made available from companies through the state-enabled medical marijuana industry, which might attempt to compete with Epidiolex and, if approved by FDA, nabiximols. If we are unable to compete successfully, our commercial opportunities will be reduced and our business, results of operations and financial conditions may be materially harmed.</w:t>
      </w:r>
    </w:p>
    <w:p>
      <w:pPr>
        <w:spacing w:after="0" w:line="73" w:lineRule="exact"/>
        <w:rPr>
          <w:sz w:val="20"/>
          <w:szCs w:val="20"/>
          <w:color w:val="auto"/>
        </w:rPr>
      </w:pPr>
    </w:p>
    <w:p>
      <w:pPr>
        <w:ind w:right="40" w:firstLine="445"/>
        <w:spacing w:after="0" w:line="220" w:lineRule="exact"/>
        <w:rPr>
          <w:sz w:val="20"/>
          <w:szCs w:val="20"/>
          <w:color w:val="auto"/>
        </w:rPr>
      </w:pPr>
      <w:r>
        <w:rPr>
          <w:rFonts w:ascii="Arial" w:cs="Arial" w:eastAsia="Arial" w:hAnsi="Arial"/>
          <w:sz w:val="16"/>
          <w:szCs w:val="16"/>
          <w:color w:val="auto"/>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Xywav and Xyrem REMS, the launch of Xywav, our Xyrem patent litigation settlement agreements or otherwise, we could incur significant expense and could be distracted from operation of our business and execution of our strategy. From June 2020 to October 2021,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see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It is possible that additional lawsuits will be filed against us making similar or related allegations. We cannot predict the outcome of these or potential additional lawsuits or government action; however, if the plaintiffs were to be successful in their claims, they may be entitled to injunctive relief or we may be required to pay significant monetary damages. 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revenues and expenses for the years ended December 31, 2021, 2020 and 2019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91"/>
              <w:spacing w:after="0"/>
              <w:rPr>
                <w:sz w:val="20"/>
                <w:szCs w:val="20"/>
                <w:color w:val="auto"/>
              </w:rPr>
            </w:pPr>
            <w:r>
              <w:rPr>
                <w:rFonts w:ascii="Arial" w:cs="Arial" w:eastAsia="Arial" w:hAnsi="Arial"/>
                <w:sz w:val="14"/>
                <w:szCs w:val="14"/>
                <w:b w:val="1"/>
                <w:bCs w:val="1"/>
                <w:color w:val="auto"/>
              </w:rPr>
              <w:t>2021(1)</w:t>
            </w:r>
          </w:p>
        </w:tc>
        <w:tc>
          <w:tcPr>
            <w:tcW w:w="100" w:type="dxa"/>
            <w:vAlign w:val="bottom"/>
          </w:tcPr>
          <w:p>
            <w:pPr>
              <w:spacing w:after="0"/>
              <w:rPr>
                <w:sz w:val="16"/>
                <w:szCs w:val="16"/>
                <w:color w:val="auto"/>
              </w:rPr>
            </w:pPr>
          </w:p>
        </w:tc>
        <w:tc>
          <w:tcPr>
            <w:tcW w:w="166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80" w:type="dxa"/>
            <w:vAlign w:val="bottom"/>
            <w:gridSpan w:val="3"/>
          </w:tcPr>
          <w:p>
            <w:pPr>
              <w:jc w:val="right"/>
              <w:ind w:right="69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3,079,001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2,346,660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2,135,601</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15,237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16,907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Cost of product sales (excluding amortization of acquired</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440,760</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148,917</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127,930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1,451,683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854,233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736,942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505,748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335,375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299,726</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525,769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259,580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354,814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N/A(2)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N/A(2)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270"/>
              <w:spacing w:after="0"/>
              <w:rPr>
                <w:sz w:val="20"/>
                <w:szCs w:val="20"/>
                <w:color w:val="auto"/>
              </w:rPr>
            </w:pPr>
            <w:r>
              <w:rPr>
                <w:rFonts w:ascii="Arial" w:cs="Arial" w:eastAsia="Arial" w:hAnsi="Arial"/>
                <w:sz w:val="18"/>
                <w:szCs w:val="18"/>
                <w:color w:val="auto"/>
              </w:rPr>
              <w:t>N/A(2)</w:t>
            </w:r>
          </w:p>
        </w:tc>
        <w:tc>
          <w:tcPr>
            <w:tcW w:w="940" w:type="dxa"/>
            <w:vAlign w:val="bottom"/>
          </w:tcPr>
          <w:p>
            <w:pPr>
              <w:jc w:val="right"/>
              <w:spacing w:after="0"/>
              <w:rPr>
                <w:sz w:val="20"/>
                <w:szCs w:val="20"/>
                <w:color w:val="auto"/>
              </w:rPr>
            </w:pPr>
            <w:r>
              <w:rPr>
                <w:rFonts w:ascii="Arial" w:cs="Arial" w:eastAsia="Arial" w:hAnsi="Arial"/>
                <w:sz w:val="18"/>
                <w:szCs w:val="18"/>
                <w:color w:val="auto"/>
              </w:rPr>
              <w:t>251,250</w:t>
            </w:r>
          </w:p>
        </w:tc>
        <w:tc>
          <w:tcPr>
            <w:tcW w:w="120" w:type="dxa"/>
            <w:vAlign w:val="bottom"/>
          </w:tcPr>
          <w:p>
            <w:pPr>
              <w:spacing w:after="0"/>
              <w:rPr>
                <w:sz w:val="19"/>
                <w:szCs w:val="19"/>
                <w:color w:val="auto"/>
              </w:rPr>
            </w:pPr>
          </w:p>
        </w:tc>
        <w:tc>
          <w:tcPr>
            <w:tcW w:w="1680" w:type="dxa"/>
            <w:vAlign w:val="bottom"/>
            <w:gridSpan w:val="3"/>
          </w:tcPr>
          <w:p>
            <w:pPr>
              <w:jc w:val="right"/>
              <w:ind w:right="290"/>
              <w:spacing w:after="0"/>
              <w:rPr>
                <w:sz w:val="20"/>
                <w:szCs w:val="20"/>
                <w:color w:val="auto"/>
              </w:rPr>
            </w:pPr>
            <w:r>
              <w:rPr>
                <w:rFonts w:ascii="Arial" w:cs="Arial" w:eastAsia="Arial" w:hAnsi="Arial"/>
                <w:sz w:val="18"/>
                <w:szCs w:val="18"/>
                <w:color w:val="auto"/>
              </w:rPr>
              <w:t>N/A(2)</w:t>
            </w:r>
          </w:p>
        </w:tc>
        <w:tc>
          <w:tcPr>
            <w:tcW w:w="940" w:type="dxa"/>
            <w:vAlign w:val="bottom"/>
          </w:tcPr>
          <w:p>
            <w:pPr>
              <w:jc w:val="right"/>
              <w:spacing w:after="0"/>
              <w:rPr>
                <w:sz w:val="20"/>
                <w:szCs w:val="20"/>
                <w:color w:val="auto"/>
              </w:rPr>
            </w:pPr>
            <w:r>
              <w:rPr>
                <w:rFonts w:ascii="Arial" w:cs="Arial" w:eastAsia="Arial" w:hAnsi="Arial"/>
                <w:sz w:val="18"/>
                <w:szCs w:val="18"/>
                <w:color w:val="auto"/>
              </w:rPr>
              <w:t>109,975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72,261</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w:t>
            </w: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N/A(2)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(73,154)</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Equity in loss of investees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560" w:hanging="309"/>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operations of the GW business have been included from the closing of the GW Acquisition on May 5, 2021.</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Comparison to prior period is not meaningful.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product sales, royalties and contract revenues, and total revenues for the years ended December 31, 2021,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1,265,830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1,741,758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1,642,525</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535,297</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N/A(1)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1,801,127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1,642,525</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463,645</w:t>
            </w: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N/A(2)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N/A(2)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Sativex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12,707</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N/A(2)</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2,335,393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1,646,239</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Zepzelca</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246,808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90,380</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Vyxeos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134,060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121,105</w:t>
            </w:r>
          </w:p>
        </w:tc>
        <w:tc>
          <w:tcPr>
            <w:tcW w:w="1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121,407</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172,938</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Erwinaze/Erwinase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147,136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177,465</w:t>
            </w:r>
          </w:p>
        </w:tc>
      </w:tr>
      <w:tr>
        <w:trPr>
          <w:trHeight w:val="223"/>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Oncology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554,463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471,810</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17,552</w:t>
            </w:r>
          </w:p>
        </w:tc>
      </w:tr>
      <w:tr>
        <w:trPr>
          <w:trHeight w:val="223"/>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 net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3,079,001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2,346,660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2,135,601</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26,160</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3,094,238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2,363,567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2,161,761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560" w:hanging="309"/>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Comparison to prior period is not meaningful.</w:t>
      </w:r>
    </w:p>
    <w:p>
      <w:pPr>
        <w:spacing w:after="0" w:line="9" w:lineRule="exact"/>
        <w:rPr>
          <w:rFonts w:ascii="Arial" w:cs="Arial" w:eastAsia="Arial" w:hAnsi="Arial"/>
          <w:sz w:val="18"/>
          <w:szCs w:val="18"/>
          <w:color w:val="auto"/>
        </w:rPr>
      </w:pPr>
    </w:p>
    <w:p>
      <w:pPr>
        <w:ind w:left="580" w:right="120" w:hanging="329"/>
        <w:spacing w:after="0" w:line="260" w:lineRule="auto"/>
        <w:tabs>
          <w:tab w:leader="none" w:pos="5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operations of the GW business have been included from the closing of the GW Acquisition on May 5, 2021 and comparison to prior period is not meaningful.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Total oxybate product sales increased in 2021 compared to 2020 primarily due to a higher average selling price, partially offset by higher gross to net deductions driven by higher Tricare rebates and additional commercial payor contracts, and to a lesser extent a decrease in commercial sales volumes. Total oxybate revenue bottle volume decreased by 1% in 2021 compared to 2020 reflecting our continued investment in patient access programs during the launch of Xywav. Average active oxybate patients on therapy were approximately 16,200 in the fourth quarter of 2021, an increase of approximately 6% compared to the same period in 2020. Xyrem product sales decreased in 2021 compared to 2020 primarily due to a decrease in sales volume, due to the strong adoption of Xywav by existing Xyrem patients, partially offset by a higher average net selling price. Price increases were instituted in January 2021 and January 2020. Xywav product sales were $535.3 million in 2021 compared to $15.3 million in 2020, following its U.S. launch in November 2020. Total oxybate product sales increased in 2020 compared to 2019 primarily due to a higher average selling price and, to a lesser extent, an increase in commercial sales volume, partially offset by higher gross to net deductions. Total oxybate revenue bottle volume increased by 4% in 2020 compared to 2019 primarily driven by persistence and compliance among existing Xyrem patients. Xyrem product sales increased in 2020 compared to 2019 primarily due to a higher average selling price and, to a lesser extent, an increase in sales volume, partially offset by higher gross to net deductions driven by managed care plans and commercial payor contracts. Price increases were instituted in January 2020, and in January and July 2019. In 2020 new patient diagnoses and enrollments were negatively impacted by COVID-19. Epidiolex/Epidyolex product sales in 2021, from the closing of the GW Acquisition on May 5, 2021 to December 31, 2021 were $463.6 million. On a pro forma basis, Epidiolex/Epidyolex product sales increased by 29% in 2021 compared to 2020, primarily due to an increase in commercial sales volumes. Sunosi product sales increased in 2021, compared to 2020 primarily due to an increase in sales volume, partially offset by higher gross to net deductions. Sunosi product sales increased in 2020 compared to 2019 following launch in the U.S. in July 2019 and the European rolling launch commenced in May 2020.</w:t>
      </w:r>
    </w:p>
    <w:p>
      <w:pPr>
        <w:spacing w:after="0" w:line="284"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Zepzelca product sales increased in 2021 compared to 2020 primarily due to higher sales volumes following launch in the U.S in July 2020. Rylaze product sales were $85.6 million in 2021, following its U.S. launch in July 2021. Vyxeos product sales increased in 2021 compared to 2020 primarily due to lower gross to net deductions driven by a reduction in the returns provision due to lower than estimated actual returns. Vyxeos product sales in 2020 were in line with 2019. Defitelio/defibrotide product sales increased in 2021 compared to 2020, primarily due to the positive impact of foreign exchange rates, partially offset by lower average net selling price due to regional mix. Defitelio/defibrotide product sales increased in 2020</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compared to 2019, primarily due to higher sales volumes, partially offset by lower average net selling price due to regional mix. We distributed our final Erwinaze inventory in June 2021 following expiration of our license and supply agreement. Erwinaze/Erwinase product sales decreased in 2020 compared to 2019 primarily due to limited availability of supply of inventory from the manufacturer. We expect product sales, net will increase in 2022 over 2021, primarily due to an increase in sales of Xywav partially offset by a decrease in sales of Xyrem as patients continue to transition to Xywav, expected growth in, and the inclusion of a full year sales of, Epidiolex and Rylaze and expected growth in sales of Zepzelca.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40" w:firstLine="445"/>
        <w:spacing w:after="0" w:line="286" w:lineRule="auto"/>
        <w:rPr>
          <w:sz w:val="20"/>
          <w:szCs w:val="20"/>
          <w:color w:val="auto"/>
        </w:rPr>
      </w:pPr>
      <w:r>
        <w:rPr>
          <w:rFonts w:ascii="Arial" w:cs="Arial" w:eastAsia="Arial" w:hAnsi="Arial"/>
          <w:sz w:val="17"/>
          <w:szCs w:val="17"/>
          <w:color w:val="auto"/>
        </w:rPr>
        <w:t>Royalties and contract revenues decreased in 2021 compared to 2020 primarily due to lower contract revenues from out-licensing agreements. Royalties and contract revenues decreased in 2020 compared to 2019 primarily due to lower milestone revenues from out-licensing agreements. We expect royalties and contract revenues to increase in 2022 compared to 2021 primarily due to increased royalty revenue.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160" w:firstLine="445"/>
        <w:spacing w:after="0" w:line="287" w:lineRule="auto"/>
        <w:rPr>
          <w:sz w:val="20"/>
          <w:szCs w:val="20"/>
          <w:color w:val="auto"/>
        </w:rPr>
      </w:pPr>
      <w:r>
        <w:rPr>
          <w:rFonts w:ascii="Arial" w:cs="Arial" w:eastAsia="Arial" w:hAnsi="Arial"/>
          <w:sz w:val="16"/>
          <w:szCs w:val="16"/>
          <w:color w:val="auto"/>
        </w:rPr>
        <w:t>Cost of product sales increased in 2021 compared to 2020, primarily due to the cost of product sales acquired in the GW Acquisition, including the acquisition accounting inventory fair value step-up expense, or fair value step-up expense. Cost of product sales increased in 2020 compared to 2019, primarily due to a change in product mix and an increase in net product sales. Gross margin as a percentage of net product sales was 85.7%, 93.7% and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94.0% in 2021, 2020 and 2019, respectively. The decrease in our gross margin percentage in 2021 compared to 2020 was primarily due to the impact of the fair value step-up expense. We expect our cost of product sales to increase in 2022 compared to 2021 primarily driven by the inclusion of a full year of fair value step-up expense.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Selling, general and administrative expenses increased in 2021 compared to 2020 primarily due to transaction and integration-related expenses of $229.0 million in 2021, an increase in compensation-related expenses driven by higher headcount as a result of the GW Acquisition and increased investment in sales and marketing spend primarily related to Sunosi, Epidiolex and Xywav. Selling, general and administrative expenses increased in 2020 compared to 2019 primarily due to increased investment in sales, marketing and launch activities related to the launches of Zepzelca and Xywav in the U.S., and the continuation of the launch of Sunosi in the U.S., as well as an increase in other expenses related to the expansion of our business. We expect selling, general and administrative expenses in 2022 to decrease compared to 2021, primarily due to a reduction in transaction and integration-related expenses, together with synergies expected to be realized connected to the GW Acquisition, partially offset by the inclusion of full year expense related to the GW Acquisition.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Research and development expenses consist primarily of costs related to clinical studies and outside services, personnel expenses, milestone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133,042</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193,716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127,794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100,090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Research and development expenses increased by $170.4 million in 2021 compared to 2020. Clinical studies and outside services costs increased in 2021 compared to 2020 primarily due to the addition of costs related to clinical programs for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nabiximols, Epidiolex and cannabinoids and an increase in costs related to suvecaltamide (JZP385) and JZP150. Personnel expenses increased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$65.9 million in 2021 compared to 2020, primarily due to increased headcount primarily driven by the GW Acquisition. Milestone expense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$15.0 million in 2021 primarily related to milestones expense of $13.0 million made under our asset purchase and collaboration agreements with Redx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Pharma, or Redx. Research and development expenses increased by $35.6 million in 2020 compared to 2019. Clinical studies and outside services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in 2020 compared to 2019 primarily due to the progress made on our clinical programs, including JZP458 and JZP385. Personnel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$27.7 million in 2020 compared to 2019, primarily due to increased headcount in support of our development programs. Milestone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$26.0 million in 2019 related to milestone payments made under our license and option agreement with Ligand Pharmaceuticals Incorporated, or Ligand.</w:t>
      </w:r>
    </w:p>
    <w:p>
      <w:pPr>
        <w:spacing w:after="0" w:line="126"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For 2022, we expect that our research and development expenses will continue to increase from previous levels due to the inclusion of a full year of expense with respect to the acquired GW business and as we prepare for anticipated data read-outs from clinical trials, initiate and undertake additional clinical trials and related development work and potentially acquire rights to additional product candidates.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Intangible asset amortization increased by $266.2 million in 2021 compared to 2020 primarily due to the commencement of amortization on the intangible assets arising from the GW Acquisition in May 2021, primarily related to Epidiolex. Intangible asset amortization decreased in 2020 compared to 2019 primarily due to the amortization of the cost of the priority review voucher, or PRV, of $111.1 million in full in 2019 following the notification to FDA of our intention to redeem it in the NDA submission for Xywav, partially offset by the commencement of amortization of the Zepzelca intangible asset upon FDA approval in June 2020. Intangible asset amortization is expected to increase in 2022 compared to 2021 primarily as a result of the inclusion of a full years amortization on the intangible assets acquired in the GW Acquisition.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17"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In 2020, we recorded an acquired in-process research and development, or IPR&amp;D, asset impairment charge of $136.1 million following the decision to stop enrollment in our Phase 3 clinical study of defibrotide for the prevention of VOD due to a determination that the study was highly unlikely to reach one of its primary endpoints.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40" w:firstLine="445"/>
        <w:spacing w:after="0" w:line="286" w:lineRule="auto"/>
        <w:rPr>
          <w:sz w:val="20"/>
          <w:szCs w:val="20"/>
          <w:color w:val="auto"/>
        </w:rPr>
      </w:pPr>
      <w:r>
        <w:rPr>
          <w:rFonts w:ascii="Arial" w:cs="Arial" w:eastAsia="Arial" w:hAnsi="Arial"/>
          <w:sz w:val="17"/>
          <w:szCs w:val="17"/>
          <w:color w:val="auto"/>
        </w:rPr>
        <w:t>Acquired IPR&amp;D expense in 2020 primarily related to an upfront payment of $200.0 million to PharmaMar in connection with our license agreement for Zepzelca. In 2019, acquired IPR&amp;D expense primarily related to an upfront payment of $56.0 million to Codiak in connection with our strategic collaboration agreement and the value attributed to suvecaltamide (JZP385) in the acquisition of Cavion, Inc., or Cavion.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80" w:firstLine="445"/>
        <w:spacing w:after="0" w:line="285" w:lineRule="auto"/>
        <w:rPr>
          <w:sz w:val="20"/>
          <w:szCs w:val="20"/>
          <w:color w:val="auto"/>
        </w:rPr>
      </w:pPr>
      <w:r>
        <w:rPr>
          <w:rFonts w:ascii="Arial" w:cs="Arial" w:eastAsia="Arial" w:hAnsi="Arial"/>
          <w:sz w:val="16"/>
          <w:szCs w:val="16"/>
          <w:color w:val="auto"/>
        </w:rPr>
        <w:t>Interest expense, net increased by $179.1 million in 2021 compared to 2020, primarily due to increased interest expense incurred on the Term Loan and the Secured Notes which were used, in part, to finance the cash portion of the GW Acquisition and higher non-cash interest expense following the issuance of our 2.00% exchangeable senior notes due 2026, or the 2026 Notes, in June 2020. Interest expense, net increased by $27.4 million in 2020 compared to 2019, primarily due to higher non-cash interest expense following the issuance of the 2026 Notes, lower interest income and a loss on extinguishment of debt related to the partial repurchases of our 1.875% exchangeable senior notes due 2021, or the 2021 Notes. We adopted ASU No.</w:t>
      </w:r>
    </w:p>
    <w:p>
      <w:pPr>
        <w:spacing w:after="0" w:line="2"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2020-06, “Debt—Debt with Conversion and Other Options (Subtopic 470-20) and Derivatives and Hedging— Contracts in Entity’s Own Equity (Subtopic 815-40): Accounting for Convertible Instruments and Contracts in an Entity’s Own Equity”, or ASU 2020-06, on January 1, 2022, and as a result we expect interest expense, net to decrease in 2022 compared to 2021 due to decreased non-cash interest expense on our 1.50% exchangeable senior notes due 2024, or the 2024 Notes and the 2026 Notes, as we will no longer recognize non-cash interest expense on the debt discount, partially offset by an increase in interest expense primarily related to a full year of interest expense on the Term Loan and Secured Notes. For more information relating to ASU 2020-06 see Note 2, Summary of Significant Accounting Policies included in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40" w:firstLine="445"/>
        <w:spacing w:after="0" w:line="342" w:lineRule="auto"/>
        <w:rPr>
          <w:sz w:val="20"/>
          <w:szCs w:val="20"/>
          <w:color w:val="auto"/>
        </w:rPr>
      </w:pPr>
      <w:r>
        <w:rPr>
          <w:rFonts w:ascii="Arial" w:cs="Arial" w:eastAsia="Arial" w:hAnsi="Arial"/>
          <w:sz w:val="16"/>
          <w:szCs w:val="16"/>
          <w:color w:val="auto"/>
        </w:rPr>
        <w:t>The foreign exchange loss is primarily related to the translation of euro and sterling-denominated net monetary liabilities, primarily intercompany balances, held by subsidiaries with a U.S. dollar functional currency and related foreign exchange forward contracts not designated as hedging instruments.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Our income tax expense was $216.1 million and $33.5 million in 2021 and 2020, respectively, and our income tax benefit was $73.2 million in 2019. Our income tax expense in 2021 included an expense of $259.9 million arising on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remeasurement of our U.K. net deferred tax liability, which arose primarily in relation to the GW Acquisition, due to a change in the statutory tax rate in the U.K. following enactment of the U.K. Finance Act 2021. Excluding this impact, the increase in benefit for income taxes in 2021 compared to 2020 resulted primarily from the mix of pre-tax income and losses incurred across tax jurisdictions, deductions on subsidiary equity and the impacts recognized in 2020 of the disallowance of certain interest deductions and a provision for a proposed settlement reached with the French taxing authorities. Our income tax benefit in 2019 included a discrete tax benefit of $112.3 million resulting from an intra-entity intellectual property asset transfer. Excluding this effect, the increase in the effective tax rate for 2020 compared to 2019 was primarily due to the benefit recognized in 2019 from the application of the Italian patent box incentive regime 2015 through 2019 and the impacts recognized in 2020 of the disallowance of certain interest deductions and a provision for a proposed settlement reached with the French taxing authorities.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Investees</w:t>
      </w:r>
    </w:p>
    <w:p>
      <w:pPr>
        <w:spacing w:after="0" w:line="117"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Equity in loss of investees relates to our share in the net loss of companies in which we have made investments accounted for under the equity method of accounting.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As of December 31, 2021, we had cash and cash equivalents of $591.4 million, borrowing availability under our revolving credit facility of $500.0 million and a long-term debt principal balance of $6.4 billion. Our long-term debt included $3.3 billion aggregate principal amount Term Loan, $1.5 billion principal amount of the Secured Notes, $575.0 million principal amount of the 2024 Notes, and $1.0 billion principal amount of the 2026 Notes. During 2021, 2020 and 2019, we generated cash flows from operations of $778.5 million, $899.6 million and $776.4 million, respectively, and we expect to continue to generate positive cash flow from operations which will enable us to operate our business and de-lever our balance sheet over time.</w:t>
      </w:r>
    </w:p>
    <w:p>
      <w:pPr>
        <w:spacing w:after="0" w:line="53"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April 2021, we issued $1.5 billion in aggregate principal amount of the Secured Notes and in May 2021 we entered into the Credit Agreement that provides for $3.8 billion in aggregate principal amount of the Term Loan, and a five-year $500.0 million Revolving Credit Facility, which is currently undrawn. We used the proceeds from the Term Loan (i) to repay in full $575.9 million that was outstanding under our credit agreement, dated as of June 18, 2015, or the Existing Credit Agreement, (ii) to fund, in part, the cash consideration payable in connection with the GW Acquisition and (iii) to pay related fees and expenses. We expect to use future loans under the Revolving Credit Facility, if any, for general corporate purposes, including potential business development activities.</w:t>
      </w:r>
    </w:p>
    <w:p>
      <w:pPr>
        <w:spacing w:after="0" w:line="84" w:lineRule="exact"/>
        <w:rPr>
          <w:sz w:val="20"/>
          <w:szCs w:val="20"/>
          <w:color w:val="auto"/>
        </w:rPr>
      </w:pPr>
    </w:p>
    <w:p>
      <w:pPr>
        <w:ind w:right="120" w:firstLine="445"/>
        <w:spacing w:after="0" w:line="342" w:lineRule="auto"/>
        <w:rPr>
          <w:sz w:val="20"/>
          <w:szCs w:val="20"/>
          <w:color w:val="auto"/>
        </w:rPr>
      </w:pPr>
      <w:r>
        <w:rPr>
          <w:rFonts w:ascii="Arial" w:cs="Arial" w:eastAsia="Arial" w:hAnsi="Arial"/>
          <w:sz w:val="16"/>
          <w:szCs w:val="16"/>
          <w:color w:val="auto"/>
        </w:rPr>
        <w:t>In September and December 2021, we made voluntary prepayments totaling €416.7 million or $502.0 million on the Euro Term Loan and in August 2021 we repurchased the remaining $218.8 million aggregate principal amount of our 1.875% exchangeable senior notes due 2021, or the 2021 Notes.</w:t>
      </w:r>
    </w:p>
    <w:p>
      <w:pPr>
        <w:spacing w:after="0" w:line="16" w:lineRule="exact"/>
        <w:rPr>
          <w:sz w:val="20"/>
          <w:szCs w:val="20"/>
          <w:color w:val="auto"/>
        </w:rPr>
      </w:pPr>
    </w:p>
    <w:p>
      <w:pPr>
        <w:ind w:right="180" w:firstLine="445"/>
        <w:spacing w:after="0" w:line="219" w:lineRule="exact"/>
        <w:rPr>
          <w:sz w:val="20"/>
          <w:szCs w:val="20"/>
          <w:color w:val="auto"/>
        </w:rPr>
      </w:pPr>
      <w:r>
        <w:rPr>
          <w:rFonts w:ascii="Arial" w:cs="Arial" w:eastAsia="Arial" w:hAnsi="Arial"/>
          <w:sz w:val="18"/>
          <w:szCs w:val="18"/>
          <w:color w:val="auto"/>
        </w:rPr>
        <w:t>We have a significant amount of debt outstanding on a consolidated basis. For a more detailed description of our debt arrangements, including information relating to our scheduled maturities with respect to our long-term debt see Note 12, Debt,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This substantial level of debt could have important consequences to our business, including, but not limited to the factors set forth in in Part I, Item 1A “Risk Factors”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160" w:firstLine="445"/>
        <w:spacing w:after="0" w:line="218" w:lineRule="exact"/>
        <w:rPr>
          <w:sz w:val="20"/>
          <w:szCs w:val="20"/>
          <w:color w:val="auto"/>
        </w:rPr>
      </w:pPr>
      <w:r>
        <w:rPr>
          <w:rFonts w:ascii="Arial" w:cs="Arial" w:eastAsia="Arial" w:hAnsi="Arial"/>
          <w:sz w:val="17"/>
          <w:szCs w:val="17"/>
          <w:color w:val="auto"/>
        </w:rPr>
        <w:t>We believe that our existing cash and cash equivalents balance,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 Item 1A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K under the headings “Risks Related to our Lead Products and Product Candidates” and </w:t>
      </w:r>
      <w:r>
        <w:rPr>
          <w:rFonts w:ascii="Arial" w:cs="Arial" w:eastAsia="Arial" w:hAnsi="Arial"/>
          <w:sz w:val="17"/>
          <w:szCs w:val="17"/>
          <w:i w:val="1"/>
          <w:iCs w:val="1"/>
          <w:color w:val="auto"/>
        </w:rPr>
        <w:t>“To continue to grow our business, we will need to commit substantial resources, which could result in future losses or otherwise limit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opportunities or affect our ability to operate and grow our business.” </w:t>
      </w:r>
      <w:r>
        <w:rPr>
          <w:rFonts w:ascii="Arial" w:cs="Arial" w:eastAsia="Arial" w:hAnsi="Arial"/>
          <w:sz w:val="17"/>
          <w:szCs w:val="17"/>
          <w:color w:val="auto"/>
        </w:rPr>
        <w:t>Our assumptions may prove to be wrong or other factors may adversely affect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95"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the COVID-19 pandemic continues to rapidly evolve and has resulted in significant volatility in the global financial markets. If this volatility persists and deepens,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extraordinary general meeting of shareholders in September 2021, our shareholders voted to approve our proposal to dis-apply the statutory pre-emption obligation on terms that are substantially more limited than our general pre-emption opt-out authority that had been in effect prior to August 4, 2021, which could adversely affect our ability to effectively use our unissued share capital to fund in-licensing or acquisition opportunities, or to otherwise raise additional capital for our business.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Credit Agreement and the indenture for the Secured Notes for certain financings.</w:t>
      </w:r>
    </w:p>
    <w:p>
      <w:pPr>
        <w:spacing w:after="0" w:line="63"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In November 2016, our board of directors authorized a share repurchase program and as of December 31, 2021 had authorized the repurchase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2021, we did not repurchase any of our ordinary shares under the share repurchase program. In 2020, we spent a total of $146.5 million to repurchase 1.2 million of our ordinary shares at an average total purchase price, including brokerage commissions, of $121.98 per share. All ordinary shares repurchased were canceled. As of December 31, 2021, the remaining amount authorized under the share repurchase program was $431.2 million.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our cash flows for the periods indicated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776,401</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(5,212,143)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(1,007,670)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(155,300)</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3,970,522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(293,745)</w:t>
            </w: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327,722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Net cash provided by operating activities decreased by $121.1 million in 2021 compared to 2020, primarily due to the payment of transaction and integration-related costs related to the GW Acquisition.</w:t>
      </w:r>
    </w:p>
    <w:p>
      <w:pPr>
        <w:spacing w:after="0" w:line="6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Net cash provided by operating activities increased by $123.2 million in 2020 compared to 2019, primarily due to a decrease in net outflow related to changes in operating assets and liabilities including the impact of the $58.6 million payment related to a civil settlement agreement with the DOJ and the OIG in 2019 together with an increase in accounts receivable of $38.6 million due to higher product sales together with the timing of receipts from customers and other working capital movements.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increased by $4,204.5 million in 2021 compared to 2020, primarily due to the following:</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$6,234.8 million outflow related to the net cash paid for the GW Acquisition; partially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$1,710.9 million increase in net proceeds from maturity of investments, primarily time deposits;</w:t>
      </w:r>
    </w:p>
    <w:p>
      <w:pPr>
        <w:spacing w:after="0" w:line="117"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$251.3 million decrease in upfront payments for acquired IPR&amp;D primarily driven by the $200.0 million payment under our license agreement with PharmaMar and the $35.0 million payment under our asset purchase and exclusive license agreement with SpringWorks in 2020; and</w:t>
      </w:r>
    </w:p>
    <w:p>
      <w:pPr>
        <w:spacing w:after="0" w:line="15" w:lineRule="exact"/>
        <w:rPr>
          <w:rFonts w:ascii="Arial" w:cs="Arial" w:eastAsia="Arial" w:hAnsi="Arial"/>
          <w:sz w:val="16"/>
          <w:szCs w:val="16"/>
          <w:color w:val="auto"/>
        </w:rPr>
      </w:pPr>
    </w:p>
    <w:p>
      <w:pPr>
        <w:ind w:left="660" w:right="5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$95.1 million decrease in acquisition of intangible assets primarily related to our $100.0 million milestone payment to PharmaMar on FDA approval of Zepzelca in 2020.</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increased by $852.4 million in 2020 compared to 2019, primarily due to the following:</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$710.6 million net increase in the acquisition of investments, primarily time deposits;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$189.6 million increase in upfront payments for acquired IPR&amp;D primarily driven by our $200.0 million payment to PharmaMar and the</w:t>
      </w:r>
    </w:p>
    <w:p>
      <w:pPr>
        <w:spacing w:after="0" w:line="34" w:lineRule="exact"/>
        <w:rPr>
          <w:rFonts w:ascii="Arial" w:cs="Arial" w:eastAsia="Arial" w:hAnsi="Arial"/>
          <w:sz w:val="17"/>
          <w:szCs w:val="17"/>
          <w:color w:val="auto"/>
        </w:rPr>
      </w:pPr>
    </w:p>
    <w:p>
      <w:pPr>
        <w:ind w:left="660" w:right="80"/>
        <w:spacing w:after="0" w:line="260" w:lineRule="auto"/>
        <w:rPr>
          <w:rFonts w:ascii="Arial" w:cs="Arial" w:eastAsia="Arial" w:hAnsi="Arial"/>
          <w:sz w:val="17"/>
          <w:szCs w:val="17"/>
          <w:color w:val="auto"/>
        </w:rPr>
      </w:pPr>
      <w:r>
        <w:rPr>
          <w:rFonts w:ascii="Arial" w:cs="Arial" w:eastAsia="Arial" w:hAnsi="Arial"/>
          <w:sz w:val="18"/>
          <w:szCs w:val="18"/>
          <w:color w:val="auto"/>
        </w:rPr>
        <w:t>$35.0 million to SpringWorks in 2020, compared to 2019 which included a payment of $56.0 million under our strategic collaboration agreement with Codiak; partially offset by</w:t>
      </w:r>
    </w:p>
    <w:p>
      <w:pPr>
        <w:spacing w:after="0" w:line="77"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consideration, net of cash acquired of $55.1 million related to our acquisition of Cavion in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financing activities increased by $3,442.4 million in 2021 compared to 2020, primarily due to:</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of $3,279.1 million in debt financing due to:</w:t>
      </w:r>
    </w:p>
    <w:p>
      <w:pPr>
        <w:spacing w:after="0" w:line="117" w:lineRule="exact"/>
        <w:rPr>
          <w:rFonts w:ascii="Arial" w:cs="Arial" w:eastAsia="Arial" w:hAnsi="Arial"/>
          <w:sz w:val="18"/>
          <w:szCs w:val="18"/>
          <w:color w:val="auto"/>
        </w:rPr>
      </w:pPr>
    </w:p>
    <w:p>
      <w:pPr>
        <w:jc w:val="both"/>
        <w:ind w:left="1300" w:right="160" w:hanging="320"/>
        <w:spacing w:after="0" w:line="263"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Net proceeds from issuance of borrowings under the Credit Agreement of $3,719.9 million and the Secured Notes of $1,471.5 million, partially offset by $1,101.8 million in repayment of long-term debt and payments for repurchase of the 2021 Notes of $218.8 million in the year ended December 31, 2021; compared to</w:t>
      </w:r>
    </w:p>
    <w:p>
      <w:pPr>
        <w:spacing w:after="0" w:line="75" w:lineRule="exact"/>
        <w:rPr>
          <w:rFonts w:ascii="Arial" w:cs="Arial" w:eastAsia="Arial" w:hAnsi="Arial"/>
          <w:sz w:val="18"/>
          <w:szCs w:val="18"/>
          <w:color w:val="auto"/>
        </w:rPr>
      </w:pPr>
    </w:p>
    <w:p>
      <w:pPr>
        <w:ind w:left="1300" w:right="60" w:hanging="320"/>
        <w:spacing w:after="0" w:line="277"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Net proceeds from issuance of the 2026 Notes of $981.4 million, partially offset by payments for partial repurchase of the 2021 Notes of $356.2 million and repayment of long-term debt of $33.4 million in the year ended December 31, 2020.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share repurchases of $146.5 million in the year ended December 31,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of $35.6 million in proceeds from employee equity incentive and purchase plans in the year ended December 31, 2021.</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(used in) financing activities increased by $821.8 million in 2020 compared to 2019, primarily due to:</w:t>
      </w:r>
    </w:p>
    <w:p>
      <w:pPr>
        <w:spacing w:after="0" w:line="117" w:lineRule="exact"/>
        <w:rPr>
          <w:sz w:val="20"/>
          <w:szCs w:val="20"/>
          <w:color w:val="auto"/>
        </w:rPr>
      </w:pPr>
    </w:p>
    <w:p>
      <w:pPr>
        <w:ind w:left="660" w:right="5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receipt of $981.4 million in net proceeds from the issuance of the 2026 Notes, partially offset by $356.2 million of payments for partial repurchases of the 2021 Notes;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 of $154.9 million in share repurchases;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$41.9 million in proceeds from employee equity incentive and purchase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May 5, 2021, the Company, Jazz Financing Lux S.à.r.l., or Jazz Lux, and certain of our other subsidiaries, as borrowers, (collectively with the Company and Jazz Lux, the “Borrowers”), entered into the Credit Agreement, that provides for (i) the Dollar Term Loan which was drawn by Jazz Lux on the Closing Date in U.S. dollars (ii) the Euro Term Loan which was drawn by Jazz Lux on the Closing Date in Euros and (iii) the Revolving Credit Facility, which is available to be drawn by any Borrower in U.S. dollars.</w:t>
      </w:r>
    </w:p>
    <w:p>
      <w:pPr>
        <w:spacing w:after="0" w:line="79" w:lineRule="exact"/>
        <w:rPr>
          <w:sz w:val="20"/>
          <w:szCs w:val="20"/>
          <w:color w:val="auto"/>
        </w:rPr>
      </w:pPr>
    </w:p>
    <w:p>
      <w:pPr>
        <w:jc w:val="both"/>
        <w:ind w:right="400" w:firstLine="445"/>
        <w:spacing w:after="0" w:line="286" w:lineRule="auto"/>
        <w:rPr>
          <w:sz w:val="20"/>
          <w:szCs w:val="20"/>
          <w:color w:val="auto"/>
        </w:rPr>
      </w:pPr>
      <w:r>
        <w:rPr>
          <w:rFonts w:ascii="Arial" w:cs="Arial" w:eastAsia="Arial" w:hAnsi="Arial"/>
          <w:sz w:val="17"/>
          <w:szCs w:val="17"/>
          <w:color w:val="auto"/>
        </w:rPr>
        <w:t>We used the proceeds from the Term Loan (i) to repay in full $575.9 million under the Existing Credit Agreement, (ii) to fund, in part, the cash consideration payable in connection with the GW Acquisition and (iii) to pay related fees and expenses. Upon the repayment in full of loans under the Existing Credit Agreement, it was terminated and all guarantees and liens thereunder were released.</w:t>
      </w:r>
    </w:p>
    <w:p>
      <w:pPr>
        <w:spacing w:after="0" w:line="57"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Loans under the Term Loan and Revolving Credit Facility bear interest at a rate equal to (A) in the case of the Dollar Term Loan and the Revolving Credit Facility, at the applicable Borrower’s option, either (a) London Inter-Bank Offered Rate, or LIBOR or (b) the prime lending rate and (B) in the case of the Euro Term Loan, Euro Inter-Bank Offered Rate, or EURIBOR, in each case, plus an applicable margin. The applicable margin for the Term Loan is 3.50% (in the case of LIBOR or EURIBOR borrowings) and 2.50% (in the case of borrowings at the prime lending rate). The applicable margin for the Revolving Credit Facility ranges from 3.25% to 2.75% (in the case of LIBOR borrowings) and 2.25% to 1.75% (in the case of borrowings at the prime lending rate), depending on our first lien secured net leverage ratio level. The Dollar Term Loan is subject to a LIBOR floor of 0.50%, the Euro Term Loan and loans under the Revolving Credit Facility are not subject to a EURIBOR or LIBOR (as applicable) floor. The Revolving Credit Facility has a commitment fee payable on the undrawn amount ranging from 0.50% to 0.40% per annum based upon our first lien secured net leverage ratio.</w:t>
      </w:r>
    </w:p>
    <w:p>
      <w:pPr>
        <w:spacing w:after="0" w:line="57"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As of December 31, 2021, the interest rate and effective interest rate on the Dollar Term Loan were 4.00% and 4.55%, respectively. The interest rate and effective interest rate on the Euro Term Loan were 4.43% and 4.93%, respectively. As of December 31, 2021, we had an undrawn Revolving Credit Facility totaling $500.0 million.</w:t>
      </w:r>
    </w:p>
    <w:p>
      <w:pPr>
        <w:spacing w:after="0" w:line="76" w:lineRule="exact"/>
        <w:rPr>
          <w:sz w:val="20"/>
          <w:szCs w:val="20"/>
          <w:color w:val="auto"/>
        </w:rPr>
      </w:pPr>
    </w:p>
    <w:p>
      <w:pPr>
        <w:jc w:val="both"/>
        <w:ind w:right="220" w:firstLine="445"/>
        <w:spacing w:after="0" w:line="311" w:lineRule="auto"/>
        <w:rPr>
          <w:sz w:val="20"/>
          <w:szCs w:val="20"/>
          <w:color w:val="auto"/>
        </w:rPr>
      </w:pPr>
      <w:r>
        <w:rPr>
          <w:rFonts w:ascii="Arial" w:cs="Arial" w:eastAsia="Arial" w:hAnsi="Arial"/>
          <w:sz w:val="16"/>
          <w:szCs w:val="16"/>
          <w:color w:val="auto"/>
        </w:rPr>
        <w:t>The Borrowers’ obligations under the Credit Agreement and any hedging or cash management obligations entered into with any lender thereunder are guaranteed by the Company, the other borrowers, and each of the Company’s other existing or subsequently acquired or organized direct and indirect subsidiaries (subject to certain exceptions), or the Guarantors. We refer to the Borrowers and the Guarantors collectively as the “Loan Parties.”</w:t>
      </w:r>
    </w:p>
    <w:p>
      <w:pPr>
        <w:spacing w:after="0" w:line="41"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The Loan Parties’ obligations under the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7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We may make voluntary prepayments at any time without payment of a premium or penalty, subject to certain exceptions, and are required to make certain mandatory prepayments of outstanding indebtedness under the Credit Agreement in certain circumstances.</w:t>
      </w:r>
    </w:p>
    <w:p>
      <w:pPr>
        <w:spacing w:after="0" w:line="62" w:lineRule="exact"/>
        <w:rPr>
          <w:sz w:val="20"/>
          <w:szCs w:val="20"/>
          <w:color w:val="auto"/>
        </w:rPr>
      </w:pPr>
    </w:p>
    <w:p>
      <w:pPr>
        <w:ind w:right="260" w:firstLine="445"/>
        <w:spacing w:after="0" w:line="311" w:lineRule="auto"/>
        <w:rPr>
          <w:sz w:val="20"/>
          <w:szCs w:val="20"/>
          <w:color w:val="auto"/>
        </w:rPr>
      </w:pPr>
      <w:r>
        <w:rPr>
          <w:rFonts w:ascii="Arial" w:cs="Arial" w:eastAsia="Arial" w:hAnsi="Arial"/>
          <w:sz w:val="16"/>
          <w:szCs w:val="16"/>
          <w:color w:val="auto"/>
        </w:rPr>
        <w:t>Principal repayments of the Dollar Term Loan, which are due quarterly, began in September 2021 and are equal to 1.0% per annum of the original principal amount of $3.1 billion with any remaining balance payable on the maturity date. The Euro Term Loan does not have any mandatory principal repayments during its term, however in September and December 2021, we made voluntary prepayments totaling €416.7 million or $502.0 million.</w:t>
      </w:r>
    </w:p>
    <w:p>
      <w:pPr>
        <w:spacing w:after="0" w:line="41"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Credit Agreement contains customary representations and warranties and customary affirmative and negative covenants applicable to the Company and its restricted subsidiaries, including, among other things, restrictions on indebtedness, liens, investments, mergers, dispositions, prepayment of junior indebtedness and dividends and other distributions. The Credit Agreement contains financial covenants that require the Company and its restricted subsidiaries to (a) not exceed a maximum first lien secured net leverage ratio and (b) not fall below a minimum interest coverage ratio, provided that such covenants apply only to the Revolving Credit Facility and are applicable only if amounts are drawn (or non-cash collateralized letters of credit in excess of $50 million are outstanding) under the Revolving Credit Facility. The Credit Agreement also contains customary events of default relating to, among other things, failure to make payments, breach of covenants and breach of representations.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2029 Senior Secured Notes</w:t>
      </w:r>
    </w:p>
    <w:p>
      <w:pPr>
        <w:spacing w:after="0" w:line="121"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i w:val="1"/>
          <w:iCs w:val="1"/>
          <w:color w:val="auto"/>
        </w:rPr>
        <w:t>2029 Notes</w:t>
      </w:r>
      <w:r>
        <w:rPr>
          <w:rFonts w:ascii="Arial" w:cs="Arial" w:eastAsia="Arial" w:hAnsi="Arial"/>
          <w:sz w:val="18"/>
          <w:szCs w:val="18"/>
          <w:color w:val="auto"/>
        </w:rPr>
        <w:t>. On April 29, 2021, Jazz Securities Designated Activity Company, or Jazz Securities, a direct wholly owned subsidiary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closed the offering of the Secured Notes in a private placement. We used the proceeds from the Secured Notes to fund, in part, the cash consideration payable in connection with the GW Acquisition.</w:t>
      </w:r>
    </w:p>
    <w:p>
      <w:pPr>
        <w:spacing w:after="0" w:line="76"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Interest on the Secured Notes is payable semi-annually in arrears on January 15 and July 15 of each year, beginning on January 15, 2022, at a rate of 4.375% per year. The Secured Notes mature on January 15, 2029.</w:t>
      </w:r>
    </w:p>
    <w:p>
      <w:pPr>
        <w:spacing w:after="0" w:line="62" w:lineRule="exact"/>
        <w:rPr>
          <w:sz w:val="20"/>
          <w:szCs w:val="20"/>
          <w:color w:val="auto"/>
        </w:rPr>
      </w:pPr>
    </w:p>
    <w:p>
      <w:pPr>
        <w:jc w:val="both"/>
        <w:ind w:right="300" w:firstLine="445"/>
        <w:spacing w:after="0" w:line="311" w:lineRule="auto"/>
        <w:rPr>
          <w:sz w:val="20"/>
          <w:szCs w:val="20"/>
          <w:color w:val="auto"/>
        </w:rPr>
      </w:pPr>
      <w:r>
        <w:rPr>
          <w:rFonts w:ascii="Arial" w:cs="Arial" w:eastAsia="Arial" w:hAnsi="Arial"/>
          <w:sz w:val="16"/>
          <w:szCs w:val="16"/>
          <w:color w:val="auto"/>
        </w:rPr>
        <w:t>The Secured Notes are jointly and severally guaranteed by the Company and each of its restricted subsidiaries, other than Jazz Securities, that is a borrower, or a guarantor, under the Credit Agreement. The Secured Notes and related guarantees are secured by a first priority lien (subject to permitted liens and certain other exceptions), equally and ratably with the Credit Agreement, on the collateral securing the Credit Agreement.</w:t>
      </w:r>
    </w:p>
    <w:p>
      <w:pPr>
        <w:spacing w:after="0" w:line="41" w:lineRule="exact"/>
        <w:rPr>
          <w:sz w:val="20"/>
          <w:szCs w:val="20"/>
          <w:color w:val="auto"/>
        </w:rPr>
      </w:pPr>
    </w:p>
    <w:p>
      <w:pPr>
        <w:ind w:right="60" w:firstLine="445"/>
        <w:spacing w:after="0" w:line="288" w:lineRule="auto"/>
        <w:rPr>
          <w:sz w:val="20"/>
          <w:szCs w:val="20"/>
          <w:color w:val="auto"/>
        </w:rPr>
      </w:pPr>
      <w:r>
        <w:rPr>
          <w:rFonts w:ascii="Arial" w:cs="Arial" w:eastAsia="Arial" w:hAnsi="Arial"/>
          <w:sz w:val="16"/>
          <w:szCs w:val="16"/>
          <w:color w:val="auto"/>
        </w:rPr>
        <w:t>Except as described below, the Secured Notes may not be optionally redeemed before July 15, 2024. Thereafter, some or all of the Secured Notes, may be redeemed at any time and from time to time at a specified redemption prices, plus accrued and unpaid interest, if any, to, but excluding, to the redemption date. Jazz Securities may redeem all but not part of the Secured Notes at its option at any time in connection with certain tax-related events and may redeem some or all of the Secured Notes at any time and from time to time prior to July 15, 2024 at a price equal to 100% of the principal amount of the Secured Notes to be redeemed plus a “make whole” premium, plus accrued and unpaid interest, if any, to, but excluding, the redemption date. In addition, Jazz Securities may redeem up to 40% of the aggregate principal amount of the Secured Notes at any time and from time to time prior to July 15, 2024, with the net proceeds of certain equity offerings at a price of 104.375% of the principal amount of such Secured Notes, plus accrued and unpaid interest, if any, to, but excluding, the redemption date. In addition, during each of the three consecutive twelve-month periods commencing on the issue date of the Secured Notes, Jazz Securities may redeem up to 10% of the original aggregate initial principal amount of the Secured Notes at a redemption price of 103% of the principal amount of such Secured Notes, plus accrued and unpaid interest, if any, to, but excluding, the redemption date.</w:t>
      </w:r>
    </w:p>
    <w:p>
      <w:pPr>
        <w:spacing w:after="0" w:line="60" w:lineRule="exact"/>
        <w:rPr>
          <w:sz w:val="20"/>
          <w:szCs w:val="20"/>
          <w:color w:val="auto"/>
        </w:rPr>
      </w:pPr>
    </w:p>
    <w:p>
      <w:pPr>
        <w:jc w:val="both"/>
        <w:ind w:right="320" w:firstLine="445"/>
        <w:spacing w:after="0" w:line="263" w:lineRule="auto"/>
        <w:rPr>
          <w:sz w:val="20"/>
          <w:szCs w:val="20"/>
          <w:color w:val="auto"/>
        </w:rPr>
      </w:pPr>
      <w:r>
        <w:rPr>
          <w:rFonts w:ascii="Arial" w:cs="Arial" w:eastAsia="Arial" w:hAnsi="Arial"/>
          <w:sz w:val="18"/>
          <w:szCs w:val="18"/>
          <w:color w:val="auto"/>
        </w:rPr>
        <w:t>If Jazz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76"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indenture governing the Secured Notes contains customary affirmative covenants and negative covenants applicable to the Company and its restricted subsidiaries, including, among other things, restrictions on indebtedness, liens, investments, mergers, dispositions, prepayment of junior indebtedness and dividends and other distributions. If Jazz Securities or the Company’s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80" w:lineRule="exact"/>
        <w:rPr>
          <w:sz w:val="20"/>
          <w:szCs w:val="20"/>
          <w:color w:val="auto"/>
        </w:rPr>
      </w:pPr>
    </w:p>
    <w:p>
      <w:pPr>
        <w:ind w:right="1480" w:firstLine="445"/>
        <w:spacing w:after="0" w:line="375" w:lineRule="auto"/>
        <w:rPr>
          <w:sz w:val="20"/>
          <w:szCs w:val="20"/>
          <w:color w:val="auto"/>
        </w:rPr>
      </w:pPr>
      <w:r>
        <w:rPr>
          <w:rFonts w:ascii="Arial" w:cs="Arial" w:eastAsia="Arial" w:hAnsi="Arial"/>
          <w:sz w:val="18"/>
          <w:szCs w:val="18"/>
          <w:color w:val="auto"/>
        </w:rPr>
        <w:t xml:space="preserve">As of December 31, 2021, the interest rate and effective interest rate on the Secured Notes were 4.375% and 4.64%, respectively. </w:t>
      </w:r>
      <w:r>
        <w:rPr>
          <w:rFonts w:ascii="Arial" w:cs="Arial" w:eastAsia="Arial" w:hAnsi="Arial"/>
          <w:sz w:val="18"/>
          <w:szCs w:val="18"/>
          <w:b w:val="1"/>
          <w:bCs w:val="1"/>
          <w:color w:val="auto"/>
        </w:rPr>
        <w:t>Exchangeable Senior Notes</w:t>
      </w:r>
    </w:p>
    <w:p>
      <w:pPr>
        <w:spacing w:after="0" w:line="1"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2026 Notes</w:t>
      </w:r>
      <w:r>
        <w:rPr>
          <w:rFonts w:ascii="Arial" w:cs="Arial" w:eastAsia="Arial" w:hAnsi="Arial"/>
          <w:sz w:val="17"/>
          <w:szCs w:val="17"/>
          <w:color w:val="auto"/>
        </w:rPr>
        <w:t>. In the second quarter of 2020, Jazz Investments I Limited, our wholly owned subsidiary, completed a private placement of $1.0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the 2026 Notes. We used a portion of the net proceeds from this offering to repurchase for cash $332.9 million aggregate principal amount of the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i w:val="1"/>
          <w:iCs w:val="1"/>
          <w:color w:val="auto"/>
        </w:rPr>
        <w:t xml:space="preserve">2024 Notes. </w:t>
      </w:r>
      <w:r>
        <w:rPr>
          <w:rFonts w:ascii="Arial" w:cs="Arial" w:eastAsia="Arial" w:hAnsi="Arial"/>
          <w:sz w:val="17"/>
          <w:szCs w:val="17"/>
          <w:color w:val="auto"/>
        </w:rPr>
        <w:t>In the third quarter of 2017, our wholly owned subsidiary Jazz Investments I Limited, completed a private placement of $575.0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2024 Notes. We used the net proceeds from this offering to repay $500.0 million in outstanding loans under the revolving credit facility under the amended credit agreement and to pay related fees and expenses. We used the remainder of the net proceeds for general corporate purposes. The 2024 Notes are senior unsecured obligations of Jazz Investments I Limited and are fully and unconditionally guaranteed on a senior unsecured basis by Jazz Pharmaceuticals plc and will rank pari passu in right of payment with the existing 2021 Notes.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7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i w:val="1"/>
          <w:iCs w:val="1"/>
          <w:color w:val="auto"/>
        </w:rPr>
        <w:t xml:space="preserve">2021 Notes. </w:t>
      </w:r>
      <w:r>
        <w:rPr>
          <w:rFonts w:ascii="Arial" w:cs="Arial" w:eastAsia="Arial" w:hAnsi="Arial"/>
          <w:sz w:val="18"/>
          <w:szCs w:val="18"/>
          <w:color w:val="auto"/>
        </w:rPr>
        <w:t>In 2014, we completed a private placement of the 2021 Notes with a maturity date of August 15, 2021. Interest on the 2021 Notes was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in cash in arrears on February 15 and August 15 of each year, beginning on February 15, 2015, at a rate of 1.875% per year. The exchange rate was 5.0057 ordinary shares per $1,000 principal amount of 2021 Notes, which was equivalent to an exchange price of approximately $199.77 per ordinary share.</w:t>
      </w:r>
    </w:p>
    <w:p>
      <w:pPr>
        <w:spacing w:after="0" w:line="79"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In 2020 we repurchased $356.2 million aggregate principal amount of the 2021 Notes and we repurchased the remaining $218.8 million on maturity in August 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445"/>
        <w:spacing w:after="0" w:line="220" w:lineRule="exact"/>
        <w:rPr>
          <w:sz w:val="20"/>
          <w:szCs w:val="20"/>
          <w:color w:val="auto"/>
        </w:rPr>
      </w:pPr>
      <w:r>
        <w:rPr>
          <w:rFonts w:ascii="Arial" w:cs="Arial" w:eastAsia="Arial" w:hAnsi="Arial"/>
          <w:sz w:val="16"/>
          <w:szCs w:val="16"/>
          <w:color w:val="auto"/>
        </w:rPr>
        <w:t>Our primary contractual obligations relate to our outstanding indebtedness, as described above. We also have obligations under lease agreements and third-party manufacturing agreements. For information relating to our scheduled maturities with respect to our long-term debt and our lease liabilities see Note 12 Debt and Note 13 Leases, respectively, and for information relating to our noncancelable purchase commitments due within one year see Note 14 Commitments and Contingencies, included in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5"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also have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December 31, 2021 included $1,025.0 million across five targets under our strategic collaboration agreement with Codiak, $706.0 million under our amended license agreement with PharmaMar, $610.0 million under asset purchase and collaboration agreements with Redx, $375.0 million under the asset purchase and exclusive license agreement with SpringWorks, $260.0 million in connection with our acquisition of Cavion, $165.0 million to Aerial BioPharma LLC and SK Biopharmaceuticals Co. Ltd in connection with our acquisition of the rights to Sunosi, $155.5 million under our license agreement with Ligand and $391.2 million related to other agreements.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ind w:firstLine="445"/>
        <w:spacing w:after="0" w:line="219" w:lineRule="exact"/>
        <w:rPr>
          <w:sz w:val="20"/>
          <w:szCs w:val="20"/>
          <w:color w:val="auto"/>
        </w:rPr>
      </w:pPr>
      <w:r>
        <w:rPr>
          <w:rFonts w:ascii="Arial" w:cs="Arial" w:eastAsia="Arial" w:hAnsi="Arial"/>
          <w:sz w:val="18"/>
          <w:szCs w:val="18"/>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described in more detail in Note 2, Summary of Significant Accounting Policies,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we believe the following accounting estimates and policies to be critical.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76"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A significant portion of our net product revenues is derived from sales of Xywav and Xyrem. We sell Xywav and Xyrem in the U.S. to a single central pharmacy, Express Scripts Specialty Distribution Services, Inc., or ESSDS. In 2021, sales of Xywav and Xyrem to Express Scripts accounted for 58% of our net product sales. We recognize revenues from sales of Xywav and Xyrem within the U.S. when control has transferred to the customer, which occurs when ESSDS removes product from our consigned inventory location at its facility for shipment directly to a patient. We do not accept returns of Xywav or Xyrem from ESSDS.</w:t>
      </w:r>
    </w:p>
    <w:p>
      <w:pPr>
        <w:spacing w:after="0" w:line="8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i w:val="1"/>
          <w:iCs w:val="1"/>
          <w:color w:val="auto"/>
        </w:rPr>
        <w:t>Items Deducted from Gross Product Sales</w:t>
      </w:r>
      <w:r>
        <w:rPr>
          <w:rFonts w:ascii="Arial" w:cs="Arial" w:eastAsia="Arial" w:hAnsi="Arial"/>
          <w:sz w:val="17"/>
          <w:szCs w:val="17"/>
          <w:color w:val="auto"/>
        </w:rPr>
        <w:t>. Revenues from sales of products are recorded net of government rebates and rebates under managed care</w:t>
      </w:r>
      <w:r>
        <w:rPr>
          <w:rFonts w:ascii="Arial" w:cs="Arial" w:eastAsia="Arial" w:hAnsi="Arial"/>
          <w:sz w:val="17"/>
          <w:szCs w:val="17"/>
          <w:i w:val="1"/>
          <w:iCs w:val="1"/>
          <w:color w:val="auto"/>
        </w:rPr>
        <w:t xml:space="preserve"> </w:t>
      </w:r>
      <w:r>
        <w:rPr>
          <w:rFonts w:ascii="Arial" w:cs="Arial" w:eastAsia="Arial" w:hAnsi="Arial"/>
          <w:sz w:val="17"/>
          <w:szCs w:val="17"/>
          <w:color w:val="auto"/>
        </w:rPr>
        <w:t>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Because we derive a significant portion of our revenues from sales of Xywav and Xyrem in the U.S. to one specialty pharmacy customer, ESSDS, we have a much higher level of knowledge about each prescription than if we sold the product through the normal pharmaceutical wholesaler channel as we do with most of our other products. The most significant items deducted from gross product sales where we exercise judgment are rebates, sales returns and chargebacks.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activity and ending balances for our sales-related accruals and allowances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Rebates Payable</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Sales Returns</w:t>
            </w:r>
          </w:p>
        </w:tc>
        <w:tc>
          <w:tcPr>
            <w:tcW w:w="18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Chargebacks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Discounts and</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Distributor Fees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257,354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(245,275)</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101,568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421,382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(371,611)</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151,339</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GW Acquisition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58,459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656,295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(621,367)</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244,726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445"/>
        <w:spacing w:after="0" w:line="311" w:lineRule="auto"/>
        <w:rPr>
          <w:sz w:val="20"/>
          <w:szCs w:val="20"/>
          <w:color w:val="auto"/>
        </w:rPr>
      </w:pPr>
      <w:r>
        <w:rPr>
          <w:rFonts w:ascii="Arial" w:cs="Arial" w:eastAsia="Arial" w:hAnsi="Arial"/>
          <w:sz w:val="16"/>
          <w:szCs w:val="16"/>
          <w:color w:val="auto"/>
        </w:rPr>
        <w:t>Total items deducted from gross product sales were $656.3 million, $421.4 million and $257.4 million, or 17.6%, 15.2% and 10.8% as a percentage of gross product sales, in 2021, 2020 and 2019, respectively. Included in these amounts are immaterial adjustments related to prior-year sales due to changes in estimates. Such amounts represented less than 1% of net product sales for each of the years ended December 31, 2021, 2020 and 2019.</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are subject to rebates on sales made under governmental and managed-care pricing programs and commercial payor contracts in the U.S. The largest of these rebates is associated with sales covered by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and commercial payors in the U.S. In estimating our provisions for rebates, we consider relevant statutes with respect to governmental pricing programs and contractual sales terms with managed-care providers, commercial payors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distributors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and managed-care pricing programs is reasonable and appropriate given current facts and circumstances. However, estimates may vary from actual experience.</w:t>
      </w:r>
    </w:p>
    <w:p>
      <w:pPr>
        <w:spacing w:after="0" w:line="74"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Rebates were $440.8 million, $288.1 million and $153.9 million, or 11.8%, 10.4% and 6.5% as a percentage of gross product sales, in 2021, 2020 and 2019, respectively. Rebates as a percentage of gross product sales increased in 2021 compared to 2020 primarily due to the entry into additional contracts with commercial payors and the addition of Epidiolex to our product portfolio. Rebates as a percentage of gross product sales increased in 2020 compared to 2019 primarily due to the entry into additional contracts with commercial payors. Rebates as a percentage of gross product sales are expected to increase in 2022 compared to 2021, primarily due to rebate rate increases and additional commercial rebates.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80" w:lineRule="exact"/>
        <w:rPr>
          <w:sz w:val="20"/>
          <w:szCs w:val="20"/>
          <w:color w:val="auto"/>
        </w:rPr>
      </w:pPr>
    </w:p>
    <w:p>
      <w:pPr>
        <w:ind w:right="220" w:firstLine="445"/>
        <w:spacing w:after="0" w:line="296" w:lineRule="auto"/>
        <w:rPr>
          <w:sz w:val="20"/>
          <w:szCs w:val="20"/>
          <w:color w:val="auto"/>
        </w:rPr>
      </w:pPr>
      <w:r>
        <w:rPr>
          <w:rFonts w:ascii="Arial" w:cs="Arial" w:eastAsia="Arial" w:hAnsi="Arial"/>
          <w:sz w:val="16"/>
          <w:szCs w:val="16"/>
          <w:color w:val="auto"/>
        </w:rPr>
        <w:t>Sales returns were $(1.8) million, $18.4 million and $5.5 million, or (0.05)%, 0.7% and 0.2% as a percentage of gross product sales in 2021, 2020 and 2019, respectively. Sales returns as a percentage of gross product sales decreased in 2021 compared to 2020 driven by a reduction in the returns provision due to lower than estimated actual returns. The increase in sales returns in 2020 compared to 2019 was due to the commencement of a product return policy for certain products in 2020. Sales returns as a percentage of gross product sales did not change materially in 2020 compared to 2019. Sales returns as a percentage of gross product sales are not expected to change materially in 2022 compared to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Chargebacks</w:t>
      </w:r>
    </w:p>
    <w:p>
      <w:pPr>
        <w:spacing w:after="0" w:line="117"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We participate in chargeback programs with a number of entities, principally Federal Supply Schedule, Group Purchasing Organizations, and other public parties, under which pricing on products below wholesalers’ list prices is provided to participating entities. These entities purchase product through wholesalers at the contract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53"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Chargebacks were $91.4 million, $45.6 million and $41.9 million, or 2.4%, 1.6% and 1.8% as a percentage of gross product sales in 2021, 2020 and 2019, respectively. Chargebacks as a percentage of gross product sales increased in 2021 compared to 2020 primarily due to the addition of Epidiolex to Jazz’s portfolio. Chargebacks as a percentage of gross product sales did not change materially in 2020 compared to 2019. We expect that chargebacks will continue to significantly impact our reported net product sales. Chargebacks as a percentage of gross product sales are not expected to change materially in 2022 compared to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Discounts and distributor fees</w:t>
      </w:r>
    </w:p>
    <w:p>
      <w:pPr>
        <w:spacing w:after="0" w:line="117"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69" w:lineRule="exact"/>
        <w:rPr>
          <w:sz w:val="20"/>
          <w:szCs w:val="20"/>
          <w:color w:val="auto"/>
        </w:rPr>
      </w:pPr>
    </w:p>
    <w:p>
      <w:pPr>
        <w:jc w:val="both"/>
        <w:ind w:right="140" w:firstLine="445"/>
        <w:spacing w:after="0" w:line="296" w:lineRule="auto"/>
        <w:rPr>
          <w:sz w:val="20"/>
          <w:szCs w:val="20"/>
          <w:color w:val="auto"/>
        </w:rPr>
      </w:pPr>
      <w:r>
        <w:rPr>
          <w:rFonts w:ascii="Arial" w:cs="Arial" w:eastAsia="Arial" w:hAnsi="Arial"/>
          <w:sz w:val="16"/>
          <w:szCs w:val="16"/>
          <w:color w:val="auto"/>
        </w:rPr>
        <w:t>Discounts and distributor fees were $125.9 million, $69.3 million and $56.0 million, or 3.4%, 2.5% and 2.4% as a percentage of gross product sales in 2021, 2020 and 2019, respectively. Discounts and distributor fees as a percentage of gross product sales increased in 2021 compared to 2020 primarily due to the addition of Epidiolex to Jazz’s portfolio. Discounts and distributor fees as a percentage of gross product sales did not change materially in 2020 compared to 2019. We expect that discounts and distributor fees as a whole will continue to significantly impact our reported net product sales. Discounts and distributor fees as a percentage of gross product sales are not expected to change materially in 2022 compared to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Valuation of Intangibles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If the assets in a transaction include an input and a substantive process that together significantly contribute to the ability to create outputs, the transaction is treated as an acquisition of a business.</w:t>
      </w:r>
    </w:p>
    <w:p>
      <w:pPr>
        <w:spacing w:after="0" w:line="8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account for business combinations using the acquisition method of accounting, which requires that assets acquired and liabilities assumed generally be recorded at their fair values as of the acquisition date. 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2021 and concluded that goodwill was not impaired as the fair value of the reporting unit significantly exceeded its carrying amount, including goodwill. As of December 31, 2021, we had $1.8 billion of goodwill resulting from acquisitions accounted for as business combinations.</w:t>
      </w:r>
    </w:p>
    <w:p>
      <w:pPr>
        <w:spacing w:after="0" w:line="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transactions accounted for as acquisitions of assets,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are expensed unless there is an alternative future use. In addition, product development milestones are expensed upon achievement.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w:t>
      </w:r>
    </w:p>
    <w:p>
      <w:pPr>
        <w:spacing w:after="0" w:line="117"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We have acquired, and expect to continue to acquire, intangible assets through asset acquisitions or business combinations.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79" w:lineRule="exact"/>
        <w:rPr>
          <w:sz w:val="20"/>
          <w:szCs w:val="20"/>
          <w:color w:val="auto"/>
        </w:rPr>
      </w:pPr>
    </w:p>
    <w:p>
      <w:pPr>
        <w:ind w:left="580" w:hanging="32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estimating future cash flows including revenues and operating profits resulting from completed products and in-process projects;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11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Finite-lived intangible assets consist primarily of purchased developed technology and are amortized on a straight-line basis over their estimated useful lives, which range from two to 20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86" w:lineRule="exact"/>
        <w:rPr>
          <w:sz w:val="20"/>
          <w:szCs w:val="20"/>
          <w:color w:val="auto"/>
        </w:rPr>
      </w:pPr>
    </w:p>
    <w:p>
      <w:pPr>
        <w:ind w:right="20" w:firstLine="445"/>
        <w:spacing w:after="0" w:line="342" w:lineRule="auto"/>
        <w:rPr>
          <w:sz w:val="20"/>
          <w:szCs w:val="20"/>
          <w:color w:val="auto"/>
        </w:rPr>
      </w:pPr>
      <w:r>
        <w:rPr>
          <w:rFonts w:ascii="Arial" w:cs="Arial" w:eastAsia="Arial" w:hAnsi="Arial"/>
          <w:sz w:val="16"/>
          <w:szCs w:val="16"/>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1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As of December 31, 2021, we had $7.0 billion of finite-lived intangible assets, which included $4.9 billion associated with the Epidiolex intangible asset which we acquired in the GW Acquisition.</w:t>
      </w:r>
    </w:p>
    <w:p>
      <w:pPr>
        <w:spacing w:after="0" w:line="62" w:lineRule="exact"/>
        <w:rPr>
          <w:sz w:val="20"/>
          <w:szCs w:val="20"/>
          <w:color w:val="auto"/>
        </w:rPr>
      </w:pPr>
    </w:p>
    <w:p>
      <w:pPr>
        <w:ind w:right="260" w:firstLine="445"/>
        <w:spacing w:after="0" w:line="286" w:lineRule="auto"/>
        <w:rPr>
          <w:sz w:val="20"/>
          <w:szCs w:val="20"/>
          <w:color w:val="auto"/>
        </w:rPr>
      </w:pPr>
      <w:r>
        <w:rPr>
          <w:rFonts w:ascii="Arial" w:cs="Arial" w:eastAsia="Arial" w:hAnsi="Arial"/>
          <w:sz w:val="17"/>
          <w:szCs w:val="17"/>
          <w:color w:val="auto"/>
        </w:rPr>
        <w:t>We did not recognize an impairment charge related to our intangible assets in 2021 or 2019. In 2020, we recorded an acquired in-process research and development, or IPR&amp;D, asset impairment charge of $136.1 million following the decision to stop enrollment in our Phase 3 clinical study of defibrotide for the prevention of VOD due to a determination that the study is highly unlikely to reach one of its primary endpoints.</w:t>
      </w:r>
    </w:p>
    <w:p>
      <w:pPr>
        <w:spacing w:after="0" w:line="57" w:lineRule="exact"/>
        <w:rPr>
          <w:sz w:val="20"/>
          <w:szCs w:val="20"/>
          <w:color w:val="auto"/>
        </w:rPr>
      </w:pPr>
    </w:p>
    <w:p>
      <w:pPr>
        <w:ind w:firstLine="445"/>
        <w:spacing w:after="0" w:line="220" w:lineRule="exact"/>
        <w:rPr>
          <w:sz w:val="20"/>
          <w:szCs w:val="20"/>
          <w:color w:val="auto"/>
        </w:rPr>
      </w:pPr>
      <w:r>
        <w:rPr>
          <w:rFonts w:ascii="Arial" w:cs="Arial" w:eastAsia="Arial" w:hAnsi="Arial"/>
          <w:sz w:val="18"/>
          <w:szCs w:val="18"/>
          <w:color w:val="auto"/>
        </w:rPr>
        <w:t>Please refer to Note 10, Goodwill and Intangible Assets,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further information about our intangible assets and the remaining useful lives of our finite-lived intangible assets as of December 31, 2021.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79"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Our most significant tax jurisdictions are Ireland, the U.K. and the U.S. Significant estimates are required in determining our expense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91" w:lineRule="auto"/>
        <w:rPr>
          <w:sz w:val="20"/>
          <w:szCs w:val="20"/>
          <w:color w:val="auto"/>
        </w:rPr>
      </w:pPr>
      <w:r>
        <w:rPr>
          <w:rFonts w:ascii="Arial" w:cs="Arial" w:eastAsia="Arial" w:hAnsi="Arial"/>
          <w:sz w:val="16"/>
          <w:szCs w:val="16"/>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 These assumptions require significant judgment about the forecasts of future taxable income in applicable tax jurisdictions, which are based on our commercial experience to date and are consistent with the plans and estimates that we are using to manage our underlying business.</w:t>
      </w:r>
    </w:p>
    <w:p>
      <w:pPr>
        <w:spacing w:after="0" w:line="5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maintain a valuation allowance against certain other deferred tax assets where realizability is not certain. We periodically evaluate the likelihood of the realization of deferred tax assets and reduce the carrying amount of these deferred tax 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84"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expense (benefit).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445"/>
        <w:spacing w:after="0" w:line="223" w:lineRule="exact"/>
        <w:rPr>
          <w:sz w:val="20"/>
          <w:szCs w:val="20"/>
          <w:color w:val="auto"/>
        </w:rPr>
      </w:pPr>
      <w:r>
        <w:rPr>
          <w:rFonts w:ascii="Arial" w:cs="Arial" w:eastAsia="Arial" w:hAnsi="Arial"/>
          <w:sz w:val="18"/>
          <w:szCs w:val="18"/>
          <w:color w:val="auto"/>
        </w:rPr>
        <w:t>For a discussion of recent accounting pronouncements, please see Note 2, Summary of Significant Accounting Policies,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primary objectives of our investment policy, in order of priority, are as follows: safety and preservation of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as of December 31, 2021 consist of money market funds which are not subject to significant interest rate risk.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exposed to risks associated with changes in interest rates in connection with our term loan borrowings. In May 2021 we entered into a credit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or the Credit Agreement, that provides for (i) a seven-year $3.1 billion term loan B facility, or the Dollar Term Loan, (ii) a seven-year €625.0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term loan B facility, or the Euro Term Loan and, together with the Dollar Term Loan, collectively known as the Term Loan and (iii) a five-year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 million revolving credit facility, or the Revolving Credit Facility. We used the proceeds from the Term Loan (i) to repay in full $575.9 million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certain credit agreement, dated as of June 18, 2015 (as amended) among the Company, and certain of our other subsidiaries as borrowers, the lenders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party thereto and Bank of America, N.A., as administrative agent and collateral agent, or the Existing Credit Agreement, (ii) to fund, in part, the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payable in connection with the GW Acquisition and (iii) to pay related fees and expenses. There were no borrowings outstanding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as of December 31, 2021. In September and December 2021, we made voluntary prepayments totaling €416.7 million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$502.0 million on the Euro Term Loan. The Dollar Term Loan is subject to a London Inter-Bank Offering Rate, or LIBOR, floor of 0.50%.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borrowings of $3.3 billion as of December 31, 2021, a hypothetical 1% increase 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decrease in interest rates, above the LIBOR floor in the case of Dollar Term Loan borrowings, would increase or decrease net income for 2022 by approximately $33.2 million.</w:t>
      </w:r>
    </w:p>
    <w:p>
      <w:pPr>
        <w:spacing w:after="0" w:line="62" w:lineRule="exact"/>
        <w:rPr>
          <w:sz w:val="20"/>
          <w:szCs w:val="20"/>
          <w:color w:val="auto"/>
        </w:rPr>
      </w:pPr>
    </w:p>
    <w:p>
      <w:pPr>
        <w:ind w:right="80" w:firstLine="445"/>
        <w:spacing w:after="0" w:line="311" w:lineRule="auto"/>
        <w:rPr>
          <w:sz w:val="20"/>
          <w:szCs w:val="20"/>
          <w:color w:val="auto"/>
        </w:rPr>
      </w:pPr>
      <w:r>
        <w:rPr>
          <w:rFonts w:ascii="Arial" w:cs="Arial" w:eastAsia="Arial" w:hAnsi="Arial"/>
          <w:sz w:val="16"/>
          <w:szCs w:val="16"/>
          <w:color w:val="auto"/>
        </w:rPr>
        <w:t>In April 2021, we issued $1.5 billion in aggregate principal amount of 4.375% senior secured notes, due 2029, or the Secured Notes. In 2017, we completed a private placement of $575.0 million aggregate principal amount of 1.50% exchangeable senior notes due 2024, or the 2024 Notes, and in June 2020, we completed a private offering of $1.0 billion aggregate principal amount of 2.00% exchangeable senior notes due 2026, or the 2026 Notes.</w:t>
      </w:r>
    </w:p>
    <w:p>
      <w:pPr>
        <w:spacing w:after="0" w:line="4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Secured Notes, the 2024 Notes and the 2026 Notes have fixed annual interest rates of 4.375%, 1.50% and 2.00%, respectively, and we therefore, do not have economic interest rate exposure on the Secured Notes, the 2024 Notes and the 2026 Notes. However, the fair values of the Secured Notes, the 2024 Notes and the 2026 Notes are exposed to interest rate risk. Generally, the fair values of the Secured Notes, the 2024 Notes and the 2026 Notes will increase as interest rates fall and decrease as interest rates rise. The fair values of the 2024 Notes and the 2026 Notes are also affected by volatility in our ordinary share price. As of December 31, 2021 the fair values of the Secured Notes, the 2024 Notes and the 2026 Notes were estimated to be approximately $1.6 billion, $576.0 million and $1.1 billion, respectively.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July 2017, the Financial Conduct Authority, or FCA, the authority that regulates LIBOR, announced it intended to stop compelling banks to</w:t>
      </w:r>
    </w:p>
    <w:p>
      <w:pPr>
        <w:spacing w:after="0" w:line="61"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submit rates for the calculation of LIBOR after 2021. In a further update, on November 30, 2020, ICE Benchmark Administration, the administrator of LIBOR, with the support of the U.S. Federal Reserve and FCA, announced plans to consult on ceasing publication of LIBOR on December 31, 2021 for</w:t>
      </w:r>
    </w:p>
    <w:p>
      <w:pPr>
        <w:spacing w:after="0"/>
        <w:rPr>
          <w:sz w:val="20"/>
          <w:szCs w:val="20"/>
          <w:color w:val="auto"/>
        </w:rPr>
      </w:pPr>
      <w:r>
        <w:rPr>
          <w:rFonts w:ascii="Arial" w:cs="Arial" w:eastAsia="Arial" w:hAnsi="Arial"/>
          <w:sz w:val="16"/>
          <w:szCs w:val="16"/>
          <w:color w:val="auto"/>
        </w:rPr>
        <w:t>only the one week and two month LIBOR tenors, and on June 30, 2023 for all other LIBOR tenors. While this announcement extends the transition period</w:t>
      </w:r>
    </w:p>
    <w:p>
      <w:pPr>
        <w:spacing w:after="0" w:line="7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to June 2023, the U.S. Federal Reserve concurrently issued a statement advising banks to stop new LIBOR issuances by the end of 2021. The Alternative Reference Rates Committee, or ARRC, in the U.S. has proposed that the Secured Overnight Financing Rate, or SOFR, is the rate that represents best practice as the alternative to the U.S. dollar, or USD, LIBOR for use in derivatives and other financial contracts that are currently indexed to USD LIBOR. ARRC has proposed a paced market transition plan to SOFR from USD LIBOR and organizations are currently working on industry wide and company</w:t>
      </w:r>
    </w:p>
    <w:p>
      <w:pPr>
        <w:spacing w:after="0" w:line="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specific transition plans as it relates to derivatives and cash markets exposed to USD LIBOR. We currently have a USD LIBOR cross currency swap which matures in March 2022; as such, the impact of Inter-Bank Offering Rate, or IBOR, reform is not expected to be material.</w:t>
      </w:r>
    </w:p>
    <w:p>
      <w:pPr>
        <w:spacing w:after="0" w:line="38"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i w:val="1"/>
          <w:iCs w:val="1"/>
          <w:color w:val="auto"/>
        </w:rPr>
        <w:t>Foreign Exchange Risk</w:t>
      </w:r>
      <w:r>
        <w:rPr>
          <w:rFonts w:ascii="Arial" w:cs="Arial" w:eastAsia="Arial" w:hAnsi="Arial"/>
          <w:sz w:val="17"/>
          <w:szCs w:val="17"/>
          <w:color w:val="auto"/>
        </w:rPr>
        <w:t>. We have significant operations in Europe as well as in the U.S. The functional currency of each foreign subsidiary is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sterling and euro. A hypothetical 10% strengthening or weakening in the rates used to translate the results of our foreign subsidiaries that have functional currencies denominated in sterling and euro would have increased or decreased net income for the year ended December 31, 2021 by approximately $14.6 million and $9.9 million, respectively.</w:t>
      </w:r>
    </w:p>
    <w:p>
      <w:pPr>
        <w:spacing w:after="0" w:line="77" w:lineRule="exact"/>
        <w:rPr>
          <w:sz w:val="20"/>
          <w:szCs w:val="20"/>
          <w:color w:val="auto"/>
        </w:rPr>
      </w:pPr>
    </w:p>
    <w:p>
      <w:pPr>
        <w:ind w:right="160" w:firstLine="445"/>
        <w:spacing w:after="0" w:line="255" w:lineRule="auto"/>
        <w:rPr>
          <w:sz w:val="20"/>
          <w:szCs w:val="20"/>
          <w:color w:val="auto"/>
        </w:rPr>
      </w:pPr>
      <w:r>
        <w:rPr>
          <w:rFonts w:ascii="Arial" w:cs="Arial" w:eastAsia="Arial" w:hAnsi="Arial"/>
          <w:sz w:val="18"/>
          <w:szCs w:val="18"/>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consolidated statements of income (loss). As of December 31, 2021, our exposure to transaction risk primarily related to the translation of our Euro Term Loan and sterling and euro denominated net monetary liabilities, including intercompany loans, held by subsidiaries with a U.S. dollar functional currency.</w:t>
      </w:r>
    </w:p>
    <w:p>
      <w:pPr>
        <w:spacing w:after="0" w:line="84"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In order to hedge our exposure to foreign currency exchange risk associated with our Euro Term Loan, we entered into a cross-currency interest rate swap contract in May 2021 with a maturity date of March 31, 2022. The terms of this contract convert the principal repayments and interest payments on our Euro Term Loan into U.S. dollar. As of December 31, 2021, the cross-currency interest rate swap had a notional amount of $251.0 million which is designated for accounting purposes as a fair value hedge. The net liability fair value of the cross currency swap was $15.2 million as of December 31, 2021. The carrying amount of the Euro Term Loan and the fair value of the cross-currency interest rate swap contract will be remeasured with changes in the euro to U.S. dollar foreign exchange rates recognized within foreign exchange gain (loss) in the consolidated statements of income (loss). The impact of a hypothetical increase or decrease in the euro to U.S. dollar exchange rate on the fair value of our cross-currency interest rate swap contract would be offset by a change in the value of the Euro Term Loan.</w:t>
      </w:r>
    </w:p>
    <w:p>
      <w:pPr>
        <w:spacing w:after="0" w:line="70" w:lineRule="exact"/>
        <w:rPr>
          <w:sz w:val="20"/>
          <w:szCs w:val="20"/>
          <w:color w:val="auto"/>
        </w:rPr>
      </w:pPr>
    </w:p>
    <w:p>
      <w:pPr>
        <w:ind w:right="200" w:firstLine="445"/>
        <w:spacing w:after="0" w:line="324" w:lineRule="auto"/>
        <w:rPr>
          <w:sz w:val="20"/>
          <w:szCs w:val="20"/>
          <w:color w:val="auto"/>
        </w:rPr>
      </w:pPr>
      <w:r>
        <w:rPr>
          <w:rFonts w:ascii="Arial" w:cs="Arial" w:eastAsia="Arial" w:hAnsi="Arial"/>
          <w:sz w:val="18"/>
          <w:szCs w:val="18"/>
          <w:color w:val="auto"/>
        </w:rPr>
        <w:t>We have entered into foreign exchange forward contracts to manage the currency risk associated with the translation of our other sterling and euro-denominated net monetary liabilities, including intercompany loans. These foreign exchange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forward contracts are not designated as hedges; gains and losses on these derivative instruments are designed to offset gains and losses on the underlying balance sheet exposures. As of December 31, 2021, we held foreign exchange forward contracts with notional amounts totaling $347.2 million. The net liability fair value of outstanding foreign exchange forward contracts was $2.6 million as of December 31, 2021. Based on our foreign currency exchange rate exposures as of December 31, 2021, a hypothetical 10% adverse fluctuation in exchange rates would decrease the fair value of our foreign exchange forward contracts by approximately $15.4 million as of December 31, 2021. The resulting loss on these forward contracts would be offset by a positive impact on the underlying monetary assets and liabilities.</w:t>
      </w:r>
    </w:p>
    <w:p>
      <w:pPr>
        <w:spacing w:after="0" w:line="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Our consolidated financial statements as listed below are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pages F-1 through F-44.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15"/>
        </w:trPr>
        <w:tc>
          <w:tcPr>
            <w:tcW w:w="1064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plc</w:t>
            </w:r>
          </w:p>
        </w:tc>
        <w:tc>
          <w:tcPr>
            <w:tcW w:w="580" w:type="dxa"/>
            <w:vAlign w:val="bottom"/>
          </w:tcPr>
          <w:p>
            <w:pPr>
              <w:spacing w:after="0"/>
              <w:rPr>
                <w:sz w:val="18"/>
                <w:szCs w:val="18"/>
                <w:color w:val="auto"/>
              </w:rPr>
            </w:pPr>
          </w:p>
        </w:tc>
      </w:tr>
      <w:tr>
        <w:trPr>
          <w:trHeight w:val="229"/>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 (KPMG, Dublin, Ireland, Auditor Firm ID: 1116)</w:t>
            </w:r>
          </w:p>
        </w:tc>
        <w:tc>
          <w:tcPr>
            <w:tcW w:w="580" w:type="dxa"/>
            <w:vAlign w:val="bottom"/>
          </w:tcPr>
          <w:p>
            <w:pPr>
              <w:ind w:left="20"/>
              <w:spacing w:after="0"/>
              <w:rPr>
                <w:sz w:val="20"/>
                <w:szCs w:val="20"/>
                <w:color w:val="auto"/>
              </w:rPr>
            </w:pPr>
            <w:r>
              <w:rPr>
                <w:rFonts w:ascii="Arial" w:cs="Arial" w:eastAsia="Arial" w:hAnsi="Arial"/>
                <w:sz w:val="18"/>
                <w:szCs w:val="18"/>
                <w:color w:val="auto"/>
              </w:rPr>
              <w:t>F-1</w:t>
            </w:r>
          </w:p>
        </w:tc>
      </w:tr>
      <w:tr>
        <w:trPr>
          <w:trHeight w:val="230"/>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w:t>
            </w:r>
          </w:p>
        </w:tc>
        <w:tc>
          <w:tcPr>
            <w:tcW w:w="580" w:type="dxa"/>
            <w:vAlign w:val="bottom"/>
          </w:tcPr>
          <w:p>
            <w:pPr>
              <w:ind w:left="20"/>
              <w:spacing w:after="0"/>
              <w:rPr>
                <w:sz w:val="20"/>
                <w:szCs w:val="20"/>
                <w:color w:val="auto"/>
              </w:rPr>
            </w:pPr>
            <w:r>
              <w:rPr>
                <w:rFonts w:ascii="Arial" w:cs="Arial" w:eastAsia="Arial" w:hAnsi="Arial"/>
                <w:sz w:val="18"/>
                <w:szCs w:val="18"/>
                <w:color w:val="auto"/>
              </w:rPr>
              <w:t>F-3</w:t>
            </w:r>
          </w:p>
        </w:tc>
      </w:tr>
      <w:tr>
        <w:trPr>
          <w:trHeight w:val="229"/>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Income (Loss)</w:t>
            </w:r>
          </w:p>
        </w:tc>
        <w:tc>
          <w:tcPr>
            <w:tcW w:w="580" w:type="dxa"/>
            <w:vAlign w:val="bottom"/>
          </w:tcPr>
          <w:p>
            <w:pPr>
              <w:ind w:left="20"/>
              <w:spacing w:after="0"/>
              <w:rPr>
                <w:sz w:val="20"/>
                <w:szCs w:val="20"/>
                <w:color w:val="auto"/>
              </w:rPr>
            </w:pPr>
            <w:r>
              <w:rPr>
                <w:rFonts w:ascii="Arial" w:cs="Arial" w:eastAsia="Arial" w:hAnsi="Arial"/>
                <w:sz w:val="18"/>
                <w:szCs w:val="18"/>
                <w:color w:val="auto"/>
              </w:rPr>
              <w:t>F-4</w:t>
            </w:r>
          </w:p>
        </w:tc>
      </w:tr>
      <w:tr>
        <w:trPr>
          <w:trHeight w:val="229"/>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 (Loss)</w:t>
            </w:r>
          </w:p>
        </w:tc>
        <w:tc>
          <w:tcPr>
            <w:tcW w:w="580" w:type="dxa"/>
            <w:vAlign w:val="bottom"/>
          </w:tcPr>
          <w:p>
            <w:pPr>
              <w:ind w:left="20"/>
              <w:spacing w:after="0"/>
              <w:rPr>
                <w:sz w:val="20"/>
                <w:szCs w:val="20"/>
                <w:color w:val="auto"/>
              </w:rPr>
            </w:pPr>
            <w:r>
              <w:rPr>
                <w:rFonts w:ascii="Arial" w:cs="Arial" w:eastAsia="Arial" w:hAnsi="Arial"/>
                <w:sz w:val="18"/>
                <w:szCs w:val="18"/>
                <w:color w:val="auto"/>
              </w:rPr>
              <w:t>F-5</w:t>
            </w:r>
          </w:p>
        </w:tc>
      </w:tr>
      <w:tr>
        <w:trPr>
          <w:trHeight w:val="230"/>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Shareholders’ Equity</w:t>
            </w:r>
          </w:p>
        </w:tc>
        <w:tc>
          <w:tcPr>
            <w:tcW w:w="580" w:type="dxa"/>
            <w:vAlign w:val="bottom"/>
          </w:tcPr>
          <w:p>
            <w:pPr>
              <w:ind w:left="20"/>
              <w:spacing w:after="0"/>
              <w:rPr>
                <w:sz w:val="20"/>
                <w:szCs w:val="20"/>
                <w:color w:val="auto"/>
              </w:rPr>
            </w:pPr>
            <w:r>
              <w:rPr>
                <w:rFonts w:ascii="Arial" w:cs="Arial" w:eastAsia="Arial" w:hAnsi="Arial"/>
                <w:sz w:val="18"/>
                <w:szCs w:val="18"/>
                <w:color w:val="auto"/>
              </w:rPr>
              <w:t>F-6</w:t>
            </w:r>
          </w:p>
        </w:tc>
      </w:tr>
      <w:tr>
        <w:trPr>
          <w:trHeight w:val="229"/>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w:t>
            </w:r>
          </w:p>
        </w:tc>
        <w:tc>
          <w:tcPr>
            <w:tcW w:w="580" w:type="dxa"/>
            <w:vAlign w:val="bottom"/>
          </w:tcPr>
          <w:p>
            <w:pPr>
              <w:ind w:left="20"/>
              <w:spacing w:after="0"/>
              <w:rPr>
                <w:sz w:val="20"/>
                <w:szCs w:val="20"/>
                <w:color w:val="auto"/>
              </w:rPr>
            </w:pPr>
            <w:r>
              <w:rPr>
                <w:rFonts w:ascii="Arial" w:cs="Arial" w:eastAsia="Arial" w:hAnsi="Arial"/>
                <w:sz w:val="18"/>
                <w:szCs w:val="18"/>
                <w:color w:val="auto"/>
              </w:rPr>
              <w:t>F-8</w:t>
            </w:r>
          </w:p>
        </w:tc>
      </w:tr>
      <w:tr>
        <w:trPr>
          <w:trHeight w:val="230"/>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580" w:type="dxa"/>
            <w:vAlign w:val="bottom"/>
          </w:tcPr>
          <w:p>
            <w:pPr>
              <w:ind w:left="20"/>
              <w:spacing w:after="0"/>
              <w:rPr>
                <w:sz w:val="20"/>
                <w:szCs w:val="20"/>
                <w:color w:val="auto"/>
              </w:rPr>
            </w:pPr>
            <w:r>
              <w:rPr>
                <w:rFonts w:ascii="Arial" w:cs="Arial" w:eastAsia="Arial" w:hAnsi="Arial"/>
                <w:sz w:val="18"/>
                <w:szCs w:val="18"/>
                <w:color w:val="auto"/>
              </w:rPr>
              <w:t>F-10</w:t>
            </w:r>
          </w:p>
        </w:tc>
      </w:tr>
      <w:tr>
        <w:trPr>
          <w:trHeight w:val="675"/>
        </w:trPr>
        <w:tc>
          <w:tcPr>
            <w:tcW w:w="8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840" w:type="dxa"/>
            <w:vAlign w:val="bottom"/>
          </w:tcPr>
          <w:p>
            <w:pPr>
              <w:ind w:left="2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580" w:type="dxa"/>
            <w:vAlign w:val="bottom"/>
          </w:tcPr>
          <w:p>
            <w:pPr>
              <w:spacing w:after="0"/>
              <w:rPr>
                <w:sz w:val="24"/>
                <w:szCs w:val="24"/>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300" w:firstLine="445"/>
        <w:spacing w:after="0" w:line="220" w:lineRule="exact"/>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We have carried out an evaluation under the supervision and with the participation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including our principal executive officer and principal financial officer, of our disclosure controls and procedures (as defined in Rule 13a-15(e) of the Exchange Act) as of the end of the period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Based on their evaluation, our principal executive officer and principal financial officer concluded that our disclosure controls and procedures were effective as of December 31, 2021.</w:t>
      </w:r>
    </w:p>
    <w:p>
      <w:pPr>
        <w:spacing w:after="0" w:line="96"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180" w:firstLine="445"/>
        <w:spacing w:after="0" w:line="311"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discussed above, the GW Acquisition closed on May 5, 2021. The GW Acquisition was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using the acquisition method of accounting. The results of operations of the acquired GW business have been included in our results of operations since May 5, 2021, and we have evaluated and integrated GW’s historical internal controls with ours throughout the fiscal year.</w:t>
      </w:r>
    </w:p>
    <w:p>
      <w:pPr>
        <w:spacing w:after="0" w:line="41"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During the quarter ended December 31, 2021, there were no changes to our internal control over financial reporting that have materially affected, or are reasonably likely to materially affect, our internal control over financial reporting.</w:t>
      </w:r>
    </w:p>
    <w:p>
      <w:pPr>
        <w:spacing w:after="0" w:line="62"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The following report is provided by management in respect of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defined in Rule 13a-15(f) of the Exchange Act):</w:t>
      </w:r>
    </w:p>
    <w:p>
      <w:pPr>
        <w:spacing w:after="0" w:line="62" w:lineRule="exact"/>
        <w:rPr>
          <w:sz w:val="20"/>
          <w:szCs w:val="20"/>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management is responsible for establishing and maintaining adequate internal control over financial reporting.</w:t>
      </w:r>
    </w:p>
    <w:p>
      <w:pPr>
        <w:spacing w:after="0" w:line="117" w:lineRule="exact"/>
        <w:rPr>
          <w:rFonts w:ascii="Arial" w:cs="Arial" w:eastAsia="Arial" w:hAnsi="Arial"/>
          <w:sz w:val="18"/>
          <w:szCs w:val="18"/>
          <w:color w:val="auto"/>
        </w:rPr>
      </w:pPr>
    </w:p>
    <w:p>
      <w:pPr>
        <w:ind w:left="820" w:right="100" w:hanging="326"/>
        <w:spacing w:after="0" w:line="263"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 w:right="160"/>
        <w:spacing w:after="0" w:line="311" w:lineRule="auto"/>
        <w:rPr>
          <w:sz w:val="20"/>
          <w:szCs w:val="20"/>
          <w:color w:val="auto"/>
        </w:rPr>
      </w:pPr>
      <w:r>
        <w:rPr>
          <w:rFonts w:ascii="Arial" w:cs="Arial" w:eastAsia="Arial" w:hAnsi="Arial"/>
          <w:sz w:val="16"/>
          <w:szCs w:val="16"/>
          <w:color w:val="auto"/>
        </w:rPr>
        <w:t>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41" w:lineRule="exact"/>
        <w:rPr>
          <w:sz w:val="20"/>
          <w:szCs w:val="20"/>
          <w:color w:val="auto"/>
        </w:rPr>
      </w:pPr>
    </w:p>
    <w:p>
      <w:pPr>
        <w:ind w:left="820" w:hanging="326"/>
        <w:spacing w:after="0" w:line="263"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has assessed the effectiveness of our internal control over financial reporting as of December 31, 2021 and has concluded that such internal control over financial reporting was effective. There were no material weaknesses in internal control over financial reporting identified by management.</w:t>
      </w:r>
    </w:p>
    <w:p>
      <w:pPr>
        <w:spacing w:after="0" w:line="75" w:lineRule="exact"/>
        <w:rPr>
          <w:rFonts w:ascii="Arial" w:cs="Arial" w:eastAsia="Arial" w:hAnsi="Arial"/>
          <w:sz w:val="18"/>
          <w:szCs w:val="18"/>
          <w:color w:val="auto"/>
        </w:rPr>
      </w:pPr>
    </w:p>
    <w:p>
      <w:pPr>
        <w:ind w:left="820" w:right="160" w:hanging="326"/>
        <w:spacing w:after="0" w:line="263"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KPMG, our independent registered public accounting firm, has audited the consolidated financial statements of Jazz Pharmaceuticals plc as of and for the year ended December 31, 2021, included herein, and has issued an audit report on our internal control over financial reporting, which is included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We have audited Jazz Pharmaceuticals plc and subsidiaries’ (the ‘Company’)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income (loss), comprehensive income (loss), stockholders’ equity, and cash flows for each of the years in the three-year period ended December 31, 2021, and the related notes and financial statement schedule at Item 15(a)2 (collectively, ‘the consolidated financial statements’), and our report dated March 1, 2022 expressed an unqualified opinion on those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180" w:firstLine="445"/>
        <w:spacing w:after="0" w:line="219" w:lineRule="exact"/>
        <w:rPr>
          <w:sz w:val="20"/>
          <w:szCs w:val="20"/>
          <w:color w:val="auto"/>
        </w:rPr>
      </w:pPr>
      <w:r>
        <w:rPr>
          <w:rFonts w:ascii="Arial" w:cs="Arial" w:eastAsia="Arial" w:hAnsi="Arial"/>
          <w:sz w:val="18"/>
          <w:szCs w:val="18"/>
          <w:color w:val="auto"/>
        </w:rPr>
        <w:t>Certain information required by Part III is omitted from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incorporated by reference to our definitive proxy statement for our 2022 annual general meeting of shareholders, or our 2022 Proxy Statement, to be filed pursuant to Regulation 14A of the Securities Exchange Act of 1934, as amended, or Exchange Act. If our 2022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200" w:lineRule="exact"/>
        <w:rPr>
          <w:sz w:val="20"/>
          <w:szCs w:val="20"/>
          <w:color w:val="auto"/>
        </w:rPr>
      </w:pPr>
    </w:p>
    <w:p>
      <w:pPr>
        <w:spacing w:after="0" w:line="24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to be included in our 2022 Proxy Statement as follows and is incorporated by reference:</w:t>
      </w:r>
    </w:p>
    <w:p>
      <w:pPr>
        <w:spacing w:after="0" w:line="117" w:lineRule="exact"/>
        <w:rPr>
          <w:sz w:val="20"/>
          <w:szCs w:val="20"/>
          <w:color w:val="auto"/>
        </w:rPr>
      </w:pPr>
    </w:p>
    <w:p>
      <w:pPr>
        <w:ind w:left="740" w:hanging="327"/>
        <w:spacing w:after="0"/>
        <w:tabs>
          <w:tab w:leader="none" w:pos="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relating to our directors and nominees for director is to be included in the section entitled “Proposal 1—Election of Directors;”</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relating to our executive officers is to be included in the section entitled “Executive Officers;”</w:t>
      </w:r>
    </w:p>
    <w:p>
      <w:pPr>
        <w:spacing w:after="0" w:line="117" w:lineRule="exact"/>
        <w:rPr>
          <w:rFonts w:ascii="Arial" w:cs="Arial" w:eastAsia="Arial" w:hAnsi="Arial"/>
          <w:sz w:val="18"/>
          <w:szCs w:val="18"/>
          <w:color w:val="auto"/>
        </w:rPr>
      </w:pPr>
    </w:p>
    <w:p>
      <w:pPr>
        <w:ind w:left="740" w:right="560" w:hanging="327"/>
        <w:spacing w:after="0" w:line="342" w:lineRule="auto"/>
        <w:tabs>
          <w:tab w:leader="none" w:pos="7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relating to our audit committee, audit committee financial expert and procedures by which shareholders may recommend nominees to our board of directors is to be included in the section entitled “Corporate Governance and Board Matters;” and</w:t>
      </w:r>
    </w:p>
    <w:p>
      <w:pPr>
        <w:spacing w:after="0" w:line="15" w:lineRule="exact"/>
        <w:rPr>
          <w:rFonts w:ascii="Arial" w:cs="Arial" w:eastAsia="Arial" w:hAnsi="Arial"/>
          <w:sz w:val="16"/>
          <w:szCs w:val="16"/>
          <w:color w:val="auto"/>
        </w:rPr>
      </w:pPr>
    </w:p>
    <w:p>
      <w:pPr>
        <w:ind w:left="740" w:right="280" w:hanging="327"/>
        <w:spacing w:after="0" w:line="277" w:lineRule="auto"/>
        <w:tabs>
          <w:tab w:leader="none" w:pos="7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required, the information regarding compliance with Section 16(a) of the Exchange Act is to be included in the section entitled “Delinquent Section 16(a) Reports.”</w:t>
      </w:r>
    </w:p>
    <w:p>
      <w:pPr>
        <w:spacing w:after="0" w:line="62" w:lineRule="exact"/>
        <w:rPr>
          <w:sz w:val="20"/>
          <w:szCs w:val="20"/>
          <w:color w:val="auto"/>
        </w:rPr>
      </w:pPr>
    </w:p>
    <w:p>
      <w:pPr>
        <w:ind w:right="260" w:firstLine="445"/>
        <w:spacing w:after="0" w:line="220" w:lineRule="exact"/>
        <w:rPr>
          <w:sz w:val="20"/>
          <w:szCs w:val="20"/>
          <w:color w:val="auto"/>
        </w:rPr>
      </w:pPr>
      <w:r>
        <w:rPr>
          <w:rFonts w:ascii="Arial" w:cs="Arial" w:eastAsia="Arial" w:hAnsi="Arial"/>
          <w:sz w:val="18"/>
          <w:szCs w:val="18"/>
          <w:color w:val="auto"/>
        </w:rPr>
        <w:t>Such information is incorporated herein by reference to our 2022 Proxy Statement, provided that if the 2022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96"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 xml:space="preserve">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xml:space="preserve"> under the section entitled “About” under “Corporate Ethics.”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200" w:lineRule="exact"/>
        <w:rPr>
          <w:sz w:val="20"/>
          <w:szCs w:val="20"/>
          <w:color w:val="auto"/>
        </w:rPr>
      </w:pP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information required by this item is to be included in our 2022 Proxy Statement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The information required by this item with respect to equity compensation plans is to be included in our 2022 Proxy Statement under the section entitled “Equity Compensation Plan Information” and the information required by this item with respect to security ownership of certain beneficial owners and management is to be included in our 2022 Proxy Statement under the section entitled “Security Ownership of Certain Beneficial Owners and Management” and in each case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20" w:firstLine="445"/>
        <w:spacing w:after="0" w:line="342" w:lineRule="auto"/>
        <w:rPr>
          <w:sz w:val="20"/>
          <w:szCs w:val="20"/>
          <w:color w:val="auto"/>
        </w:rPr>
      </w:pPr>
      <w:r>
        <w:rPr>
          <w:rFonts w:ascii="Arial" w:cs="Arial" w:eastAsia="Arial" w:hAnsi="Arial"/>
          <w:sz w:val="16"/>
          <w:szCs w:val="16"/>
          <w:color w:val="auto"/>
        </w:rPr>
        <w:t>The information required by this item is to be included in our 2022 Proxy Statement under the sections entitled “Certain Relationships and Related Party Transactions” and “Corporate Governance and Board Matters—Independence of the Board of Directors” and is incorporated herein by reference.</w:t>
      </w:r>
    </w:p>
    <w:p>
      <w:pPr>
        <w:spacing w:after="0" w:line="36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jc w:val="both"/>
        <w:ind w:right="460" w:firstLine="445"/>
        <w:spacing w:after="0" w:line="311" w:lineRule="auto"/>
        <w:rPr>
          <w:sz w:val="20"/>
          <w:szCs w:val="20"/>
          <w:color w:val="auto"/>
        </w:rPr>
      </w:pPr>
      <w:r>
        <w:rPr>
          <w:rFonts w:ascii="Arial" w:cs="Arial" w:eastAsia="Arial" w:hAnsi="Arial"/>
          <w:sz w:val="16"/>
          <w:szCs w:val="16"/>
          <w:color w:val="auto"/>
        </w:rPr>
        <w:t>The information required by this item is to be included in our 2022 Proxy Statement under the section entitled “Proposal 2—On a Non-Binding Advisory Basis, Ratify Appointment of Independent Registered Accounting Firm and, On a Binding Basis, Authorize the Board of Directors, Acting Through the Audit Committee, to Determine the Independent Auditors’ Remuneration” and is incorporated herein by reference.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700" w:hanging="247"/>
        <w:spacing w:after="0" w:line="207" w:lineRule="exact"/>
        <w:tabs>
          <w:tab w:leader="none" w:pos="700" w:val="left"/>
        </w:tabs>
        <w:numPr>
          <w:ilvl w:val="1"/>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documents are filed as part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117" w:lineRule="exact"/>
        <w:rPr>
          <w:rFonts w:ascii="Arial" w:cs="Arial" w:eastAsia="Arial" w:hAnsi="Arial"/>
          <w:sz w:val="18"/>
          <w:szCs w:val="18"/>
          <w:i w:val="1"/>
          <w:iCs w:val="1"/>
          <w:color w:val="auto"/>
        </w:rPr>
      </w:pPr>
    </w:p>
    <w:p>
      <w:pPr>
        <w:ind w:left="420" w:hanging="412"/>
        <w:spacing w:after="0"/>
        <w:tabs>
          <w:tab w:leader="none" w:pos="42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See Consolidated Financial Statements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17"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right="80" w:firstLine="445"/>
        <w:spacing w:after="0" w:line="223" w:lineRule="exact"/>
        <w:rPr>
          <w:rFonts w:ascii="Arial" w:cs="Arial" w:eastAsia="Arial" w:hAnsi="Arial"/>
          <w:sz w:val="18"/>
          <w:szCs w:val="18"/>
          <w:color w:val="auto"/>
        </w:rPr>
      </w:pPr>
      <w:r>
        <w:rPr>
          <w:rFonts w:ascii="Arial" w:cs="Arial" w:eastAsia="Arial" w:hAnsi="Arial"/>
          <w:sz w:val="18"/>
          <w:szCs w:val="18"/>
          <w:color w:val="auto"/>
        </w:rPr>
        <w:t>The following financial statement schedule of Jazz Pharmaceuticals plc is filed as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on page </w:t>
      </w:r>
      <w:hyperlink w:anchor="page165">
        <w:r>
          <w:rPr>
            <w:rFonts w:ascii="Arial" w:cs="Arial" w:eastAsia="Arial" w:hAnsi="Arial"/>
            <w:sz w:val="18"/>
            <w:szCs w:val="18"/>
            <w:color w:val="auto"/>
          </w:rPr>
          <w:t xml:space="preserve">F-51 </w:t>
        </w:r>
      </w:hyperlink>
      <w:r>
        <w:rPr>
          <w:rFonts w:ascii="Arial" w:cs="Arial" w:eastAsia="Arial" w:hAnsi="Arial"/>
          <w:sz w:val="18"/>
          <w:szCs w:val="18"/>
          <w:color w:val="auto"/>
        </w:rPr>
        <w:t>and should be read in conjunction with the consolidated financial statements of Jazz Pharmaceuticals plc.</w:t>
      </w:r>
    </w:p>
    <w:p>
      <w:pPr>
        <w:spacing w:after="0" w:line="9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Schedule II: Valuation and Qualifying Accounts</w:t>
      </w:r>
    </w:p>
    <w:p>
      <w:pPr>
        <w:spacing w:after="0" w:line="117"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under the instructions, or the requested information is shown in the consolidated financial statements or related notes thereto.</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Exhibits—The following exhibits are included herein or incorporated herein by reference:</w:t>
      </w:r>
    </w:p>
    <w:p>
      <w:pPr>
        <w:sectPr>
          <w:pgSz w:w="11900" w:h="16838" w:orient="portrait"/>
          <w:cols w:equalWidth="0" w:num="1">
            <w:col w:w="11240"/>
          </w:cols>
          <w:pgMar w:left="320" w:top="125" w:right="33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Exhibit</w:t>
      </w:r>
    </w:p>
    <w:p>
      <w:pPr>
        <w:ind w:left="20"/>
        <w:spacing w:after="0"/>
        <w:rPr>
          <w:sz w:val="20"/>
          <w:szCs w:val="20"/>
          <w:color w:val="auto"/>
        </w:rPr>
      </w:pPr>
      <w:r>
        <w:rPr>
          <w:rFonts w:ascii="Arial" w:cs="Arial" w:eastAsia="Arial" w:hAnsi="Arial"/>
          <w:sz w:val="13"/>
          <w:szCs w:val="13"/>
          <w:b w:val="1"/>
          <w:bCs w:val="1"/>
          <w:u w:val="single" w:color="auto"/>
          <w:color w:val="auto"/>
        </w:rPr>
        <w:t>Number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36" w:lineRule="exact"/>
        <w:rPr>
          <w:sz w:val="20"/>
          <w:szCs w:val="20"/>
          <w:color w:val="auto"/>
        </w:rPr>
      </w:pPr>
    </w:p>
    <w:p>
      <w:pPr>
        <w:ind w:right="980"/>
        <w:spacing w:after="0" w:line="246" w:lineRule="auto"/>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Agreement and Plan of Merger and Reorganization, dated as of September 19, 2011, by and among Azur Pharma Limited</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(now Jazz Pharmaceuticals plc), Jaguar Merger Sub Inc., Jazz Pharmaceuticals, Inc. and Seamus Mulligan, solely in his</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capacity as the Indemnitors’ Representative (incorporated herein by reference to Exhibit 2.1 in Jazz Pharmaceuticals, Inc.’s</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Current Report on Form 8-K (File No. 001-33500) filed with the SEC on September 19, 2011).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-870585</wp:posOffset>
            </wp:positionH>
            <wp:positionV relativeFrom="paragraph">
              <wp:posOffset>-508000</wp:posOffset>
            </wp:positionV>
            <wp:extent cx="6703695" cy="514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703695" cy="514350"/>
                    </a:xfrm>
                    <a:prstGeom prst="rect">
                      <a:avLst/>
                    </a:prstGeom>
                    <a:noFill/>
                  </pic:spPr>
                </pic:pic>
              </a:graphicData>
            </a:graphic>
          </wp:anchor>
        </w:drawing>
      </w:r>
    </w:p>
    <w:p>
      <w:pPr>
        <w:spacing w:after="0" w:line="1" w:lineRule="exact"/>
        <w:rPr>
          <w:rFonts w:ascii="Arial" w:cs="Arial" w:eastAsia="Arial" w:hAnsi="Arial"/>
          <w:sz w:val="17"/>
          <w:szCs w:val="17"/>
          <w:u w:val="single" w:color="auto"/>
          <w:color w:val="0000FF"/>
        </w:rPr>
      </w:pPr>
    </w:p>
    <w:p>
      <w:pPr>
        <w:sectPr>
          <w:pgSz w:w="11900" w:h="16838" w:orient="portrait"/>
          <w:cols w:equalWidth="0" w:num="2">
            <w:col w:w="660" w:space="720"/>
            <w:col w:w="98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380" w:type="dxa"/>
            <w:vAlign w:val="bottom"/>
          </w:tcPr>
          <w:p>
            <w:pPr>
              <w:ind w:left="20"/>
              <w:spacing w:after="0" w:line="199" w:lineRule="exact"/>
              <w:rPr>
                <w:sz w:val="20"/>
                <w:szCs w:val="20"/>
                <w:color w:val="auto"/>
              </w:rPr>
            </w:pPr>
            <w:r>
              <w:rPr>
                <w:rFonts w:ascii="Arial" w:cs="Arial" w:eastAsia="Arial" w:hAnsi="Arial"/>
                <w:sz w:val="18"/>
                <w:szCs w:val="18"/>
                <w:color w:val="auto"/>
              </w:rPr>
              <w:t>2.2</w:t>
            </w:r>
          </w:p>
        </w:tc>
        <w:tc>
          <w:tcPr>
            <w:tcW w:w="8560" w:type="dxa"/>
            <w:vAlign w:val="bottom"/>
            <w:tcBorders>
              <w:bottom w:val="single" w:sz="8" w:color="0000FF"/>
            </w:tcBorders>
            <w:gridSpan w:val="7"/>
          </w:tcPr>
          <w:p>
            <w:pPr>
              <w:spacing w:after="0" w:line="199"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Letter Agreement, dated as of January 17, 2012, by and among Jazz Pharmaceuticals plc, Jaguar Merger Sub Inc., Jazz</w:t>
              </w:r>
            </w:hyperlink>
          </w:p>
        </w:tc>
        <w:tc>
          <w:tcPr>
            <w:tcW w:w="1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19"/>
          </w:tcPr>
          <w:p>
            <w:pPr>
              <w:spacing w:after="0" w:line="169"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Pharmaceuticals, Inc. and Seamus Mulligan, solely in his capacity as the Indemnitors’ Representative (incorporated herein by</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80" w:type="dxa"/>
            <w:vAlign w:val="bottom"/>
            <w:tcBorders>
              <w:top w:val="single" w:sz="8" w:color="0000FF"/>
            </w:tcBorders>
            <w:gridSpan w:val="17"/>
          </w:tcPr>
          <w:p>
            <w:pPr>
              <w:spacing w:after="0" w:line="169" w:lineRule="exact"/>
              <w:rPr>
                <w:rFonts w:ascii="Arial" w:cs="Arial" w:eastAsia="Arial" w:hAnsi="Arial"/>
                <w:sz w:val="18"/>
                <w:szCs w:val="18"/>
                <w:color w:val="0000FF"/>
                <w:w w:val="94"/>
              </w:rPr>
            </w:pPr>
            <w:hyperlink r:id="rId117">
              <w:r>
                <w:rPr>
                  <w:rFonts w:ascii="Arial" w:cs="Arial" w:eastAsia="Arial" w:hAnsi="Arial"/>
                  <w:sz w:val="18"/>
                  <w:szCs w:val="18"/>
                  <w:color w:val="0000FF"/>
                  <w:w w:val="94"/>
                </w:rPr>
                <w:t>reference to Exhibit 2.2 in Jazz Pharmaceuticals plc’s Current Report on Form 8-K (File No. 001-33500), as filed with the</w:t>
              </w:r>
            </w:hyperlink>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0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117">
              <w:r>
                <w:rPr>
                  <w:rFonts w:ascii="Arial" w:cs="Arial" w:eastAsia="Arial" w:hAnsi="Arial"/>
                  <w:sz w:val="18"/>
                  <w:szCs w:val="18"/>
                  <w:color w:val="0000FF"/>
                </w:rPr>
                <w:t>SEC on January 18, 2012).</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2.3</w:t>
            </w:r>
          </w:p>
        </w:tc>
        <w:tc>
          <w:tcPr>
            <w:tcW w:w="9180" w:type="dxa"/>
            <w:vAlign w:val="bottom"/>
            <w:gridSpan w:val="18"/>
            <w:shd w:val="clear" w:color="auto" w:fill="CCEEFF"/>
          </w:tcPr>
          <w:p>
            <w:pPr>
              <w:spacing w:after="0" w:line="189"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Agreement and Plan of Merger, dated as of April 26, 2012, by and among Jazz Pharmaceuticals plc, Jewel Merger Sub Inc.,</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920" w:type="dxa"/>
            <w:vAlign w:val="bottom"/>
            <w:tcBorders>
              <w:top w:val="single" w:sz="8" w:color="0000FF"/>
              <w:bottom w:val="single" w:sz="8" w:color="0000FF"/>
            </w:tcBorders>
            <w:gridSpan w:val="11"/>
            <w:shd w:val="clear" w:color="auto" w:fill="CCEEFF"/>
          </w:tcPr>
          <w:p>
            <w:pPr>
              <w:spacing w:after="0" w:line="169"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EUSA Pharma Inc., and Essex Woodlands Health Ventures, Inc., Mayflower L.P., and Bryan Morton, in their capacity as the</w:t>
              </w:r>
            </w:hyperlink>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8960" w:type="dxa"/>
            <w:vAlign w:val="bottom"/>
            <w:gridSpan w:val="12"/>
            <w:shd w:val="clear" w:color="auto" w:fill="CCEEFF"/>
          </w:tcPr>
          <w:p>
            <w:pPr>
              <w:spacing w:after="0" w:line="169" w:lineRule="exact"/>
              <w:rPr>
                <w:rFonts w:ascii="Arial" w:cs="Arial" w:eastAsia="Arial" w:hAnsi="Arial"/>
                <w:sz w:val="18"/>
                <w:szCs w:val="18"/>
                <w:color w:val="0000FF"/>
                <w:w w:val="98"/>
              </w:rPr>
            </w:pPr>
            <w:hyperlink r:id="rId118">
              <w:r>
                <w:rPr>
                  <w:rFonts w:ascii="Arial" w:cs="Arial" w:eastAsia="Arial" w:hAnsi="Arial"/>
                  <w:sz w:val="18"/>
                  <w:szCs w:val="18"/>
                  <w:color w:val="0000FF"/>
                  <w:w w:val="98"/>
                </w:rPr>
                <w:t>representatives of the equity holders of EUSA Pharma Inc. (incorporated herein by reference to Exhibit 2.1 in Jazz</w:t>
              </w:r>
            </w:hyperlink>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826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Pharmaceuticals plc’s Current Report on Form 8-K (File No. 001-33500), as filed with the SEC on April 27, 2012)</w:t>
              </w:r>
            </w:hyperlink>
          </w:p>
        </w:tc>
        <w:tc>
          <w:tcPr>
            <w:tcW w:w="60" w:type="dxa"/>
            <w:vAlign w:val="bottom"/>
            <w:tcBorders>
              <w:top w:val="single" w:sz="8" w:color="CCEEFF"/>
              <w:bottom w:val="single" w:sz="8" w:color="0000FF"/>
            </w:tcBorders>
            <w:shd w:val="clear" w:color="auto" w:fill="CCEEFF"/>
          </w:tcPr>
          <w:p>
            <w:pPr>
              <w:jc w:val="right"/>
              <w:spacing w:after="0" w:line="169" w:lineRule="exact"/>
              <w:rPr>
                <w:rFonts w:ascii="Arial" w:cs="Arial" w:eastAsia="Arial" w:hAnsi="Arial"/>
                <w:sz w:val="18"/>
                <w:szCs w:val="18"/>
                <w:color w:val="0000FF"/>
                <w:w w:val="78"/>
              </w:rPr>
            </w:pPr>
            <w:hyperlink r:id="rId118">
              <w:r>
                <w:rPr>
                  <w:rFonts w:ascii="Arial" w:cs="Arial" w:eastAsia="Arial" w:hAnsi="Arial"/>
                  <w:sz w:val="18"/>
                  <w:szCs w:val="18"/>
                  <w:color w:val="0000FF"/>
                  <w:w w:val="78"/>
                </w:rPr>
                <w:t>.</w:t>
              </w:r>
            </w:hyperlink>
          </w:p>
        </w:tc>
        <w:tc>
          <w:tcPr>
            <w:tcW w:w="3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2.4</w:t>
            </w:r>
          </w:p>
        </w:tc>
        <w:tc>
          <w:tcPr>
            <w:tcW w:w="9180" w:type="dxa"/>
            <w:vAlign w:val="bottom"/>
            <w:gridSpan w:val="18"/>
          </w:tcPr>
          <w:p>
            <w:pPr>
              <w:spacing w:after="0" w:line="189"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Assignment, dated as of June 11, 2012, by and among Jazz Pharmaceuticals plc and Jazz Pharmaceuticals, Inc. (incorporated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herein by reference to Exhibit 2.1B in Jazz Pharmaceuticals plc’s Current Report on Form 8-K (File No. 001-33500), as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20" w:type="dxa"/>
            <w:vAlign w:val="bottom"/>
            <w:gridSpan w:val="14"/>
          </w:tcPr>
          <w:p>
            <w:pPr>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with the SEC on June 12,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2.5</w:t>
            </w:r>
          </w:p>
        </w:tc>
        <w:tc>
          <w:tcPr>
            <w:tcW w:w="9180" w:type="dxa"/>
            <w:vAlign w:val="bottom"/>
            <w:gridSpan w:val="18"/>
            <w:shd w:val="clear" w:color="auto" w:fill="CCEEFF"/>
          </w:tcPr>
          <w:p>
            <w:pPr>
              <w:spacing w:after="0" w:line="189"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Tender Offer Agreement, dated December 19, 2013, by and among Jazz Pharmaceuticals Public Limited Company,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8"/>
            <w:shd w:val="clear" w:color="auto" w:fill="CCEEFF"/>
          </w:tcPr>
          <w:p>
            <w:pPr>
              <w:spacing w:after="0" w:line="169"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Pharmaceuticals Italy S.r.l. and Gentium S.p.A. (incorporated herein by reference to Exhibit 2.1 in Jazz Pharmaceuticals</w:t>
              </w:r>
            </w:hyperlink>
          </w:p>
        </w:tc>
        <w:tc>
          <w:tcPr>
            <w:tcW w:w="520" w:type="dxa"/>
            <w:vAlign w:val="bottom"/>
            <w:tcBorders>
              <w:top w:val="single" w:sz="8" w:color="CCEEFF"/>
            </w:tcBorders>
            <w:gridSpan w:val="10"/>
            <w:shd w:val="clear" w:color="auto" w:fill="CCEEFF"/>
          </w:tcPr>
          <w:p>
            <w:pPr>
              <w:jc w:val="center"/>
              <w:ind w:right="100"/>
              <w:spacing w:after="0" w:line="169"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plc’s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rPr>
            </w:pPr>
            <w:hyperlink r:id="rId120">
              <w:r>
                <w:rPr>
                  <w:rFonts w:ascii="Arial" w:cs="Arial" w:eastAsia="Arial" w:hAnsi="Arial"/>
                  <w:sz w:val="18"/>
                  <w:szCs w:val="18"/>
                  <w:color w:val="0000FF"/>
                </w:rPr>
                <w:t>Current Report on Form 8-K/A (File No. 001-33500), as filed with the SEC on December 20, 2013).</w:t>
              </w:r>
            </w:hyperlink>
          </w:p>
        </w:tc>
        <w:tc>
          <w:tcPr>
            <w:tcW w:w="12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5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2.6†</w:t>
            </w:r>
          </w:p>
        </w:tc>
        <w:tc>
          <w:tcPr>
            <w:tcW w:w="9180" w:type="dxa"/>
            <w:vAlign w:val="bottom"/>
            <w:gridSpan w:val="18"/>
          </w:tcPr>
          <w:p>
            <w:pPr>
              <w:spacing w:after="0" w:line="189" w:lineRule="exact"/>
              <w:rPr>
                <w:rFonts w:ascii="Arial" w:cs="Arial" w:eastAsia="Arial" w:hAnsi="Arial"/>
                <w:sz w:val="18"/>
                <w:szCs w:val="18"/>
                <w:color w:val="0000FF"/>
                <w:w w:val="94"/>
              </w:rPr>
            </w:pPr>
            <w:hyperlink r:id="rId121">
              <w:r>
                <w:rPr>
                  <w:rFonts w:ascii="Arial" w:cs="Arial" w:eastAsia="Arial" w:hAnsi="Arial"/>
                  <w:sz w:val="18"/>
                  <w:szCs w:val="18"/>
                  <w:color w:val="0000FF"/>
                  <w:w w:val="94"/>
                </w:rPr>
                <w:t>Asset Purchase Agreement, dated January 13, 2014, by and among Jazz Pharmaceuticals International III Limited, Aerial</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40" w:type="dxa"/>
            <w:vAlign w:val="bottom"/>
            <w:tcBorders>
              <w:top w:val="single" w:sz="8" w:color="0000FF"/>
            </w:tcBorders>
            <w:gridSpan w:val="9"/>
          </w:tcPr>
          <w:p>
            <w:pPr>
              <w:spacing w:after="0" w:line="169"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BioPharma, LLC and Jazz Pharmaceuticals plc (incorporated herein by reference to Exhibit 2.1 in Jazz Pharmaceuticals</w:t>
              </w:r>
            </w:hyperlink>
          </w:p>
        </w:tc>
        <w:tc>
          <w:tcPr>
            <w:tcW w:w="1120" w:type="dxa"/>
            <w:vAlign w:val="bottom"/>
            <w:gridSpan w:val="10"/>
          </w:tcPr>
          <w:p>
            <w:pPr>
              <w:jc w:val="center"/>
              <w:ind w:right="840"/>
              <w:spacing w:after="0" w:line="169" w:lineRule="exact"/>
              <w:rPr>
                <w:rFonts w:ascii="Arial" w:cs="Arial" w:eastAsia="Arial" w:hAnsi="Arial"/>
                <w:sz w:val="18"/>
                <w:szCs w:val="18"/>
                <w:color w:val="0000FF"/>
                <w:w w:val="77"/>
              </w:rPr>
            </w:pPr>
            <w:hyperlink r:id="rId121">
              <w:r>
                <w:rPr>
                  <w:rFonts w:ascii="Arial" w:cs="Arial" w:eastAsia="Arial" w:hAnsi="Arial"/>
                  <w:sz w:val="18"/>
                  <w:szCs w:val="18"/>
                  <w:color w:val="0000FF"/>
                  <w:w w:val="77"/>
                </w:rPr>
                <w:t>plc’s</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21">
              <w:r>
                <w:rPr>
                  <w:rFonts w:ascii="Arial" w:cs="Arial" w:eastAsia="Arial" w:hAnsi="Arial"/>
                  <w:sz w:val="18"/>
                  <w:szCs w:val="18"/>
                  <w:color w:val="0000FF"/>
                </w:rPr>
                <w:t>Current Report on Form 8-K (File No. 001-33500), as filed with the SEC on January 13, 2014).</w:t>
              </w:r>
            </w:hyperlink>
          </w:p>
        </w:tc>
        <w:tc>
          <w:tcPr>
            <w:tcW w:w="8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898"/>
        </w:trPr>
        <w:tc>
          <w:tcPr>
            <w:tcW w:w="1380" w:type="dxa"/>
            <w:vAlign w:val="bottom"/>
          </w:tcPr>
          <w:p>
            <w:pPr>
              <w:spacing w:after="0"/>
              <w:rPr>
                <w:sz w:val="24"/>
                <w:szCs w:val="24"/>
                <w:color w:val="auto"/>
              </w:rPr>
            </w:pPr>
          </w:p>
        </w:tc>
        <w:tc>
          <w:tcPr>
            <w:tcW w:w="6880" w:type="dxa"/>
            <w:vAlign w:val="bottom"/>
            <w:tcBorders>
              <w:top w:val="single" w:sz="8" w:color="0000FF"/>
            </w:tcBorders>
            <w:gridSpan w:val="3"/>
          </w:tcPr>
          <w:p>
            <w:pPr>
              <w:ind w:left="410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2.7†</w:t>
            </w:r>
          </w:p>
        </w:tc>
        <w:tc>
          <w:tcPr>
            <w:tcW w:w="9180" w:type="dxa"/>
            <w:vAlign w:val="bottom"/>
            <w:gridSpan w:val="43"/>
            <w:shd w:val="clear" w:color="auto" w:fill="CCEEFF"/>
          </w:tcPr>
          <w:p>
            <w:pPr>
              <w:spacing w:after="0" w:line="189"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Assignment Agreement, dated July 1, 2014, by and among Jazz Pharmaceuticals International II Limited, Sigma-Tau</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4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Pharmaceuticals, Inc., Jazz Pharmaceuticals plc and Gentium S.p.A. (incorporated herein by reference to Exhibit 2.1</w:t>
              </w:r>
            </w:hyperlink>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gridSpan w:val="26"/>
            <w:shd w:val="clear" w:color="auto" w:fill="CCEEFF"/>
          </w:tcPr>
          <w:p>
            <w:pPr>
              <w:spacing w:after="0" w:line="169" w:lineRule="exact"/>
              <w:rPr>
                <w:rFonts w:ascii="Arial" w:cs="Arial" w:eastAsia="Arial" w:hAnsi="Arial"/>
                <w:sz w:val="18"/>
                <w:szCs w:val="18"/>
                <w:color w:val="0000FF"/>
              </w:rPr>
            </w:pPr>
            <w:hyperlink r:id="rId124">
              <w:r>
                <w:rPr>
                  <w:rFonts w:ascii="Arial" w:cs="Arial" w:eastAsia="Arial" w:hAnsi="Arial"/>
                  <w:sz w:val="18"/>
                  <w:szCs w:val="18"/>
                  <w:color w:val="0000FF"/>
                </w:rPr>
                <w:t>in Jazz</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37"/>
            <w:shd w:val="clear" w:color="auto" w:fill="CCEEFF"/>
          </w:tcPr>
          <w:p>
            <w:pPr>
              <w:spacing w:after="0" w:line="169"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Pharmaceuticals plc’s Current Report on Form 8-K (File No. 001-33500), as filed with the SEC on August 5, 2014).</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6"/>
                <w:szCs w:val="16"/>
                <w:color w:val="auto"/>
              </w:rPr>
            </w:pPr>
          </w:p>
        </w:tc>
        <w:tc>
          <w:tcPr>
            <w:tcW w:w="9180" w:type="dxa"/>
            <w:vAlign w:val="bottom"/>
            <w:gridSpan w:val="43"/>
          </w:tcPr>
          <w:p>
            <w:pPr>
              <w:spacing w:after="0" w:line="189"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Amended and Restated Agreement for the Acquisition of the Topaz Portfolio Business of Jazz Pharmaceuticals plc, dated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80" w:type="dxa"/>
            <w:vAlign w:val="bottom"/>
            <w:tcBorders>
              <w:top w:val="single" w:sz="8" w:color="0000FF"/>
            </w:tcBorders>
            <w:gridSpan w:val="28"/>
          </w:tcPr>
          <w:p>
            <w:pPr>
              <w:spacing w:after="0" w:line="169"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March 20, 2015, between Jazz Pharmaceuticals plc and Essex Bidco Limited (incorporated herein by reference to Exhibit</w:t>
              </w:r>
            </w:hyperlink>
          </w:p>
        </w:tc>
        <w:tc>
          <w:tcPr>
            <w:tcW w:w="280" w:type="dxa"/>
            <w:vAlign w:val="bottom"/>
            <w:gridSpan w:val="13"/>
          </w:tcPr>
          <w:p>
            <w:pPr>
              <w:jc w:val="right"/>
              <w:ind w:right="40"/>
              <w:spacing w:after="0" w:line="169" w:lineRule="exact"/>
              <w:rPr>
                <w:rFonts w:ascii="Arial" w:cs="Arial" w:eastAsia="Arial" w:hAnsi="Arial"/>
                <w:sz w:val="18"/>
                <w:szCs w:val="18"/>
                <w:color w:val="0000FF"/>
                <w:w w:val="87"/>
              </w:rPr>
            </w:pPr>
            <w:hyperlink r:id="rId125">
              <w:r>
                <w:rPr>
                  <w:rFonts w:ascii="Arial" w:cs="Arial" w:eastAsia="Arial" w:hAnsi="Arial"/>
                  <w:sz w:val="18"/>
                  <w:szCs w:val="18"/>
                  <w:color w:val="0000FF"/>
                  <w:w w:val="87"/>
                </w:rPr>
                <w:t>2.1</w:t>
              </w:r>
            </w:hyperlink>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40" w:type="dxa"/>
            <w:vAlign w:val="bottom"/>
            <w:tcBorders>
              <w:top w:val="single" w:sz="8" w:color="0000FF"/>
            </w:tcBorders>
            <w:gridSpan w:val="40"/>
          </w:tcPr>
          <w:p>
            <w:pPr>
              <w:spacing w:after="0" w:line="169"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in Jazz Pharmaceuticals plc’s Current Report on Form 8-K (File No. 001-33500), as filed with the SEC on March 23,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6"/>
                <w:szCs w:val="16"/>
                <w:color w:val="auto"/>
              </w:rPr>
            </w:pPr>
          </w:p>
        </w:tc>
        <w:tc>
          <w:tcPr>
            <w:tcW w:w="9180" w:type="dxa"/>
            <w:vAlign w:val="bottom"/>
            <w:gridSpan w:val="43"/>
            <w:shd w:val="clear" w:color="auto" w:fill="CCEEFF"/>
          </w:tcPr>
          <w:p>
            <w:pPr>
              <w:spacing w:after="0" w:line="189" w:lineRule="exact"/>
              <w:rPr>
                <w:rFonts w:ascii="Arial" w:cs="Arial" w:eastAsia="Arial" w:hAnsi="Arial"/>
                <w:sz w:val="18"/>
                <w:szCs w:val="18"/>
                <w:color w:val="0000FF"/>
                <w:w w:val="93"/>
              </w:rPr>
            </w:pPr>
            <w:hyperlink r:id="rId126">
              <w:r>
                <w:rPr>
                  <w:rFonts w:ascii="Arial" w:cs="Arial" w:eastAsia="Arial" w:hAnsi="Arial"/>
                  <w:sz w:val="18"/>
                  <w:szCs w:val="18"/>
                  <w:color w:val="0000FF"/>
                  <w:w w:val="93"/>
                </w:rPr>
                <w:t>Agreement and Plan of Merger, dated as of May 27, 2016, by and among Jazz Pharmaceuticals plc, Plex Merger Sub, Inc.,</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0000FF"/>
            </w:tcBorders>
            <w:gridSpan w:val="32"/>
            <w:shd w:val="clear" w:color="auto" w:fill="CCEEFF"/>
          </w:tcPr>
          <w:p>
            <w:pPr>
              <w:spacing w:after="0" w:line="169"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and Celator Pharmaceuticals, Inc. (incorporated herein by reference to Exhibit 2.1 in Jazz Pharmaceuticals plc’s Current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23"/>
            <w:shd w:val="clear" w:color="auto" w:fill="CCEEFF"/>
          </w:tcPr>
          <w:p>
            <w:pPr>
              <w:spacing w:after="0" w:line="169" w:lineRule="exact"/>
              <w:rPr>
                <w:rFonts w:ascii="Arial" w:cs="Arial" w:eastAsia="Arial" w:hAnsi="Arial"/>
                <w:sz w:val="18"/>
                <w:szCs w:val="18"/>
                <w:color w:val="0000FF"/>
              </w:rPr>
            </w:pPr>
            <w:hyperlink r:id="rId126">
              <w:r>
                <w:rPr>
                  <w:rFonts w:ascii="Arial" w:cs="Arial" w:eastAsia="Arial" w:hAnsi="Arial"/>
                  <w:sz w:val="18"/>
                  <w:szCs w:val="18"/>
                  <w:color w:val="0000FF"/>
                </w:rPr>
                <w:t>Report on Form 8-K (File No. 001-33500), as filed with the SEC on May 31, 2016).</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2.10‡</w:t>
            </w:r>
          </w:p>
        </w:tc>
        <w:tc>
          <w:tcPr>
            <w:tcW w:w="9180" w:type="dxa"/>
            <w:vAlign w:val="bottom"/>
            <w:gridSpan w:val="43"/>
          </w:tcPr>
          <w:p>
            <w:pPr>
              <w:spacing w:after="0" w:line="189" w:lineRule="exact"/>
              <w:rPr>
                <w:rFonts w:ascii="Arial" w:cs="Arial" w:eastAsia="Arial" w:hAnsi="Arial"/>
                <w:sz w:val="18"/>
                <w:szCs w:val="18"/>
                <w:color w:val="0000FF"/>
                <w:w w:val="96"/>
              </w:rPr>
            </w:pPr>
            <w:hyperlink r:id="rId127">
              <w:r>
                <w:rPr>
                  <w:rFonts w:ascii="Arial" w:cs="Arial" w:eastAsia="Arial" w:hAnsi="Arial"/>
                  <w:sz w:val="18"/>
                  <w:szCs w:val="18"/>
                  <w:color w:val="0000FF"/>
                  <w:w w:val="96"/>
                </w:rPr>
                <w:t>Transaction Agreement, dated as of February 3, 2021, by and among Jazz Pharmaceuticals UK Holdings Limited,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60" w:type="dxa"/>
            <w:vAlign w:val="bottom"/>
            <w:tcBorders>
              <w:top w:val="single" w:sz="8" w:color="0000FF"/>
            </w:tcBorders>
            <w:gridSpan w:val="21"/>
          </w:tcPr>
          <w:p>
            <w:pPr>
              <w:spacing w:after="0" w:line="169"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Pharmaceuticals Public Limited Company and GW Pharmaceuticals PLC (incorporated herein by reference to Exhibit</w:t>
              </w:r>
            </w:hyperlink>
          </w:p>
        </w:tc>
        <w:tc>
          <w:tcPr>
            <w:tcW w:w="1300" w:type="dxa"/>
            <w:vAlign w:val="bottom"/>
            <w:gridSpan w:val="23"/>
          </w:tcPr>
          <w:p>
            <w:pPr>
              <w:spacing w:after="0" w:line="169" w:lineRule="exact"/>
              <w:rPr>
                <w:rFonts w:ascii="Arial" w:cs="Arial" w:eastAsia="Arial" w:hAnsi="Arial"/>
                <w:sz w:val="18"/>
                <w:szCs w:val="18"/>
                <w:color w:val="0000FF"/>
              </w:rPr>
            </w:pPr>
            <w:hyperlink r:id="rId127">
              <w:r>
                <w:rPr>
                  <w:rFonts w:ascii="Arial" w:cs="Arial" w:eastAsia="Arial" w:hAnsi="Arial"/>
                  <w:sz w:val="18"/>
                  <w:szCs w:val="18"/>
                  <w:color w:val="0000FF"/>
                </w:rPr>
                <w:t>2.1 in</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80" w:type="dxa"/>
            <w:vAlign w:val="bottom"/>
            <w:tcBorders>
              <w:top w:val="single" w:sz="8" w:color="0000FF"/>
            </w:tcBorders>
            <w:gridSpan w:val="38"/>
          </w:tcPr>
          <w:p>
            <w:pPr>
              <w:spacing w:after="0" w:line="169"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Jazz Pharmaceuticals plc’s Current Report on Form 8-K (File No. 001-33500), as filed with the SEC on February 4, 2021).</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6"/>
                <w:szCs w:val="16"/>
                <w:color w:val="auto"/>
              </w:rPr>
            </w:pPr>
          </w:p>
        </w:tc>
        <w:tc>
          <w:tcPr>
            <w:tcW w:w="9180" w:type="dxa"/>
            <w:vAlign w:val="bottom"/>
            <w:gridSpan w:val="43"/>
            <w:shd w:val="clear" w:color="auto" w:fill="CCEEFF"/>
          </w:tcPr>
          <w:p>
            <w:pPr>
              <w:spacing w:after="0" w:line="189" w:lineRule="exact"/>
              <w:rPr>
                <w:rFonts w:ascii="Arial" w:cs="Arial" w:eastAsia="Arial" w:hAnsi="Arial"/>
                <w:sz w:val="18"/>
                <w:szCs w:val="18"/>
                <w:color w:val="0000FF"/>
                <w:w w:val="94"/>
              </w:rPr>
            </w:pPr>
            <w:hyperlink r:id="rId128">
              <w:r>
                <w:rPr>
                  <w:rFonts w:ascii="Arial" w:cs="Arial" w:eastAsia="Arial" w:hAnsi="Arial"/>
                  <w:sz w:val="18"/>
                  <w:szCs w:val="18"/>
                  <w:color w:val="0000FF"/>
                  <w:w w:val="94"/>
                </w:rPr>
                <w:t>Amended and Restated Memorandum and Articles of Association of Jazz Pharmaceuticals plc, as amended on August 4,</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700" w:type="dxa"/>
            <w:vAlign w:val="bottom"/>
            <w:tcBorders>
              <w:top w:val="single" w:sz="8" w:color="0000FF"/>
              <w:bottom w:val="single" w:sz="8" w:color="0000FF"/>
            </w:tcBorders>
            <w:gridSpan w:val="24"/>
            <w:shd w:val="clear" w:color="auto" w:fill="CCEEFF"/>
          </w:tcPr>
          <w:p>
            <w:pPr>
              <w:spacing w:after="0" w:line="169"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2016 (incorporated herein by reference to Exhibit 3.1 in Jazz Pharmaceuticals plc’s Quarterly Report on Form 10-Q (File</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740" w:type="dxa"/>
            <w:vAlign w:val="bottom"/>
            <w:gridSpan w:val="26"/>
            <w:shd w:val="clear" w:color="auto" w:fill="CCEEFF"/>
          </w:tcPr>
          <w:p>
            <w:pPr>
              <w:spacing w:after="0" w:line="169" w:lineRule="exact"/>
              <w:rPr>
                <w:rFonts w:ascii="Arial" w:cs="Arial" w:eastAsia="Arial" w:hAnsi="Arial"/>
                <w:sz w:val="18"/>
                <w:szCs w:val="18"/>
                <w:color w:val="0000FF"/>
              </w:rPr>
            </w:pPr>
            <w:hyperlink r:id="rId128">
              <w:r>
                <w:rPr>
                  <w:rFonts w:ascii="Arial" w:cs="Arial" w:eastAsia="Arial" w:hAnsi="Arial"/>
                  <w:sz w:val="18"/>
                  <w:szCs w:val="18"/>
                  <w:color w:val="0000FF"/>
                </w:rPr>
                <w:t>No. 001-33500) for the period ended June 30, 2016, as filed with the SEC on August 9, 2016).</w:t>
              </w:r>
            </w:hyperlink>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gridSpan w:val="3"/>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tcPr>
          <w:p>
            <w:pPr>
              <w:spacing w:after="0"/>
              <w:rPr>
                <w:sz w:val="16"/>
                <w:szCs w:val="16"/>
                <w:color w:val="auto"/>
              </w:rPr>
            </w:pPr>
          </w:p>
        </w:tc>
        <w:tc>
          <w:tcPr>
            <w:tcW w:w="6800" w:type="dxa"/>
            <w:vAlign w:val="bottom"/>
            <w:tcBorders>
              <w:top w:val="single" w:sz="8" w:color="0000FF"/>
            </w:tcBorders>
            <w:gridSpan w:val="9"/>
          </w:tcPr>
          <w:p>
            <w:pPr>
              <w:spacing w:after="0" w:line="189" w:lineRule="exact"/>
              <w:rPr>
                <w:rFonts w:ascii="Arial" w:cs="Arial" w:eastAsia="Arial" w:hAnsi="Arial"/>
                <w:sz w:val="18"/>
                <w:szCs w:val="18"/>
                <w:color w:val="0000FF"/>
              </w:rPr>
            </w:pPr>
            <w:hyperlink r:id="rId128">
              <w:r>
                <w:rPr>
                  <w:rFonts w:ascii="Arial" w:cs="Arial" w:eastAsia="Arial" w:hAnsi="Arial"/>
                  <w:sz w:val="18"/>
                  <w:szCs w:val="18"/>
                  <w:color w:val="0000FF"/>
                </w:rPr>
                <w:t>Reference is made to Exhibit 3.1.</w:t>
              </w:r>
            </w:hyperlink>
          </w:p>
        </w:tc>
        <w:tc>
          <w:tcPr>
            <w:tcW w:w="2380" w:type="dxa"/>
            <w:vAlign w:val="bottom"/>
            <w:tcBorders>
              <w:top w:val="single" w:sz="8" w:color="CCEEFF"/>
            </w:tcBorders>
            <w:gridSpan w:val="34"/>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4.2A</w:t>
            </w:r>
          </w:p>
        </w:tc>
        <w:tc>
          <w:tcPr>
            <w:tcW w:w="9180" w:type="dxa"/>
            <w:vAlign w:val="bottom"/>
            <w:gridSpan w:val="43"/>
            <w:shd w:val="clear" w:color="auto" w:fill="CCEEFF"/>
          </w:tcPr>
          <w:p>
            <w:pPr>
              <w:spacing w:after="0" w:line="189" w:lineRule="exact"/>
              <w:rPr>
                <w:rFonts w:ascii="Arial" w:cs="Arial" w:eastAsia="Arial" w:hAnsi="Arial"/>
                <w:sz w:val="18"/>
                <w:szCs w:val="18"/>
                <w:color w:val="0000FF"/>
                <w:w w:val="96"/>
              </w:rPr>
            </w:pPr>
            <w:hyperlink r:id="rId129">
              <w:r>
                <w:rPr>
                  <w:rFonts w:ascii="Arial" w:cs="Arial" w:eastAsia="Arial" w:hAnsi="Arial"/>
                  <w:sz w:val="18"/>
                  <w:szCs w:val="18"/>
                  <w:color w:val="0000FF"/>
                  <w:w w:val="96"/>
                </w:rPr>
                <w:t>Investor Rights Agreement, dated July 7, 2009 by and between Jazz Pharmaceuticals, Inc. and the other parties named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52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therein (incorporated herein by reference to Exhibit 10.88 in Jazz Pharmaceuticals, Inc.’s Current Report on Form 8-K</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0" w:type="dxa"/>
            <w:vAlign w:val="bottom"/>
            <w:tcBorders>
              <w:top w:val="single" w:sz="8" w:color="CCEEFF"/>
            </w:tcBorders>
            <w:gridSpan w:val="21"/>
            <w:shd w:val="clear" w:color="auto" w:fill="CCEEFF"/>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(File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4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No. 001-33500), as filed with the SEC on July 7, 2009).</w:t>
              </w:r>
            </w:hyperlink>
          </w:p>
        </w:tc>
        <w:tc>
          <w:tcPr>
            <w:tcW w:w="4880" w:type="dxa"/>
            <w:vAlign w:val="bottom"/>
            <w:tcBorders>
              <w:top w:val="single" w:sz="8" w:color="0000FF"/>
              <w:bottom w:val="single" w:sz="8" w:color="CCEEFF"/>
            </w:tcBorders>
            <w:gridSpan w:val="30"/>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4.2B</w:t>
            </w:r>
          </w:p>
        </w:tc>
        <w:tc>
          <w:tcPr>
            <w:tcW w:w="9180" w:type="dxa"/>
            <w:vAlign w:val="bottom"/>
            <w:gridSpan w:val="43"/>
          </w:tcPr>
          <w:p>
            <w:pPr>
              <w:spacing w:after="0" w:line="189"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Assignment, Assumption and Amendment Agreement, dated as of January 18, 2012, by and among Jazz Pharmaceuticals,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30"/>
          </w:tcPr>
          <w:p>
            <w:pPr>
              <w:spacing w:after="0" w:line="169"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Inc., Jazz Pharmaceuticals plc and the other parties named therein (incorporated herein by reference to Exhibit 4.7B in the</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40" w:type="dxa"/>
            <w:vAlign w:val="bottom"/>
            <w:gridSpan w:val="31"/>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Annual Report on Form 10-K (File No. 001-33500) for the period ended December 31, 2011, as filed by Jazz</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80" w:type="dxa"/>
            <w:vAlign w:val="bottom"/>
            <w:tcBorders>
              <w:top w:val="single" w:sz="8" w:color="0000FF"/>
            </w:tcBorders>
            <w:gridSpan w:val="11"/>
          </w:tcPr>
          <w:p>
            <w:pPr>
              <w:spacing w:after="0" w:line="169"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Pharmaceuticals plc on behalf of and as successor to Jazz Pharmaceuticals, Inc. with the SEC on February 28,</w:t>
              </w:r>
            </w:hyperlink>
          </w:p>
        </w:tc>
        <w:tc>
          <w:tcPr>
            <w:tcW w:w="620" w:type="dxa"/>
            <w:vAlign w:val="bottom"/>
            <w:gridSpan w:val="7"/>
          </w:tcPr>
          <w:p>
            <w:pPr>
              <w:jc w:val="right"/>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2012).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4.3A</w:t>
            </w:r>
          </w:p>
        </w:tc>
        <w:tc>
          <w:tcPr>
            <w:tcW w:w="9180" w:type="dxa"/>
            <w:vAlign w:val="bottom"/>
            <w:gridSpan w:val="43"/>
            <w:shd w:val="clear" w:color="auto" w:fill="CCEEFF"/>
          </w:tcPr>
          <w:p>
            <w:pPr>
              <w:spacing w:after="0" w:line="189"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Indenture, dated as of August 23, 2017, among Jazz Pharmaceuticals Public Limited Company, Jazz Investments I Limited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90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and U.S. Bank National Association (incorporated herein by reference to Exhibit 4.1 in Jazz Pharmaceuticals plc’s Current</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6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Report on Form 8-K (File No. 001-33500), as filed with the SEC on August 23, 2017).</w:t>
              </w:r>
            </w:hyperlink>
          </w:p>
        </w:tc>
        <w:tc>
          <w:tcPr>
            <w:tcW w:w="2620" w:type="dxa"/>
            <w:vAlign w:val="bottom"/>
            <w:tcBorders>
              <w:top w:val="single" w:sz="8" w:color="0000FF"/>
              <w:bottom w:val="single" w:sz="8" w:color="CCEEFF"/>
            </w:tcBorders>
            <w:gridSpan w:val="25"/>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4.3B</w:t>
            </w:r>
          </w:p>
        </w:tc>
        <w:tc>
          <w:tcPr>
            <w:tcW w:w="9180" w:type="dxa"/>
            <w:vAlign w:val="bottom"/>
            <w:gridSpan w:val="43"/>
          </w:tcPr>
          <w:p>
            <w:pPr>
              <w:spacing w:after="0" w:line="189"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Form of 1.50% Exchangeable Senior Note due 2024 (incorporated herein by reference to Exhibit 4.1 in Jazz Pharmaceuticals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20" w:type="dxa"/>
            <w:vAlign w:val="bottom"/>
            <w:tcBorders>
              <w:top w:val="single" w:sz="8" w:color="0000FF"/>
            </w:tcBorders>
            <w:gridSpan w:val="39"/>
          </w:tcPr>
          <w:p>
            <w:pPr>
              <w:spacing w:after="0" w:line="169" w:lineRule="exact"/>
              <w:rPr>
                <w:rFonts w:ascii="Arial" w:cs="Arial" w:eastAsia="Arial" w:hAnsi="Arial"/>
                <w:sz w:val="18"/>
                <w:szCs w:val="18"/>
                <w:color w:val="0000FF"/>
              </w:rPr>
            </w:pPr>
            <w:hyperlink r:id="rId131">
              <w:r>
                <w:rPr>
                  <w:rFonts w:ascii="Arial" w:cs="Arial" w:eastAsia="Arial" w:hAnsi="Arial"/>
                  <w:sz w:val="18"/>
                  <w:szCs w:val="18"/>
                  <w:color w:val="0000FF"/>
                </w:rPr>
                <w:t>plc’s Current Report on Form 8-K (File No. 001-33500), as filed with the SEC on August 23, 2017).</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4.4A</w:t>
            </w:r>
          </w:p>
        </w:tc>
        <w:tc>
          <w:tcPr>
            <w:tcW w:w="9180" w:type="dxa"/>
            <w:vAlign w:val="bottom"/>
            <w:gridSpan w:val="43"/>
            <w:shd w:val="clear" w:color="auto" w:fill="CCEEFF"/>
          </w:tcPr>
          <w:p>
            <w:pPr>
              <w:spacing w:after="0" w:line="189"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Indenture, dated as of June 11, 2020 among Jazz Pharmaceuticals Public Limited Company, Jazz Investments I Limited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36"/>
            <w:shd w:val="clear" w:color="auto" w:fill="CCEEFF"/>
          </w:tcPr>
          <w:p>
            <w:pPr>
              <w:spacing w:after="0" w:line="169" w:lineRule="exact"/>
              <w:rPr>
                <w:rFonts w:ascii="Arial" w:cs="Arial" w:eastAsia="Arial" w:hAnsi="Arial"/>
                <w:sz w:val="18"/>
                <w:szCs w:val="18"/>
                <w:color w:val="0000FF"/>
                <w:w w:val="95"/>
              </w:rPr>
            </w:pPr>
            <w:hyperlink r:id="rId132">
              <w:r>
                <w:rPr>
                  <w:rFonts w:ascii="Arial" w:cs="Arial" w:eastAsia="Arial" w:hAnsi="Arial"/>
                  <w:sz w:val="18"/>
                  <w:szCs w:val="18"/>
                  <w:color w:val="0000FF"/>
                  <w:w w:val="95"/>
                </w:rPr>
                <w:t>U.S. Bank National Association (incorporated herein by reference to Exhibit 4.1 in Jazz Pharmaceuticals plc’s Current</w:t>
              </w:r>
            </w:hyperlink>
          </w:p>
        </w:tc>
        <w:tc>
          <w:tcPr>
            <w:tcW w:w="12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0000FF"/>
            </w:tcBorders>
            <w:gridSpan w:val="20"/>
            <w:shd w:val="clear" w:color="auto" w:fill="CCEEFF"/>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Report on Form 8-K (File No. 001-033500), as filed with the SEC on June 11, 2020).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60" w:type="dxa"/>
            <w:vAlign w:val="bottom"/>
            <w:tcBorders>
              <w:top w:val="single" w:sz="8" w:color="CCEEFF"/>
            </w:tcBorders>
            <w:gridSpan w:val="1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4.4B</w:t>
            </w:r>
          </w:p>
        </w:tc>
        <w:tc>
          <w:tcPr>
            <w:tcW w:w="9180" w:type="dxa"/>
            <w:vAlign w:val="bottom"/>
            <w:gridSpan w:val="43"/>
          </w:tcPr>
          <w:p>
            <w:pPr>
              <w:spacing w:after="0" w:line="189" w:lineRule="exact"/>
              <w:rPr>
                <w:rFonts w:ascii="Arial" w:cs="Arial" w:eastAsia="Arial" w:hAnsi="Arial"/>
                <w:sz w:val="18"/>
                <w:szCs w:val="18"/>
                <w:color w:val="0000FF"/>
              </w:rPr>
            </w:pPr>
            <w:hyperlink r:id="rId132">
              <w:r>
                <w:rPr>
                  <w:rFonts w:ascii="Arial" w:cs="Arial" w:eastAsia="Arial" w:hAnsi="Arial"/>
                  <w:sz w:val="18"/>
                  <w:szCs w:val="18"/>
                  <w:color w:val="0000FF"/>
                </w:rPr>
                <w:t>Form of 2.000% Exchangeable Senior Note due 2026 (incorporated herein by reference to Exhibit 4.2 in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00" w:type="dxa"/>
            <w:vAlign w:val="bottom"/>
            <w:tcBorders>
              <w:top w:val="single" w:sz="8" w:color="0000FF"/>
            </w:tcBorders>
            <w:gridSpan w:val="12"/>
          </w:tcPr>
          <w:p>
            <w:pPr>
              <w:spacing w:after="0" w:line="169"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Pharmaceuticals plc’s Current Report on Form 8-K (File No. 001-033500), as filed with the SEC on June 11,</w:t>
              </w:r>
            </w:hyperlink>
          </w:p>
        </w:tc>
        <w:tc>
          <w:tcPr>
            <w:tcW w:w="440" w:type="dxa"/>
            <w:vAlign w:val="bottom"/>
            <w:gridSpan w:val="2"/>
          </w:tcPr>
          <w:p>
            <w:pPr>
              <w:jc w:val="right"/>
              <w:spacing w:after="0" w:line="169" w:lineRule="exact"/>
              <w:rPr>
                <w:rFonts w:ascii="Arial" w:cs="Arial" w:eastAsia="Arial" w:hAnsi="Arial"/>
                <w:sz w:val="18"/>
                <w:szCs w:val="18"/>
                <w:color w:val="0000FF"/>
                <w:w w:val="82"/>
              </w:rPr>
            </w:pPr>
            <w:hyperlink r:id="rId132">
              <w:r>
                <w:rPr>
                  <w:rFonts w:ascii="Arial" w:cs="Arial" w:eastAsia="Arial" w:hAnsi="Arial"/>
                  <w:sz w:val="18"/>
                  <w:szCs w:val="18"/>
                  <w:color w:val="0000FF"/>
                  <w:w w:val="82"/>
                </w:rPr>
                <w:t>2020).</w:t>
              </w:r>
            </w:hyperlink>
          </w:p>
        </w:tc>
        <w:tc>
          <w:tcPr>
            <w:tcW w:w="16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4.5A</w:t>
            </w:r>
          </w:p>
        </w:tc>
        <w:tc>
          <w:tcPr>
            <w:tcW w:w="9180" w:type="dxa"/>
            <w:vAlign w:val="bottom"/>
            <w:gridSpan w:val="43"/>
            <w:shd w:val="clear" w:color="auto" w:fill="CCEEFF"/>
          </w:tcPr>
          <w:p>
            <w:pPr>
              <w:spacing w:after="0" w:line="189" w:lineRule="exact"/>
              <w:rPr>
                <w:rFonts w:ascii="Arial" w:cs="Arial" w:eastAsia="Arial" w:hAnsi="Arial"/>
                <w:sz w:val="18"/>
                <w:szCs w:val="18"/>
                <w:color w:val="0000FF"/>
                <w:w w:val="95"/>
              </w:rPr>
            </w:pPr>
            <w:hyperlink r:id="rId133">
              <w:r>
                <w:rPr>
                  <w:rFonts w:ascii="Arial" w:cs="Arial" w:eastAsia="Arial" w:hAnsi="Arial"/>
                  <w:sz w:val="18"/>
                  <w:szCs w:val="18"/>
                  <w:color w:val="0000FF"/>
                  <w:w w:val="95"/>
                </w:rPr>
                <w:t>Indenture, dated as of April 29, 2021, among Jazz Securities Designated Activity Company, the guarantors party thereto,</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580" w:type="dxa"/>
            <w:vAlign w:val="bottom"/>
            <w:tcBorders>
              <w:top w:val="single" w:sz="8" w:color="0000FF"/>
              <w:bottom w:val="single" w:sz="8" w:color="0000FF"/>
            </w:tcBorders>
            <w:gridSpan w:val="22"/>
            <w:shd w:val="clear" w:color="auto" w:fill="CCEEFF"/>
          </w:tcPr>
          <w:p>
            <w:pPr>
              <w:spacing w:after="0" w:line="169"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U.S. Bank National Association, as trustee and acknowledged by U.S. Bank National Association, as collateral trustee.</w:t>
              </w:r>
            </w:hyperlink>
          </w:p>
        </w:tc>
        <w:tc>
          <w:tcPr>
            <w:tcW w:w="14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1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43"/>
            <w:shd w:val="clear" w:color="auto" w:fill="CCEEFF"/>
          </w:tcPr>
          <w:p>
            <w:pPr>
              <w:spacing w:after="0" w:line="169" w:lineRule="exact"/>
              <w:rPr>
                <w:rFonts w:ascii="Arial" w:cs="Arial" w:eastAsia="Arial" w:hAnsi="Arial"/>
                <w:sz w:val="18"/>
                <w:szCs w:val="18"/>
                <w:color w:val="0000FF"/>
                <w:w w:val="95"/>
              </w:rPr>
            </w:pPr>
            <w:hyperlink r:id="rId133">
              <w:r>
                <w:rPr>
                  <w:rFonts w:ascii="Arial" w:cs="Arial" w:eastAsia="Arial" w:hAnsi="Arial"/>
                  <w:sz w:val="18"/>
                  <w:szCs w:val="18"/>
                  <w:color w:val="0000FF"/>
                  <w:w w:val="95"/>
                </w:rPr>
                <w:t>(incorporated herein by reference to Exhibit 4.1 in Jazz Pharmaceuticals plc’s Current Report on Form 8-K (File No. 001-</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6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033500)</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 as filed with the SEC on April 29, 2021).</w:t>
              </w:r>
            </w:hyperlink>
          </w:p>
        </w:tc>
        <w:tc>
          <w:tcPr>
            <w:tcW w:w="5140" w:type="dxa"/>
            <w:vAlign w:val="bottom"/>
            <w:tcBorders>
              <w:top w:val="single" w:sz="8" w:color="0000FF"/>
              <w:bottom w:val="single" w:sz="8" w:color="CCEEFF"/>
            </w:tcBorders>
            <w:gridSpan w:val="25"/>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1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4.5B</w:t>
            </w:r>
          </w:p>
        </w:tc>
        <w:tc>
          <w:tcPr>
            <w:tcW w:w="9180" w:type="dxa"/>
            <w:vAlign w:val="bottom"/>
            <w:gridSpan w:val="43"/>
          </w:tcPr>
          <w:p>
            <w:pPr>
              <w:spacing w:after="0" w:line="189" w:lineRule="exact"/>
              <w:rPr>
                <w:rFonts w:ascii="Arial" w:cs="Arial" w:eastAsia="Arial" w:hAnsi="Arial"/>
                <w:sz w:val="18"/>
                <w:szCs w:val="18"/>
                <w:color w:val="0000FF"/>
                <w:w w:val="97"/>
              </w:rPr>
            </w:pPr>
            <w:hyperlink r:id="rId133">
              <w:r>
                <w:rPr>
                  <w:rFonts w:ascii="Arial" w:cs="Arial" w:eastAsia="Arial" w:hAnsi="Arial"/>
                  <w:sz w:val="18"/>
                  <w:szCs w:val="18"/>
                  <w:color w:val="0000FF"/>
                  <w:w w:val="97"/>
                </w:rPr>
                <w:t>Form of 4.375% Senior Notes due 2029 (incorporated herein by reference to Exhibit 4.2 in Jazz Pharmaceuticals plc’s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Current Report on Form 8-K (File No. 001-033500), as filed with the SEC on April 29, 2021).</w:t>
              </w:r>
            </w:hyperlink>
          </w:p>
        </w:tc>
        <w:tc>
          <w:tcPr>
            <w:tcW w:w="260" w:type="dxa"/>
            <w:vAlign w:val="bottom"/>
            <w:gridSpan w:val="9"/>
          </w:tcPr>
          <w:p>
            <w:pPr>
              <w:spacing w:after="0"/>
              <w:rPr>
                <w:sz w:val="14"/>
                <w:szCs w:val="14"/>
                <w:color w:val="auto"/>
              </w:rPr>
            </w:pPr>
          </w:p>
        </w:tc>
        <w:tc>
          <w:tcPr>
            <w:tcW w:w="30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4.5C</w:t>
            </w:r>
          </w:p>
        </w:tc>
        <w:tc>
          <w:tcPr>
            <w:tcW w:w="9180" w:type="dxa"/>
            <w:vAlign w:val="bottom"/>
            <w:gridSpan w:val="43"/>
            <w:shd w:val="clear" w:color="auto" w:fill="CCEEFF"/>
          </w:tcPr>
          <w:p>
            <w:pPr>
              <w:spacing w:after="0" w:line="189"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First Supplemental Indenture, dated as of July 21, 2021, among GW Pharmaceuticals Limited, GW Global Services</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340" w:type="dxa"/>
            <w:vAlign w:val="bottom"/>
            <w:tcBorders>
              <w:top w:val="single" w:sz="8" w:color="0000FF"/>
            </w:tcBorders>
            <w:gridSpan w:val="14"/>
            <w:shd w:val="clear" w:color="auto" w:fill="CCEEFF"/>
          </w:tcPr>
          <w:p>
            <w:pPr>
              <w:spacing w:after="0" w:line="169" w:lineRule="exact"/>
              <w:rPr>
                <w:rFonts w:ascii="Arial" w:cs="Arial" w:eastAsia="Arial" w:hAnsi="Arial"/>
                <w:sz w:val="18"/>
                <w:szCs w:val="18"/>
                <w:color w:val="0000FF"/>
                <w:w w:val="96"/>
              </w:rPr>
            </w:pPr>
            <w:hyperlink r:id="rId134">
              <w:r>
                <w:rPr>
                  <w:rFonts w:ascii="Arial" w:cs="Arial" w:eastAsia="Arial" w:hAnsi="Arial"/>
                  <w:sz w:val="18"/>
                  <w:szCs w:val="18"/>
                  <w:color w:val="0000FF"/>
                  <w:w w:val="96"/>
                </w:rPr>
                <w:t>(International) Limited, GW Pharma Limited, GW Research Limited, GW UK Services Limited and Greenwich</w:t>
              </w:r>
            </w:hyperlink>
          </w:p>
        </w:tc>
        <w:tc>
          <w:tcPr>
            <w:tcW w:w="840" w:type="dxa"/>
            <w:vAlign w:val="bottom"/>
            <w:tcBorders>
              <w:top w:val="single" w:sz="8" w:color="CCEEFF"/>
            </w:tcBorders>
            <w:gridSpan w:val="29"/>
            <w:shd w:val="clear" w:color="auto" w:fill="CCEEFF"/>
          </w:tcPr>
          <w:p>
            <w:pPr>
              <w:jc w:val="right"/>
              <w:ind w:right="160"/>
              <w:spacing w:after="0" w:line="169" w:lineRule="exact"/>
              <w:rPr>
                <w:rFonts w:ascii="Arial" w:cs="Arial" w:eastAsia="Arial" w:hAnsi="Arial"/>
                <w:sz w:val="16"/>
                <w:szCs w:val="16"/>
                <w:color w:val="0000FF"/>
                <w:w w:val="73"/>
              </w:rPr>
            </w:pPr>
            <w:hyperlink r:id="rId134">
              <w:r>
                <w:rPr>
                  <w:rFonts w:ascii="Arial" w:cs="Arial" w:eastAsia="Arial" w:hAnsi="Arial"/>
                  <w:sz w:val="16"/>
                  <w:szCs w:val="16"/>
                  <w:color w:val="0000FF"/>
                  <w:w w:val="73"/>
                </w:rPr>
                <w:t>Biosciences,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60" w:type="dxa"/>
            <w:vAlign w:val="bottom"/>
            <w:tcBorders>
              <w:top w:val="single" w:sz="8" w:color="0000FF"/>
              <w:bottom w:val="single" w:sz="8" w:color="0000FF"/>
            </w:tcBorders>
            <w:gridSpan w:val="41"/>
            <w:shd w:val="clear" w:color="auto" w:fill="CCEEFF"/>
          </w:tcPr>
          <w:p>
            <w:pPr>
              <w:spacing w:after="0" w:line="169"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Inc., Jazz Securities Designated Activity Company, and U.S. Bank National Association, as trustee under the Indenture, dated</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80" w:type="dxa"/>
            <w:vAlign w:val="bottom"/>
            <w:gridSpan w:val="42"/>
            <w:shd w:val="clear" w:color="auto" w:fill="CCEEFF"/>
          </w:tcPr>
          <w:p>
            <w:pPr>
              <w:spacing w:after="0" w:line="169"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as of April 29, 2021 (incorporated herein by reference to Exhibit 4.5C in Jazz Pharmaceuticals, plc’s Quarterly Report on</w:t>
              </w:r>
            </w:hyperlink>
          </w:p>
        </w:tc>
        <w:tc>
          <w:tcPr>
            <w:tcW w:w="10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0000FF"/>
            </w:tcBorders>
            <w:shd w:val="clear" w:color="auto" w:fill="CCEEFF"/>
          </w:tcPr>
          <w:p>
            <w:pPr>
              <w:spacing w:after="0" w:line="169"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Form 10-Q (File No.</w:t>
              </w:r>
            </w:hyperlink>
          </w:p>
        </w:tc>
        <w:tc>
          <w:tcPr>
            <w:tcW w:w="7300" w:type="dxa"/>
            <w:vAlign w:val="bottom"/>
            <w:tcBorders>
              <w:top w:val="single" w:sz="8" w:color="0000FF"/>
            </w:tcBorders>
            <w:gridSpan w:val="26"/>
            <w:shd w:val="clear" w:color="auto" w:fill="CCEEFF"/>
          </w:tcPr>
          <w:p>
            <w:pPr>
              <w:ind w:left="100"/>
              <w:spacing w:after="0" w:line="169" w:lineRule="exact"/>
              <w:rPr>
                <w:rFonts w:ascii="Arial" w:cs="Arial" w:eastAsia="Arial" w:hAnsi="Arial"/>
                <w:sz w:val="18"/>
                <w:szCs w:val="18"/>
                <w:color w:val="0000FF"/>
              </w:rPr>
            </w:pPr>
            <w:hyperlink r:id="rId134">
              <w:r>
                <w:rPr>
                  <w:rFonts w:ascii="Arial" w:cs="Arial" w:eastAsia="Arial" w:hAnsi="Arial"/>
                  <w:sz w:val="18"/>
                  <w:szCs w:val="18"/>
                  <w:color w:val="0000FF"/>
                </w:rPr>
                <w:t>001-33500) for the period ended June 30, 2021, as filed with the SEC on August 3, 2021)</w:t>
              </w:r>
              <w:r>
                <w:rPr>
                  <w:rFonts w:ascii="Arial" w:cs="Arial" w:eastAsia="Arial" w:hAnsi="Arial"/>
                  <w:sz w:val="18"/>
                  <w:szCs w:val="18"/>
                  <w:u w:val="single" w:color="auto"/>
                  <w:color w:val="0000FF"/>
                </w:rPr>
                <w:t>.</w:t>
              </w:r>
            </w:hyperlink>
          </w:p>
        </w:tc>
        <w:tc>
          <w:tcPr>
            <w:tcW w:w="420" w:type="dxa"/>
            <w:vAlign w:val="bottom"/>
            <w:tcBorders>
              <w:top w:val="single" w:sz="8" w:color="CCEEFF"/>
            </w:tcBorders>
            <w:gridSpan w:val="16"/>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tcPr>
          <w:p>
            <w:pPr>
              <w:spacing w:after="0"/>
              <w:rPr>
                <w:sz w:val="16"/>
                <w:szCs w:val="16"/>
                <w:color w:val="auto"/>
              </w:rPr>
            </w:pPr>
          </w:p>
        </w:tc>
        <w:tc>
          <w:tcPr>
            <w:tcW w:w="8000" w:type="dxa"/>
            <w:vAlign w:val="bottom"/>
            <w:tcBorders>
              <w:top w:val="single" w:sz="8" w:color="0000FF"/>
            </w:tcBorders>
            <w:gridSpan w:val="13"/>
          </w:tcPr>
          <w:p>
            <w:pPr>
              <w:spacing w:after="0" w:line="189" w:lineRule="exact"/>
              <w:rPr>
                <w:rFonts w:ascii="Arial" w:cs="Arial" w:eastAsia="Arial" w:hAnsi="Arial"/>
                <w:sz w:val="18"/>
                <w:szCs w:val="18"/>
                <w:color w:val="0000FF"/>
              </w:rPr>
            </w:pPr>
            <w:hyperlink w:anchor="page167">
              <w:r>
                <w:rPr>
                  <w:rFonts w:ascii="Arial" w:cs="Arial" w:eastAsia="Arial" w:hAnsi="Arial"/>
                  <w:sz w:val="18"/>
                  <w:szCs w:val="18"/>
                  <w:color w:val="0000FF"/>
                </w:rPr>
                <w:t>Description of Share Capital.</w:t>
              </w:r>
            </w:hyperlink>
          </w:p>
        </w:tc>
        <w:tc>
          <w:tcPr>
            <w:tcW w:w="1180" w:type="dxa"/>
            <w:vAlign w:val="bottom"/>
            <w:tcBorders>
              <w:top w:val="single" w:sz="8" w:color="CCEEFF"/>
            </w:tcBorders>
            <w:gridSpan w:val="30"/>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8"/>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top w:val="single" w:sz="8" w:color="0000FF"/>
            </w:tcBorders>
            <w:gridSpan w:val="2"/>
          </w:tcPr>
          <w:p>
            <w:pPr>
              <w:spacing w:after="0"/>
              <w:rPr>
                <w:sz w:val="24"/>
                <w:szCs w:val="24"/>
                <w:color w:val="auto"/>
              </w:rPr>
            </w:pPr>
          </w:p>
        </w:tc>
        <w:tc>
          <w:tcPr>
            <w:tcW w:w="3960" w:type="dxa"/>
            <w:vAlign w:val="bottom"/>
            <w:gridSpan w:val="4"/>
          </w:tcPr>
          <w:p>
            <w:pPr>
              <w:jc w:val="right"/>
              <w:ind w:right="16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Settlement Agreement, dated as of April 5, 2017, by and between Jazz Pharmaceuticals, Inc. and Jazz Pharmaceuticals</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560" w:type="dxa"/>
            <w:vAlign w:val="bottom"/>
            <w:tcBorders>
              <w:top w:val="single" w:sz="8" w:color="0000FF"/>
              <w:bottom w:val="single" w:sz="8" w:color="0000FF"/>
            </w:tcBorders>
            <w:gridSpan w:val="20"/>
            <w:shd w:val="clear" w:color="auto" w:fill="CCEEFF"/>
          </w:tcPr>
          <w:p>
            <w:pPr>
              <w:spacing w:after="0" w:line="169"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Ireland Limited, and Roxane Laboratories, Inc., West-Ward Pharmaceuticals Corp., Eurohealth (USA), Inc., and Hikma</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560" w:type="dxa"/>
            <w:vAlign w:val="bottom"/>
            <w:tcBorders>
              <w:top w:val="single" w:sz="8" w:color="CCEEFF"/>
              <w:bottom w:val="single" w:sz="8" w:color="CCEEFF"/>
              <w:right w:val="single" w:sz="8" w:color="CCEEFF"/>
            </w:tcBorders>
            <w:gridSpan w:val="23"/>
            <w:vMerge w:val="restart"/>
            <w:shd w:val="clear" w:color="auto" w:fill="CCEEFF"/>
          </w:tcPr>
          <w:p>
            <w:pPr>
              <w:spacing w:after="0"/>
              <w:rPr>
                <w:rFonts w:ascii="Arial" w:cs="Arial" w:eastAsia="Arial" w:hAnsi="Arial"/>
                <w:sz w:val="18"/>
                <w:szCs w:val="18"/>
                <w:color w:val="0000FF"/>
              </w:rPr>
            </w:pPr>
            <w:hyperlink r:id="rId137">
              <w:r>
                <w:rPr>
                  <w:rFonts w:ascii="Arial" w:cs="Arial" w:eastAsia="Arial" w:hAnsi="Arial"/>
                  <w:sz w:val="18"/>
                  <w:szCs w:val="18"/>
                  <w:color w:val="0000FF"/>
                </w:rPr>
                <w:t>on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20" w:type="dxa"/>
            <w:vAlign w:val="bottom"/>
            <w:gridSpan w:val="22"/>
            <w:shd w:val="clear" w:color="auto" w:fill="CCEEFF"/>
          </w:tcPr>
          <w:p>
            <w:pPr>
              <w:spacing w:after="0" w:line="169"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Pharmaceuticals PLC (incorporated herein by reference to Exhibit 10.1 in Jazz Pharmaceuticals plc’s Quarterly Report</w:t>
              </w:r>
            </w:hyperlink>
          </w:p>
        </w:tc>
        <w:tc>
          <w:tcPr>
            <w:tcW w:w="560" w:type="dxa"/>
            <w:vAlign w:val="bottom"/>
            <w:tcBorders>
              <w:right w:val="single" w:sz="8" w:color="CCEEFF"/>
            </w:tcBorders>
            <w:gridSpan w:val="23"/>
            <w:vMerge w:val="continue"/>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60" w:type="dxa"/>
            <w:vAlign w:val="bottom"/>
            <w:tcBorders>
              <w:top w:val="single" w:sz="8" w:color="0000FF"/>
              <w:bottom w:val="single" w:sz="8" w:color="0000FF"/>
            </w:tcBorders>
            <w:gridSpan w:val="11"/>
            <w:shd w:val="clear" w:color="auto" w:fill="CCEEFF"/>
          </w:tcPr>
          <w:p>
            <w:pPr>
              <w:spacing w:after="0" w:line="169"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Form 10-Q (File No. 001-33500) for the period ended June 30, 2017, as filed with the SEC on August 8, 2017).</w:t>
              </w:r>
            </w:hyperlink>
          </w:p>
        </w:tc>
        <w:tc>
          <w:tcPr>
            <w:tcW w:w="760" w:type="dxa"/>
            <w:vAlign w:val="bottom"/>
            <w:tcBorders>
              <w:top w:val="single" w:sz="8" w:color="0000FF"/>
              <w:bottom w:val="single" w:sz="8" w:color="CCEEFF"/>
            </w:tcBorders>
            <w:gridSpan w:val="17"/>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6"/>
                <w:szCs w:val="16"/>
                <w:color w:val="auto"/>
              </w:rPr>
            </w:pPr>
          </w:p>
        </w:tc>
        <w:tc>
          <w:tcPr>
            <w:tcW w:w="9180" w:type="dxa"/>
            <w:vAlign w:val="bottom"/>
            <w:gridSpan w:val="45"/>
          </w:tcPr>
          <w:p>
            <w:pPr>
              <w:spacing w:after="0" w:line="189"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Settlement Agreement, dated as of April 4, 2019, by and among United States of America, acting through the United States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tcBorders>
              <w:top w:val="single" w:sz="8" w:color="0000FF"/>
            </w:tcBorders>
            <w:gridSpan w:val="33"/>
          </w:tcPr>
          <w:p>
            <w:pPr>
              <w:spacing w:after="0" w:line="169"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Department of Justice and on behalf of the Office of Inspector General of the Department of Health and Human Services,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60" w:type="dxa"/>
            <w:vAlign w:val="bottom"/>
            <w:tcBorders>
              <w:top w:val="single" w:sz="8" w:color="0000FF"/>
            </w:tcBorders>
            <w:gridSpan w:val="25"/>
          </w:tcPr>
          <w:p>
            <w:pPr>
              <w:spacing w:after="0" w:line="169"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Jazz Pharmaceuticals plc, Jazz Pharmaceuticals, Inc., and Jazz Pharmaceuticals Ireland Ltd. (incorporated herein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360" w:type="dxa"/>
            <w:vAlign w:val="bottom"/>
            <w:tcBorders>
              <w:top w:val="single" w:sz="8" w:color="0000FF"/>
            </w:tcBorders>
            <w:gridSpan w:val="16"/>
          </w:tcPr>
          <w:p>
            <w:pPr>
              <w:spacing w:after="0" w:line="169"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reference to Exhibit 10.7 in Jazz Pharmaceuticals plc’s Quarterly Report on Form 10-Q (File No. 001-33500) for the</w:t>
              </w:r>
            </w:hyperlink>
          </w:p>
        </w:tc>
        <w:tc>
          <w:tcPr>
            <w:tcW w:w="1500" w:type="dxa"/>
            <w:vAlign w:val="bottom"/>
            <w:gridSpan w:val="30"/>
          </w:tcPr>
          <w:p>
            <w:pPr>
              <w:ind w:left="80"/>
              <w:spacing w:after="0" w:line="169" w:lineRule="exact"/>
              <w:rPr>
                <w:rFonts w:ascii="Arial" w:cs="Arial" w:eastAsia="Arial" w:hAnsi="Arial"/>
                <w:sz w:val="18"/>
                <w:szCs w:val="18"/>
                <w:color w:val="0000FF"/>
              </w:rPr>
            </w:pPr>
            <w:hyperlink r:id="rId138">
              <w:r>
                <w:rPr>
                  <w:rFonts w:ascii="Arial" w:cs="Arial" w:eastAsia="Arial" w:hAnsi="Arial"/>
                  <w:sz w:val="18"/>
                  <w:szCs w:val="18"/>
                  <w:color w:val="0000FF"/>
                </w:rPr>
                <w:t>period</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4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138">
              <w:r>
                <w:rPr>
                  <w:rFonts w:ascii="Arial" w:cs="Arial" w:eastAsia="Arial" w:hAnsi="Arial"/>
                  <w:sz w:val="18"/>
                  <w:szCs w:val="18"/>
                  <w:color w:val="0000FF"/>
                </w:rPr>
                <w:t>ended March 31, 2019, as filed with the SEC on May 7,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8"/>
              </w:rPr>
            </w:pPr>
            <w:hyperlink r:id="rId139">
              <w:r>
                <w:rPr>
                  <w:rFonts w:ascii="Arial" w:cs="Arial" w:eastAsia="Arial" w:hAnsi="Arial"/>
                  <w:sz w:val="18"/>
                  <w:szCs w:val="18"/>
                  <w:color w:val="0000FF"/>
                  <w:w w:val="98"/>
                </w:rPr>
                <w:t>Corporate Integrity Agreement, dated as of April 3, 2019, by and between Jazz Pharmaceuticals plc and the Office of</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45"/>
            <w:shd w:val="clear" w:color="auto" w:fill="CCEEFF"/>
          </w:tcPr>
          <w:p>
            <w:pPr>
              <w:spacing w:after="0" w:line="169" w:lineRule="exact"/>
              <w:rPr>
                <w:rFonts w:ascii="Arial" w:cs="Arial" w:eastAsia="Arial" w:hAnsi="Arial"/>
                <w:sz w:val="18"/>
                <w:szCs w:val="18"/>
                <w:color w:val="0000FF"/>
                <w:w w:val="96"/>
              </w:rPr>
            </w:pPr>
            <w:hyperlink r:id="rId139">
              <w:r>
                <w:rPr>
                  <w:rFonts w:ascii="Arial" w:cs="Arial" w:eastAsia="Arial" w:hAnsi="Arial"/>
                  <w:sz w:val="18"/>
                  <w:szCs w:val="18"/>
                  <w:color w:val="0000FF"/>
                  <w:w w:val="96"/>
                </w:rPr>
                <w:t>Inspector General of the United States Department of Health and Human Services (incorporated herein by reference to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Exhibit 10.6 in Jazz Pharmaceuticals plc’s Quarterly Report on Form 10-Q (File No. 001-33500) for the period ended</w:t>
              </w:r>
            </w:hyperlink>
          </w:p>
        </w:tc>
        <w:tc>
          <w:tcPr>
            <w:tcW w:w="640" w:type="dxa"/>
            <w:vAlign w:val="bottom"/>
            <w:tcBorders>
              <w:top w:val="single" w:sz="8" w:color="CCEEFF"/>
              <w:right w:val="single" w:sz="8" w:color="CCEEFF"/>
            </w:tcBorders>
            <w:gridSpan w:val="26"/>
            <w:shd w:val="clear" w:color="auto" w:fill="CCEEFF"/>
          </w:tcPr>
          <w:p>
            <w:pPr>
              <w:spacing w:after="0" w:line="169" w:lineRule="exact"/>
              <w:rPr>
                <w:rFonts w:ascii="Arial" w:cs="Arial" w:eastAsia="Arial" w:hAnsi="Arial"/>
                <w:sz w:val="18"/>
                <w:szCs w:val="18"/>
                <w:color w:val="0000FF"/>
              </w:rPr>
            </w:pPr>
            <w:hyperlink r:id="rId139">
              <w:r>
                <w:rPr>
                  <w:rFonts w:ascii="Arial" w:cs="Arial" w:eastAsia="Arial" w:hAnsi="Arial"/>
                  <w:sz w:val="18"/>
                  <w:szCs w:val="18"/>
                  <w:color w:val="0000FF"/>
                </w:rPr>
                <w:t>March</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38"/>
            <w:shd w:val="clear" w:color="auto" w:fill="CCEEFF"/>
          </w:tcPr>
          <w:p>
            <w:pPr>
              <w:spacing w:after="0" w:line="169" w:lineRule="exact"/>
              <w:rPr>
                <w:rFonts w:ascii="Arial" w:cs="Arial" w:eastAsia="Arial" w:hAnsi="Arial"/>
                <w:sz w:val="18"/>
                <w:szCs w:val="18"/>
                <w:color w:val="0000FF"/>
              </w:rPr>
            </w:pPr>
            <w:hyperlink r:id="rId139">
              <w:r>
                <w:rPr>
                  <w:rFonts w:ascii="Arial" w:cs="Arial" w:eastAsia="Arial" w:hAnsi="Arial"/>
                  <w:sz w:val="18"/>
                  <w:szCs w:val="18"/>
                  <w:color w:val="0000FF"/>
                </w:rPr>
                <w:t>31, 2019, as filed with the SEC on May 7, 2019).</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10.4†</w:t>
            </w:r>
          </w:p>
        </w:tc>
        <w:tc>
          <w:tcPr>
            <w:tcW w:w="9180" w:type="dxa"/>
            <w:vAlign w:val="bottom"/>
            <w:gridSpan w:val="45"/>
          </w:tcPr>
          <w:p>
            <w:pPr>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Supply Agreement, dated as of April 1, 2010, by and between Jazz Pharmaceuticals, Inc. and Siegfried (USA) Inc.</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60" w:type="dxa"/>
            <w:vAlign w:val="bottom"/>
            <w:tcBorders>
              <w:top w:val="single" w:sz="8" w:color="0000FF"/>
            </w:tcBorders>
            <w:gridSpan w:val="15"/>
          </w:tcPr>
          <w:p>
            <w:pPr>
              <w:spacing w:after="0" w:line="169"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(incorporated herein by reference to Exhibit 10.54 in Jazz Pharmaceuticals, Inc.’s Quarterly Report on Form 10-Q</w:t>
              </w:r>
            </w:hyperlink>
          </w:p>
        </w:tc>
        <w:tc>
          <w:tcPr>
            <w:tcW w:w="2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(File No. 001-33500) for the period ended March 31, 2010, as filed with the SEC on May 6, 2010).</w:t>
              </w:r>
            </w:hyperlink>
          </w:p>
        </w:tc>
        <w:tc>
          <w:tcPr>
            <w:tcW w:w="20" w:type="dxa"/>
            <w:vAlign w:val="bottom"/>
          </w:tcPr>
          <w:p>
            <w:pPr>
              <w:spacing w:after="0"/>
              <w:rPr>
                <w:sz w:val="14"/>
                <w:szCs w:val="14"/>
                <w:color w:val="auto"/>
              </w:rPr>
            </w:pPr>
          </w:p>
        </w:tc>
        <w:tc>
          <w:tcPr>
            <w:tcW w:w="2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60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10.5†</w:t>
            </w:r>
          </w:p>
        </w:tc>
        <w:tc>
          <w:tcPr>
            <w:tcW w:w="9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Royalty Bearing Licence Agreement and Supply Agreement Re Erwinia-Derived Asparaginase, dated July 22, 2005, between</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180" w:type="dxa"/>
            <w:vAlign w:val="bottom"/>
            <w:tcBorders>
              <w:top w:val="single" w:sz="8" w:color="0000FF"/>
              <w:right w:val="single" w:sz="8" w:color="CCEEFF"/>
            </w:tcBorders>
            <w:gridSpan w:val="45"/>
            <w:shd w:val="clear" w:color="auto" w:fill="CCEEFF"/>
          </w:tcPr>
          <w:p>
            <w:pPr>
              <w:spacing w:after="0" w:line="169" w:lineRule="exact"/>
              <w:rPr>
                <w:rFonts w:ascii="Arial" w:cs="Arial" w:eastAsia="Arial" w:hAnsi="Arial"/>
                <w:sz w:val="18"/>
                <w:szCs w:val="18"/>
                <w:color w:val="0000FF"/>
                <w:w w:val="95"/>
              </w:rPr>
            </w:pPr>
            <w:hyperlink r:id="rId141">
              <w:r>
                <w:rPr>
                  <w:rFonts w:ascii="Arial" w:cs="Arial" w:eastAsia="Arial" w:hAnsi="Arial"/>
                  <w:sz w:val="18"/>
                  <w:szCs w:val="18"/>
                  <w:color w:val="0000FF"/>
                  <w:w w:val="95"/>
                </w:rPr>
                <w:t>Public Health England (formerly Health Protection Agency) and EUSA Pharma SAS (formerly OPi, S.A.), as amended on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40" w:type="dxa"/>
            <w:vAlign w:val="bottom"/>
            <w:tcBorders>
              <w:top w:val="single" w:sz="8" w:color="0000FF"/>
              <w:bottom w:val="single" w:sz="8" w:color="0000FF"/>
            </w:tcBorders>
            <w:gridSpan w:val="29"/>
            <w:shd w:val="clear" w:color="auto" w:fill="CCEEFF"/>
          </w:tcPr>
          <w:p>
            <w:pPr>
              <w:spacing w:after="0" w:line="169"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each of December 22, 2009, March 23, 2012 and August 8, 2012 (incorporated herein by reference to Exhibit 10.11 in Jazz</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80" w:type="dxa"/>
            <w:vAlign w:val="bottom"/>
            <w:gridSpan w:val="31"/>
            <w:shd w:val="clear" w:color="auto" w:fill="CCEEFF"/>
          </w:tcPr>
          <w:p>
            <w:pPr>
              <w:spacing w:after="0" w:line="169"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Pharmaceuticals plc’s Quarterly Report on Form 10-Q/A (File No. 001-33500) for the period ended June 30, 2012, as filed</w:t>
              </w:r>
            </w:hyperlink>
          </w:p>
        </w:tc>
        <w:tc>
          <w:tcPr>
            <w:tcW w:w="20" w:type="dxa"/>
            <w:vAlign w:val="bottom"/>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rPr>
            </w:pPr>
            <w:hyperlink r:id="rId141">
              <w:r>
                <w:rPr>
                  <w:rFonts w:ascii="Arial" w:cs="Arial" w:eastAsia="Arial" w:hAnsi="Arial"/>
                  <w:sz w:val="18"/>
                  <w:szCs w:val="18"/>
                  <w:color w:val="0000FF"/>
                </w:rPr>
                <w:t>with the SEC on August 9, 2012).</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6"/>
                <w:szCs w:val="16"/>
                <w:color w:val="auto"/>
              </w:rPr>
            </w:pPr>
          </w:p>
        </w:tc>
        <w:tc>
          <w:tcPr>
            <w:tcW w:w="8140" w:type="dxa"/>
            <w:vAlign w:val="bottom"/>
            <w:tcBorders>
              <w:bottom w:val="single" w:sz="8" w:color="0000FF"/>
            </w:tcBorders>
            <w:gridSpan w:val="12"/>
          </w:tcPr>
          <w:p>
            <w:pPr>
              <w:spacing w:after="0" w:line="189"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Novation Agreement relating to Royalty Bearing Licence Agreement and Supply Agreement re Erwinia-Derived</w:t>
              </w:r>
            </w:hyperlink>
          </w:p>
        </w:tc>
        <w:tc>
          <w:tcPr>
            <w:tcW w:w="1040" w:type="dxa"/>
            <w:vAlign w:val="bottom"/>
            <w:gridSpan w:val="33"/>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6"/>
          </w:tcPr>
          <w:p>
            <w:pPr>
              <w:spacing w:after="0" w:line="169" w:lineRule="exact"/>
              <w:rPr>
                <w:rFonts w:ascii="Arial" w:cs="Arial" w:eastAsia="Arial" w:hAnsi="Arial"/>
                <w:sz w:val="18"/>
                <w:szCs w:val="18"/>
                <w:color w:val="0000FF"/>
                <w:w w:val="98"/>
              </w:rPr>
            </w:pPr>
            <w:hyperlink r:id="rId142">
              <w:r>
                <w:rPr>
                  <w:rFonts w:ascii="Arial" w:cs="Arial" w:eastAsia="Arial" w:hAnsi="Arial"/>
                  <w:sz w:val="18"/>
                  <w:szCs w:val="18"/>
                  <w:color w:val="0000FF"/>
                  <w:w w:val="98"/>
                </w:rPr>
                <w:t>Asparaginase, dated as of May 13, 2015, by and among EUSA Pharma SAS, the Secretary of State for Health acting through</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40" w:type="dxa"/>
            <w:vAlign w:val="bottom"/>
            <w:tcBorders>
              <w:top w:val="single" w:sz="8" w:color="0000FF"/>
            </w:tcBorders>
            <w:gridSpan w:val="39"/>
          </w:tcPr>
          <w:p>
            <w:pPr>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Public Health England and Porton Biopharma Limited (incorporated herein by reference to Exhibit 10.3 in Jazz</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40" w:type="dxa"/>
            <w:vAlign w:val="bottom"/>
            <w:tcBorders>
              <w:top w:val="single" w:sz="8" w:color="0000FF"/>
            </w:tcBorders>
            <w:gridSpan w:val="10"/>
          </w:tcPr>
          <w:p>
            <w:pPr>
              <w:spacing w:after="0" w:line="169"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Pharmaceuticals plc’s Quarterly Report on Form 10-Q (File No. 001-33500) for the period ended June 30, 2015,</w:t>
              </w:r>
            </w:hyperlink>
          </w:p>
        </w:tc>
        <w:tc>
          <w:tcPr>
            <w:tcW w:w="1820" w:type="dxa"/>
            <w:vAlign w:val="bottom"/>
            <w:gridSpan w:val="36"/>
          </w:tcPr>
          <w:p>
            <w:pPr>
              <w:jc w:val="right"/>
              <w:ind w:right="840"/>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as filed with</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20" w:type="dxa"/>
            <w:vAlign w:val="bottom"/>
            <w:tcBorders>
              <w:top w:val="single" w:sz="8" w:color="0000FF"/>
            </w:tcBorders>
            <w:gridSpan w:val="43"/>
          </w:tcPr>
          <w:p>
            <w:pPr>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the SEC on August 5, 2015).</w:t>
              </w:r>
            </w:hyperlink>
          </w:p>
        </w:tc>
        <w:tc>
          <w:tcPr>
            <w:tcW w:w="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Contract Variation Agreement by and between Porton Biopharma Limited and Jazz Pharmaceuticals France SAS, dated as of</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40"/>
            <w:shd w:val="clear" w:color="auto" w:fill="CCEEFF"/>
          </w:tcPr>
          <w:p>
            <w:pPr>
              <w:spacing w:after="0" w:line="169"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December 20, 2018 (incorporated herein by reference to Exhibit 10.5 in Jazz Pharmaceuticals plc’s Annual Report on Form</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60" w:type="dxa"/>
            <w:vAlign w:val="bottom"/>
            <w:tcBorders>
              <w:top w:val="single" w:sz="8" w:color="0000FF"/>
              <w:bottom w:val="single" w:sz="8" w:color="0000FF"/>
            </w:tcBorders>
            <w:gridSpan w:val="15"/>
            <w:shd w:val="clear" w:color="auto" w:fill="CCEEFF"/>
          </w:tcPr>
          <w:p>
            <w:pPr>
              <w:spacing w:after="0" w:line="169"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10-K (File No. 001-33500) for the period ended December 31, 2018, as filed with the SEC on February 26, 2019).</w:t>
              </w:r>
            </w:hyperlink>
          </w:p>
        </w:tc>
        <w:tc>
          <w:tcPr>
            <w:tcW w:w="700" w:type="dxa"/>
            <w:vAlign w:val="bottom"/>
            <w:tcBorders>
              <w:top w:val="single" w:sz="8" w:color="0000FF"/>
              <w:bottom w:val="single" w:sz="8" w:color="CCEEFF"/>
            </w:tcBorders>
            <w:gridSpan w:val="20"/>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10.8‡</w:t>
            </w:r>
          </w:p>
        </w:tc>
        <w:tc>
          <w:tcPr>
            <w:tcW w:w="8580" w:type="dxa"/>
            <w:vAlign w:val="bottom"/>
            <w:tcBorders>
              <w:bottom w:val="single" w:sz="8" w:color="0000FF"/>
            </w:tcBorders>
            <w:gridSpan w:val="21"/>
          </w:tcPr>
          <w:p>
            <w:pPr>
              <w:spacing w:after="0" w:line="189" w:lineRule="exact"/>
              <w:rPr>
                <w:rFonts w:ascii="Arial" w:cs="Arial" w:eastAsia="Arial" w:hAnsi="Arial"/>
                <w:sz w:val="18"/>
                <w:szCs w:val="18"/>
                <w:color w:val="0000FF"/>
                <w:w w:val="89"/>
              </w:rPr>
            </w:pPr>
            <w:hyperlink r:id="rId144">
              <w:r>
                <w:rPr>
                  <w:rFonts w:ascii="Arial" w:cs="Arial" w:eastAsia="Arial" w:hAnsi="Arial"/>
                  <w:sz w:val="18"/>
                  <w:szCs w:val="18"/>
                  <w:color w:val="0000FF"/>
                  <w:w w:val="89"/>
                </w:rPr>
                <w:t>Master Manufacturing Services Agreement, dated as of October 1, 2015, by and between Jazz Pharmaceuticals Ireland</w:t>
              </w:r>
            </w:hyperlink>
          </w:p>
        </w:tc>
        <w:tc>
          <w:tcPr>
            <w:tcW w:w="600" w:type="dxa"/>
            <w:vAlign w:val="bottom"/>
            <w:gridSpan w:val="24"/>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6"/>
          </w:tcPr>
          <w:p>
            <w:pPr>
              <w:spacing w:after="0" w:line="169" w:lineRule="exact"/>
              <w:rPr>
                <w:rFonts w:ascii="Arial" w:cs="Arial" w:eastAsia="Arial" w:hAnsi="Arial"/>
                <w:sz w:val="18"/>
                <w:szCs w:val="18"/>
                <w:color w:val="0000FF"/>
              </w:rPr>
            </w:pPr>
            <w:hyperlink r:id="rId144">
              <w:r>
                <w:rPr>
                  <w:rFonts w:ascii="Arial" w:cs="Arial" w:eastAsia="Arial" w:hAnsi="Arial"/>
                  <w:sz w:val="18"/>
                  <w:szCs w:val="18"/>
                  <w:color w:val="0000FF"/>
                </w:rPr>
                <w:t>Limited and Patheon Pharmaceuticals Inc. (incorporated herein by reference to Exhibit 10.8 in Jazz Pharmaceuticals plc’s</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0" w:type="dxa"/>
            <w:vAlign w:val="bottom"/>
            <w:tcBorders>
              <w:top w:val="single" w:sz="8" w:color="0000FF"/>
            </w:tcBorders>
            <w:gridSpan w:val="27"/>
          </w:tcPr>
          <w:p>
            <w:pPr>
              <w:spacing w:after="0" w:line="169" w:lineRule="exact"/>
              <w:rPr>
                <w:rFonts w:ascii="Arial" w:cs="Arial" w:eastAsia="Arial" w:hAnsi="Arial"/>
                <w:sz w:val="18"/>
                <w:szCs w:val="18"/>
                <w:color w:val="0000FF"/>
                <w:w w:val="94"/>
              </w:rPr>
            </w:pPr>
            <w:hyperlink r:id="rId144">
              <w:r>
                <w:rPr>
                  <w:rFonts w:ascii="Arial" w:cs="Arial" w:eastAsia="Arial" w:hAnsi="Arial"/>
                  <w:sz w:val="18"/>
                  <w:szCs w:val="18"/>
                  <w:color w:val="0000FF"/>
                  <w:w w:val="94"/>
                </w:rPr>
                <w:t>Annual Report on Form 10-K (File No. 001-33500) for the period ended December 31, 2020, as filed with the SEC on</w:t>
              </w:r>
            </w:hyperlink>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44">
              <w:r>
                <w:rPr>
                  <w:rFonts w:ascii="Arial" w:cs="Arial" w:eastAsia="Arial" w:hAnsi="Arial"/>
                  <w:sz w:val="18"/>
                  <w:szCs w:val="18"/>
                  <w:color w:val="0000FF"/>
                </w:rPr>
                <w:t>February 23, 2021).</w:t>
              </w:r>
            </w:hyperlink>
          </w:p>
        </w:tc>
        <w:tc>
          <w:tcPr>
            <w:tcW w:w="14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10.9A†</w:t>
            </w:r>
          </w:p>
        </w:tc>
        <w:tc>
          <w:tcPr>
            <w:tcW w:w="8240" w:type="dxa"/>
            <w:vAlign w:val="bottom"/>
            <w:tcBorders>
              <w:bottom w:val="single" w:sz="8" w:color="0000FF"/>
            </w:tcBorders>
            <w:gridSpan w:val="14"/>
            <w:shd w:val="clear" w:color="auto" w:fill="CCEEFF"/>
          </w:tcPr>
          <w:p>
            <w:pPr>
              <w:spacing w:after="0" w:line="189"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Clinical and Commercial Manufacturing and Supply Agreement, dated as of December 22, 2010, between Celator</w:t>
              </w:r>
            </w:hyperlink>
          </w:p>
        </w:tc>
        <w:tc>
          <w:tcPr>
            <w:tcW w:w="940" w:type="dxa"/>
            <w:vAlign w:val="bottom"/>
            <w:tcBorders>
              <w:bottom w:val="single" w:sz="8" w:color="CCEEFF"/>
              <w:right w:val="single" w:sz="8" w:color="CCEEFF"/>
            </w:tcBorders>
            <w:gridSpan w:val="31"/>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45"/>
            <w:shd w:val="clear" w:color="auto" w:fill="CCEEFF"/>
          </w:tcPr>
          <w:p>
            <w:pPr>
              <w:spacing w:after="0" w:line="169"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Pharmaceuticals, Inc. and Baxter Oncology GmbH (incorporated herein by reference to Exhibit 10.8 in Jazz Pharmaceuticals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41"/>
            <w:shd w:val="clear" w:color="auto" w:fill="CCEEFF"/>
          </w:tcPr>
          <w:p>
            <w:pPr>
              <w:spacing w:after="0" w:line="169" w:lineRule="exact"/>
              <w:rPr>
                <w:rFonts w:ascii="Arial" w:cs="Arial" w:eastAsia="Arial" w:hAnsi="Arial"/>
                <w:sz w:val="18"/>
                <w:szCs w:val="18"/>
                <w:color w:val="0000FF"/>
                <w:w w:val="94"/>
              </w:rPr>
            </w:pPr>
            <w:hyperlink r:id="rId145">
              <w:r>
                <w:rPr>
                  <w:rFonts w:ascii="Arial" w:cs="Arial" w:eastAsia="Arial" w:hAnsi="Arial"/>
                  <w:sz w:val="18"/>
                  <w:szCs w:val="18"/>
                  <w:color w:val="0000FF"/>
                  <w:w w:val="94"/>
                </w:rPr>
                <w:t>plc’s Annual Report on Form 10-K (File No. 001-33500) for the year ended December 31, 2017, as filed with the SEC on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February 27, 2018).</w:t>
              </w:r>
            </w:hyperlink>
          </w:p>
        </w:tc>
        <w:tc>
          <w:tcPr>
            <w:tcW w:w="7340" w:type="dxa"/>
            <w:vAlign w:val="bottom"/>
            <w:tcBorders>
              <w:top w:val="single" w:sz="8" w:color="0000FF"/>
              <w:bottom w:val="single" w:sz="8" w:color="CCEEFF"/>
            </w:tcBorders>
            <w:gridSpan w:val="24"/>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10.9B†</w:t>
            </w:r>
          </w:p>
        </w:tc>
        <w:tc>
          <w:tcPr>
            <w:tcW w:w="9180" w:type="dxa"/>
            <w:vAlign w:val="bottom"/>
            <w:gridSpan w:val="45"/>
          </w:tcPr>
          <w:p>
            <w:pPr>
              <w:spacing w:after="0" w:line="189" w:lineRule="exact"/>
              <w:rPr>
                <w:rFonts w:ascii="Arial" w:cs="Arial" w:eastAsia="Arial" w:hAnsi="Arial"/>
                <w:sz w:val="18"/>
                <w:szCs w:val="18"/>
                <w:color w:val="0000FF"/>
                <w:w w:val="95"/>
              </w:rPr>
            </w:pPr>
            <w:hyperlink r:id="rId146">
              <w:r>
                <w:rPr>
                  <w:rFonts w:ascii="Arial" w:cs="Arial" w:eastAsia="Arial" w:hAnsi="Arial"/>
                  <w:sz w:val="18"/>
                  <w:szCs w:val="18"/>
                  <w:color w:val="0000FF"/>
                  <w:w w:val="95"/>
                </w:rPr>
                <w:t>Amendment No. 1 Clinical and Commercial Manufacturing and Supply Agreement, dated as of January 18, 2018, by and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40" w:type="dxa"/>
            <w:vAlign w:val="bottom"/>
            <w:tcBorders>
              <w:top w:val="single" w:sz="8" w:color="0000FF"/>
              <w:bottom w:val="single" w:sz="8" w:color="0000FF"/>
            </w:tcBorders>
            <w:gridSpan w:val="24"/>
          </w:tcPr>
          <w:p>
            <w:pPr>
              <w:spacing w:after="0" w:line="169"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between Jazz Pharmaceuticals Ireland Limited and Baxter Oncology GmbH (incorporated herein by reference to Exhibit</w:t>
              </w:r>
            </w:hyperlink>
          </w:p>
        </w:tc>
        <w:tc>
          <w:tcPr>
            <w:tcW w:w="400" w:type="dxa"/>
            <w:vAlign w:val="bottom"/>
            <w:tcBorders>
              <w:bottom w:val="single" w:sz="8" w:color="0000FF"/>
            </w:tcBorders>
            <w:gridSpan w:val="20"/>
          </w:tcPr>
          <w:p>
            <w:pPr>
              <w:jc w:val="right"/>
              <w:ind w:right="100"/>
              <w:spacing w:after="0" w:line="169" w:lineRule="exact"/>
              <w:rPr>
                <w:rFonts w:ascii="Arial" w:cs="Arial" w:eastAsia="Arial" w:hAnsi="Arial"/>
                <w:sz w:val="18"/>
                <w:szCs w:val="18"/>
                <w:color w:val="0000FF"/>
                <w:w w:val="79"/>
              </w:rPr>
            </w:pPr>
            <w:hyperlink r:id="rId146">
              <w:r>
                <w:rPr>
                  <w:rFonts w:ascii="Arial" w:cs="Arial" w:eastAsia="Arial" w:hAnsi="Arial"/>
                  <w:sz w:val="18"/>
                  <w:szCs w:val="18"/>
                  <w:color w:val="0000FF"/>
                  <w:w w:val="79"/>
                </w:rPr>
                <w:t>10.3</w:t>
              </w:r>
            </w:hyperlink>
          </w:p>
        </w:tc>
        <w:tc>
          <w:tcPr>
            <w:tcW w:w="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40" w:type="dxa"/>
            <w:vAlign w:val="bottom"/>
            <w:gridSpan w:val="44"/>
          </w:tcPr>
          <w:p>
            <w:pPr>
              <w:spacing w:after="0" w:line="169"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in Jazz Pharmaceuticals plc’s Quarterly Report on Form 10-Q (File No. 001-33500) for the period ended March 31, 2018, as</w:t>
              </w:r>
            </w:hyperlink>
          </w:p>
        </w:tc>
        <w:tc>
          <w:tcPr>
            <w:tcW w:w="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146">
              <w:r>
                <w:rPr>
                  <w:rFonts w:ascii="Arial" w:cs="Arial" w:eastAsia="Arial" w:hAnsi="Arial"/>
                  <w:sz w:val="18"/>
                  <w:szCs w:val="18"/>
                  <w:color w:val="0000FF"/>
                </w:rPr>
                <w:t>filed with the SEC on May 8, 2018).</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10.10‡</w:t>
            </w:r>
          </w:p>
        </w:tc>
        <w:tc>
          <w:tcPr>
            <w:tcW w:w="9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Contract Manufacturing Agreement, dated as of January 20, 2020, by and between Jazz Pharmaceuticals Ireland Limited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100" w:type="dxa"/>
            <w:vAlign w:val="bottom"/>
            <w:tcBorders>
              <w:top w:val="single" w:sz="8" w:color="0000FF"/>
            </w:tcBorders>
            <w:gridSpan w:val="42"/>
            <w:shd w:val="clear" w:color="auto" w:fill="CCEEFF"/>
          </w:tcPr>
          <w:p>
            <w:pPr>
              <w:spacing w:after="0" w:line="169" w:lineRule="exact"/>
              <w:rPr>
                <w:rFonts w:ascii="Arial" w:cs="Arial" w:eastAsia="Arial" w:hAnsi="Arial"/>
                <w:sz w:val="18"/>
                <w:szCs w:val="18"/>
                <w:color w:val="0000FF"/>
                <w:w w:val="92"/>
              </w:rPr>
            </w:pPr>
            <w:hyperlink r:id="rId147">
              <w:r>
                <w:rPr>
                  <w:rFonts w:ascii="Arial" w:cs="Arial" w:eastAsia="Arial" w:hAnsi="Arial"/>
                  <w:sz w:val="18"/>
                  <w:szCs w:val="18"/>
                  <w:color w:val="0000FF"/>
                  <w:w w:val="92"/>
                </w:rPr>
                <w:t>Siegfried AG (incorporated herein by reference to Exhibit 10.10 in Jazz Pharmaceuticals plc’s Annual Report on Form 10-K</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2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(File No. 001-33500) for the period ended December 31, 2019, as filed with the SEC on February 25, 2020).</w:t>
              </w:r>
            </w:hyperlink>
          </w:p>
        </w:tc>
        <w:tc>
          <w:tcPr>
            <w:tcW w:w="1160" w:type="dxa"/>
            <w:vAlign w:val="bottom"/>
            <w:tcBorders>
              <w:top w:val="single" w:sz="8" w:color="0000FF"/>
              <w:bottom w:val="single" w:sz="8" w:color="CCEEFF"/>
            </w:tcBorders>
            <w:gridSpan w:val="27"/>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10.11A‡</w:t>
            </w:r>
          </w:p>
        </w:tc>
        <w:tc>
          <w:tcPr>
            <w:tcW w:w="8660" w:type="dxa"/>
            <w:vAlign w:val="bottom"/>
            <w:tcBorders>
              <w:bottom w:val="single" w:sz="8" w:color="0000FF"/>
            </w:tcBorders>
            <w:gridSpan w:val="23"/>
          </w:tcPr>
          <w:p>
            <w:pPr>
              <w:spacing w:after="0" w:line="189" w:lineRule="exact"/>
              <w:rPr>
                <w:rFonts w:ascii="Arial" w:cs="Arial" w:eastAsia="Arial" w:hAnsi="Arial"/>
                <w:sz w:val="18"/>
                <w:szCs w:val="18"/>
                <w:color w:val="0000FF"/>
                <w:w w:val="89"/>
              </w:rPr>
            </w:pPr>
            <w:hyperlink r:id="rId148">
              <w:r>
                <w:rPr>
                  <w:rFonts w:ascii="Arial" w:cs="Arial" w:eastAsia="Arial" w:hAnsi="Arial"/>
                  <w:sz w:val="18"/>
                  <w:szCs w:val="18"/>
                  <w:color w:val="0000FF"/>
                  <w:w w:val="89"/>
                </w:rPr>
                <w:t>Pharmacy Master Services Agreement, dated as of July 1, 2020, by and between Jazz Pharmaceuticals, Inc. and Express</w:t>
              </w:r>
            </w:hyperlink>
          </w:p>
        </w:tc>
        <w:tc>
          <w:tcPr>
            <w:tcW w:w="520" w:type="dxa"/>
            <w:vAlign w:val="bottom"/>
            <w:gridSpan w:val="22"/>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gridSpan w:val="46"/>
          </w:tcPr>
          <w:p>
            <w:pPr>
              <w:spacing w:after="0"/>
              <w:rPr>
                <w:rFonts w:ascii="Arial" w:cs="Arial" w:eastAsia="Arial" w:hAnsi="Arial"/>
                <w:sz w:val="18"/>
                <w:szCs w:val="18"/>
                <w:color w:val="0000FF"/>
              </w:rPr>
            </w:pPr>
            <w:hyperlink r:id="rId148">
              <w:r>
                <w:rPr>
                  <w:rFonts w:ascii="Arial" w:cs="Arial" w:eastAsia="Arial" w:hAnsi="Arial"/>
                  <w:sz w:val="18"/>
                  <w:szCs w:val="18"/>
                  <w:color w:val="0000FF"/>
                </w:rPr>
                <w:t>Scripts Specialty Distribution Services, Inc. (incorporated herein by reference to Exhibit 10.2 in Jazz Pharmaceuticals plc’s</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00" w:type="dxa"/>
            <w:vAlign w:val="bottom"/>
            <w:tcBorders>
              <w:top w:val="single" w:sz="8" w:color="0000FF"/>
            </w:tcBorders>
            <w:gridSpan w:val="32"/>
          </w:tcPr>
          <w:p>
            <w:pPr>
              <w:spacing w:after="0" w:line="169"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Quarterly Report on Form 10-Q (File No. 001-33500) for the period ended June 30, 2020, as filed with the SEC on August</w:t>
              </w:r>
            </w:hyperlink>
          </w:p>
        </w:tc>
        <w:tc>
          <w:tcPr>
            <w:tcW w:w="960" w:type="dxa"/>
            <w:vAlign w:val="bottom"/>
            <w:gridSpan w:val="14"/>
          </w:tcPr>
          <w:p>
            <w:pPr>
              <w:jc w:val="right"/>
              <w:ind w:right="840"/>
              <w:spacing w:after="0" w:line="169" w:lineRule="exact"/>
              <w:rPr>
                <w:rFonts w:ascii="Arial" w:cs="Arial" w:eastAsia="Arial" w:hAnsi="Arial"/>
                <w:sz w:val="17"/>
                <w:szCs w:val="17"/>
                <w:color w:val="0000FF"/>
                <w:w w:val="70"/>
              </w:rPr>
            </w:pPr>
            <w:hyperlink r:id="rId148">
              <w:r>
                <w:rPr>
                  <w:rFonts w:ascii="Arial" w:cs="Arial" w:eastAsia="Arial" w:hAnsi="Arial"/>
                  <w:sz w:val="17"/>
                  <w:szCs w:val="17"/>
                  <w:color w:val="0000FF"/>
                  <w:w w:val="70"/>
                </w:rPr>
                <w:t>4,</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2020).</w:t>
              </w:r>
            </w:hyperlink>
          </w:p>
        </w:tc>
        <w:tc>
          <w:tcPr>
            <w:tcW w:w="9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6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8"/>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7"/>
          </w:tcPr>
          <w:p>
            <w:pPr>
              <w:ind w:left="4100"/>
              <w:spacing w:after="0"/>
              <w:rPr>
                <w:sz w:val="20"/>
                <w:szCs w:val="20"/>
                <w:color w:val="auto"/>
              </w:rPr>
            </w:pPr>
            <w:r>
              <w:rPr>
                <w:rFonts w:ascii="Arial" w:cs="Arial" w:eastAsia="Arial" w:hAnsi="Arial"/>
                <w:sz w:val="18"/>
                <w:szCs w:val="18"/>
                <w:color w:val="auto"/>
              </w:rPr>
              <w:t>104</w:t>
            </w: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10.11B</w:t>
            </w:r>
          </w:p>
        </w:tc>
        <w:tc>
          <w:tcPr>
            <w:tcW w:w="9180" w:type="dxa"/>
            <w:vAlign w:val="bottom"/>
            <w:gridSpan w:val="41"/>
            <w:shd w:val="clear" w:color="auto" w:fill="CCEEFF"/>
          </w:tcPr>
          <w:p>
            <w:pPr>
              <w:spacing w:after="0" w:line="189" w:lineRule="exact"/>
              <w:rPr>
                <w:rFonts w:ascii="Arial" w:cs="Arial" w:eastAsia="Arial" w:hAnsi="Arial"/>
                <w:sz w:val="18"/>
                <w:szCs w:val="18"/>
                <w:color w:val="0000FF"/>
                <w:w w:val="96"/>
              </w:rPr>
            </w:pPr>
            <w:hyperlink r:id="rId151">
              <w:r>
                <w:rPr>
                  <w:rFonts w:ascii="Arial" w:cs="Arial" w:eastAsia="Arial" w:hAnsi="Arial"/>
                  <w:sz w:val="18"/>
                  <w:szCs w:val="18"/>
                  <w:color w:val="0000FF"/>
                  <w:w w:val="96"/>
                </w:rPr>
                <w:t>Amendment No. 1, dated as of July 4, 2021 to Pharmacy Master Services Agreement, dated as of July 1, 2020, by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440" w:type="dxa"/>
            <w:vAlign w:val="bottom"/>
            <w:tcBorders>
              <w:top w:val="single" w:sz="8" w:color="0000FF"/>
              <w:bottom w:val="single" w:sz="8" w:color="0000FF"/>
            </w:tcBorders>
            <w:gridSpan w:val="17"/>
            <w:shd w:val="clear" w:color="auto" w:fill="CCEEFF"/>
          </w:tcPr>
          <w:p>
            <w:pPr>
              <w:spacing w:after="0" w:line="169"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between Jazz Pharmaceuticals, Inc. and Express Scripts Specialty Distribution Services, Inc. (incorporated herein by</w:t>
              </w:r>
            </w:hyperlink>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41"/>
            <w:shd w:val="clear" w:color="auto" w:fill="CCEEFF"/>
          </w:tcPr>
          <w:p>
            <w:pPr>
              <w:spacing w:after="0" w:line="169" w:lineRule="exact"/>
              <w:rPr>
                <w:rFonts w:ascii="Arial" w:cs="Arial" w:eastAsia="Arial" w:hAnsi="Arial"/>
                <w:sz w:val="18"/>
                <w:szCs w:val="18"/>
                <w:color w:val="0000FF"/>
                <w:w w:val="98"/>
              </w:rPr>
            </w:pPr>
            <w:hyperlink r:id="rId151">
              <w:r>
                <w:rPr>
                  <w:rFonts w:ascii="Arial" w:cs="Arial" w:eastAsia="Arial" w:hAnsi="Arial"/>
                  <w:sz w:val="18"/>
                  <w:szCs w:val="18"/>
                  <w:color w:val="0000FF"/>
                  <w:w w:val="98"/>
                </w:rPr>
                <w:t>reference to Exhibit 10.1A in Jazz Pharmaceuticals, plc’s Quarterly Report on Form 10-Q (File No. 001-33500) for the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10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period ended June 30, 2021, as filed with the SEC on August 3, 2021).</w:t>
              </w:r>
            </w:hyperlink>
          </w:p>
        </w:tc>
        <w:tc>
          <w:tcPr>
            <w:tcW w:w="3460" w:type="dxa"/>
            <w:vAlign w:val="bottom"/>
            <w:tcBorders>
              <w:top w:val="single" w:sz="8" w:color="0000FF"/>
              <w:bottom w:val="single" w:sz="8" w:color="CCEEFF"/>
            </w:tcBorders>
            <w:gridSpan w:val="13"/>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10.11C</w:t>
            </w:r>
          </w:p>
        </w:tc>
        <w:tc>
          <w:tcPr>
            <w:tcW w:w="9180" w:type="dxa"/>
            <w:vAlign w:val="bottom"/>
            <w:gridSpan w:val="41"/>
          </w:tcPr>
          <w:p>
            <w:pPr>
              <w:spacing w:after="0" w:line="189" w:lineRule="exact"/>
              <w:rPr>
                <w:rFonts w:ascii="Arial" w:cs="Arial" w:eastAsia="Arial" w:hAnsi="Arial"/>
                <w:sz w:val="18"/>
                <w:szCs w:val="18"/>
                <w:color w:val="0000FF"/>
                <w:w w:val="95"/>
              </w:rPr>
            </w:pPr>
            <w:hyperlink r:id="rId152">
              <w:r>
                <w:rPr>
                  <w:rFonts w:ascii="Arial" w:cs="Arial" w:eastAsia="Arial" w:hAnsi="Arial"/>
                  <w:sz w:val="18"/>
                  <w:szCs w:val="18"/>
                  <w:color w:val="0000FF"/>
                  <w:w w:val="95"/>
                </w:rPr>
                <w:t>Amendment No. 2, dated as of July 19, 2021 to Pharmacy Master Services Agreement, dated as of July 1, 2020, by and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4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between Jazz Pharmaceuticals, Inc. and Express Scripts Specialty Distribution Services, Inc. (incorporated herein by</w:t>
              </w:r>
            </w:hyperlink>
          </w:p>
        </w:tc>
        <w:tc>
          <w:tcPr>
            <w:tcW w:w="16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2"/>
          </w:tcPr>
          <w:p>
            <w:pPr>
              <w:spacing w:after="0" w:line="169"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reference to Exhibit 10.1B in Jazz Pharmaceuticals, plc’s Quarterly Report on Form 10-Q (File No. 001-33500) for the period</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80" w:type="dxa"/>
            <w:vAlign w:val="bottom"/>
            <w:tcBorders>
              <w:top w:val="single" w:sz="8" w:color="0000FF"/>
            </w:tcBorders>
            <w:gridSpan w:val="39"/>
          </w:tcPr>
          <w:p>
            <w:pPr>
              <w:spacing w:after="0" w:line="169" w:lineRule="exact"/>
              <w:rPr>
                <w:rFonts w:ascii="Arial" w:cs="Arial" w:eastAsia="Arial" w:hAnsi="Arial"/>
                <w:sz w:val="18"/>
                <w:szCs w:val="18"/>
                <w:color w:val="0000FF"/>
              </w:rPr>
            </w:pPr>
            <w:hyperlink r:id="rId152">
              <w:r>
                <w:rPr>
                  <w:rFonts w:ascii="Arial" w:cs="Arial" w:eastAsia="Arial" w:hAnsi="Arial"/>
                  <w:sz w:val="18"/>
                  <w:szCs w:val="18"/>
                  <w:color w:val="0000FF"/>
                </w:rPr>
                <w:t>ended June 30, 2021, as filed with the SEC on August 3, 2021).</w:t>
              </w:r>
            </w:hyperlink>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10.11D</w:t>
            </w:r>
          </w:p>
        </w:tc>
        <w:tc>
          <w:tcPr>
            <w:tcW w:w="9180" w:type="dxa"/>
            <w:vAlign w:val="bottom"/>
            <w:gridSpan w:val="41"/>
            <w:shd w:val="clear" w:color="auto" w:fill="CCEEFF"/>
          </w:tcPr>
          <w:p>
            <w:pPr>
              <w:spacing w:after="0" w:line="189" w:lineRule="exact"/>
              <w:rPr>
                <w:rFonts w:ascii="Arial" w:cs="Arial" w:eastAsia="Arial" w:hAnsi="Arial"/>
                <w:sz w:val="18"/>
                <w:szCs w:val="18"/>
                <w:color w:val="0000FF"/>
                <w:w w:val="92"/>
              </w:rPr>
            </w:pPr>
            <w:hyperlink w:anchor="page181">
              <w:r>
                <w:rPr>
                  <w:rFonts w:ascii="Arial" w:cs="Arial" w:eastAsia="Arial" w:hAnsi="Arial"/>
                  <w:sz w:val="18"/>
                  <w:szCs w:val="18"/>
                  <w:color w:val="0000FF"/>
                  <w:w w:val="92"/>
                </w:rPr>
                <w:t>Amendment No. 3, dated as of December 7, 2021 to Pharmacy Master Services Agreement, dated as of July 1, 2020, by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0000FF"/>
            </w:tcBorders>
            <w:gridSpan w:val="34"/>
            <w:shd w:val="clear" w:color="auto" w:fill="CCEEFF"/>
          </w:tcPr>
          <w:p>
            <w:pPr>
              <w:spacing w:after="0" w:line="169" w:lineRule="exact"/>
              <w:rPr>
                <w:rFonts w:ascii="Arial" w:cs="Arial" w:eastAsia="Arial" w:hAnsi="Arial"/>
                <w:sz w:val="18"/>
                <w:szCs w:val="18"/>
                <w:color w:val="0000FF"/>
              </w:rPr>
            </w:pPr>
            <w:hyperlink w:anchor="page181">
              <w:r>
                <w:rPr>
                  <w:rFonts w:ascii="Arial" w:cs="Arial" w:eastAsia="Arial" w:hAnsi="Arial"/>
                  <w:sz w:val="18"/>
                  <w:szCs w:val="18"/>
                  <w:color w:val="0000FF"/>
                </w:rPr>
                <w:t>between Jazz Pharmaceuticals, Inc. and Express Scripts Specialty Distribution Services, Inc.</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10.12A‡</w:t>
            </w:r>
          </w:p>
        </w:tc>
        <w:tc>
          <w:tcPr>
            <w:tcW w:w="9180" w:type="dxa"/>
            <w:vAlign w:val="bottom"/>
            <w:gridSpan w:val="41"/>
          </w:tcPr>
          <w:p>
            <w:pPr>
              <w:spacing w:after="0" w:line="189" w:lineRule="exact"/>
              <w:rPr>
                <w:rFonts w:ascii="Arial" w:cs="Arial" w:eastAsia="Arial" w:hAnsi="Arial"/>
                <w:sz w:val="18"/>
                <w:szCs w:val="18"/>
                <w:color w:val="0000FF"/>
              </w:rPr>
            </w:pPr>
            <w:hyperlink r:id="rId153">
              <w:r>
                <w:rPr>
                  <w:rFonts w:ascii="Arial" w:cs="Arial" w:eastAsia="Arial" w:hAnsi="Arial"/>
                  <w:sz w:val="18"/>
                  <w:szCs w:val="18"/>
                  <w:color w:val="0000FF"/>
                </w:rPr>
                <w:t>Amended and Restated License Agreement, dated as of October 14, 2020, between Pharma Mar, S.A. and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2"/>
          </w:tcPr>
          <w:p>
            <w:pPr>
              <w:spacing w:after="0" w:line="169" w:lineRule="exact"/>
              <w:rPr>
                <w:rFonts w:ascii="Arial" w:cs="Arial" w:eastAsia="Arial" w:hAnsi="Arial"/>
                <w:sz w:val="18"/>
                <w:szCs w:val="18"/>
                <w:color w:val="0000FF"/>
              </w:rPr>
            </w:pPr>
            <w:hyperlink r:id="rId153">
              <w:r>
                <w:rPr>
                  <w:rFonts w:ascii="Arial" w:cs="Arial" w:eastAsia="Arial" w:hAnsi="Arial"/>
                  <w:sz w:val="18"/>
                  <w:szCs w:val="18"/>
                  <w:color w:val="0000FF"/>
                </w:rPr>
                <w:t>Pharmaceuticals Ireland Limited (incorporated herein by reference to Exhibit 10.12 in Jazz Pharmaceuticals plc’s Annual</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40" w:type="dxa"/>
            <w:vAlign w:val="bottom"/>
            <w:tcBorders>
              <w:top w:val="single" w:sz="8" w:color="0000FF"/>
            </w:tcBorders>
            <w:gridSpan w:val="23"/>
          </w:tcPr>
          <w:p>
            <w:pPr>
              <w:spacing w:after="0" w:line="169"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Report on Form 10-K (File No. 001-33500) for the period ended December 31, 2020, as filed with the SEC on February</w:t>
              </w:r>
            </w:hyperlink>
          </w:p>
        </w:tc>
        <w:tc>
          <w:tcPr>
            <w:tcW w:w="260" w:type="dxa"/>
            <w:vAlign w:val="bottom"/>
            <w:gridSpan w:val="12"/>
          </w:tcPr>
          <w:p>
            <w:pPr>
              <w:spacing w:after="0" w:line="169"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r:id="rId153">
              <w:r>
                <w:rPr>
                  <w:rFonts w:ascii="Arial" w:cs="Arial" w:eastAsia="Arial" w:hAnsi="Arial"/>
                  <w:sz w:val="18"/>
                  <w:szCs w:val="18"/>
                  <w:color w:val="0000FF"/>
                </w:rPr>
                <w:t>2021).</w:t>
              </w:r>
            </w:hyperlink>
          </w:p>
        </w:tc>
        <w:tc>
          <w:tcPr>
            <w:tcW w:w="10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10.12B‡</w:t>
            </w:r>
          </w:p>
        </w:tc>
        <w:tc>
          <w:tcPr>
            <w:tcW w:w="9180" w:type="dxa"/>
            <w:vAlign w:val="bottom"/>
            <w:gridSpan w:val="41"/>
            <w:shd w:val="clear" w:color="auto" w:fill="CCEEFF"/>
          </w:tcPr>
          <w:p>
            <w:pPr>
              <w:spacing w:after="0" w:line="189"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Amendment No. 1, dated as of May 6, 2021, to Amended and Restated License Agreement, dated as of October 14, 2020,</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0" w:type="dxa"/>
            <w:vAlign w:val="bottom"/>
            <w:tcBorders>
              <w:top w:val="single" w:sz="8" w:color="0000FF"/>
            </w:tcBorders>
            <w:gridSpan w:val="26"/>
            <w:shd w:val="clear" w:color="auto" w:fill="CCEEFF"/>
          </w:tcPr>
          <w:p>
            <w:pPr>
              <w:spacing w:after="0" w:line="169"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between Pharma Mar, S.A. and Jazz Pharmaceuticals Ireland Limited (incorporated herein by reference to Exhibit 10.2 in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0000FF"/>
            </w:tcBorders>
            <w:gridSpan w:val="6"/>
            <w:shd w:val="clear" w:color="auto" w:fill="CCEEFF"/>
          </w:tcPr>
          <w:p>
            <w:pPr>
              <w:spacing w:after="0" w:line="169"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Jazz Pharmaceuticals, plc’s Quarterly Report on Form 10-Q (File No.</w:t>
              </w:r>
            </w:hyperlink>
          </w:p>
        </w:tc>
        <w:tc>
          <w:tcPr>
            <w:tcW w:w="3720" w:type="dxa"/>
            <w:vAlign w:val="bottom"/>
            <w:tcBorders>
              <w:top w:val="single" w:sz="8" w:color="0000FF"/>
            </w:tcBorders>
            <w:gridSpan w:val="18"/>
            <w:shd w:val="clear" w:color="auto" w:fill="CCEEFF"/>
          </w:tcPr>
          <w:p>
            <w:pPr>
              <w:ind w:left="20"/>
              <w:spacing w:after="0" w:line="169"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001-33500) for the period ended June 30, 2021, as</w:t>
              </w:r>
            </w:hyperlink>
          </w:p>
        </w:tc>
        <w:tc>
          <w:tcPr>
            <w:tcW w:w="420" w:type="dxa"/>
            <w:vAlign w:val="bottom"/>
            <w:tcBorders>
              <w:top w:val="single" w:sz="8" w:color="CCEEFF"/>
            </w:tcBorders>
            <w:gridSpan w:val="17"/>
            <w:shd w:val="clear" w:color="auto" w:fill="CCEEFF"/>
          </w:tcPr>
          <w:p>
            <w:pPr>
              <w:spacing w:after="0" w:line="169" w:lineRule="exact"/>
              <w:rPr>
                <w:rFonts w:ascii="Arial" w:cs="Arial" w:eastAsia="Arial" w:hAnsi="Arial"/>
                <w:sz w:val="18"/>
                <w:szCs w:val="18"/>
                <w:color w:val="0000FF"/>
              </w:rPr>
            </w:pPr>
            <w:hyperlink r:id="rId151">
              <w:r>
                <w:rPr>
                  <w:rFonts w:ascii="Arial" w:cs="Arial" w:eastAsia="Arial" w:hAnsi="Arial"/>
                  <w:sz w:val="18"/>
                  <w:szCs w:val="18"/>
                  <w:color w:val="0000FF"/>
                </w:rPr>
                <w:t>filed</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100" w:type="dxa"/>
            <w:vAlign w:val="bottom"/>
            <w:tcBorders>
              <w:top w:val="single" w:sz="8" w:color="0000FF"/>
            </w:tcBorders>
            <w:gridSpan w:val="40"/>
            <w:shd w:val="clear" w:color="auto" w:fill="CCEEFF"/>
          </w:tcPr>
          <w:p>
            <w:pPr>
              <w:spacing w:after="0" w:line="169" w:lineRule="exact"/>
              <w:rPr>
                <w:rFonts w:ascii="Arial" w:cs="Arial" w:eastAsia="Arial" w:hAnsi="Arial"/>
                <w:sz w:val="18"/>
                <w:szCs w:val="18"/>
                <w:color w:val="0000FF"/>
              </w:rPr>
            </w:pPr>
            <w:hyperlink r:id="rId151">
              <w:r>
                <w:rPr>
                  <w:rFonts w:ascii="Arial" w:cs="Arial" w:eastAsia="Arial" w:hAnsi="Arial"/>
                  <w:sz w:val="18"/>
                  <w:szCs w:val="18"/>
                  <w:color w:val="0000FF"/>
                </w:rPr>
                <w:t>with the SEC on August 3, 2021).</w:t>
              </w:r>
            </w:hyperlink>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10.13A</w:t>
            </w:r>
          </w:p>
        </w:tc>
        <w:tc>
          <w:tcPr>
            <w:tcW w:w="7820" w:type="dxa"/>
            <w:vAlign w:val="bottom"/>
            <w:tcBorders>
              <w:bottom w:val="single" w:sz="8" w:color="0000FF"/>
            </w:tcBorders>
            <w:gridSpan w:val="10"/>
          </w:tcPr>
          <w:p>
            <w:pPr>
              <w:spacing w:after="0" w:line="189"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Credit Agreement, dated as of June 18, 2015, among Jazz Pharmaceuticals plc, Jazz Securities Limited, Jazz</w:t>
              </w:r>
            </w:hyperlink>
          </w:p>
        </w:tc>
        <w:tc>
          <w:tcPr>
            <w:tcW w:w="1360" w:type="dxa"/>
            <w:vAlign w:val="bottom"/>
            <w:gridSpan w:val="31"/>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2"/>
          </w:tcPr>
          <w:p>
            <w:pPr>
              <w:spacing w:after="0" w:line="169"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Pharmaceuticals, Inc., Jazz Financing I Limited, Jazz Pharmaceuticals Ireland Limited, the lenders party thereto and Bank of</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2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America, N.A., as Collateral Agent, Administrative Agent, Swing Line Lender and L/C Issuer (incorporated herein by</w:t>
              </w:r>
            </w:hyperlink>
          </w:p>
        </w:tc>
        <w:tc>
          <w:tcPr>
            <w:tcW w:w="5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2"/>
          </w:tcPr>
          <w:p>
            <w:pPr>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reference to Exhibit 10.1 in Jazz Pharmaceuticals plc’s Current Report on Form 8-K (File No. 001-33500), as filed with the</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SEC on June 18, 2015).</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10.13B</w:t>
            </w:r>
          </w:p>
        </w:tc>
        <w:tc>
          <w:tcPr>
            <w:tcW w:w="8900" w:type="dxa"/>
            <w:vAlign w:val="bottom"/>
            <w:tcBorders>
              <w:bottom w:val="single" w:sz="8" w:color="0000FF"/>
            </w:tcBorders>
            <w:gridSpan w:val="30"/>
            <w:shd w:val="clear" w:color="auto" w:fill="CCEEFF"/>
          </w:tcPr>
          <w:p>
            <w:pPr>
              <w:spacing w:after="0" w:line="189" w:lineRule="exact"/>
              <w:rPr>
                <w:rFonts w:ascii="Arial" w:cs="Arial" w:eastAsia="Arial" w:hAnsi="Arial"/>
                <w:sz w:val="18"/>
                <w:szCs w:val="18"/>
                <w:color w:val="0000FF"/>
                <w:w w:val="89"/>
              </w:rPr>
            </w:pPr>
            <w:hyperlink r:id="rId156">
              <w:r>
                <w:rPr>
                  <w:rFonts w:ascii="Arial" w:cs="Arial" w:eastAsia="Arial" w:hAnsi="Arial"/>
                  <w:sz w:val="18"/>
                  <w:szCs w:val="18"/>
                  <w:color w:val="0000FF"/>
                  <w:w w:val="89"/>
                </w:rPr>
                <w:t>Amendment No. 1, dated as of July 12, 2016, to Credit Agreement, dated as of June 18, 2015, among Jazz Pharmaceuticals</w:t>
              </w:r>
            </w:hyperlink>
          </w:p>
        </w:tc>
        <w:tc>
          <w:tcPr>
            <w:tcW w:w="280" w:type="dxa"/>
            <w:vAlign w:val="bottom"/>
            <w:tcBorders>
              <w:bottom w:val="single" w:sz="8" w:color="CCEEFF"/>
            </w:tcBorders>
            <w:gridSpan w:val="11"/>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41"/>
            <w:shd w:val="clear" w:color="auto" w:fill="CCEEFF"/>
          </w:tcPr>
          <w:p>
            <w:pPr>
              <w:spacing w:after="0" w:line="169"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plc, Jazz Securities Limited, Jazz Pharmaceuticals, Inc., Jazz Financing I Limited, Jazz Pharmaceuticals Ireland Limited, the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780" w:type="dxa"/>
            <w:vAlign w:val="bottom"/>
            <w:tcBorders>
              <w:top w:val="single" w:sz="8" w:color="0000FF"/>
              <w:bottom w:val="single" w:sz="8" w:color="0000FF"/>
            </w:tcBorders>
            <w:gridSpan w:val="25"/>
            <w:shd w:val="clear" w:color="auto" w:fill="CCEEFF"/>
          </w:tcPr>
          <w:p>
            <w:pPr>
              <w:spacing w:after="0" w:line="169"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lenders party thereto and Bank of America, N.A., as Collateral Agent, Administrative Agent, Swing Line Lender and L/C</w:t>
              </w:r>
            </w:hyperlink>
          </w:p>
        </w:tc>
        <w:tc>
          <w:tcPr>
            <w:tcW w:w="22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41"/>
            <w:shd w:val="clear" w:color="auto" w:fill="CCEEFF"/>
          </w:tcPr>
          <w:p>
            <w:pPr>
              <w:spacing w:after="0" w:line="169" w:lineRule="exact"/>
              <w:rPr>
                <w:rFonts w:ascii="Arial" w:cs="Arial" w:eastAsia="Arial" w:hAnsi="Arial"/>
                <w:sz w:val="18"/>
                <w:szCs w:val="18"/>
                <w:color w:val="0000FF"/>
                <w:w w:val="94"/>
              </w:rPr>
            </w:pPr>
            <w:hyperlink r:id="rId156">
              <w:r>
                <w:rPr>
                  <w:rFonts w:ascii="Arial" w:cs="Arial" w:eastAsia="Arial" w:hAnsi="Arial"/>
                  <w:sz w:val="18"/>
                  <w:szCs w:val="18"/>
                  <w:color w:val="0000FF"/>
                  <w:w w:val="94"/>
                </w:rPr>
                <w:t>Issuer (incorporated herein by reference to Exhibit 10.1 in Jazz Pharmaceuticals plc’s Quarterly Report on Form 10-Q (File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rPr>
            </w:pPr>
            <w:hyperlink r:id="rId156">
              <w:r>
                <w:rPr>
                  <w:rFonts w:ascii="Arial" w:cs="Arial" w:eastAsia="Arial" w:hAnsi="Arial"/>
                  <w:sz w:val="18"/>
                  <w:szCs w:val="18"/>
                  <w:color w:val="0000FF"/>
                </w:rPr>
                <w:t>No. 001-33500) for the period ended June 30, 2016, as filed with the SEC on August 9, 2016).</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10.13C</w:t>
            </w:r>
          </w:p>
        </w:tc>
        <w:tc>
          <w:tcPr>
            <w:tcW w:w="9180" w:type="dxa"/>
            <w:vAlign w:val="bottom"/>
            <w:gridSpan w:val="41"/>
          </w:tcPr>
          <w:p>
            <w:pPr>
              <w:spacing w:after="0" w:line="189" w:lineRule="exact"/>
              <w:rPr>
                <w:rFonts w:ascii="Arial" w:cs="Arial" w:eastAsia="Arial" w:hAnsi="Arial"/>
                <w:sz w:val="18"/>
                <w:szCs w:val="18"/>
                <w:color w:val="0000FF"/>
                <w:w w:val="95"/>
              </w:rPr>
            </w:pPr>
            <w:hyperlink r:id="rId157">
              <w:r>
                <w:rPr>
                  <w:rFonts w:ascii="Arial" w:cs="Arial" w:eastAsia="Arial" w:hAnsi="Arial"/>
                  <w:sz w:val="18"/>
                  <w:szCs w:val="18"/>
                  <w:color w:val="0000FF"/>
                  <w:w w:val="95"/>
                </w:rPr>
                <w:t>Amendment No. 2, dated as of June 7, 2018, to Credit Agreement, dated as of June 18, 2015 (as previously amended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40" w:type="dxa"/>
            <w:vAlign w:val="bottom"/>
            <w:tcBorders>
              <w:top w:val="single" w:sz="8" w:color="0000FF"/>
            </w:tcBorders>
            <w:gridSpan w:val="22"/>
          </w:tcPr>
          <w:p>
            <w:pPr>
              <w:spacing w:after="0" w:line="169" w:lineRule="exact"/>
              <w:rPr>
                <w:rFonts w:ascii="Arial" w:cs="Arial" w:eastAsia="Arial" w:hAnsi="Arial"/>
                <w:sz w:val="18"/>
                <w:szCs w:val="18"/>
                <w:color w:val="0000FF"/>
                <w:w w:val="93"/>
              </w:rPr>
            </w:pPr>
            <w:hyperlink r:id="rId157">
              <w:r>
                <w:rPr>
                  <w:rFonts w:ascii="Arial" w:cs="Arial" w:eastAsia="Arial" w:hAnsi="Arial"/>
                  <w:sz w:val="18"/>
                  <w:szCs w:val="18"/>
                  <w:color w:val="0000FF"/>
                  <w:w w:val="93"/>
                </w:rPr>
                <w:t>Amendment No. 1, dated as of July 12, 2016), among Jazz Pharmaceuticals plc, Jazz Securities Designated Activity</w:t>
              </w:r>
            </w:hyperlink>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380" w:type="dxa"/>
            <w:vAlign w:val="bottom"/>
            <w:tcBorders>
              <w:top w:val="single" w:sz="8" w:color="0000FF"/>
            </w:tcBorders>
            <w:gridSpan w:val="14"/>
          </w:tcPr>
          <w:p>
            <w:pPr>
              <w:spacing w:after="0" w:line="169"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Company, Jazz Pharmaceuticals, Inc., Jazz Financing I Designated Activity Company, Jazz Pharmaceuticals Ireland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6"/>
          </w:tcPr>
          <w:p>
            <w:pPr>
              <w:spacing w:after="0" w:line="169" w:lineRule="exact"/>
              <w:rPr>
                <w:rFonts w:ascii="Arial" w:cs="Arial" w:eastAsia="Arial" w:hAnsi="Arial"/>
                <w:sz w:val="18"/>
                <w:szCs w:val="18"/>
                <w:color w:val="0000FF"/>
              </w:rPr>
            </w:pPr>
            <w:hyperlink r:id="rId157">
              <w:r>
                <w:rPr>
                  <w:rFonts w:ascii="Arial" w:cs="Arial" w:eastAsia="Arial" w:hAnsi="Arial"/>
                  <w:sz w:val="18"/>
                  <w:szCs w:val="18"/>
                  <w:color w:val="0000FF"/>
                </w:rPr>
                <w:t>Limited,</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40" w:type="dxa"/>
            <w:vAlign w:val="bottom"/>
            <w:tcBorders>
              <w:top w:val="single" w:sz="8" w:color="0000FF"/>
              <w:bottom w:val="single" w:sz="8" w:color="0000FF"/>
            </w:tcBorders>
            <w:gridSpan w:val="37"/>
          </w:tcPr>
          <w:p>
            <w:pPr>
              <w:spacing w:after="0" w:line="169"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the lenders party thereto and Bank of America, N.A., as Collateral Agent, Administrative Agent, Swing Line Lender and L/C</w:t>
              </w:r>
            </w:hyperlink>
          </w:p>
        </w:tc>
        <w:tc>
          <w:tcPr>
            <w:tcW w:w="20" w:type="dxa"/>
            <w:vAlign w:val="bottom"/>
            <w:tcBorders>
              <w:bottom w:val="single" w:sz="8" w:color="0000FF"/>
            </w:tcBorders>
          </w:tcPr>
          <w:p>
            <w:pPr>
              <w:spacing w:after="0"/>
              <w:rPr>
                <w:sz w:val="14"/>
                <w:szCs w:val="14"/>
                <w:color w:val="auto"/>
              </w:rPr>
            </w:pPr>
          </w:p>
        </w:tc>
        <w:tc>
          <w:tcPr>
            <w:tcW w:w="8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60" w:type="dxa"/>
            <w:vAlign w:val="bottom"/>
            <w:gridSpan w:val="38"/>
          </w:tcPr>
          <w:p>
            <w:pPr>
              <w:spacing w:after="0" w:line="169"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Issuer (incorporated herein by reference to Exhibit 10.4 in Jazz Pharmaceuticals plc’s Quarterly Report on Form 10-Q (File</w:t>
              </w:r>
            </w:hyperlink>
          </w:p>
        </w:tc>
        <w:tc>
          <w:tcPr>
            <w:tcW w:w="8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0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57">
              <w:r>
                <w:rPr>
                  <w:rFonts w:ascii="Arial" w:cs="Arial" w:eastAsia="Arial" w:hAnsi="Arial"/>
                  <w:sz w:val="18"/>
                  <w:szCs w:val="18"/>
                  <w:color w:val="0000FF"/>
                </w:rPr>
                <w:t>No. 001-33500) for the period ended June 30, 2018, as filed with the SEC on August 7, 2018).</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8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10.13D</w:t>
            </w:r>
          </w:p>
        </w:tc>
        <w:tc>
          <w:tcPr>
            <w:tcW w:w="9180" w:type="dxa"/>
            <w:vAlign w:val="bottom"/>
            <w:gridSpan w:val="41"/>
            <w:shd w:val="clear" w:color="auto" w:fill="CCEEFF"/>
          </w:tcPr>
          <w:p>
            <w:pPr>
              <w:spacing w:after="0" w:line="189" w:lineRule="exact"/>
              <w:rPr>
                <w:rFonts w:ascii="Arial" w:cs="Arial" w:eastAsia="Arial" w:hAnsi="Arial"/>
                <w:sz w:val="18"/>
                <w:szCs w:val="18"/>
                <w:color w:val="0000FF"/>
                <w:w w:val="94"/>
              </w:rPr>
            </w:pPr>
            <w:hyperlink r:id="rId158">
              <w:r>
                <w:rPr>
                  <w:rFonts w:ascii="Arial" w:cs="Arial" w:eastAsia="Arial" w:hAnsi="Arial"/>
                  <w:sz w:val="18"/>
                  <w:szCs w:val="18"/>
                  <w:color w:val="0000FF"/>
                  <w:w w:val="94"/>
                </w:rPr>
                <w:t>Amendment No. 3, dated as of April 20, 2021, to Credit Agreement, dated as of June 18, 2015 (as previously amended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27"/>
            <w:shd w:val="clear" w:color="auto" w:fill="CCEEFF"/>
          </w:tcPr>
          <w:p>
            <w:pPr>
              <w:spacing w:after="0" w:line="169" w:lineRule="exact"/>
              <w:rPr>
                <w:rFonts w:ascii="Arial" w:cs="Arial" w:eastAsia="Arial" w:hAnsi="Arial"/>
                <w:sz w:val="18"/>
                <w:szCs w:val="18"/>
                <w:color w:val="0000FF"/>
                <w:w w:val="88"/>
              </w:rPr>
            </w:pPr>
            <w:hyperlink r:id="rId158">
              <w:r>
                <w:rPr>
                  <w:rFonts w:ascii="Arial" w:cs="Arial" w:eastAsia="Arial" w:hAnsi="Arial"/>
                  <w:sz w:val="18"/>
                  <w:szCs w:val="18"/>
                  <w:color w:val="0000FF"/>
                  <w:w w:val="88"/>
                </w:rPr>
                <w:t>Amendment No. 1, dated as of July 12, 2016 and Amendment No.2, dated as of June 7, 2018), among Jazz Pharmaceuticals</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33"/>
            <w:shd w:val="clear" w:color="auto" w:fill="CCEEFF"/>
          </w:tcPr>
          <w:p>
            <w:pPr>
              <w:spacing w:after="0" w:line="169" w:lineRule="exact"/>
              <w:rPr>
                <w:rFonts w:ascii="Arial" w:cs="Arial" w:eastAsia="Arial" w:hAnsi="Arial"/>
                <w:sz w:val="18"/>
                <w:szCs w:val="18"/>
                <w:color w:val="0000FF"/>
                <w:w w:val="97"/>
              </w:rPr>
            </w:pPr>
            <w:hyperlink r:id="rId158">
              <w:r>
                <w:rPr>
                  <w:rFonts w:ascii="Arial" w:cs="Arial" w:eastAsia="Arial" w:hAnsi="Arial"/>
                  <w:sz w:val="18"/>
                  <w:szCs w:val="18"/>
                  <w:color w:val="0000FF"/>
                  <w:w w:val="97"/>
                </w:rPr>
                <w:t>plc, Jazz Securities Designated Activity Company, Jazz Pharmaceuticals, Inc., Jazz Financing I Designated Activity</w:t>
              </w:r>
            </w:hyperlink>
          </w:p>
        </w:tc>
        <w:tc>
          <w:tcPr>
            <w:tcW w:w="100" w:type="dxa"/>
            <w:vAlign w:val="bottom"/>
            <w:tcBorders>
              <w:top w:val="single" w:sz="8" w:color="CCEEFF"/>
            </w:tcBorders>
            <w:gridSpan w:val="5"/>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36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Company, Jazz Pharmaceuticals Ireland Limited, the lenders party thereto and Bank of America, N.A., as Collateral</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gridSpan w:val="26"/>
            <w:shd w:val="clear" w:color="auto" w:fill="CCEEFF"/>
          </w:tcPr>
          <w:p>
            <w:pPr>
              <w:spacing w:after="0" w:line="169" w:lineRule="exact"/>
              <w:rPr>
                <w:rFonts w:ascii="Arial" w:cs="Arial" w:eastAsia="Arial" w:hAnsi="Arial"/>
                <w:sz w:val="18"/>
                <w:szCs w:val="18"/>
                <w:color w:val="0000FF"/>
              </w:rPr>
            </w:pPr>
            <w:hyperlink r:id="rId158">
              <w:r>
                <w:rPr>
                  <w:rFonts w:ascii="Arial" w:cs="Arial" w:eastAsia="Arial" w:hAnsi="Arial"/>
                  <w:sz w:val="18"/>
                  <w:szCs w:val="18"/>
                  <w:color w:val="0000FF"/>
                </w:rPr>
                <w:t>Agent,</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29"/>
            <w:shd w:val="clear" w:color="auto" w:fill="CCEEFF"/>
          </w:tcPr>
          <w:p>
            <w:pPr>
              <w:spacing w:after="0" w:line="169" w:lineRule="exact"/>
              <w:rPr>
                <w:rFonts w:ascii="Arial" w:cs="Arial" w:eastAsia="Arial" w:hAnsi="Arial"/>
                <w:sz w:val="18"/>
                <w:szCs w:val="18"/>
                <w:color w:val="0000FF"/>
                <w:w w:val="98"/>
              </w:rPr>
            </w:pPr>
            <w:hyperlink r:id="rId158">
              <w:r>
                <w:rPr>
                  <w:rFonts w:ascii="Arial" w:cs="Arial" w:eastAsia="Arial" w:hAnsi="Arial"/>
                  <w:sz w:val="18"/>
                  <w:szCs w:val="18"/>
                  <w:color w:val="0000FF"/>
                  <w:w w:val="98"/>
                </w:rPr>
                <w:t>Administrative Agent, Swing Line Lender and L/C Issuer (incorporated herein by reference to Exhibit 10.1 in Jazz</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60" w:type="dxa"/>
            <w:vAlign w:val="bottom"/>
            <w:tcBorders>
              <w:top w:val="single" w:sz="8" w:color="0000FF"/>
              <w:bottom w:val="single" w:sz="8" w:color="0000FF"/>
            </w:tcBorders>
            <w:gridSpan w:val="12"/>
            <w:shd w:val="clear" w:color="auto" w:fill="CCEEFF"/>
          </w:tcPr>
          <w:p>
            <w:pPr>
              <w:spacing w:after="0" w:line="169" w:lineRule="exact"/>
              <w:rPr>
                <w:rFonts w:ascii="Arial" w:cs="Arial" w:eastAsia="Arial" w:hAnsi="Arial"/>
                <w:sz w:val="18"/>
                <w:szCs w:val="18"/>
                <w:color w:val="0000FF"/>
                <w:w w:val="92"/>
              </w:rPr>
            </w:pPr>
            <w:hyperlink r:id="rId158">
              <w:r>
                <w:rPr>
                  <w:rFonts w:ascii="Arial" w:cs="Arial" w:eastAsia="Arial" w:hAnsi="Arial"/>
                  <w:sz w:val="18"/>
                  <w:szCs w:val="18"/>
                  <w:color w:val="0000FF"/>
                  <w:w w:val="92"/>
                </w:rPr>
                <w:t>Pharmaceuticals plc’s Current Report on Form 8-K (File No. 001-33500), as filed with the SEC on April 20, 2021.</w:t>
              </w:r>
            </w:hyperlink>
          </w:p>
        </w:tc>
        <w:tc>
          <w:tcPr>
            <w:tcW w:w="1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gridSpan w:val="9"/>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10.14</w:t>
            </w:r>
          </w:p>
        </w:tc>
        <w:tc>
          <w:tcPr>
            <w:tcW w:w="100" w:type="dxa"/>
            <w:vAlign w:val="bottom"/>
            <w:tcBorders>
              <w:top w:val="single" w:sz="8" w:color="CCEEFF"/>
            </w:tcBorders>
          </w:tcPr>
          <w:p>
            <w:pPr>
              <w:spacing w:after="0"/>
              <w:rPr>
                <w:sz w:val="16"/>
                <w:szCs w:val="16"/>
                <w:color w:val="auto"/>
              </w:rPr>
            </w:pPr>
          </w:p>
        </w:tc>
        <w:tc>
          <w:tcPr>
            <w:tcW w:w="8420" w:type="dxa"/>
            <w:vAlign w:val="bottom"/>
            <w:tcBorders>
              <w:top w:val="single" w:sz="8" w:color="CCEEFF"/>
              <w:bottom w:val="single" w:sz="8" w:color="0000FF"/>
            </w:tcBorders>
            <w:gridSpan w:val="16"/>
          </w:tcPr>
          <w:p>
            <w:pPr>
              <w:spacing w:after="0" w:line="189"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Credit Agreement, dated as of May 5, 2021, by and among Jazz Pharmaceuticals Public Limited Company, the other</w:t>
              </w:r>
            </w:hyperlink>
          </w:p>
        </w:tc>
        <w:tc>
          <w:tcPr>
            <w:tcW w:w="760" w:type="dxa"/>
            <w:vAlign w:val="bottom"/>
            <w:tcBorders>
              <w:top w:val="single" w:sz="8" w:color="CCEEFF"/>
            </w:tcBorders>
            <w:gridSpan w:val="25"/>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2"/>
          </w:tcPr>
          <w:p>
            <w:pPr>
              <w:spacing w:after="0" w:line="169" w:lineRule="exact"/>
              <w:rPr>
                <w:rFonts w:ascii="Arial" w:cs="Arial" w:eastAsia="Arial" w:hAnsi="Arial"/>
                <w:sz w:val="18"/>
                <w:szCs w:val="18"/>
                <w:color w:val="0000FF"/>
              </w:rPr>
            </w:pPr>
            <w:hyperlink r:id="rId159">
              <w:r>
                <w:rPr>
                  <w:rFonts w:ascii="Arial" w:cs="Arial" w:eastAsia="Arial" w:hAnsi="Arial"/>
                  <w:sz w:val="18"/>
                  <w:szCs w:val="18"/>
                  <w:color w:val="0000FF"/>
                </w:rPr>
                <w:t>borrowers from time to time party thereto, the lenders and issuing banks from time to time party thereto, Bank of America,</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600" w:type="dxa"/>
            <w:vAlign w:val="bottom"/>
            <w:gridSpan w:val="10"/>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gridSpan w:val="10"/>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40" w:type="dxa"/>
            <w:vAlign w:val="bottom"/>
            <w:tcBorders>
              <w:bottom w:val="single" w:sz="8" w:color="0000FF"/>
            </w:tcBorders>
            <w:gridSpan w:val="32"/>
          </w:tcPr>
          <w:p>
            <w:pPr>
              <w:spacing w:after="0" w:line="169"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N.A., as administrative agent, and U.S. Bank National Association, as collateral trustee (incorporated herein by reference to</w:t>
              </w:r>
            </w:hyperlink>
          </w:p>
        </w:tc>
        <w:tc>
          <w:tcPr>
            <w:tcW w:w="9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2"/>
          </w:tcPr>
          <w:p>
            <w:pPr>
              <w:spacing w:after="0" w:line="169" w:lineRule="exact"/>
              <w:rPr>
                <w:rFonts w:ascii="Arial" w:cs="Arial" w:eastAsia="Arial" w:hAnsi="Arial"/>
                <w:sz w:val="18"/>
                <w:szCs w:val="18"/>
                <w:color w:val="0000FF"/>
              </w:rPr>
            </w:pPr>
            <w:hyperlink r:id="rId159">
              <w:r>
                <w:rPr>
                  <w:rFonts w:ascii="Arial" w:cs="Arial" w:eastAsia="Arial" w:hAnsi="Arial"/>
                  <w:sz w:val="18"/>
                  <w:szCs w:val="18"/>
                  <w:color w:val="0000FF"/>
                </w:rPr>
                <w:t>Exhibit 10.1 in Jazz Pharmaceuticals plc’s Current Report on Form 8-K (File No. 001-033500), as filed with the SEC on May</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r:id="rId159">
              <w:r>
                <w:rPr>
                  <w:rFonts w:ascii="Arial" w:cs="Arial" w:eastAsia="Arial" w:hAnsi="Arial"/>
                  <w:sz w:val="18"/>
                  <w:szCs w:val="18"/>
                  <w:color w:val="0000FF"/>
                </w:rPr>
                <w:t>5, 2021).</w:t>
              </w:r>
            </w:hyperlink>
          </w:p>
        </w:tc>
        <w:tc>
          <w:tcPr>
            <w:tcW w:w="72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10.15A</w:t>
            </w:r>
          </w:p>
        </w:tc>
        <w:tc>
          <w:tcPr>
            <w:tcW w:w="9180" w:type="dxa"/>
            <w:vAlign w:val="bottom"/>
            <w:gridSpan w:val="41"/>
            <w:shd w:val="clear" w:color="auto" w:fill="CCEEFF"/>
          </w:tcPr>
          <w:p>
            <w:pPr>
              <w:spacing w:after="0" w:line="189"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Commercial Lease, dated as of June 2, 2004, by and between Jazz Pharmaceuticals, Inc. and The Board of Trustees of the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25"/>
            <w:shd w:val="clear" w:color="auto" w:fill="CCEEFF"/>
          </w:tcPr>
          <w:p>
            <w:pPr>
              <w:spacing w:after="0" w:line="169" w:lineRule="exact"/>
              <w:rPr>
                <w:rFonts w:ascii="Arial" w:cs="Arial" w:eastAsia="Arial" w:hAnsi="Arial"/>
                <w:sz w:val="18"/>
                <w:szCs w:val="18"/>
                <w:color w:val="0000FF"/>
                <w:w w:val="95"/>
              </w:rPr>
            </w:pPr>
            <w:hyperlink r:id="rId160">
              <w:r>
                <w:rPr>
                  <w:rFonts w:ascii="Arial" w:cs="Arial" w:eastAsia="Arial" w:hAnsi="Arial"/>
                  <w:sz w:val="18"/>
                  <w:szCs w:val="18"/>
                  <w:color w:val="0000FF"/>
                  <w:w w:val="95"/>
                </w:rPr>
                <w:t>Leland Stanford Junior University (incorporated herein by reference to Exhibit 10.52 in Jazz Pharmaceuticals, Inc.’s</w:t>
              </w:r>
            </w:hyperlink>
          </w:p>
        </w:tc>
        <w:tc>
          <w:tcPr>
            <w:tcW w:w="400" w:type="dxa"/>
            <w:vAlign w:val="bottom"/>
            <w:tcBorders>
              <w:top w:val="single" w:sz="8" w:color="CCEEFF"/>
            </w:tcBorders>
            <w:gridSpan w:val="1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registration statement on Form S-1, as amended (File No. 333-141164), as filed with the SEC on March 27, 2007).</w:t>
              </w:r>
            </w:hyperlink>
          </w:p>
        </w:tc>
        <w:tc>
          <w:tcPr>
            <w:tcW w:w="780" w:type="dxa"/>
            <w:vAlign w:val="bottom"/>
            <w:tcBorders>
              <w:top w:val="single" w:sz="8" w:color="CCEEFF"/>
            </w:tcBorders>
            <w:gridSpan w:val="26"/>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1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580" w:type="dxa"/>
            <w:vAlign w:val="bottom"/>
            <w:tcBorders>
              <w:top w:val="single" w:sz="8" w:color="0000FF"/>
            </w:tcBorders>
            <w:gridSpan w:val="5"/>
          </w:tcPr>
          <w:p>
            <w:pPr>
              <w:ind w:left="4100"/>
              <w:spacing w:after="0"/>
              <w:rPr>
                <w:sz w:val="20"/>
                <w:szCs w:val="20"/>
                <w:color w:val="auto"/>
              </w:rPr>
            </w:pPr>
            <w:r>
              <w:rPr>
                <w:rFonts w:ascii="Arial" w:cs="Arial" w:eastAsia="Arial" w:hAnsi="Arial"/>
                <w:sz w:val="18"/>
                <w:szCs w:val="18"/>
                <w:color w:val="auto"/>
              </w:rPr>
              <w:t>105</w:t>
            </w: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10.15B</w:t>
            </w:r>
          </w:p>
        </w:tc>
        <w:tc>
          <w:tcPr>
            <w:tcW w:w="100" w:type="dxa"/>
            <w:vAlign w:val="bottom"/>
          </w:tcPr>
          <w:p>
            <w:pPr>
              <w:spacing w:after="0"/>
              <w:rPr>
                <w:sz w:val="24"/>
                <w:szCs w:val="24"/>
                <w:color w:val="auto"/>
              </w:rPr>
            </w:pPr>
          </w:p>
        </w:tc>
        <w:tc>
          <w:tcPr>
            <w:tcW w:w="9860" w:type="dxa"/>
            <w:vAlign w:val="bottom"/>
            <w:gridSpan w:val="47"/>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First Amendment of Lease, dated June 1, 2009, by and between Jazz Pharmaceuticals, Inc. and Wheatley-Fields, LLC,</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60" w:type="dxa"/>
            <w:vAlign w:val="bottom"/>
            <w:tcBorders>
              <w:top w:val="single" w:sz="8" w:color="0000FF"/>
            </w:tcBorders>
            <w:gridSpan w:val="19"/>
          </w:tcPr>
          <w:p>
            <w:pPr>
              <w:spacing w:after="0" w:line="169" w:lineRule="exact"/>
              <w:rPr>
                <w:rFonts w:ascii="Arial" w:cs="Arial" w:eastAsia="Arial" w:hAnsi="Arial"/>
                <w:sz w:val="18"/>
                <w:szCs w:val="18"/>
                <w:color w:val="0000FF"/>
                <w:w w:val="89"/>
              </w:rPr>
            </w:pPr>
            <w:hyperlink r:id="rId163">
              <w:r>
                <w:rPr>
                  <w:rFonts w:ascii="Arial" w:cs="Arial" w:eastAsia="Arial" w:hAnsi="Arial"/>
                  <w:sz w:val="18"/>
                  <w:szCs w:val="18"/>
                  <w:color w:val="0000FF"/>
                  <w:w w:val="89"/>
                </w:rPr>
                <w:t>successor in interest to The Board of Trustees of the Leland Stanford Junior University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18"/>
          </w:tcPr>
          <w:p>
            <w:pPr>
              <w:spacing w:after="0" w:line="169" w:lineRule="exact"/>
              <w:rPr>
                <w:rFonts w:ascii="Arial" w:cs="Arial" w:eastAsia="Arial" w:hAnsi="Arial"/>
                <w:sz w:val="18"/>
                <w:szCs w:val="18"/>
                <w:color w:val="0000FF"/>
              </w:rPr>
            </w:pPr>
            <w:hyperlink r:id="rId163">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60" w:type="dxa"/>
            <w:vAlign w:val="bottom"/>
            <w:tcBorders>
              <w:top w:val="single" w:sz="8" w:color="0000FF"/>
            </w:tcBorders>
            <w:gridSpan w:val="38"/>
          </w:tcPr>
          <w:p>
            <w:pPr>
              <w:spacing w:after="0" w:line="169"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Exhibit 10.86 in Jazz Pharmaceuticals, Inc.’s Current Report on Form 8-K (File No. 001-33500), as filed with the SEC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63">
              <w:r>
                <w:rPr>
                  <w:rFonts w:ascii="Arial" w:cs="Arial" w:eastAsia="Arial" w:hAnsi="Arial"/>
                  <w:sz w:val="18"/>
                  <w:szCs w:val="18"/>
                  <w:color w:val="0000FF"/>
                </w:rPr>
                <w:t>June 4, 2009).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10.15C</w:t>
            </w:r>
          </w:p>
        </w:tc>
        <w:tc>
          <w:tcPr>
            <w:tcW w:w="9180" w:type="dxa"/>
            <w:vAlign w:val="bottom"/>
            <w:gridSpan w:val="46"/>
            <w:shd w:val="clear" w:color="auto" w:fill="CCEEFF"/>
          </w:tcPr>
          <w:p>
            <w:pPr>
              <w:spacing w:after="0" w:line="189" w:lineRule="exact"/>
              <w:rPr>
                <w:rFonts w:ascii="Arial" w:cs="Arial" w:eastAsia="Arial" w:hAnsi="Arial"/>
                <w:sz w:val="18"/>
                <w:szCs w:val="18"/>
                <w:color w:val="0000FF"/>
                <w:w w:val="93"/>
              </w:rPr>
            </w:pPr>
            <w:hyperlink r:id="rId164">
              <w:r>
                <w:rPr>
                  <w:rFonts w:ascii="Arial" w:cs="Arial" w:eastAsia="Arial" w:hAnsi="Arial"/>
                  <w:sz w:val="18"/>
                  <w:szCs w:val="18"/>
                  <w:color w:val="0000FF"/>
                  <w:w w:val="93"/>
                </w:rPr>
                <w:t>Second Amendment of Lease, dated February 28, 2012, by and between Jazz Pharmaceuticals, Inc. and Wheatley-Fields,</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40" w:type="dxa"/>
            <w:vAlign w:val="bottom"/>
            <w:tcBorders>
              <w:top w:val="single" w:sz="8" w:color="0000FF"/>
            </w:tcBorders>
            <w:gridSpan w:val="27"/>
            <w:shd w:val="clear" w:color="auto" w:fill="CCEEFF"/>
          </w:tcPr>
          <w:p>
            <w:pPr>
              <w:spacing w:after="0" w:line="169" w:lineRule="exact"/>
              <w:rPr>
                <w:rFonts w:ascii="Arial" w:cs="Arial" w:eastAsia="Arial" w:hAnsi="Arial"/>
                <w:sz w:val="18"/>
                <w:szCs w:val="18"/>
                <w:color w:val="0000FF"/>
                <w:w w:val="94"/>
              </w:rPr>
            </w:pPr>
            <w:hyperlink r:id="rId164">
              <w:r>
                <w:rPr>
                  <w:rFonts w:ascii="Arial" w:cs="Arial" w:eastAsia="Arial" w:hAnsi="Arial"/>
                  <w:sz w:val="18"/>
                  <w:szCs w:val="18"/>
                  <w:color w:val="0000FF"/>
                  <w:w w:val="94"/>
                </w:rPr>
                <w:t>LLC, successor in interest to The Board of Trustees of the Leland Stanford Junior University (incorporated herein by</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2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reference to Exhibit 10.31 in the Annual Report on Form 10-K (File No. 001-33500) for the period ended December</w:t>
              </w:r>
            </w:hyperlink>
          </w:p>
        </w:tc>
        <w:tc>
          <w:tcPr>
            <w:tcW w:w="260" w:type="dxa"/>
            <w:vAlign w:val="bottom"/>
            <w:tcBorders>
              <w:top w:val="single" w:sz="8" w:color="CCEEFF"/>
            </w:tcBorders>
            <w:gridSpan w:val="9"/>
            <w:shd w:val="clear" w:color="auto" w:fill="CCEEFF"/>
          </w:tcPr>
          <w:p>
            <w:pPr>
              <w:jc w:val="right"/>
              <w:ind w:right="20"/>
              <w:spacing w:after="0" w:line="169" w:lineRule="exact"/>
              <w:rPr>
                <w:rFonts w:ascii="Arial" w:cs="Arial" w:eastAsia="Arial" w:hAnsi="Arial"/>
                <w:sz w:val="18"/>
                <w:szCs w:val="18"/>
                <w:color w:val="0000FF"/>
                <w:w w:val="87"/>
              </w:rPr>
            </w:pPr>
            <w:hyperlink r:id="rId164">
              <w:r>
                <w:rPr>
                  <w:rFonts w:ascii="Arial" w:cs="Arial" w:eastAsia="Arial" w:hAnsi="Arial"/>
                  <w:sz w:val="18"/>
                  <w:szCs w:val="18"/>
                  <w:color w:val="0000FF"/>
                  <w:w w:val="87"/>
                </w:rPr>
                <w:t>31,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23"/>
            <w:shd w:val="clear" w:color="auto" w:fill="CCEEFF"/>
          </w:tcPr>
          <w:p>
            <w:pPr>
              <w:spacing w:after="0" w:line="169"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2011, as filed by Jazz Pharmaceuticals plc on behalf of and as successor to Jazz Pharmaceuticals, Inc. with the SEC on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February 28, 2012).</w:t>
              </w:r>
            </w:hyperlink>
          </w:p>
        </w:tc>
        <w:tc>
          <w:tcPr>
            <w:tcW w:w="7140" w:type="dxa"/>
            <w:vAlign w:val="bottom"/>
            <w:tcBorders>
              <w:top w:val="single" w:sz="8" w:color="0000FF"/>
              <w:bottom w:val="single" w:sz="8" w:color="CCEEFF"/>
            </w:tcBorders>
            <w:gridSpan w:val="18"/>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10.16</w:t>
            </w:r>
          </w:p>
        </w:tc>
        <w:tc>
          <w:tcPr>
            <w:tcW w:w="100" w:type="dxa"/>
            <w:vAlign w:val="bottom"/>
          </w:tcPr>
          <w:p>
            <w:pPr>
              <w:spacing w:after="0"/>
              <w:rPr>
                <w:sz w:val="16"/>
                <w:szCs w:val="16"/>
                <w:color w:val="auto"/>
              </w:rPr>
            </w:pPr>
          </w:p>
        </w:tc>
        <w:tc>
          <w:tcPr>
            <w:tcW w:w="8240" w:type="dxa"/>
            <w:vAlign w:val="bottom"/>
            <w:tcBorders>
              <w:bottom w:val="single" w:sz="8" w:color="0000FF"/>
            </w:tcBorders>
            <w:gridSpan w:val="13"/>
          </w:tcPr>
          <w:p>
            <w:pPr>
              <w:spacing w:after="0" w:line="189" w:lineRule="exact"/>
              <w:rPr>
                <w:rFonts w:ascii="Arial" w:cs="Arial" w:eastAsia="Arial" w:hAnsi="Arial"/>
                <w:sz w:val="18"/>
                <w:szCs w:val="18"/>
                <w:color w:val="0000FF"/>
                <w:w w:val="89"/>
              </w:rPr>
            </w:pPr>
            <w:hyperlink r:id="rId165">
              <w:r>
                <w:rPr>
                  <w:rFonts w:ascii="Arial" w:cs="Arial" w:eastAsia="Arial" w:hAnsi="Arial"/>
                  <w:sz w:val="18"/>
                  <w:szCs w:val="18"/>
                  <w:color w:val="0000FF"/>
                  <w:w w:val="89"/>
                </w:rPr>
                <w:t>Lease, dated May 8, 2012, by and between John Ronan and Castle Cove Property Developments Limited and Jazz</w:t>
              </w:r>
            </w:hyperlink>
          </w:p>
        </w:tc>
        <w:tc>
          <w:tcPr>
            <w:tcW w:w="940" w:type="dxa"/>
            <w:vAlign w:val="bottom"/>
            <w:gridSpan w:val="33"/>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7"/>
          </w:tcPr>
          <w:p>
            <w:pPr>
              <w:spacing w:after="0" w:line="169" w:lineRule="exact"/>
              <w:rPr>
                <w:rFonts w:ascii="Arial" w:cs="Arial" w:eastAsia="Arial" w:hAnsi="Arial"/>
                <w:sz w:val="18"/>
                <w:szCs w:val="18"/>
                <w:color w:val="0000FF"/>
              </w:rPr>
            </w:pPr>
            <w:hyperlink r:id="rId165">
              <w:r>
                <w:rPr>
                  <w:rFonts w:ascii="Arial" w:cs="Arial" w:eastAsia="Arial" w:hAnsi="Arial"/>
                  <w:sz w:val="18"/>
                  <w:szCs w:val="18"/>
                  <w:color w:val="0000FF"/>
                </w:rPr>
                <w:t>Pharmaceuticals plc (incorporated herein by reference to Exhibit 10.2 in Jazz Pharmaceuticals plc’s Quarterly Report on</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00" w:type="dxa"/>
            <w:vAlign w:val="bottom"/>
            <w:tcBorders>
              <w:top w:val="single" w:sz="8" w:color="0000FF"/>
            </w:tcBorders>
            <w:gridSpan w:val="25"/>
          </w:tcPr>
          <w:p>
            <w:pPr>
              <w:spacing w:after="0" w:line="169" w:lineRule="exact"/>
              <w:rPr>
                <w:rFonts w:ascii="Arial" w:cs="Arial" w:eastAsia="Arial" w:hAnsi="Arial"/>
                <w:sz w:val="18"/>
                <w:szCs w:val="18"/>
                <w:color w:val="0000FF"/>
                <w:w w:val="98"/>
              </w:rPr>
            </w:pPr>
            <w:hyperlink r:id="rId165">
              <w:r>
                <w:rPr>
                  <w:rFonts w:ascii="Arial" w:cs="Arial" w:eastAsia="Arial" w:hAnsi="Arial"/>
                  <w:sz w:val="18"/>
                  <w:szCs w:val="18"/>
                  <w:color w:val="0000FF"/>
                  <w:w w:val="98"/>
                </w:rPr>
                <w:t>Form 10-Q (File No. 001-33500) for the period ended June 30, 2012, as filed with the SEC on August 7, 2012).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10.17A</w:t>
            </w:r>
          </w:p>
        </w:tc>
        <w:tc>
          <w:tcPr>
            <w:tcW w:w="9180" w:type="dxa"/>
            <w:vAlign w:val="bottom"/>
            <w:gridSpan w:val="46"/>
            <w:shd w:val="clear" w:color="auto" w:fill="CCEEFF"/>
          </w:tcPr>
          <w:p>
            <w:pPr>
              <w:spacing w:after="0" w:line="189" w:lineRule="exact"/>
              <w:rPr>
                <w:rFonts w:ascii="Arial" w:cs="Arial" w:eastAsia="Arial" w:hAnsi="Arial"/>
                <w:sz w:val="18"/>
                <w:szCs w:val="18"/>
                <w:color w:val="0000FF"/>
                <w:w w:val="97"/>
              </w:rPr>
            </w:pPr>
            <w:hyperlink r:id="rId166">
              <w:r>
                <w:rPr>
                  <w:rFonts w:ascii="Arial" w:cs="Arial" w:eastAsia="Arial" w:hAnsi="Arial"/>
                  <w:sz w:val="18"/>
                  <w:szCs w:val="18"/>
                  <w:color w:val="0000FF"/>
                  <w:w w:val="97"/>
                </w:rPr>
                <w:t>Commercial Lease, dated as of January 7, 2015, by and between The Board of Trustees of the Leland Stanford Junior</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6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University and Jazz Pharmaceuticals, Inc. (incorporated herein by reference to Exhibit 10.10 in Jazz Pharmaceuticals</w:t>
              </w:r>
            </w:hyperlink>
          </w:p>
        </w:tc>
        <w:tc>
          <w:tcPr>
            <w:tcW w:w="720" w:type="dxa"/>
            <w:vAlign w:val="bottom"/>
            <w:tcBorders>
              <w:top w:val="single" w:sz="8" w:color="CCEEFF"/>
            </w:tcBorders>
            <w:gridSpan w:val="30"/>
            <w:shd w:val="clear" w:color="auto" w:fill="CCEEFF"/>
          </w:tcPr>
          <w:p>
            <w:pPr>
              <w:ind w:left="20"/>
              <w:spacing w:after="0" w:line="169" w:lineRule="exact"/>
              <w:rPr>
                <w:rFonts w:ascii="Arial" w:cs="Arial" w:eastAsia="Arial" w:hAnsi="Arial"/>
                <w:sz w:val="18"/>
                <w:szCs w:val="18"/>
                <w:color w:val="0000FF"/>
              </w:rPr>
            </w:pPr>
            <w:hyperlink r:id="rId166">
              <w:r>
                <w:rPr>
                  <w:rFonts w:ascii="Arial" w:cs="Arial" w:eastAsia="Arial" w:hAnsi="Arial"/>
                  <w:sz w:val="18"/>
                  <w:szCs w:val="18"/>
                  <w:color w:val="0000FF"/>
                </w:rPr>
                <w:t>plc’s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w w:val="94"/>
              </w:rPr>
            </w:pPr>
            <w:hyperlink r:id="rId166">
              <w:r>
                <w:rPr>
                  <w:rFonts w:ascii="Arial" w:cs="Arial" w:eastAsia="Arial" w:hAnsi="Arial"/>
                  <w:sz w:val="18"/>
                  <w:szCs w:val="18"/>
                  <w:color w:val="0000FF"/>
                  <w:w w:val="94"/>
                </w:rPr>
                <w:t>Annual Report on Form 10-K (File No. 001-33500) for the period ended December 31, 2014, as filed with the SEC on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February 24, 2015).</w:t>
              </w:r>
            </w:hyperlink>
          </w:p>
        </w:tc>
        <w:tc>
          <w:tcPr>
            <w:tcW w:w="7080" w:type="dxa"/>
            <w:vAlign w:val="bottom"/>
            <w:tcBorders>
              <w:top w:val="single" w:sz="8" w:color="0000FF"/>
              <w:bottom w:val="single" w:sz="8" w:color="CCEEFF"/>
            </w:tcBorders>
            <w:gridSpan w:val="1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10.17B</w:t>
            </w:r>
          </w:p>
        </w:tc>
        <w:tc>
          <w:tcPr>
            <w:tcW w:w="8680" w:type="dxa"/>
            <w:vAlign w:val="bottom"/>
            <w:tcBorders>
              <w:bottom w:val="single" w:sz="8" w:color="0000FF"/>
            </w:tcBorders>
            <w:gridSpan w:val="24"/>
          </w:tcPr>
          <w:p>
            <w:pPr>
              <w:spacing w:after="0" w:line="189"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First Amendment, dated as of January 29, 2018, to Commercial Lease, dated as of January 7, 2015, by and between The</w:t>
              </w:r>
            </w:hyperlink>
          </w:p>
        </w:tc>
        <w:tc>
          <w:tcPr>
            <w:tcW w:w="500" w:type="dxa"/>
            <w:vAlign w:val="bottom"/>
            <w:gridSpan w:val="22"/>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7"/>
          </w:tcPr>
          <w:p>
            <w:pPr>
              <w:spacing w:after="0" w:line="169"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Board of Trustees of the Leland Stanford Junior University and Jazz Pharmaceuticals, Inc. (incorporated herein by reference</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20" w:type="dxa"/>
            <w:vAlign w:val="bottom"/>
            <w:tcBorders>
              <w:top w:val="single" w:sz="8" w:color="0000FF"/>
              <w:bottom w:val="single" w:sz="8" w:color="0000FF"/>
            </w:tcBorders>
            <w:gridSpan w:val="41"/>
          </w:tcPr>
          <w:p>
            <w:pPr>
              <w:spacing w:after="0" w:line="169"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to Exhibit 10.5 in Jazz Pharmaceuticals plc’s Quarterly Report on Form 10-Q (File No. 001-33500) for the period ended June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80" w:type="dxa"/>
            <w:vAlign w:val="bottom"/>
            <w:gridSpan w:val="44"/>
          </w:tcPr>
          <w:p>
            <w:pPr>
              <w:spacing w:after="0" w:line="169" w:lineRule="exact"/>
              <w:rPr>
                <w:rFonts w:ascii="Arial" w:cs="Arial" w:eastAsia="Arial" w:hAnsi="Arial"/>
                <w:sz w:val="18"/>
                <w:szCs w:val="18"/>
                <w:color w:val="0000FF"/>
              </w:rPr>
            </w:pPr>
            <w:hyperlink r:id="rId167">
              <w:r>
                <w:rPr>
                  <w:rFonts w:ascii="Arial" w:cs="Arial" w:eastAsia="Arial" w:hAnsi="Arial"/>
                  <w:sz w:val="18"/>
                  <w:szCs w:val="18"/>
                  <w:color w:val="0000FF"/>
                </w:rPr>
                <w:t>30, 2018, as filed with the SEC on August 7, 2018).</w:t>
              </w:r>
            </w:hyperlink>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10.17C</w:t>
            </w:r>
          </w:p>
        </w:tc>
        <w:tc>
          <w:tcPr>
            <w:tcW w:w="8600" w:type="dxa"/>
            <w:vAlign w:val="bottom"/>
            <w:tcBorders>
              <w:bottom w:val="single" w:sz="8" w:color="0000FF"/>
            </w:tcBorders>
            <w:gridSpan w:val="21"/>
            <w:shd w:val="clear" w:color="auto" w:fill="CCEEFF"/>
          </w:tcPr>
          <w:p>
            <w:pPr>
              <w:spacing w:after="0" w:line="189" w:lineRule="exact"/>
              <w:rPr>
                <w:rFonts w:ascii="Arial" w:cs="Arial" w:eastAsia="Arial" w:hAnsi="Arial"/>
                <w:sz w:val="18"/>
                <w:szCs w:val="18"/>
                <w:color w:val="0000FF"/>
                <w:w w:val="89"/>
              </w:rPr>
            </w:pPr>
            <w:hyperlink r:id="rId168">
              <w:r>
                <w:rPr>
                  <w:rFonts w:ascii="Arial" w:cs="Arial" w:eastAsia="Arial" w:hAnsi="Arial"/>
                  <w:sz w:val="18"/>
                  <w:szCs w:val="18"/>
                  <w:color w:val="0000FF"/>
                  <w:w w:val="89"/>
                </w:rPr>
                <w:t>Second Amendment, dated as of July 26, 2018, to Commercial Lease, dated as of January 7, 2015, by and between The</w:t>
              </w:r>
            </w:hyperlink>
          </w:p>
        </w:tc>
        <w:tc>
          <w:tcPr>
            <w:tcW w:w="580" w:type="dxa"/>
            <w:vAlign w:val="bottom"/>
            <w:tcBorders>
              <w:bottom w:val="single" w:sz="8" w:color="CCEEFF"/>
            </w:tcBorders>
            <w:gridSpan w:val="25"/>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46"/>
            <w:shd w:val="clear" w:color="auto" w:fill="CCEEFF"/>
          </w:tcPr>
          <w:p>
            <w:pPr>
              <w:spacing w:after="0" w:line="169"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Board of Trustees of the Leland Stanford Junior University and Jazz Pharmaceuticals, Inc., as previously amended by the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28"/>
            <w:shd w:val="clear" w:color="auto" w:fill="CCEEFF"/>
          </w:tcPr>
          <w:p>
            <w:pPr>
              <w:spacing w:after="0" w:line="169" w:lineRule="exact"/>
              <w:rPr>
                <w:rFonts w:ascii="Arial" w:cs="Arial" w:eastAsia="Arial" w:hAnsi="Arial"/>
                <w:sz w:val="18"/>
                <w:szCs w:val="18"/>
                <w:color w:val="0000FF"/>
                <w:w w:val="96"/>
              </w:rPr>
            </w:pPr>
            <w:hyperlink r:id="rId168">
              <w:r>
                <w:rPr>
                  <w:rFonts w:ascii="Arial" w:cs="Arial" w:eastAsia="Arial" w:hAnsi="Arial"/>
                  <w:sz w:val="18"/>
                  <w:szCs w:val="18"/>
                  <w:color w:val="0000FF"/>
                  <w:w w:val="96"/>
                </w:rPr>
                <w:t>First Amendment to Lease, dated as of January 29, 2018 (incorporated herein by reference to Exhibit 10.1 in Jazz</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18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Pharmaceuticals plc’s Quarterly Report on Form 10-Q (File No. 001-33500) for the period ended September 30,</w:t>
              </w:r>
            </w:hyperlink>
          </w:p>
        </w:tc>
        <w:tc>
          <w:tcPr>
            <w:tcW w:w="1000" w:type="dxa"/>
            <w:vAlign w:val="bottom"/>
            <w:tcBorders>
              <w:top w:val="single" w:sz="8" w:color="CCEEFF"/>
            </w:tcBorders>
            <w:gridSpan w:val="34"/>
            <w:shd w:val="clear" w:color="auto" w:fill="CCEEFF"/>
          </w:tcPr>
          <w:p>
            <w:pPr>
              <w:spacing w:after="0" w:line="169" w:lineRule="exact"/>
              <w:rPr>
                <w:rFonts w:ascii="Arial" w:cs="Arial" w:eastAsia="Arial" w:hAnsi="Arial"/>
                <w:sz w:val="18"/>
                <w:szCs w:val="18"/>
                <w:color w:val="0000FF"/>
              </w:rPr>
            </w:pPr>
            <w:hyperlink r:id="rId168">
              <w:r>
                <w:rPr>
                  <w:rFonts w:ascii="Arial" w:cs="Arial" w:eastAsia="Arial" w:hAnsi="Arial"/>
                  <w:sz w:val="18"/>
                  <w:szCs w:val="18"/>
                  <w:color w:val="0000FF"/>
                </w:rPr>
                <w:t>2018, as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20" w:type="dxa"/>
            <w:vAlign w:val="bottom"/>
            <w:tcBorders>
              <w:top w:val="single" w:sz="8" w:color="0000FF"/>
            </w:tcBorders>
            <w:gridSpan w:val="26"/>
            <w:shd w:val="clear" w:color="auto" w:fill="CCEEFF"/>
          </w:tcPr>
          <w:p>
            <w:pPr>
              <w:spacing w:after="0" w:line="169" w:lineRule="exact"/>
              <w:rPr>
                <w:rFonts w:ascii="Arial" w:cs="Arial" w:eastAsia="Arial" w:hAnsi="Arial"/>
                <w:sz w:val="18"/>
                <w:szCs w:val="18"/>
                <w:color w:val="0000FF"/>
              </w:rPr>
            </w:pPr>
            <w:hyperlink r:id="rId168">
              <w:r>
                <w:rPr>
                  <w:rFonts w:ascii="Arial" w:cs="Arial" w:eastAsia="Arial" w:hAnsi="Arial"/>
                  <w:sz w:val="18"/>
                  <w:szCs w:val="18"/>
                  <w:color w:val="0000FF"/>
                </w:rPr>
                <w:t>filed with the SEC on November 6, 2018).</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10.18+</w:t>
            </w:r>
          </w:p>
        </w:tc>
        <w:tc>
          <w:tcPr>
            <w:tcW w:w="100" w:type="dxa"/>
            <w:vAlign w:val="bottom"/>
          </w:tcPr>
          <w:p>
            <w:pPr>
              <w:spacing w:after="0"/>
              <w:rPr>
                <w:sz w:val="16"/>
                <w:szCs w:val="16"/>
                <w:color w:val="auto"/>
              </w:rPr>
            </w:pPr>
          </w:p>
        </w:tc>
        <w:tc>
          <w:tcPr>
            <w:tcW w:w="9180" w:type="dxa"/>
            <w:vAlign w:val="bottom"/>
            <w:gridSpan w:val="46"/>
          </w:tcPr>
          <w:p>
            <w:pPr>
              <w:spacing w:after="0" w:line="189"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Form of Indemnification Agreement between Jazz Pharmaceuticals plc and its officers and directors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80" w:type="dxa"/>
            <w:vAlign w:val="bottom"/>
            <w:tcBorders>
              <w:top w:val="single" w:sz="8" w:color="0000FF"/>
            </w:tcBorders>
            <w:gridSpan w:val="39"/>
          </w:tcPr>
          <w:p>
            <w:pPr>
              <w:spacing w:after="0" w:line="169"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reference to Exhibit 10.1 in Jazz Pharmaceuticals plc’s Current Report on Form 8-K (File No. 001-33500), as filed with the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169">
              <w:r>
                <w:rPr>
                  <w:rFonts w:ascii="Arial" w:cs="Arial" w:eastAsia="Arial" w:hAnsi="Arial"/>
                  <w:sz w:val="18"/>
                  <w:szCs w:val="18"/>
                  <w:color w:val="0000FF"/>
                </w:rPr>
                <w:t>SEC on January 18,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6"/>
                <w:szCs w:val="16"/>
                <w:color w:val="auto"/>
              </w:rPr>
            </w:pPr>
          </w:p>
        </w:tc>
        <w:tc>
          <w:tcPr>
            <w:tcW w:w="9180" w:type="dxa"/>
            <w:vAlign w:val="bottom"/>
            <w:gridSpan w:val="46"/>
            <w:shd w:val="clear" w:color="auto" w:fill="CCEEFF"/>
          </w:tcPr>
          <w:p>
            <w:pPr>
              <w:spacing w:after="0" w:line="189" w:lineRule="exact"/>
              <w:rPr>
                <w:rFonts w:ascii="Arial" w:cs="Arial" w:eastAsia="Arial" w:hAnsi="Arial"/>
                <w:sz w:val="18"/>
                <w:szCs w:val="18"/>
                <w:color w:val="0000FF"/>
                <w:w w:val="94"/>
              </w:rPr>
            </w:pPr>
            <w:hyperlink r:id="rId170">
              <w:r>
                <w:rPr>
                  <w:rFonts w:ascii="Arial" w:cs="Arial" w:eastAsia="Arial" w:hAnsi="Arial"/>
                  <w:sz w:val="18"/>
                  <w:szCs w:val="18"/>
                  <w:color w:val="0000FF"/>
                  <w:w w:val="94"/>
                </w:rPr>
                <w:t>Offer Letter from Jazz Pharmaceuticals, Inc. to Daniel N. Swisher, Jr. (incorporated herein by reference to Exhibit 10.21 in</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0000FF"/>
            </w:tcBorders>
            <w:gridSpan w:val="33"/>
            <w:shd w:val="clear" w:color="auto" w:fill="CCEEFF"/>
          </w:tcPr>
          <w:p>
            <w:pPr>
              <w:spacing w:after="0" w:line="169"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Jazz Pharmaceuticals plc’s Annual Report on Form 10-K (File No. 001-33500) for the year ended December 31, 2017, as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29"/>
            <w:shd w:val="clear" w:color="auto" w:fill="CCEEFF"/>
          </w:tcPr>
          <w:p>
            <w:pPr>
              <w:spacing w:after="0" w:line="169" w:lineRule="exact"/>
              <w:rPr>
                <w:rFonts w:ascii="Arial" w:cs="Arial" w:eastAsia="Arial" w:hAnsi="Arial"/>
                <w:sz w:val="18"/>
                <w:szCs w:val="18"/>
                <w:color w:val="0000FF"/>
              </w:rPr>
            </w:pPr>
            <w:hyperlink r:id="rId170">
              <w:r>
                <w:rPr>
                  <w:rFonts w:ascii="Arial" w:cs="Arial" w:eastAsia="Arial" w:hAnsi="Arial"/>
                  <w:sz w:val="18"/>
                  <w:szCs w:val="18"/>
                  <w:color w:val="0000FF"/>
                </w:rPr>
                <w:t>filed with the SEC on February 27, 2018).</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6"/>
                <w:szCs w:val="16"/>
                <w:color w:val="auto"/>
              </w:rPr>
            </w:pPr>
          </w:p>
        </w:tc>
        <w:tc>
          <w:tcPr>
            <w:tcW w:w="9000" w:type="dxa"/>
            <w:vAlign w:val="bottom"/>
            <w:tcBorders>
              <w:bottom w:val="single" w:sz="8" w:color="0000FF"/>
            </w:tcBorders>
            <w:gridSpan w:val="40"/>
          </w:tcPr>
          <w:p>
            <w:pPr>
              <w:spacing w:after="0" w:line="189"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Offer Letter from Jazz Pharmaceuticals, Inc. to Robert Iannone dated as of April 11, 2019 (incorporated herein by reference</w:t>
              </w:r>
            </w:hyperlink>
          </w:p>
        </w:tc>
        <w:tc>
          <w:tcPr>
            <w:tcW w:w="180" w:type="dxa"/>
            <w:vAlign w:val="bottom"/>
            <w:gridSpan w:val="6"/>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47"/>
          </w:tcPr>
          <w:p>
            <w:pPr>
              <w:spacing w:after="0" w:line="169" w:lineRule="exact"/>
              <w:rPr>
                <w:rFonts w:ascii="Arial" w:cs="Arial" w:eastAsia="Arial" w:hAnsi="Arial"/>
                <w:sz w:val="18"/>
                <w:szCs w:val="18"/>
                <w:color w:val="0000FF"/>
                <w:w w:val="99"/>
              </w:rPr>
            </w:pPr>
            <w:hyperlink r:id="rId171">
              <w:r>
                <w:rPr>
                  <w:rFonts w:ascii="Arial" w:cs="Arial" w:eastAsia="Arial" w:hAnsi="Arial"/>
                  <w:sz w:val="18"/>
                  <w:szCs w:val="18"/>
                  <w:color w:val="0000FF"/>
                  <w:w w:val="99"/>
                </w:rPr>
                <w:t>to Exhibit 10.4 in Jazz Pharmaceuticals plc’s Quarterly Report on Form 10-Q (File No. 001-33500) for the period ended June</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80" w:type="dxa"/>
            <w:vAlign w:val="bottom"/>
            <w:tcBorders>
              <w:top w:val="single" w:sz="8" w:color="0000FF"/>
            </w:tcBorders>
            <w:gridSpan w:val="44"/>
          </w:tcPr>
          <w:p>
            <w:pPr>
              <w:spacing w:after="0" w:line="169" w:lineRule="exact"/>
              <w:rPr>
                <w:rFonts w:ascii="Arial" w:cs="Arial" w:eastAsia="Arial" w:hAnsi="Arial"/>
                <w:sz w:val="18"/>
                <w:szCs w:val="18"/>
                <w:color w:val="0000FF"/>
              </w:rPr>
            </w:pPr>
            <w:hyperlink r:id="rId171">
              <w:r>
                <w:rPr>
                  <w:rFonts w:ascii="Arial" w:cs="Arial" w:eastAsia="Arial" w:hAnsi="Arial"/>
                  <w:sz w:val="18"/>
                  <w:szCs w:val="18"/>
                  <w:color w:val="0000FF"/>
                </w:rPr>
                <w:t>30, 2019, as filed with the SEC on August 6, 2019).</w:t>
              </w:r>
            </w:hyperlink>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10.21A+</w:t>
            </w:r>
          </w:p>
        </w:tc>
        <w:tc>
          <w:tcPr>
            <w:tcW w:w="9180" w:type="dxa"/>
            <w:vAlign w:val="bottom"/>
            <w:gridSpan w:val="46"/>
            <w:shd w:val="clear" w:color="auto" w:fill="CCEEFF"/>
          </w:tcPr>
          <w:p>
            <w:pPr>
              <w:spacing w:after="0" w:line="189"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Employment Agreement, dated as of May 16, 2012 by and between Patricia Carr and Jazz Pharmaceuticals plc (incorporated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43"/>
            <w:shd w:val="clear" w:color="auto" w:fill="CCEEFF"/>
          </w:tcPr>
          <w:p>
            <w:pPr>
              <w:spacing w:after="0" w:line="169"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herein by reference to Exhibit 10.1 in Jazz Pharmaceuticals plc’s Quarterly Report on Form 10-Q (File No. 001-33500) for</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40" w:type="dxa"/>
            <w:vAlign w:val="bottom"/>
            <w:tcBorders>
              <w:top w:val="single" w:sz="8" w:color="0000FF"/>
              <w:bottom w:val="single" w:sz="8" w:color="0000FF"/>
            </w:tcBorders>
            <w:gridSpan w:val="8"/>
            <w:shd w:val="clear" w:color="auto" w:fill="CCEEFF"/>
          </w:tcPr>
          <w:p>
            <w:pPr>
              <w:spacing w:after="0" w:line="169"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the period ended September 30, 2019, as filed with the SEC on November 5, 2019).</w:t>
              </w:r>
            </w:hyperlink>
          </w:p>
        </w:tc>
        <w:tc>
          <w:tcPr>
            <w:tcW w:w="2800" w:type="dxa"/>
            <w:vAlign w:val="bottom"/>
            <w:tcBorders>
              <w:top w:val="single" w:sz="8" w:color="0000FF"/>
              <w:bottom w:val="single" w:sz="8" w:color="CCEEFF"/>
            </w:tcBorders>
            <w:gridSpan w:val="24"/>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10.21B+</w:t>
            </w:r>
          </w:p>
        </w:tc>
        <w:tc>
          <w:tcPr>
            <w:tcW w:w="9180" w:type="dxa"/>
            <w:vAlign w:val="bottom"/>
            <w:gridSpan w:val="46"/>
          </w:tcPr>
          <w:p>
            <w:pPr>
              <w:spacing w:after="0" w:line="189" w:lineRule="exact"/>
              <w:rPr>
                <w:rFonts w:ascii="Arial" w:cs="Arial" w:eastAsia="Arial" w:hAnsi="Arial"/>
                <w:sz w:val="18"/>
                <w:szCs w:val="18"/>
                <w:color w:val="0000FF"/>
                <w:w w:val="96"/>
              </w:rPr>
            </w:pPr>
            <w:hyperlink r:id="rId173">
              <w:r>
                <w:rPr>
                  <w:rFonts w:ascii="Arial" w:cs="Arial" w:eastAsia="Arial" w:hAnsi="Arial"/>
                  <w:sz w:val="18"/>
                  <w:szCs w:val="18"/>
                  <w:color w:val="0000FF"/>
                  <w:w w:val="96"/>
                </w:rPr>
                <w:t>Change in Control Severance Terms, dated as of May 15, 2016, by and between Jazz Pharmaceuticals Ireland Ltd. and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40" w:type="dxa"/>
            <w:vAlign w:val="bottom"/>
            <w:tcBorders>
              <w:top w:val="single" w:sz="8" w:color="0000FF"/>
            </w:tcBorders>
            <w:gridSpan w:val="18"/>
          </w:tcPr>
          <w:p>
            <w:pPr>
              <w:spacing w:after="0" w:line="169"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Patricia Carr (incorporated herein by reference to Exhibit 10.2 in Jazz Pharmaceuticals plc’s Quarterly Report on Form</w:t>
              </w:r>
            </w:hyperlink>
          </w:p>
        </w:tc>
        <w:tc>
          <w:tcPr>
            <w:tcW w:w="1320" w:type="dxa"/>
            <w:vAlign w:val="bottom"/>
            <w:gridSpan w:val="29"/>
          </w:tcPr>
          <w:p>
            <w:pPr>
              <w:ind w:left="80"/>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10-Q</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40" w:type="dxa"/>
            <w:vAlign w:val="bottom"/>
            <w:tcBorders>
              <w:top w:val="single" w:sz="8" w:color="0000FF"/>
            </w:tcBorders>
            <w:gridSpan w:val="42"/>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(File No. 001-33500) for the period ended September 30, 2019, as filed with the SEC on November 5, 2019).</w:t>
              </w:r>
            </w:hyperlink>
          </w:p>
        </w:tc>
        <w:tc>
          <w:tcPr>
            <w:tcW w:w="60" w:type="dxa"/>
            <w:vAlign w:val="bottom"/>
            <w:gridSpan w:val="3"/>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10.21C+</w:t>
            </w:r>
          </w:p>
        </w:tc>
        <w:tc>
          <w:tcPr>
            <w:tcW w:w="9180" w:type="dxa"/>
            <w:vAlign w:val="bottom"/>
            <w:gridSpan w:val="46"/>
            <w:shd w:val="clear" w:color="auto" w:fill="CCEEFF"/>
          </w:tcPr>
          <w:p>
            <w:pPr>
              <w:spacing w:after="0" w:line="189"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Change in Control Stock Award Acceleration Agreement, dated as of May 15, 2016 by and between Jazz Pharmaceuticals plc</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100" w:type="dxa"/>
            <w:vAlign w:val="bottom"/>
            <w:tcBorders>
              <w:top w:val="single" w:sz="8" w:color="0000FF"/>
            </w:tcBorders>
            <w:gridSpan w:val="45"/>
            <w:shd w:val="clear" w:color="auto" w:fill="CCEEFF"/>
          </w:tcPr>
          <w:p>
            <w:pPr>
              <w:spacing w:after="0" w:line="169"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and Patricia Carr (incorporated herein by reference to Exhibit 10.3 in Jazz Pharmaceuticals plc’s Quarterly Report on Form</w:t>
              </w:r>
            </w:hyperlink>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35"/>
            <w:shd w:val="clear" w:color="auto" w:fill="CCEEFF"/>
          </w:tcPr>
          <w:p>
            <w:pPr>
              <w:spacing w:after="0" w:line="169" w:lineRule="exact"/>
              <w:rPr>
                <w:rFonts w:ascii="Arial" w:cs="Arial" w:eastAsia="Arial" w:hAnsi="Arial"/>
                <w:sz w:val="18"/>
                <w:szCs w:val="18"/>
                <w:color w:val="0000FF"/>
                <w:w w:val="97"/>
              </w:rPr>
            </w:pPr>
            <w:hyperlink r:id="rId174">
              <w:r>
                <w:rPr>
                  <w:rFonts w:ascii="Arial" w:cs="Arial" w:eastAsia="Arial" w:hAnsi="Arial"/>
                  <w:sz w:val="18"/>
                  <w:szCs w:val="18"/>
                  <w:color w:val="0000FF"/>
                  <w:w w:val="97"/>
                </w:rPr>
                <w:t>10-Q (File No. 001-33500) for the period ended September 30, 2019, as filed with the SEC on November 5, 2019).</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180" w:type="dxa"/>
            <w:vAlign w:val="bottom"/>
            <w:tcBorders>
              <w:top w:val="single" w:sz="8" w:color="CCEEFF"/>
            </w:tcBorders>
            <w:gridSpan w:val="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10.22+</w:t>
            </w:r>
          </w:p>
        </w:tc>
        <w:tc>
          <w:tcPr>
            <w:tcW w:w="100" w:type="dxa"/>
            <w:vAlign w:val="bottom"/>
          </w:tcPr>
          <w:p>
            <w:pPr>
              <w:spacing w:after="0"/>
              <w:rPr>
                <w:sz w:val="16"/>
                <w:szCs w:val="16"/>
                <w:color w:val="auto"/>
              </w:rPr>
            </w:pPr>
          </w:p>
        </w:tc>
        <w:tc>
          <w:tcPr>
            <w:tcW w:w="9180" w:type="dxa"/>
            <w:vAlign w:val="bottom"/>
            <w:gridSpan w:val="46"/>
          </w:tcPr>
          <w:p>
            <w:pPr>
              <w:spacing w:after="0" w:line="189"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Offer Letter, dated as of July 5, 2019 by and between Jazz Pharmaceuticals, Inc. and Neena M. Patil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0" w:type="dxa"/>
            <w:vAlign w:val="bottom"/>
            <w:tcBorders>
              <w:top w:val="single" w:sz="8" w:color="0000FF"/>
            </w:tcBorders>
            <w:gridSpan w:val="40"/>
          </w:tcPr>
          <w:p>
            <w:pPr>
              <w:spacing w:after="0" w:line="169"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reference to Exhibit 10.4 in Jazz Pharmaceuticals plc’s Quarterly Report on Form 10-Q (File No. 001-33500) for the period</w:t>
              </w:r>
            </w:hyperlink>
          </w:p>
        </w:tc>
        <w:tc>
          <w:tcPr>
            <w:tcW w:w="8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4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175">
              <w:r>
                <w:rPr>
                  <w:rFonts w:ascii="Arial" w:cs="Arial" w:eastAsia="Arial" w:hAnsi="Arial"/>
                  <w:sz w:val="18"/>
                  <w:szCs w:val="18"/>
                  <w:color w:val="0000FF"/>
                </w:rPr>
                <w:t>ended September 30, 2019, as filed with the SEC on November 5, 2019).</w:t>
              </w:r>
            </w:hyperlink>
          </w:p>
        </w:tc>
        <w:tc>
          <w:tcPr>
            <w:tcW w:w="9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10.23A+</w:t>
            </w:r>
          </w:p>
        </w:tc>
        <w:tc>
          <w:tcPr>
            <w:tcW w:w="9180" w:type="dxa"/>
            <w:vAlign w:val="bottom"/>
            <w:gridSpan w:val="46"/>
            <w:shd w:val="clear" w:color="auto" w:fill="CCEEFF"/>
          </w:tcPr>
          <w:p>
            <w:pPr>
              <w:spacing w:after="0" w:line="189" w:lineRule="exact"/>
              <w:rPr>
                <w:rFonts w:ascii="Arial" w:cs="Arial" w:eastAsia="Arial" w:hAnsi="Arial"/>
                <w:sz w:val="18"/>
                <w:szCs w:val="18"/>
                <w:color w:val="0000FF"/>
                <w:w w:val="95"/>
              </w:rPr>
            </w:pPr>
            <w:hyperlink r:id="rId176">
              <w:r>
                <w:rPr>
                  <w:rFonts w:ascii="Arial" w:cs="Arial" w:eastAsia="Arial" w:hAnsi="Arial"/>
                  <w:sz w:val="18"/>
                  <w:szCs w:val="18"/>
                  <w:color w:val="0000FF"/>
                  <w:w w:val="95"/>
                </w:rPr>
                <w:t>Employment Contract, dated as of February 22, 2013, by and between Jazz Pharmaceuticals Ireland Limited and Finbar</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40" w:type="dxa"/>
            <w:vAlign w:val="bottom"/>
            <w:gridSpan w:val="9"/>
            <w:shd w:val="clear" w:color="auto" w:fill="0000FF"/>
          </w:tcPr>
          <w:p>
            <w:pPr>
              <w:spacing w:after="0" w:line="20" w:lineRule="exact"/>
              <w:rPr>
                <w:sz w:val="1"/>
                <w:szCs w:val="1"/>
                <w:color w:val="auto"/>
              </w:rPr>
            </w:pPr>
          </w:p>
        </w:tc>
        <w:tc>
          <w:tcPr>
            <w:tcW w:w="1180" w:type="dxa"/>
            <w:vAlign w:val="bottom"/>
            <w:gridSpan w:val="13"/>
            <w:shd w:val="clear" w:color="auto" w:fill="0000FF"/>
          </w:tcPr>
          <w:p>
            <w:pPr>
              <w:spacing w:after="0" w:line="20" w:lineRule="exact"/>
              <w:rPr>
                <w:sz w:val="1"/>
                <w:szCs w:val="1"/>
                <w:color w:val="auto"/>
              </w:rPr>
            </w:pPr>
          </w:p>
        </w:tc>
        <w:tc>
          <w:tcPr>
            <w:tcW w:w="260" w:type="dxa"/>
            <w:vAlign w:val="bottom"/>
            <w:gridSpan w:val="12"/>
            <w:shd w:val="clear" w:color="auto" w:fill="CCEEFF"/>
          </w:tcPr>
          <w:p>
            <w:pPr>
              <w:spacing w:after="0" w:line="20" w:lineRule="exact"/>
              <w:rPr>
                <w:sz w:val="1"/>
                <w:szCs w:val="1"/>
                <w:color w:val="auto"/>
              </w:rPr>
            </w:pPr>
          </w:p>
        </w:tc>
        <w:tc>
          <w:tcPr>
            <w:tcW w:w="300" w:type="dxa"/>
            <w:vAlign w:val="bottom"/>
            <w:gridSpan w:val="12"/>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46"/>
            <w:shd w:val="clear" w:color="auto" w:fill="CCEEFF"/>
          </w:tcPr>
          <w:p>
            <w:pPr>
              <w:spacing w:after="0" w:line="169" w:lineRule="exact"/>
              <w:rPr>
                <w:rFonts w:ascii="Arial" w:cs="Arial" w:eastAsia="Arial" w:hAnsi="Arial"/>
                <w:sz w:val="18"/>
                <w:szCs w:val="18"/>
                <w:color w:val="0000FF"/>
                <w:w w:val="94"/>
              </w:rPr>
            </w:pPr>
            <w:hyperlink r:id="rId176">
              <w:r>
                <w:rPr>
                  <w:rFonts w:ascii="Arial" w:cs="Arial" w:eastAsia="Arial" w:hAnsi="Arial"/>
                  <w:sz w:val="18"/>
                  <w:szCs w:val="18"/>
                  <w:color w:val="0000FF"/>
                  <w:w w:val="94"/>
                </w:rPr>
                <w:t>Larkin (incorporated herein by reference to Exhibit 10.27 in Jazz Pharmaceuticals plc’s Annual Report on Form 10-K (File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80" w:type="dxa"/>
            <w:vAlign w:val="bottom"/>
            <w:tcBorders>
              <w:top w:val="single" w:sz="8" w:color="0000FF"/>
            </w:tcBorders>
            <w:gridSpan w:val="34"/>
            <w:shd w:val="clear" w:color="auto" w:fill="CCEEFF"/>
          </w:tcPr>
          <w:p>
            <w:pPr>
              <w:spacing w:after="0" w:line="169" w:lineRule="exact"/>
              <w:rPr>
                <w:rFonts w:ascii="Arial" w:cs="Arial" w:eastAsia="Arial" w:hAnsi="Arial"/>
                <w:sz w:val="18"/>
                <w:szCs w:val="18"/>
                <w:color w:val="0000FF"/>
              </w:rPr>
            </w:pPr>
            <w:hyperlink r:id="rId176">
              <w:r>
                <w:rPr>
                  <w:rFonts w:ascii="Arial" w:cs="Arial" w:eastAsia="Arial" w:hAnsi="Arial"/>
                  <w:sz w:val="18"/>
                  <w:szCs w:val="18"/>
                  <w:color w:val="0000FF"/>
                </w:rPr>
                <w:t>No. 001-33500) for the period ended December 31, 2019, as filed with the SEC on February 25, 2020).</w:t>
              </w:r>
            </w:hyperlink>
          </w:p>
        </w:tc>
        <w:tc>
          <w:tcPr>
            <w:tcW w:w="300" w:type="dxa"/>
            <w:vAlign w:val="bottom"/>
            <w:tcBorders>
              <w:top w:val="single" w:sz="8" w:color="CCEEFF"/>
            </w:tcBorders>
            <w:gridSpan w:val="12"/>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1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60" w:type="dxa"/>
            <w:vAlign w:val="bottom"/>
            <w:tcBorders>
              <w:top w:val="single" w:sz="8" w:color="0000FF"/>
            </w:tcBorders>
            <w:gridSpan w:val="7"/>
          </w:tcPr>
          <w:p>
            <w:pPr>
              <w:ind w:left="4100"/>
              <w:spacing w:after="0"/>
              <w:rPr>
                <w:sz w:val="20"/>
                <w:szCs w:val="20"/>
                <w:color w:val="auto"/>
              </w:rPr>
            </w:pPr>
            <w:r>
              <w:rPr>
                <w:rFonts w:ascii="Arial" w:cs="Arial" w:eastAsia="Arial" w:hAnsi="Arial"/>
                <w:sz w:val="18"/>
                <w:szCs w:val="18"/>
                <w:color w:val="auto"/>
              </w:rPr>
              <w:t>106</w:t>
            </w:r>
          </w:p>
        </w:tc>
        <w:tc>
          <w:tcPr>
            <w:tcW w:w="780" w:type="dxa"/>
            <w:vAlign w:val="bottom"/>
            <w:tcBorders>
              <w:top w:val="single" w:sz="8" w:color="0000FF"/>
            </w:tcBorders>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10.23B+</w:t>
            </w:r>
          </w:p>
        </w:tc>
        <w:tc>
          <w:tcPr>
            <w:tcW w:w="100" w:type="dxa"/>
            <w:vAlign w:val="bottom"/>
          </w:tcPr>
          <w:p>
            <w:pPr>
              <w:spacing w:after="0"/>
              <w:rPr>
                <w:sz w:val="24"/>
                <w:szCs w:val="24"/>
                <w:color w:val="auto"/>
              </w:rPr>
            </w:pPr>
          </w:p>
        </w:tc>
        <w:tc>
          <w:tcPr>
            <w:tcW w:w="9860" w:type="dxa"/>
            <w:vAlign w:val="bottom"/>
            <w:gridSpan w:val="38"/>
          </w:tcPr>
          <w:p>
            <w:pPr>
              <w:spacing w:after="0"/>
              <w:rPr>
                <w:rFonts w:ascii="Arial" w:cs="Arial" w:eastAsia="Arial" w:hAnsi="Arial"/>
                <w:sz w:val="18"/>
                <w:szCs w:val="18"/>
                <w:color w:val="0000FF"/>
                <w:w w:val="99"/>
              </w:rPr>
            </w:pPr>
            <w:hyperlink r:id="rId179">
              <w:r>
                <w:rPr>
                  <w:rFonts w:ascii="Arial" w:cs="Arial" w:eastAsia="Arial" w:hAnsi="Arial"/>
                  <w:sz w:val="18"/>
                  <w:szCs w:val="18"/>
                  <w:color w:val="0000FF"/>
                  <w:w w:val="99"/>
                </w:rPr>
                <w:t>Amendment to Employment Contract, dated as of February 26, 2020, by and between Jazz Pharmaceuticals Ireland Limited</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30"/>
          </w:tcPr>
          <w:p>
            <w:pPr>
              <w:spacing w:after="0" w:line="169"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and Finbar Larkin ((incorporated herein by reference to Exhibit 10.2 in Jazz Pharmaceuticals plc’s Quarterly Report on Form</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00" w:type="dxa"/>
            <w:vAlign w:val="bottom"/>
            <w:gridSpan w:val="35"/>
          </w:tcPr>
          <w:p>
            <w:pPr>
              <w:spacing w:after="0" w:line="169" w:lineRule="exact"/>
              <w:rPr>
                <w:rFonts w:ascii="Arial" w:cs="Arial" w:eastAsia="Arial" w:hAnsi="Arial"/>
                <w:sz w:val="18"/>
                <w:szCs w:val="18"/>
                <w:color w:val="0000FF"/>
              </w:rPr>
            </w:pPr>
            <w:hyperlink r:id="rId179">
              <w:r>
                <w:rPr>
                  <w:rFonts w:ascii="Arial" w:cs="Arial" w:eastAsia="Arial" w:hAnsi="Arial"/>
                  <w:sz w:val="18"/>
                  <w:szCs w:val="18"/>
                  <w:color w:val="0000FF"/>
                </w:rPr>
                <w:t>10-Q (File No. 001-33500) for the period ended March 31, 2020, as filed with the SEC on May 5, 2020).</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10.24A+</w:t>
            </w:r>
          </w:p>
        </w:tc>
        <w:tc>
          <w:tcPr>
            <w:tcW w:w="9180" w:type="dxa"/>
            <w:vAlign w:val="bottom"/>
            <w:tcBorders>
              <w:right w:val="single" w:sz="8" w:color="CCEEFF"/>
            </w:tcBorders>
            <w:gridSpan w:val="37"/>
            <w:shd w:val="clear" w:color="auto" w:fill="CCEEFF"/>
          </w:tcPr>
          <w:p>
            <w:pPr>
              <w:spacing w:after="0" w:line="189" w:lineRule="exact"/>
              <w:rPr>
                <w:rFonts w:ascii="Arial" w:cs="Arial" w:eastAsia="Arial" w:hAnsi="Arial"/>
                <w:sz w:val="18"/>
                <w:szCs w:val="18"/>
                <w:color w:val="0000FF"/>
                <w:w w:val="94"/>
              </w:rPr>
            </w:pPr>
            <w:hyperlink r:id="rId180">
              <w:r>
                <w:rPr>
                  <w:rFonts w:ascii="Arial" w:cs="Arial" w:eastAsia="Arial" w:hAnsi="Arial"/>
                  <w:sz w:val="18"/>
                  <w:szCs w:val="18"/>
                  <w:color w:val="0000FF"/>
                  <w:w w:val="94"/>
                </w:rPr>
                <w:t>Employment Contract, dated as of December 14, 2019, by and between Jazz Pharmaceuticals UK Limited and Samantha</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0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Pearce (incorporated herein by reference to Exhibit 10.28A in Jazz Pharmaceuticals plc’s Annual Report on Form 10-K</w:t>
              </w:r>
            </w:hyperlink>
          </w:p>
        </w:tc>
        <w:tc>
          <w:tcPr>
            <w:tcW w:w="480" w:type="dxa"/>
            <w:vAlign w:val="bottom"/>
            <w:tcBorders>
              <w:top w:val="single" w:sz="8" w:color="CCEEFF"/>
              <w:right w:val="single" w:sz="8" w:color="CCEEFF"/>
            </w:tcBorders>
            <w:gridSpan w:val="21"/>
            <w:shd w:val="clear" w:color="auto" w:fill="CCEEFF"/>
          </w:tcPr>
          <w:p>
            <w:pPr>
              <w:spacing w:after="0" w:line="169" w:lineRule="exact"/>
              <w:rPr>
                <w:rFonts w:ascii="Arial" w:cs="Arial" w:eastAsia="Arial" w:hAnsi="Arial"/>
                <w:sz w:val="18"/>
                <w:szCs w:val="18"/>
                <w:color w:val="0000FF"/>
              </w:rPr>
            </w:pPr>
            <w:hyperlink r:id="rId180">
              <w:r>
                <w:rPr>
                  <w:rFonts w:ascii="Arial" w:cs="Arial" w:eastAsia="Arial" w:hAnsi="Arial"/>
                  <w:sz w:val="18"/>
                  <w:szCs w:val="18"/>
                  <w:color w:val="0000FF"/>
                </w:rPr>
                <w:t>(File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4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No. 001-33500) for the period ended December 31, 2019, as filed with the SEC on February 25, 2020).</w:t>
              </w:r>
            </w:hyperlink>
          </w:p>
        </w:tc>
        <w:tc>
          <w:tcPr>
            <w:tcW w:w="1640" w:type="dxa"/>
            <w:vAlign w:val="bottom"/>
            <w:tcBorders>
              <w:top w:val="single" w:sz="8" w:color="0000FF"/>
              <w:bottom w:val="single" w:sz="8" w:color="CCEEFF"/>
            </w:tcBorders>
            <w:gridSpan w:val="27"/>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10.24B+</w:t>
            </w:r>
          </w:p>
        </w:tc>
        <w:tc>
          <w:tcPr>
            <w:tcW w:w="8720" w:type="dxa"/>
            <w:vAlign w:val="bottom"/>
            <w:tcBorders>
              <w:bottom w:val="single" w:sz="8" w:color="0000FF"/>
            </w:tcBorders>
            <w:gridSpan w:val="17"/>
          </w:tcPr>
          <w:p>
            <w:pPr>
              <w:spacing w:after="0" w:line="189"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Amendment to Employment Contract, dated as of April 21, 2020, by and between Jazz Pharmaceuticals UK Limited and</w:t>
              </w:r>
            </w:hyperlink>
          </w:p>
        </w:tc>
        <w:tc>
          <w:tcPr>
            <w:tcW w:w="460" w:type="dxa"/>
            <w:vAlign w:val="bottom"/>
            <w:gridSpan w:val="20"/>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8"/>
          </w:tcPr>
          <w:p>
            <w:pPr>
              <w:spacing w:after="0" w:line="169"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Samantha Pearce (incorporated herein by reference to Exhibit 10.4 in Jazz Pharmaceuticals plc’s Quarterly Report on Form</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0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81">
              <w:r>
                <w:rPr>
                  <w:rFonts w:ascii="Arial" w:cs="Arial" w:eastAsia="Arial" w:hAnsi="Arial"/>
                  <w:sz w:val="18"/>
                  <w:szCs w:val="18"/>
                  <w:color w:val="0000FF"/>
                </w:rPr>
                <w:t>10-Q (File No. 001-33500) for the period ended March 31, 2020, as filed with the SEC on May 5,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10.24C+</w:t>
            </w:r>
          </w:p>
        </w:tc>
        <w:tc>
          <w:tcPr>
            <w:tcW w:w="9180" w:type="dxa"/>
            <w:vAlign w:val="bottom"/>
            <w:tcBorders>
              <w:right w:val="single" w:sz="8" w:color="CCEEFF"/>
            </w:tcBorders>
            <w:gridSpan w:val="37"/>
            <w:shd w:val="clear" w:color="auto" w:fill="CCEEFF"/>
          </w:tcPr>
          <w:p>
            <w:pPr>
              <w:spacing w:after="0" w:line="189"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Equity Award Letter, dated as of December 9, 2019, by and between Jazz Pharmaceuticals UK Limited and Samantha Pearce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120" w:type="dxa"/>
            <w:vAlign w:val="bottom"/>
            <w:tcBorders>
              <w:top w:val="single" w:sz="8" w:color="0000FF"/>
            </w:tcBorders>
            <w:gridSpan w:val="36"/>
            <w:shd w:val="clear" w:color="auto" w:fill="CCEEFF"/>
          </w:tcPr>
          <w:p>
            <w:pPr>
              <w:spacing w:after="0" w:line="169" w:lineRule="exact"/>
              <w:rPr>
                <w:rFonts w:ascii="Arial" w:cs="Arial" w:eastAsia="Arial" w:hAnsi="Arial"/>
                <w:sz w:val="18"/>
                <w:szCs w:val="18"/>
                <w:color w:val="0000FF"/>
                <w:w w:val="95"/>
              </w:rPr>
            </w:pPr>
            <w:hyperlink r:id="rId182">
              <w:r>
                <w:rPr>
                  <w:rFonts w:ascii="Arial" w:cs="Arial" w:eastAsia="Arial" w:hAnsi="Arial"/>
                  <w:sz w:val="18"/>
                  <w:szCs w:val="18"/>
                  <w:color w:val="0000FF"/>
                  <w:w w:val="95"/>
                </w:rPr>
                <w:t>(incorporated herein by reference to Exhibit 10.28B in Jazz Pharmaceuticals plc’s Annual Report on Form 10-K (File No.</w:t>
              </w:r>
            </w:hyperlink>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rPr>
            </w:pPr>
            <w:hyperlink r:id="rId182">
              <w:r>
                <w:rPr>
                  <w:rFonts w:ascii="Arial" w:cs="Arial" w:eastAsia="Arial" w:hAnsi="Arial"/>
                  <w:sz w:val="18"/>
                  <w:szCs w:val="18"/>
                  <w:color w:val="0000FF"/>
                </w:rPr>
                <w:t>001-33500) for the period ended December 31, 2019, as filed with the SEC on February 25,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10.25+</w:t>
            </w:r>
          </w:p>
        </w:tc>
        <w:tc>
          <w:tcPr>
            <w:tcW w:w="100" w:type="dxa"/>
            <w:vAlign w:val="bottom"/>
          </w:tcPr>
          <w:p>
            <w:pPr>
              <w:spacing w:after="0"/>
              <w:rPr>
                <w:sz w:val="16"/>
                <w:szCs w:val="16"/>
                <w:color w:val="auto"/>
              </w:rPr>
            </w:pPr>
          </w:p>
        </w:tc>
        <w:tc>
          <w:tcPr>
            <w:tcW w:w="9180" w:type="dxa"/>
            <w:vAlign w:val="bottom"/>
            <w:gridSpan w:val="37"/>
          </w:tcPr>
          <w:p>
            <w:pPr>
              <w:spacing w:after="0" w:line="189"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Offer Letter, dated as of February 23, 2020, by and between Jazz Pharmaceuticals, Inc. and Renée Galá (incorporated herein</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20" w:type="dxa"/>
            <w:vAlign w:val="bottom"/>
            <w:tcBorders>
              <w:top w:val="single" w:sz="8" w:color="0000FF"/>
            </w:tcBorders>
            <w:gridSpan w:val="31"/>
          </w:tcPr>
          <w:p>
            <w:pPr>
              <w:spacing w:after="0" w:line="169"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by reference to Exhibit 10.1 in Jazz Pharmaceuticals plc’s Quarterly Report on Form 10-Q (File No. 001-33500) for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83">
              <w:r>
                <w:rPr>
                  <w:rFonts w:ascii="Arial" w:cs="Arial" w:eastAsia="Arial" w:hAnsi="Arial"/>
                  <w:sz w:val="18"/>
                  <w:szCs w:val="18"/>
                  <w:color w:val="0000FF"/>
                </w:rPr>
                <w:t>period ended March 31, 2020, as filed with the SEC on May 5,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37"/>
            <w:shd w:val="clear" w:color="auto" w:fill="CCEEFF"/>
          </w:tcPr>
          <w:p>
            <w:pPr>
              <w:spacing w:after="0" w:line="189" w:lineRule="exact"/>
              <w:rPr>
                <w:rFonts w:ascii="Arial" w:cs="Arial" w:eastAsia="Arial" w:hAnsi="Arial"/>
                <w:sz w:val="18"/>
                <w:szCs w:val="18"/>
                <w:color w:val="0000FF"/>
                <w:w w:val="93"/>
              </w:rPr>
            </w:pPr>
            <w:hyperlink r:id="rId184">
              <w:r>
                <w:rPr>
                  <w:rFonts w:ascii="Arial" w:cs="Arial" w:eastAsia="Arial" w:hAnsi="Arial"/>
                  <w:sz w:val="18"/>
                  <w:szCs w:val="18"/>
                  <w:color w:val="0000FF"/>
                  <w:w w:val="93"/>
                </w:rPr>
                <w:t>Offer Letter, dated as of May 2, 2020, by and between Jazz Pharmaceuticals, Inc. and Kim Sablich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80" w:type="dxa"/>
            <w:vAlign w:val="bottom"/>
            <w:tcBorders>
              <w:top w:val="single" w:sz="8" w:color="0000FF"/>
              <w:bottom w:val="single" w:sz="8" w:color="0000FF"/>
            </w:tcBorders>
            <w:gridSpan w:val="24"/>
            <w:shd w:val="clear" w:color="auto" w:fill="CCEEFF"/>
          </w:tcPr>
          <w:p>
            <w:pPr>
              <w:spacing w:after="0" w:line="169"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reference to Exhibit 10.1 in Jazz Pharmaceuticals plc’s Quarterly Report on Form 10-Q (File No. 001-33500) for the period</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940" w:type="dxa"/>
            <w:vAlign w:val="bottom"/>
            <w:gridSpan w:val="27"/>
            <w:shd w:val="clear" w:color="auto" w:fill="CCEEFF"/>
          </w:tcPr>
          <w:p>
            <w:pPr>
              <w:spacing w:after="0" w:line="169" w:lineRule="exact"/>
              <w:rPr>
                <w:rFonts w:ascii="Arial" w:cs="Arial" w:eastAsia="Arial" w:hAnsi="Arial"/>
                <w:sz w:val="18"/>
                <w:szCs w:val="18"/>
                <w:color w:val="0000FF"/>
              </w:rPr>
            </w:pPr>
            <w:hyperlink r:id="rId184">
              <w:r>
                <w:rPr>
                  <w:rFonts w:ascii="Arial" w:cs="Arial" w:eastAsia="Arial" w:hAnsi="Arial"/>
                  <w:sz w:val="18"/>
                  <w:szCs w:val="18"/>
                  <w:color w:val="0000FF"/>
                </w:rPr>
                <w:t>ended June 30, 2020, as filed with the SEC on August 4, 2020).</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10.27A+</w:t>
            </w:r>
          </w:p>
        </w:tc>
        <w:tc>
          <w:tcPr>
            <w:tcW w:w="9180" w:type="dxa"/>
            <w:vAlign w:val="bottom"/>
            <w:gridSpan w:val="37"/>
          </w:tcPr>
          <w:p>
            <w:pPr>
              <w:spacing w:after="0" w:line="189" w:lineRule="exact"/>
              <w:rPr>
                <w:rFonts w:ascii="Arial" w:cs="Arial" w:eastAsia="Arial" w:hAnsi="Arial"/>
                <w:sz w:val="18"/>
                <w:szCs w:val="18"/>
                <w:color w:val="0000FF"/>
              </w:rPr>
            </w:pPr>
            <w:hyperlink r:id="rId185">
              <w:r>
                <w:rPr>
                  <w:rFonts w:ascii="Arial" w:cs="Arial" w:eastAsia="Arial" w:hAnsi="Arial"/>
                  <w:sz w:val="18"/>
                  <w:szCs w:val="18"/>
                  <w:color w:val="0000FF"/>
                </w:rPr>
                <w:t>Service Agreement, dated as of May 5, 2021, by and between Chris Tovey and Jazz Pharmaceuticals UK Limited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180" w:type="dxa"/>
            <w:vAlign w:val="bottom"/>
            <w:tcBorders>
              <w:top w:val="single" w:sz="8" w:color="0000FF"/>
            </w:tcBorders>
            <w:gridSpan w:val="10"/>
          </w:tcPr>
          <w:p>
            <w:pPr>
              <w:spacing w:after="0" w:line="169"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(incorporated herein by reference to Exhibit 10.4 in Jazz Pharmaceuticals, plc’s Quarterly Report on Form 10-Q</w:t>
              </w:r>
            </w:hyperlink>
          </w:p>
        </w:tc>
        <w:tc>
          <w:tcPr>
            <w:tcW w:w="1680" w:type="dxa"/>
            <w:vAlign w:val="bottom"/>
            <w:gridSpan w:val="28"/>
          </w:tcPr>
          <w:p>
            <w:pPr>
              <w:jc w:val="right"/>
              <w:ind w:right="1100"/>
              <w:spacing w:after="0" w:line="169" w:lineRule="exact"/>
              <w:rPr>
                <w:rFonts w:ascii="Arial" w:cs="Arial" w:eastAsia="Arial" w:hAnsi="Arial"/>
                <w:sz w:val="18"/>
                <w:szCs w:val="18"/>
                <w:color w:val="0000FF"/>
                <w:w w:val="82"/>
              </w:rPr>
            </w:pPr>
            <w:hyperlink r:id="rId185">
              <w:r>
                <w:rPr>
                  <w:rFonts w:ascii="Arial" w:cs="Arial" w:eastAsia="Arial" w:hAnsi="Arial"/>
                  <w:sz w:val="18"/>
                  <w:szCs w:val="18"/>
                  <w:color w:val="0000FF"/>
                  <w:w w:val="82"/>
                </w:rPr>
                <w:t>(File No.</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85">
              <w:r>
                <w:rPr>
                  <w:rFonts w:ascii="Arial" w:cs="Arial" w:eastAsia="Arial" w:hAnsi="Arial"/>
                  <w:sz w:val="18"/>
                  <w:szCs w:val="18"/>
                  <w:color w:val="0000FF"/>
                </w:rPr>
                <w:t>001-33500) for the period ended June 30, 2021, as filed with the SEC on August 3,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10.27B+</w:t>
            </w:r>
          </w:p>
        </w:tc>
        <w:tc>
          <w:tcPr>
            <w:tcW w:w="9180" w:type="dxa"/>
            <w:vAlign w:val="bottom"/>
            <w:tcBorders>
              <w:right w:val="single" w:sz="8" w:color="CCEEFF"/>
            </w:tcBorders>
            <w:gridSpan w:val="37"/>
            <w:shd w:val="clear" w:color="auto" w:fill="CCEEFF"/>
          </w:tcPr>
          <w:p>
            <w:pPr>
              <w:spacing w:after="0" w:line="189" w:lineRule="exact"/>
              <w:rPr>
                <w:rFonts w:ascii="Arial" w:cs="Arial" w:eastAsia="Arial" w:hAnsi="Arial"/>
                <w:sz w:val="18"/>
                <w:szCs w:val="18"/>
                <w:color w:val="0000FF"/>
                <w:w w:val="97"/>
              </w:rPr>
            </w:pPr>
            <w:hyperlink r:id="rId186">
              <w:r>
                <w:rPr>
                  <w:rFonts w:ascii="Arial" w:cs="Arial" w:eastAsia="Arial" w:hAnsi="Arial"/>
                  <w:sz w:val="18"/>
                  <w:szCs w:val="18"/>
                  <w:color w:val="0000FF"/>
                  <w:w w:val="97"/>
                </w:rPr>
                <w:t>Participation Agreement, dated as of May 5, 2021, by and between Chris Tovey and Jazz Pharmaceuticals UK Limited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560" w:type="dxa"/>
            <w:vAlign w:val="bottom"/>
            <w:tcBorders>
              <w:top w:val="single" w:sz="8" w:color="0000FF"/>
            </w:tcBorders>
            <w:gridSpan w:val="11"/>
            <w:shd w:val="clear" w:color="auto" w:fill="CCEEFF"/>
          </w:tcPr>
          <w:p>
            <w:pPr>
              <w:spacing w:after="0" w:line="169" w:lineRule="exact"/>
              <w:rPr>
                <w:rFonts w:ascii="Arial" w:cs="Arial" w:eastAsia="Arial" w:hAnsi="Arial"/>
                <w:sz w:val="18"/>
                <w:szCs w:val="18"/>
                <w:color w:val="0000FF"/>
                <w:w w:val="92"/>
              </w:rPr>
            </w:pPr>
            <w:hyperlink r:id="rId186">
              <w:r>
                <w:rPr>
                  <w:rFonts w:ascii="Arial" w:cs="Arial" w:eastAsia="Arial" w:hAnsi="Arial"/>
                  <w:sz w:val="18"/>
                  <w:szCs w:val="18"/>
                  <w:color w:val="0000FF"/>
                  <w:w w:val="92"/>
                </w:rPr>
                <w:t>(incorporated herein by reference to Exhibit 10.5 in Jazz Pharmaceuticals, plc’s Quarterly Report on Form 10-Q (File</w:t>
              </w:r>
            </w:hyperlink>
          </w:p>
        </w:tc>
        <w:tc>
          <w:tcPr>
            <w:tcW w:w="620" w:type="dxa"/>
            <w:vAlign w:val="bottom"/>
            <w:tcBorders>
              <w:top w:val="single" w:sz="8" w:color="CCEEFF"/>
              <w:right w:val="single" w:sz="8" w:color="CCEEFF"/>
            </w:tcBorders>
            <w:gridSpan w:val="26"/>
            <w:shd w:val="clear" w:color="auto" w:fill="CCEEFF"/>
          </w:tcPr>
          <w:p>
            <w:pPr>
              <w:jc w:val="right"/>
              <w:ind w:right="420"/>
              <w:spacing w:after="0" w:line="169" w:lineRule="exact"/>
              <w:rPr>
                <w:rFonts w:ascii="Arial" w:cs="Arial" w:eastAsia="Arial" w:hAnsi="Arial"/>
                <w:sz w:val="16"/>
                <w:szCs w:val="16"/>
                <w:color w:val="0000FF"/>
                <w:w w:val="72"/>
              </w:rPr>
            </w:pPr>
            <w:hyperlink r:id="rId186">
              <w:r>
                <w:rPr>
                  <w:rFonts w:ascii="Arial" w:cs="Arial" w:eastAsia="Arial" w:hAnsi="Arial"/>
                  <w:sz w:val="16"/>
                  <w:szCs w:val="16"/>
                  <w:color w:val="0000FF"/>
                  <w:w w:val="72"/>
                </w:rPr>
                <w:t>No.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50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001-33500) for the period ended June 30, 2021, as filed with the SEC on August 3, 2021).</w:t>
              </w:r>
            </w:hyperlink>
          </w:p>
        </w:tc>
        <w:tc>
          <w:tcPr>
            <w:tcW w:w="2260" w:type="dxa"/>
            <w:vAlign w:val="bottom"/>
            <w:tcBorders>
              <w:top w:val="single" w:sz="8" w:color="0000FF"/>
              <w:bottom w:val="single" w:sz="8" w:color="CCEEFF"/>
            </w:tcBorders>
            <w:gridSpan w:val="1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gridSpan w:val="4"/>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10.28A+</w:t>
            </w:r>
          </w:p>
        </w:tc>
        <w:tc>
          <w:tcPr>
            <w:tcW w:w="9180" w:type="dxa"/>
            <w:vAlign w:val="bottom"/>
            <w:gridSpan w:val="37"/>
          </w:tcPr>
          <w:p>
            <w:pPr>
              <w:spacing w:after="0" w:line="189" w:lineRule="exact"/>
              <w:rPr>
                <w:rFonts w:ascii="Arial" w:cs="Arial" w:eastAsia="Arial" w:hAnsi="Arial"/>
                <w:sz w:val="18"/>
                <w:szCs w:val="18"/>
                <w:color w:val="0000FF"/>
              </w:rPr>
            </w:pPr>
            <w:hyperlink r:id="rId187">
              <w:r>
                <w:rPr>
                  <w:rFonts w:ascii="Arial" w:cs="Arial" w:eastAsia="Arial" w:hAnsi="Arial"/>
                  <w:sz w:val="18"/>
                  <w:szCs w:val="18"/>
                  <w:color w:val="0000FF"/>
                </w:rPr>
                <w:t>Jazz Pharmaceuticals plc 2007 Equity Incentive Plan (incorporated herein by reference to Exhibit 99.3 in Jazz</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8"/>
          </w:tcPr>
          <w:p>
            <w:pPr>
              <w:spacing w:after="0" w:line="169"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Pharmaceuticals plc’s registration statement on Form S-8 (File No. 333-179075), as filed with the SEC on January 18, 2012).</w:t>
              </w:r>
            </w:hyperlink>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10.28B+</w:t>
            </w:r>
          </w:p>
        </w:tc>
        <w:tc>
          <w:tcPr>
            <w:tcW w:w="9180" w:type="dxa"/>
            <w:vAlign w:val="bottom"/>
            <w:tcBorders>
              <w:right w:val="single" w:sz="8" w:color="CCEEFF"/>
            </w:tcBorders>
            <w:gridSpan w:val="37"/>
            <w:shd w:val="clear" w:color="auto" w:fill="CCEEFF"/>
          </w:tcPr>
          <w:p>
            <w:pPr>
              <w:spacing w:after="0" w:line="189" w:lineRule="exact"/>
              <w:rPr>
                <w:rFonts w:ascii="Arial" w:cs="Arial" w:eastAsia="Arial" w:hAnsi="Arial"/>
                <w:sz w:val="18"/>
                <w:szCs w:val="18"/>
                <w:color w:val="0000FF"/>
                <w:w w:val="93"/>
              </w:rPr>
            </w:pPr>
            <w:hyperlink r:id="rId188">
              <w:r>
                <w:rPr>
                  <w:rFonts w:ascii="Arial" w:cs="Arial" w:eastAsia="Arial" w:hAnsi="Arial"/>
                  <w:sz w:val="18"/>
                  <w:szCs w:val="18"/>
                  <w:color w:val="0000FF"/>
                  <w:w w:val="93"/>
                </w:rPr>
                <w:t>Jazz Pharmaceuticals plc 2007 Equity Incentive Plan Sub-Plan Governing Awards to Participants in the Republic of Ireland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28"/>
            <w:shd w:val="clear" w:color="auto" w:fill="CCEEFF"/>
          </w:tcPr>
          <w:p>
            <w:pPr>
              <w:spacing w:after="0" w:line="169"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(incorporated herein by reference to Exhibit 10.3B in the Annual Report on Form 10-K (File No. 001-33500) for the period</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26"/>
            <w:shd w:val="clear" w:color="auto" w:fill="CCEEFF"/>
          </w:tcPr>
          <w:p>
            <w:pPr>
              <w:spacing w:after="0" w:line="169" w:lineRule="exact"/>
              <w:rPr>
                <w:rFonts w:ascii="Arial" w:cs="Arial" w:eastAsia="Arial" w:hAnsi="Arial"/>
                <w:sz w:val="18"/>
                <w:szCs w:val="18"/>
                <w:color w:val="0000FF"/>
                <w:w w:val="89"/>
              </w:rPr>
            </w:pPr>
            <w:hyperlink r:id="rId188">
              <w:r>
                <w:rPr>
                  <w:rFonts w:ascii="Arial" w:cs="Arial" w:eastAsia="Arial" w:hAnsi="Arial"/>
                  <w:sz w:val="18"/>
                  <w:szCs w:val="18"/>
                  <w:color w:val="0000FF"/>
                  <w:w w:val="89"/>
                </w:rPr>
                <w:t>ended December 31, 2011, as filed by Jazz Pharmaceuticals plc on behalf of and as successor to Jazz Pharmaceuticals Inc.</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0" w:type="dxa"/>
            <w:vAlign w:val="bottom"/>
            <w:tcBorders>
              <w:top w:val="single" w:sz="8" w:color="0000FF"/>
            </w:tcBorders>
            <w:gridSpan w:val="20"/>
            <w:shd w:val="clear" w:color="auto" w:fill="CCEEFF"/>
          </w:tcPr>
          <w:p>
            <w:pPr>
              <w:spacing w:after="0" w:line="169" w:lineRule="exact"/>
              <w:rPr>
                <w:rFonts w:ascii="Arial" w:cs="Arial" w:eastAsia="Arial" w:hAnsi="Arial"/>
                <w:sz w:val="18"/>
                <w:szCs w:val="18"/>
                <w:color w:val="0000FF"/>
              </w:rPr>
            </w:pPr>
            <w:hyperlink r:id="rId188">
              <w:r>
                <w:rPr>
                  <w:rFonts w:ascii="Arial" w:cs="Arial" w:eastAsia="Arial" w:hAnsi="Arial"/>
                  <w:sz w:val="18"/>
                  <w:szCs w:val="18"/>
                  <w:color w:val="0000FF"/>
                </w:rPr>
                <w:t>with the SEC on February 28, 2012).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10.28C+</w:t>
            </w:r>
          </w:p>
        </w:tc>
        <w:tc>
          <w:tcPr>
            <w:tcW w:w="9180" w:type="dxa"/>
            <w:vAlign w:val="bottom"/>
            <w:gridSpan w:val="37"/>
          </w:tcPr>
          <w:p>
            <w:pPr>
              <w:spacing w:after="0" w:line="189" w:lineRule="exact"/>
              <w:rPr>
                <w:rFonts w:ascii="Arial" w:cs="Arial" w:eastAsia="Arial" w:hAnsi="Arial"/>
                <w:sz w:val="18"/>
                <w:szCs w:val="18"/>
                <w:color w:val="0000FF"/>
                <w:w w:val="94"/>
              </w:rPr>
            </w:pPr>
            <w:hyperlink r:id="rId189">
              <w:r>
                <w:rPr>
                  <w:rFonts w:ascii="Arial" w:cs="Arial" w:eastAsia="Arial" w:hAnsi="Arial"/>
                  <w:sz w:val="18"/>
                  <w:szCs w:val="18"/>
                  <w:color w:val="0000FF"/>
                  <w:w w:val="94"/>
                </w:rPr>
                <w:t>Form of Notice of Grant of Stock Options and Form of Option Agreement (U.S.) under the Jazz Pharmaceuticals plc 2007</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91"/>
              </w:rPr>
            </w:pPr>
            <w:hyperlink r:id="rId189">
              <w:r>
                <w:rPr>
                  <w:rFonts w:ascii="Arial" w:cs="Arial" w:eastAsia="Arial" w:hAnsi="Arial"/>
                  <w:sz w:val="18"/>
                  <w:szCs w:val="18"/>
                  <w:color w:val="0000FF"/>
                  <w:w w:val="91"/>
                </w:rPr>
                <w:t>Equity Incentive Plan (incorporated herein by reference to Exhibit 10.27C in Jazz Pharmaceuticals plc’s Annual Report on</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40" w:type="dxa"/>
            <w:vAlign w:val="bottom"/>
            <w:gridSpan w:val="22"/>
          </w:tcPr>
          <w:p>
            <w:pPr>
              <w:spacing w:after="0" w:line="169" w:lineRule="exact"/>
              <w:rPr>
                <w:rFonts w:ascii="Arial" w:cs="Arial" w:eastAsia="Arial" w:hAnsi="Arial"/>
                <w:sz w:val="18"/>
                <w:szCs w:val="18"/>
                <w:color w:val="0000FF"/>
                <w:w w:val="92"/>
              </w:rPr>
            </w:pPr>
            <w:hyperlink r:id="rId189">
              <w:r>
                <w:rPr>
                  <w:rFonts w:ascii="Arial" w:cs="Arial" w:eastAsia="Arial" w:hAnsi="Arial"/>
                  <w:sz w:val="18"/>
                  <w:szCs w:val="18"/>
                  <w:color w:val="0000FF"/>
                  <w:w w:val="92"/>
                </w:rPr>
                <w:t>Form 10-K (File No. 001-33500) for the period ended December 31, 2012, as filed with the SEC on February 26, 2013).</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10.28D+</w:t>
            </w:r>
          </w:p>
        </w:tc>
        <w:tc>
          <w:tcPr>
            <w:tcW w:w="9180" w:type="dxa"/>
            <w:vAlign w:val="bottom"/>
            <w:tcBorders>
              <w:right w:val="single" w:sz="8" w:color="CCEEFF"/>
            </w:tcBorders>
            <w:gridSpan w:val="37"/>
            <w:shd w:val="clear" w:color="auto" w:fill="CCEEFF"/>
          </w:tcPr>
          <w:p>
            <w:pPr>
              <w:spacing w:after="0" w:line="189" w:lineRule="exact"/>
              <w:rPr>
                <w:rFonts w:ascii="Arial" w:cs="Arial" w:eastAsia="Arial" w:hAnsi="Arial"/>
                <w:sz w:val="18"/>
                <w:szCs w:val="18"/>
                <w:color w:val="0000FF"/>
                <w:w w:val="97"/>
              </w:rPr>
            </w:pPr>
            <w:hyperlink r:id="rId190">
              <w:r>
                <w:rPr>
                  <w:rFonts w:ascii="Arial" w:cs="Arial" w:eastAsia="Arial" w:hAnsi="Arial"/>
                  <w:sz w:val="18"/>
                  <w:szCs w:val="18"/>
                  <w:color w:val="0000FF"/>
                  <w:w w:val="97"/>
                </w:rPr>
                <w:t>Form of Notice of Grant of Stock Options and Form of Option Agreement (Irish) under Jazz Pharmaceuticals plc 2007</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w w:val="90"/>
              </w:rPr>
            </w:pPr>
            <w:hyperlink r:id="rId190">
              <w:r>
                <w:rPr>
                  <w:rFonts w:ascii="Arial" w:cs="Arial" w:eastAsia="Arial" w:hAnsi="Arial"/>
                  <w:sz w:val="18"/>
                  <w:szCs w:val="18"/>
                  <w:color w:val="0000FF"/>
                  <w:w w:val="90"/>
                </w:rPr>
                <w:t>Equity Incentive Plan (incorporated herein by reference to Exhibit 10.27D in Jazz Pharmaceuticals plc’s Annual Report</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right w:val="single" w:sz="8" w:color="CCEEFF"/>
            </w:tcBorders>
            <w:gridSpan w:val="23"/>
            <w:shd w:val="clear" w:color="auto" w:fill="CCEEFF"/>
          </w:tcPr>
          <w:p>
            <w:pPr>
              <w:ind w:left="20"/>
              <w:spacing w:after="0" w:line="169" w:lineRule="exact"/>
              <w:rPr>
                <w:rFonts w:ascii="Arial" w:cs="Arial" w:eastAsia="Arial" w:hAnsi="Arial"/>
                <w:sz w:val="18"/>
                <w:szCs w:val="18"/>
                <w:color w:val="0000FF"/>
              </w:rPr>
            </w:pPr>
            <w:hyperlink r:id="rId190">
              <w:r>
                <w:rPr>
                  <w:rFonts w:ascii="Arial" w:cs="Arial" w:eastAsia="Arial" w:hAnsi="Arial"/>
                  <w:sz w:val="18"/>
                  <w:szCs w:val="18"/>
                  <w:color w:val="0000FF"/>
                </w:rPr>
                <w:t>on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60" w:type="dxa"/>
            <w:vAlign w:val="bottom"/>
            <w:tcBorders>
              <w:top w:val="single" w:sz="8" w:color="0000FF"/>
            </w:tcBorders>
            <w:gridSpan w:val="23"/>
            <w:shd w:val="clear" w:color="auto" w:fill="CCEEFF"/>
          </w:tcPr>
          <w:p>
            <w:pPr>
              <w:spacing w:after="0" w:line="169"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Form 10-K (File No. 001-33500) for the period ended December 31, 2012, as filed with the SEC on February 26, 2013).</w:t>
              </w:r>
            </w:hyperlink>
          </w:p>
        </w:tc>
        <w:tc>
          <w:tcPr>
            <w:tcW w:w="120" w:type="dxa"/>
            <w:vAlign w:val="bottom"/>
            <w:tcBorders>
              <w:top w:val="single" w:sz="8" w:color="CCEEFF"/>
            </w:tcBorders>
            <w:gridSpan w:val="6"/>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gridSpan w:val="4"/>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10.28E+</w:t>
            </w:r>
          </w:p>
        </w:tc>
        <w:tc>
          <w:tcPr>
            <w:tcW w:w="8640" w:type="dxa"/>
            <w:vAlign w:val="bottom"/>
            <w:tcBorders>
              <w:top w:val="single" w:sz="8" w:color="0000FF"/>
              <w:bottom w:val="single" w:sz="8" w:color="0000FF"/>
            </w:tcBorders>
            <w:gridSpan w:val="14"/>
          </w:tcPr>
          <w:p>
            <w:pPr>
              <w:spacing w:after="0" w:line="189"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Form of Restricted Stock Unit Grant Notice and Form of Restricted Stock Unit Award Agreement (U.S.) under the Jazz</w:t>
              </w:r>
            </w:hyperlink>
          </w:p>
        </w:tc>
        <w:tc>
          <w:tcPr>
            <w:tcW w:w="20" w:type="dxa"/>
            <w:vAlign w:val="bottom"/>
            <w:tcBorders>
              <w:top w:val="single" w:sz="8" w:color="0000FF"/>
            </w:tcBorders>
          </w:tcPr>
          <w:p>
            <w:pPr>
              <w:spacing w:after="0"/>
              <w:rPr>
                <w:sz w:val="16"/>
                <w:szCs w:val="16"/>
                <w:color w:val="auto"/>
              </w:rPr>
            </w:pPr>
          </w:p>
        </w:tc>
        <w:tc>
          <w:tcPr>
            <w:tcW w:w="520" w:type="dxa"/>
            <w:vAlign w:val="bottom"/>
            <w:tcBorders>
              <w:top w:val="single" w:sz="8" w:color="CCEEFF"/>
            </w:tcBorders>
            <w:gridSpan w:val="22"/>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8"/>
          </w:tcPr>
          <w:p>
            <w:pPr>
              <w:spacing w:after="0" w:line="169"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Pharmaceuticals plc 2007 Equity Incentive Plan (incorporated herein by reference to Exhibit 10.27E in Jazz Pharmaceuticals</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60" w:type="dxa"/>
            <w:vAlign w:val="bottom"/>
            <w:tcBorders>
              <w:top w:val="single" w:sz="8" w:color="0000FF"/>
            </w:tcBorders>
            <w:gridSpan w:val="33"/>
          </w:tcPr>
          <w:p>
            <w:pPr>
              <w:spacing w:after="0" w:line="169"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plc’s Annual Report on Form 10-K (File No. 001-33500) for the period ended December 31, 2012, as filed with the SEC on</w:t>
              </w:r>
            </w:hyperlink>
          </w:p>
        </w:tc>
        <w:tc>
          <w:tcPr>
            <w:tcW w:w="8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8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191">
              <w:r>
                <w:rPr>
                  <w:rFonts w:ascii="Arial" w:cs="Arial" w:eastAsia="Arial" w:hAnsi="Arial"/>
                  <w:sz w:val="18"/>
                  <w:szCs w:val="18"/>
                  <w:color w:val="0000FF"/>
                </w:rPr>
                <w:t>February 26, 2013).</w:t>
              </w:r>
            </w:hyperlink>
          </w:p>
        </w:tc>
        <w:tc>
          <w:tcPr>
            <w:tcW w:w="60" w:type="dxa"/>
            <w:vAlign w:val="bottom"/>
            <w:gridSpan w:val="3"/>
          </w:tcPr>
          <w:p>
            <w:pPr>
              <w:spacing w:after="0"/>
              <w:rPr>
                <w:sz w:val="14"/>
                <w:szCs w:val="14"/>
                <w:color w:val="auto"/>
              </w:rPr>
            </w:pPr>
          </w:p>
        </w:tc>
        <w:tc>
          <w:tcPr>
            <w:tcW w:w="8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10.28F+</w:t>
            </w:r>
          </w:p>
        </w:tc>
        <w:tc>
          <w:tcPr>
            <w:tcW w:w="8640" w:type="dxa"/>
            <w:vAlign w:val="bottom"/>
            <w:tcBorders>
              <w:bottom w:val="single" w:sz="8" w:color="0000FF"/>
            </w:tcBorders>
            <w:gridSpan w:val="14"/>
            <w:shd w:val="clear" w:color="auto" w:fill="CCEEFF"/>
          </w:tcPr>
          <w:p>
            <w:pPr>
              <w:spacing w:after="0" w:line="189"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Form of Restricted Stock Unit Grant Notice and Form of Restricted Stock Unit Award Agreement (Irish) under the Jazz</w:t>
              </w:r>
            </w:hyperlink>
          </w:p>
        </w:tc>
        <w:tc>
          <w:tcPr>
            <w:tcW w:w="540" w:type="dxa"/>
            <w:vAlign w:val="bottom"/>
            <w:tcBorders>
              <w:bottom w:val="single" w:sz="8" w:color="CCEEFF"/>
              <w:right w:val="single" w:sz="8" w:color="CCEEFF"/>
            </w:tcBorders>
            <w:gridSpan w:val="23"/>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37"/>
            <w:shd w:val="clear" w:color="auto" w:fill="CCEEFF"/>
          </w:tcPr>
          <w:p>
            <w:pPr>
              <w:spacing w:after="0" w:line="169" w:lineRule="exact"/>
              <w:rPr>
                <w:rFonts w:ascii="Arial" w:cs="Arial" w:eastAsia="Arial" w:hAnsi="Arial"/>
                <w:sz w:val="18"/>
                <w:szCs w:val="18"/>
                <w:color w:val="0000FF"/>
                <w:w w:val="92"/>
              </w:rPr>
            </w:pPr>
            <w:hyperlink r:id="rId192">
              <w:r>
                <w:rPr>
                  <w:rFonts w:ascii="Arial" w:cs="Arial" w:eastAsia="Arial" w:hAnsi="Arial"/>
                  <w:sz w:val="18"/>
                  <w:szCs w:val="18"/>
                  <w:color w:val="0000FF"/>
                  <w:w w:val="92"/>
                </w:rPr>
                <w:t>Pharmaceuticals plc 2007 Equity Incentive Plan (incorporated herein by reference to Exhibit 10.27F in Jazz Pharmaceuticals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40" w:type="dxa"/>
            <w:vAlign w:val="bottom"/>
            <w:tcBorders>
              <w:top w:val="single" w:sz="8" w:color="0000FF"/>
            </w:tcBorders>
            <w:gridSpan w:val="32"/>
            <w:shd w:val="clear" w:color="auto" w:fill="CCEEFF"/>
          </w:tcPr>
          <w:p>
            <w:pPr>
              <w:spacing w:after="0" w:line="169" w:lineRule="exact"/>
              <w:rPr>
                <w:rFonts w:ascii="Arial" w:cs="Arial" w:eastAsia="Arial" w:hAnsi="Arial"/>
                <w:sz w:val="18"/>
                <w:szCs w:val="18"/>
                <w:color w:val="0000FF"/>
                <w:w w:val="92"/>
              </w:rPr>
            </w:pPr>
            <w:hyperlink r:id="rId192">
              <w:r>
                <w:rPr>
                  <w:rFonts w:ascii="Arial" w:cs="Arial" w:eastAsia="Arial" w:hAnsi="Arial"/>
                  <w:sz w:val="18"/>
                  <w:szCs w:val="18"/>
                  <w:color w:val="0000FF"/>
                  <w:w w:val="92"/>
                </w:rPr>
                <w:t>plc’s Annual Report on Form 10-K (File No. 001-33500) for the period ended December 31, 2012, as filed with the SEC on</w:t>
              </w:r>
            </w:hyperlink>
          </w:p>
        </w:tc>
        <w:tc>
          <w:tcPr>
            <w:tcW w:w="14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8"/>
                <w:szCs w:val="18"/>
                <w:color w:val="0000FF"/>
                <w:w w:val="89"/>
              </w:rPr>
            </w:pPr>
            <w:hyperlink r:id="rId192">
              <w:r>
                <w:rPr>
                  <w:rFonts w:ascii="Arial" w:cs="Arial" w:eastAsia="Arial" w:hAnsi="Arial"/>
                  <w:sz w:val="18"/>
                  <w:szCs w:val="18"/>
                  <w:color w:val="0000FF"/>
                  <w:w w:val="89"/>
                </w:rPr>
                <w:t>February 26, 2013).</w:t>
              </w:r>
            </w:hyperlink>
          </w:p>
        </w:tc>
        <w:tc>
          <w:tcPr>
            <w:tcW w:w="7540" w:type="dxa"/>
            <w:vAlign w:val="bottom"/>
            <w:tcBorders>
              <w:top w:val="single" w:sz="8" w:color="0000FF"/>
              <w:bottom w:val="single" w:sz="8" w:color="CCEEFF"/>
            </w:tcBorders>
            <w:gridSpan w:val="28"/>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CCEEFF"/>
            </w:tcBorders>
            <w:gridSpan w:val="8"/>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3"/>
          </w:tcPr>
          <w:p>
            <w:pPr>
              <w:ind w:left="4100"/>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10.28G+</w:t>
            </w:r>
          </w:p>
        </w:tc>
        <w:tc>
          <w:tcPr>
            <w:tcW w:w="100" w:type="dxa"/>
            <w:vAlign w:val="bottom"/>
          </w:tcPr>
          <w:p>
            <w:pPr>
              <w:spacing w:after="0"/>
              <w:rPr>
                <w:sz w:val="24"/>
                <w:szCs w:val="24"/>
                <w:color w:val="auto"/>
              </w:rPr>
            </w:pPr>
          </w:p>
        </w:tc>
        <w:tc>
          <w:tcPr>
            <w:tcW w:w="9860" w:type="dxa"/>
            <w:vAlign w:val="bottom"/>
            <w:gridSpan w:val="36"/>
          </w:tcPr>
          <w:p>
            <w:pPr>
              <w:spacing w:after="0"/>
              <w:rPr>
                <w:rFonts w:ascii="Arial" w:cs="Arial" w:eastAsia="Arial" w:hAnsi="Arial"/>
                <w:sz w:val="18"/>
                <w:szCs w:val="18"/>
                <w:color w:val="0000FF"/>
              </w:rPr>
            </w:pPr>
            <w:hyperlink r:id="rId195">
              <w:r>
                <w:rPr>
                  <w:rFonts w:ascii="Arial" w:cs="Arial" w:eastAsia="Arial" w:hAnsi="Arial"/>
                  <w:sz w:val="18"/>
                  <w:szCs w:val="18"/>
                  <w:color w:val="0000FF"/>
                </w:rPr>
                <w:t>Jazz Pharmaceuticals plc 2007 Equity Incentive Plan - Form of Non-U.S. Option Grant Notice and Form of Non-U.S. Option</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0"/>
              </w:rPr>
            </w:pPr>
            <w:hyperlink r:id="rId195">
              <w:r>
                <w:rPr>
                  <w:rFonts w:ascii="Arial" w:cs="Arial" w:eastAsia="Arial" w:hAnsi="Arial"/>
                  <w:sz w:val="18"/>
                  <w:szCs w:val="18"/>
                  <w:color w:val="0000FF"/>
                  <w:w w:val="90"/>
                </w:rPr>
                <w:t>Agreement (approved July 31, 2013) (incorporated herein by reference to Exhibit 10.1 in Jazz Pharmaceuticals plc’s</w:t>
              </w:r>
            </w:hyperlink>
          </w:p>
        </w:tc>
        <w:tc>
          <w:tcPr>
            <w:tcW w:w="720" w:type="dxa"/>
            <w:vAlign w:val="bottom"/>
            <w:tcBorders>
              <w:top w:val="single" w:sz="8" w:color="0000FF"/>
            </w:tcBorders>
            <w:gridSpan w:val="24"/>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6"/>
          </w:tcPr>
          <w:p>
            <w:pPr>
              <w:spacing w:after="0" w:line="169" w:lineRule="exact"/>
              <w:rPr>
                <w:rFonts w:ascii="Arial" w:cs="Arial" w:eastAsia="Arial" w:hAnsi="Arial"/>
                <w:sz w:val="18"/>
                <w:szCs w:val="18"/>
                <w:color w:val="0000FF"/>
              </w:rPr>
            </w:pPr>
            <w:hyperlink r:id="rId195">
              <w:r>
                <w:rPr>
                  <w:rFonts w:ascii="Arial" w:cs="Arial" w:eastAsia="Arial" w:hAnsi="Arial"/>
                  <w:sz w:val="18"/>
                  <w:szCs w:val="18"/>
                  <w:color w:val="0000FF"/>
                </w:rPr>
                <w:t>Quarterly Report on Form 10-Q (File No. 001-33500) for the period ended September 30, 2013, as filed with the SEC on</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95">
              <w:r>
                <w:rPr>
                  <w:rFonts w:ascii="Arial" w:cs="Arial" w:eastAsia="Arial" w:hAnsi="Arial"/>
                  <w:sz w:val="18"/>
                  <w:szCs w:val="18"/>
                  <w:color w:val="0000FF"/>
                </w:rPr>
                <w:t>November 5, 2013).</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10.28H+</w:t>
            </w:r>
          </w:p>
        </w:tc>
        <w:tc>
          <w:tcPr>
            <w:tcW w:w="8700" w:type="dxa"/>
            <w:vAlign w:val="bottom"/>
            <w:tcBorders>
              <w:bottom w:val="single" w:sz="8" w:color="0000FF"/>
            </w:tcBorders>
            <w:gridSpan w:val="16"/>
            <w:shd w:val="clear" w:color="auto" w:fill="CCEEFF"/>
          </w:tcPr>
          <w:p>
            <w:pPr>
              <w:spacing w:after="0" w:line="189" w:lineRule="exact"/>
              <w:rPr>
                <w:rFonts w:ascii="Arial" w:cs="Arial" w:eastAsia="Arial" w:hAnsi="Arial"/>
                <w:sz w:val="18"/>
                <w:szCs w:val="18"/>
                <w:color w:val="0000FF"/>
                <w:w w:val="91"/>
              </w:rPr>
            </w:pPr>
            <w:hyperlink r:id="rId196">
              <w:r>
                <w:rPr>
                  <w:rFonts w:ascii="Arial" w:cs="Arial" w:eastAsia="Arial" w:hAnsi="Arial"/>
                  <w:sz w:val="18"/>
                  <w:szCs w:val="18"/>
                  <w:color w:val="0000FF"/>
                  <w:w w:val="91"/>
                </w:rPr>
                <w:t>Jazz Pharmaceuticals plc 2007 Equity Incentive Plan - Form of Non-U.S. Restricted Stock Unit Award Grant Notice and</w:t>
              </w:r>
            </w:hyperlink>
          </w:p>
        </w:tc>
        <w:tc>
          <w:tcPr>
            <w:tcW w:w="480" w:type="dxa"/>
            <w:vAlign w:val="bottom"/>
            <w:tcBorders>
              <w:bottom w:val="single" w:sz="8" w:color="CCEEFF"/>
              <w:right w:val="single" w:sz="8" w:color="CCEEFF"/>
            </w:tcBorders>
            <w:gridSpan w:val="19"/>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35"/>
            <w:shd w:val="clear" w:color="auto" w:fill="CCEEFF"/>
          </w:tcPr>
          <w:p>
            <w:pPr>
              <w:spacing w:after="0" w:line="169" w:lineRule="exact"/>
              <w:rPr>
                <w:rFonts w:ascii="Arial" w:cs="Arial" w:eastAsia="Arial" w:hAnsi="Arial"/>
                <w:sz w:val="18"/>
                <w:szCs w:val="18"/>
                <w:color w:val="0000FF"/>
                <w:w w:val="95"/>
              </w:rPr>
            </w:pPr>
            <w:hyperlink r:id="rId196">
              <w:r>
                <w:rPr>
                  <w:rFonts w:ascii="Arial" w:cs="Arial" w:eastAsia="Arial" w:hAnsi="Arial"/>
                  <w:sz w:val="18"/>
                  <w:szCs w:val="18"/>
                  <w:color w:val="0000FF"/>
                  <w:w w:val="95"/>
                </w:rPr>
                <w:t>Form of Non-U.S. Restricted Stock Unit Award Agreement (approved July 31, 2013) (incorporated herein by reference to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w w:val="94"/>
              </w:rPr>
            </w:pPr>
            <w:hyperlink r:id="rId196">
              <w:r>
                <w:rPr>
                  <w:rFonts w:ascii="Arial" w:cs="Arial" w:eastAsia="Arial" w:hAnsi="Arial"/>
                  <w:sz w:val="18"/>
                  <w:szCs w:val="18"/>
                  <w:color w:val="0000FF"/>
                  <w:w w:val="94"/>
                </w:rPr>
                <w:t>Exhibit 10.2 in Jazz Pharmaceuticals plc’s Quarterly Report on Form 10-Q (File No. 001-33500) for the period ended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September 30, 2013, as filed with the SEC on November 5, 2013).</w:t>
              </w:r>
            </w:hyperlink>
          </w:p>
        </w:tc>
        <w:tc>
          <w:tcPr>
            <w:tcW w:w="366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10.29A+</w:t>
            </w:r>
          </w:p>
        </w:tc>
        <w:tc>
          <w:tcPr>
            <w:tcW w:w="7920" w:type="dxa"/>
            <w:vAlign w:val="bottom"/>
            <w:tcBorders>
              <w:bottom w:val="single" w:sz="8" w:color="0000FF"/>
            </w:tcBorders>
            <w:gridSpan w:val="7"/>
          </w:tcPr>
          <w:p>
            <w:pPr>
              <w:spacing w:after="0" w:line="189"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Jazz Pharmaceuticals plc 2011 Equity Incentive Plan (incorporated herein by reference to Exhibit 99.1 in Jazz</w:t>
              </w:r>
            </w:hyperlink>
          </w:p>
        </w:tc>
        <w:tc>
          <w:tcPr>
            <w:tcW w:w="1260" w:type="dxa"/>
            <w:vAlign w:val="bottom"/>
            <w:gridSpan w:val="28"/>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6"/>
          </w:tcPr>
          <w:p>
            <w:pPr>
              <w:spacing w:after="0" w:line="169"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Pharmaceuticals plc’s registration statement on Form S-8 (File No. 333-179075), as filed with the SEC on January 18, 2012).</w:t>
              </w:r>
            </w:hyperlink>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10.29B+</w:t>
            </w:r>
          </w:p>
        </w:tc>
        <w:tc>
          <w:tcPr>
            <w:tcW w:w="918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3"/>
              </w:rPr>
            </w:pPr>
            <w:hyperlink r:id="rId198">
              <w:r>
                <w:rPr>
                  <w:rFonts w:ascii="Arial" w:cs="Arial" w:eastAsia="Arial" w:hAnsi="Arial"/>
                  <w:sz w:val="18"/>
                  <w:szCs w:val="18"/>
                  <w:color w:val="0000FF"/>
                  <w:w w:val="93"/>
                </w:rPr>
                <w:t>Jazz Pharmaceuticals plc 2011 Equity Incentive Plan Sub-Plan Governing Awards to Participants in the Republic of Ireland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960" w:type="dxa"/>
            <w:vAlign w:val="bottom"/>
            <w:tcBorders>
              <w:top w:val="single" w:sz="8" w:color="0000FF"/>
              <w:bottom w:val="single" w:sz="8" w:color="0000FF"/>
            </w:tcBorders>
            <w:gridSpan w:val="27"/>
            <w:shd w:val="clear" w:color="auto" w:fill="CCEEFF"/>
          </w:tcPr>
          <w:p>
            <w:pPr>
              <w:spacing w:after="0" w:line="169" w:lineRule="exact"/>
              <w:rPr>
                <w:rFonts w:ascii="Arial" w:cs="Arial" w:eastAsia="Arial" w:hAnsi="Arial"/>
                <w:sz w:val="18"/>
                <w:szCs w:val="18"/>
                <w:color w:val="0000FF"/>
                <w:w w:val="91"/>
              </w:rPr>
            </w:pPr>
            <w:hyperlink r:id="rId198">
              <w:r>
                <w:rPr>
                  <w:rFonts w:ascii="Arial" w:cs="Arial" w:eastAsia="Arial" w:hAnsi="Arial"/>
                  <w:sz w:val="18"/>
                  <w:szCs w:val="18"/>
                  <w:color w:val="0000FF"/>
                  <w:w w:val="91"/>
                </w:rPr>
                <w:t>(incorporated herein by reference to Exhibit 10.39B in the Annual Report on Form 10-K (File No. 001-33500) for the period</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60" w:type="dxa"/>
            <w:vAlign w:val="bottom"/>
            <w:gridSpan w:val="32"/>
            <w:shd w:val="clear" w:color="auto" w:fill="CCEEFF"/>
          </w:tcPr>
          <w:p>
            <w:pPr>
              <w:spacing w:after="0" w:line="169" w:lineRule="exact"/>
              <w:rPr>
                <w:rFonts w:ascii="Arial" w:cs="Arial" w:eastAsia="Arial" w:hAnsi="Arial"/>
                <w:sz w:val="18"/>
                <w:szCs w:val="18"/>
                <w:color w:val="0000FF"/>
                <w:w w:val="91"/>
              </w:rPr>
            </w:pPr>
            <w:hyperlink r:id="rId198">
              <w:r>
                <w:rPr>
                  <w:rFonts w:ascii="Arial" w:cs="Arial" w:eastAsia="Arial" w:hAnsi="Arial"/>
                  <w:sz w:val="18"/>
                  <w:szCs w:val="18"/>
                  <w:color w:val="0000FF"/>
                  <w:w w:val="91"/>
                </w:rPr>
                <w:t>ended December 31, 2011, as filed by Jazz Pharmaceuticals plc on behalf of and as successor to Jazz Pharmaceuticals Inc.</w:t>
              </w:r>
            </w:hyperlink>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21"/>
            <w:shd w:val="clear" w:color="auto" w:fill="CCEEFF"/>
          </w:tcPr>
          <w:p>
            <w:pPr>
              <w:spacing w:after="0" w:line="169" w:lineRule="exact"/>
              <w:rPr>
                <w:rFonts w:ascii="Arial" w:cs="Arial" w:eastAsia="Arial" w:hAnsi="Arial"/>
                <w:sz w:val="18"/>
                <w:szCs w:val="18"/>
                <w:color w:val="0000FF"/>
              </w:rPr>
            </w:pPr>
            <w:hyperlink r:id="rId198">
              <w:r>
                <w:rPr>
                  <w:rFonts w:ascii="Arial" w:cs="Arial" w:eastAsia="Arial" w:hAnsi="Arial"/>
                  <w:sz w:val="18"/>
                  <w:szCs w:val="18"/>
                  <w:color w:val="0000FF"/>
                </w:rPr>
                <w:t>with the SEC on February 28, 2012).</w:t>
              </w:r>
            </w:hyperlink>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10.29C+</w:t>
            </w:r>
          </w:p>
        </w:tc>
        <w:tc>
          <w:tcPr>
            <w:tcW w:w="9180" w:type="dxa"/>
            <w:vAlign w:val="bottom"/>
            <w:gridSpan w:val="35"/>
          </w:tcPr>
          <w:p>
            <w:pPr>
              <w:spacing w:after="0" w:line="189" w:lineRule="exact"/>
              <w:rPr>
                <w:rFonts w:ascii="Arial" w:cs="Arial" w:eastAsia="Arial" w:hAnsi="Arial"/>
                <w:sz w:val="18"/>
                <w:szCs w:val="18"/>
                <w:color w:val="0000FF"/>
                <w:w w:val="94"/>
              </w:rPr>
            </w:pPr>
            <w:hyperlink r:id="rId199">
              <w:r>
                <w:rPr>
                  <w:rFonts w:ascii="Arial" w:cs="Arial" w:eastAsia="Arial" w:hAnsi="Arial"/>
                  <w:sz w:val="18"/>
                  <w:szCs w:val="18"/>
                  <w:color w:val="0000FF"/>
                  <w:w w:val="94"/>
                </w:rPr>
                <w:t>Form of Stock Option Grant Notice and Form of Option Agreement (U.S.) under the Jazz Pharmaceuticals plc 2011 Equity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6"/>
          </w:tcPr>
          <w:p>
            <w:pPr>
              <w:spacing w:after="0" w:line="169"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Incentive Plan (incorporated herein by reference to Exhibit 10.7 in Jazz Pharmaceuticals plc’s Quarterly Report on Form 10-</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4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99">
              <w:r>
                <w:rPr>
                  <w:rFonts w:ascii="Arial" w:cs="Arial" w:eastAsia="Arial" w:hAnsi="Arial"/>
                  <w:sz w:val="18"/>
                  <w:szCs w:val="18"/>
                  <w:color w:val="0000FF"/>
                </w:rPr>
                <w:t>Q (File No. 001-33500) for the period ended June 30, 2012, as filed with the SEC on August 7, 2012).</w:t>
              </w:r>
            </w:hyperlink>
          </w:p>
        </w:tc>
        <w:tc>
          <w:tcPr>
            <w:tcW w:w="40" w:type="dxa"/>
            <w:vAlign w:val="bottom"/>
            <w:gridSpan w:val="2"/>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10.29D+</w:t>
            </w:r>
          </w:p>
        </w:tc>
        <w:tc>
          <w:tcPr>
            <w:tcW w:w="918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4"/>
              </w:rPr>
            </w:pPr>
            <w:hyperlink r:id="rId200">
              <w:r>
                <w:rPr>
                  <w:rFonts w:ascii="Arial" w:cs="Arial" w:eastAsia="Arial" w:hAnsi="Arial"/>
                  <w:sz w:val="18"/>
                  <w:szCs w:val="18"/>
                  <w:color w:val="0000FF"/>
                  <w:w w:val="94"/>
                </w:rPr>
                <w:t>Form of Stock Option Grant Notice and Form of Option Agreement (Irish) under the Jazz Pharmaceuticals plc 2011 Equity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25"/>
            <w:shd w:val="clear" w:color="auto" w:fill="CCEEFF"/>
          </w:tcPr>
          <w:p>
            <w:pPr>
              <w:spacing w:after="0" w:line="169"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Incentive Plan (incorporated herein by reference to Exhibit 10.8 in Jazz Pharmaceuticals plc’s Quarterly Report on Form 10</w:t>
              </w:r>
            </w:hyperlink>
          </w:p>
        </w:tc>
        <w:tc>
          <w:tcPr>
            <w:tcW w:w="160" w:type="dxa"/>
            <w:vAlign w:val="bottom"/>
            <w:tcBorders>
              <w:top w:val="single" w:sz="8" w:color="CCEEFF"/>
            </w:tcBorders>
            <w:gridSpan w:val="8"/>
            <w:shd w:val="clear" w:color="auto" w:fill="CCEEFF"/>
          </w:tcPr>
          <w:p>
            <w:pPr>
              <w:jc w:val="right"/>
              <w:ind w:right="100"/>
              <w:spacing w:after="0" w:line="169" w:lineRule="exact"/>
              <w:rPr>
                <w:rFonts w:ascii="Arial" w:cs="Arial" w:eastAsia="Arial" w:hAnsi="Arial"/>
                <w:sz w:val="16"/>
                <w:szCs w:val="16"/>
                <w:color w:val="0000FF"/>
                <w:w w:val="74"/>
              </w:rPr>
            </w:pPr>
            <w:hyperlink r:id="rId200">
              <w:r>
                <w:rPr>
                  <w:rFonts w:ascii="Arial" w:cs="Arial" w:eastAsia="Arial" w:hAnsi="Arial"/>
                  <w:sz w:val="16"/>
                  <w:szCs w:val="16"/>
                  <w:color w:val="0000FF"/>
                  <w:w w:val="74"/>
                </w:rPr>
                <w:t>-</w:t>
              </w:r>
            </w:hyperlink>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4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rPr>
            </w:pPr>
            <w:hyperlink r:id="rId200">
              <w:r>
                <w:rPr>
                  <w:rFonts w:ascii="Arial" w:cs="Arial" w:eastAsia="Arial" w:hAnsi="Arial"/>
                  <w:sz w:val="18"/>
                  <w:szCs w:val="18"/>
                  <w:color w:val="0000FF"/>
                </w:rPr>
                <w:t>Q (File No. 001-33500) for the period ended June 30, 2012, as filed with the SEC on August 7, 2012).</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10.29E+</w:t>
            </w:r>
          </w:p>
        </w:tc>
        <w:tc>
          <w:tcPr>
            <w:tcW w:w="9180" w:type="dxa"/>
            <w:vAlign w:val="bottom"/>
            <w:gridSpan w:val="35"/>
          </w:tcPr>
          <w:p>
            <w:pPr>
              <w:spacing w:after="0" w:line="189" w:lineRule="exact"/>
              <w:rPr>
                <w:rFonts w:ascii="Arial" w:cs="Arial" w:eastAsia="Arial" w:hAnsi="Arial"/>
                <w:sz w:val="18"/>
                <w:szCs w:val="18"/>
                <w:color w:val="0000FF"/>
                <w:w w:val="94"/>
              </w:rPr>
            </w:pPr>
            <w:hyperlink r:id="rId201">
              <w:r>
                <w:rPr>
                  <w:rFonts w:ascii="Arial" w:cs="Arial" w:eastAsia="Arial" w:hAnsi="Arial"/>
                  <w:sz w:val="18"/>
                  <w:szCs w:val="18"/>
                  <w:color w:val="0000FF"/>
                  <w:w w:val="94"/>
                </w:rPr>
                <w:t>Form of Non-U.S. Option Grant Notice and Form of Non-U.S. Option Agreement under the Jazz Pharmaceuticals plc 2011</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80" w:type="dxa"/>
            <w:vAlign w:val="bottom"/>
            <w:tcBorders>
              <w:top w:val="single" w:sz="8" w:color="0000FF"/>
            </w:tcBorders>
            <w:gridSpan w:val="23"/>
          </w:tcPr>
          <w:p>
            <w:pPr>
              <w:spacing w:after="0" w:line="169"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Equity Incentive Plan (incorporated herein by reference to Exhibit 10.28E in Jazz Pharmaceuticals plc’s Annual Report on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60" w:type="dxa"/>
            <w:vAlign w:val="bottom"/>
            <w:tcBorders>
              <w:top w:val="single" w:sz="8" w:color="0000FF"/>
            </w:tcBorders>
            <w:gridSpan w:val="22"/>
          </w:tcPr>
          <w:p>
            <w:pPr>
              <w:spacing w:after="0" w:line="169"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Form 10-K (File No. 001-33500) for the period ended December 31, 2012, as filed with the SEC on February 26, 2013).</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10.29F+</w:t>
            </w:r>
          </w:p>
        </w:tc>
        <w:tc>
          <w:tcPr>
            <w:tcW w:w="918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7"/>
              </w:rPr>
            </w:pPr>
            <w:hyperlink r:id="rId202">
              <w:r>
                <w:rPr>
                  <w:rFonts w:ascii="Arial" w:cs="Arial" w:eastAsia="Arial" w:hAnsi="Arial"/>
                  <w:sz w:val="18"/>
                  <w:szCs w:val="18"/>
                  <w:color w:val="0000FF"/>
                  <w:w w:val="97"/>
                </w:rPr>
                <w:t>Form of Restricted Stock Unit Grant Notice and Form of Restricted Stock Unit Award Agreement (U.S.) under the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620" w:type="dxa"/>
            <w:vAlign w:val="bottom"/>
            <w:tcBorders>
              <w:top w:val="single" w:sz="8" w:color="0000FF"/>
              <w:bottom w:val="single" w:sz="8" w:color="0000FF"/>
            </w:tcBorders>
            <w:gridSpan w:val="12"/>
            <w:shd w:val="clear" w:color="auto" w:fill="CCEEFF"/>
          </w:tcPr>
          <w:p>
            <w:pPr>
              <w:spacing w:after="0" w:line="169" w:lineRule="exact"/>
              <w:rPr>
                <w:rFonts w:ascii="Arial" w:cs="Arial" w:eastAsia="Arial" w:hAnsi="Arial"/>
                <w:sz w:val="18"/>
                <w:szCs w:val="18"/>
                <w:color w:val="0000FF"/>
                <w:w w:val="88"/>
              </w:rPr>
            </w:pPr>
            <w:hyperlink r:id="rId202">
              <w:r>
                <w:rPr>
                  <w:rFonts w:ascii="Arial" w:cs="Arial" w:eastAsia="Arial" w:hAnsi="Arial"/>
                  <w:sz w:val="18"/>
                  <w:szCs w:val="18"/>
                  <w:color w:val="0000FF"/>
                  <w:w w:val="88"/>
                </w:rPr>
                <w:t>Pharmaceuticals plc 2011 Equity Incentive Plan (incorporated herein by reference to Exhibit 10.9 in Jazz Pharmaceuticals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0" w:type="dxa"/>
            <w:vAlign w:val="bottom"/>
            <w:gridSpan w:val="20"/>
            <w:shd w:val="clear" w:color="auto" w:fill="CCEEFF"/>
          </w:tcPr>
          <w:p>
            <w:pPr>
              <w:spacing w:after="0" w:line="169" w:lineRule="exact"/>
              <w:rPr>
                <w:rFonts w:ascii="Arial" w:cs="Arial" w:eastAsia="Arial" w:hAnsi="Arial"/>
                <w:sz w:val="18"/>
                <w:szCs w:val="18"/>
                <w:color w:val="0000FF"/>
                <w:w w:val="92"/>
              </w:rPr>
            </w:pPr>
            <w:hyperlink r:id="rId202">
              <w:r>
                <w:rPr>
                  <w:rFonts w:ascii="Arial" w:cs="Arial" w:eastAsia="Arial" w:hAnsi="Arial"/>
                  <w:sz w:val="18"/>
                  <w:szCs w:val="18"/>
                  <w:color w:val="0000FF"/>
                  <w:w w:val="92"/>
                </w:rPr>
                <w:t>plc’s Quarterly Report on Form 10-Q (File No. 001-33500) for the period ended June 30, 2012, as filed with the SEC on</w:t>
              </w:r>
            </w:hyperlink>
          </w:p>
        </w:tc>
        <w:tc>
          <w:tcPr>
            <w:tcW w:w="100" w:type="dxa"/>
            <w:vAlign w:val="bottom"/>
            <w:gridSpan w:val="4"/>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100" w:type="dxa"/>
            <w:vAlign w:val="bottom"/>
            <w:tcBorders>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August 7, 2012).</w:t>
              </w:r>
            </w:hyperlink>
          </w:p>
        </w:tc>
        <w:tc>
          <w:tcPr>
            <w:tcW w:w="7440" w:type="dxa"/>
            <w:vAlign w:val="bottom"/>
            <w:tcBorders>
              <w:top w:val="single" w:sz="8" w:color="0000FF"/>
              <w:bottom w:val="single" w:sz="8" w:color="CCEEFF"/>
            </w:tcBorders>
            <w:gridSpan w:val="1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10.29G+</w:t>
            </w:r>
          </w:p>
        </w:tc>
        <w:tc>
          <w:tcPr>
            <w:tcW w:w="9180" w:type="dxa"/>
            <w:vAlign w:val="bottom"/>
            <w:gridSpan w:val="35"/>
          </w:tcPr>
          <w:p>
            <w:pPr>
              <w:spacing w:after="0" w:line="189" w:lineRule="exact"/>
              <w:rPr>
                <w:rFonts w:ascii="Arial" w:cs="Arial" w:eastAsia="Arial" w:hAnsi="Arial"/>
                <w:sz w:val="18"/>
                <w:szCs w:val="18"/>
                <w:color w:val="0000FF"/>
                <w:w w:val="97"/>
              </w:rPr>
            </w:pPr>
            <w:hyperlink r:id="rId203">
              <w:r>
                <w:rPr>
                  <w:rFonts w:ascii="Arial" w:cs="Arial" w:eastAsia="Arial" w:hAnsi="Arial"/>
                  <w:sz w:val="18"/>
                  <w:szCs w:val="18"/>
                  <w:color w:val="0000FF"/>
                  <w:w w:val="97"/>
                </w:rPr>
                <w:t>Form of Restricted Stock Unit Grant Notice and Form of Restricted Stock Unit Award Agreement (Irish) under the Jazz</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4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88"/>
              </w:rPr>
            </w:pPr>
            <w:hyperlink r:id="rId203">
              <w:r>
                <w:rPr>
                  <w:rFonts w:ascii="Arial" w:cs="Arial" w:eastAsia="Arial" w:hAnsi="Arial"/>
                  <w:sz w:val="18"/>
                  <w:szCs w:val="18"/>
                  <w:color w:val="0000FF"/>
                  <w:w w:val="88"/>
                </w:rPr>
                <w:t>Pharmaceuticals plc 2011 Equity Incentive Plan (incorporated herein by reference to Exhibit 10.10 in Jazz Pharmaceuticals</w:t>
              </w:r>
            </w:hyperlink>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160" w:type="dxa"/>
            <w:vAlign w:val="bottom"/>
            <w:tcBorders>
              <w:bottom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00" w:type="dxa"/>
            <w:vAlign w:val="bottom"/>
            <w:gridSpan w:val="24"/>
          </w:tcPr>
          <w:p>
            <w:pPr>
              <w:spacing w:after="0" w:line="169" w:lineRule="exact"/>
              <w:rPr>
                <w:rFonts w:ascii="Arial" w:cs="Arial" w:eastAsia="Arial" w:hAnsi="Arial"/>
                <w:sz w:val="18"/>
                <w:szCs w:val="18"/>
                <w:color w:val="0000FF"/>
                <w:w w:val="93"/>
              </w:rPr>
            </w:pPr>
            <w:hyperlink r:id="rId203">
              <w:r>
                <w:rPr>
                  <w:rFonts w:ascii="Arial" w:cs="Arial" w:eastAsia="Arial" w:hAnsi="Arial"/>
                  <w:sz w:val="18"/>
                  <w:szCs w:val="18"/>
                  <w:color w:val="0000FF"/>
                  <w:w w:val="93"/>
                </w:rPr>
                <w:t>plc’s Quarterly Report on Form 10-Q (File No. 001-33500) for the period ended June 30, 2012, as filed with the SEC 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203">
              <w:r>
                <w:rPr>
                  <w:rFonts w:ascii="Arial" w:cs="Arial" w:eastAsia="Arial" w:hAnsi="Arial"/>
                  <w:sz w:val="18"/>
                  <w:szCs w:val="18"/>
                  <w:color w:val="0000FF"/>
                </w:rPr>
                <w:t>August 7, 2012).</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10.29H+</w:t>
            </w:r>
          </w:p>
        </w:tc>
        <w:tc>
          <w:tcPr>
            <w:tcW w:w="918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6"/>
              </w:rPr>
            </w:pPr>
            <w:hyperlink r:id="rId204">
              <w:r>
                <w:rPr>
                  <w:rFonts w:ascii="Arial" w:cs="Arial" w:eastAsia="Arial" w:hAnsi="Arial"/>
                  <w:sz w:val="18"/>
                  <w:szCs w:val="18"/>
                  <w:color w:val="0000FF"/>
                  <w:w w:val="96"/>
                </w:rPr>
                <w:t>Form of Non-U.S. Restricted Stock Unit Grant Notice and Form of Non-U.S. Restricted Stock Unit Agreement under the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140" w:type="dxa"/>
            <w:vAlign w:val="bottom"/>
            <w:tcBorders>
              <w:top w:val="single" w:sz="8" w:color="0000FF"/>
              <w:bottom w:val="single" w:sz="8" w:color="0000FF"/>
            </w:tcBorders>
            <w:gridSpan w:val="8"/>
            <w:shd w:val="clear" w:color="auto" w:fill="CCEEFF"/>
          </w:tcPr>
          <w:p>
            <w:pPr>
              <w:spacing w:after="0" w:line="169" w:lineRule="exact"/>
              <w:rPr>
                <w:rFonts w:ascii="Arial" w:cs="Arial" w:eastAsia="Arial" w:hAnsi="Arial"/>
                <w:sz w:val="18"/>
                <w:szCs w:val="18"/>
                <w:color w:val="0000FF"/>
                <w:w w:val="90"/>
              </w:rPr>
            </w:pPr>
            <w:hyperlink r:id="rId204">
              <w:r>
                <w:rPr>
                  <w:rFonts w:ascii="Arial" w:cs="Arial" w:eastAsia="Arial" w:hAnsi="Arial"/>
                  <w:sz w:val="18"/>
                  <w:szCs w:val="18"/>
                  <w:color w:val="0000FF"/>
                  <w:w w:val="90"/>
                </w:rPr>
                <w:t>Jazz Pharmaceuticals plc 2011 Equity Incentive Plan (incorporated herein by reference to Exhibit 10.28H in Jazz</w:t>
              </w:r>
            </w:hyperlink>
          </w:p>
        </w:tc>
        <w:tc>
          <w:tcPr>
            <w:tcW w:w="60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8"/>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35"/>
            <w:shd w:val="clear" w:color="auto" w:fill="CCEEFF"/>
          </w:tcPr>
          <w:p>
            <w:pPr>
              <w:spacing w:after="0" w:line="169" w:lineRule="exact"/>
              <w:rPr>
                <w:rFonts w:ascii="Arial" w:cs="Arial" w:eastAsia="Arial" w:hAnsi="Arial"/>
                <w:sz w:val="18"/>
                <w:szCs w:val="18"/>
                <w:color w:val="0000FF"/>
                <w:w w:val="93"/>
              </w:rPr>
            </w:pPr>
            <w:hyperlink r:id="rId204">
              <w:r>
                <w:rPr>
                  <w:rFonts w:ascii="Arial" w:cs="Arial" w:eastAsia="Arial" w:hAnsi="Arial"/>
                  <w:sz w:val="18"/>
                  <w:szCs w:val="18"/>
                  <w:color w:val="0000FF"/>
                  <w:w w:val="93"/>
                </w:rPr>
                <w:t>Pharmaceuticals plc’s Annual Report on Form 10-K (File No. 001-33500) for the period ended December 31, 2012, as filed</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0" w:type="dxa"/>
            <w:vAlign w:val="bottom"/>
            <w:tcBorders>
              <w:top w:val="single" w:sz="8" w:color="0000FF"/>
            </w:tcBorders>
            <w:gridSpan w:val="29"/>
            <w:shd w:val="clear" w:color="auto" w:fill="CCEEFF"/>
          </w:tcPr>
          <w:p>
            <w:pPr>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with the SEC on February 26,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10.29I+</w:t>
            </w:r>
          </w:p>
        </w:tc>
        <w:tc>
          <w:tcPr>
            <w:tcW w:w="8280" w:type="dxa"/>
            <w:vAlign w:val="bottom"/>
            <w:tcBorders>
              <w:bottom w:val="single" w:sz="8" w:color="0000FF"/>
            </w:tcBorders>
            <w:gridSpan w:val="9"/>
          </w:tcPr>
          <w:p>
            <w:pPr>
              <w:spacing w:after="0" w:line="189" w:lineRule="exact"/>
              <w:rPr>
                <w:rFonts w:ascii="Arial" w:cs="Arial" w:eastAsia="Arial" w:hAnsi="Arial"/>
                <w:sz w:val="18"/>
                <w:szCs w:val="18"/>
                <w:color w:val="0000FF"/>
                <w:w w:val="91"/>
              </w:rPr>
            </w:pPr>
            <w:hyperlink r:id="rId205">
              <w:r>
                <w:rPr>
                  <w:rFonts w:ascii="Arial" w:cs="Arial" w:eastAsia="Arial" w:hAnsi="Arial"/>
                  <w:sz w:val="18"/>
                  <w:szCs w:val="18"/>
                  <w:color w:val="0000FF"/>
                  <w:w w:val="91"/>
                </w:rPr>
                <w:t>Jazz Pharmaceuticals plc 2011 Equity Incentive Plan - Form of U.S. Option Grant Notice and Form of U.S. Option</w:t>
              </w:r>
            </w:hyperlink>
          </w:p>
        </w:tc>
        <w:tc>
          <w:tcPr>
            <w:tcW w:w="900" w:type="dxa"/>
            <w:vAlign w:val="bottom"/>
            <w:gridSpan w:val="26"/>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380" w:type="dxa"/>
            <w:vAlign w:val="bottom"/>
            <w:tcBorders>
              <w:bottom w:val="single" w:sz="8" w:color="0000FF"/>
            </w:tcBorders>
            <w:gridSpan w:val="10"/>
          </w:tcPr>
          <w:p>
            <w:pPr>
              <w:spacing w:after="0" w:line="169" w:lineRule="exact"/>
              <w:rPr>
                <w:rFonts w:ascii="Arial" w:cs="Arial" w:eastAsia="Arial" w:hAnsi="Arial"/>
                <w:sz w:val="18"/>
                <w:szCs w:val="18"/>
                <w:color w:val="0000FF"/>
                <w:w w:val="90"/>
              </w:rPr>
            </w:pPr>
            <w:hyperlink r:id="rId205">
              <w:r>
                <w:rPr>
                  <w:rFonts w:ascii="Arial" w:cs="Arial" w:eastAsia="Arial" w:hAnsi="Arial"/>
                  <w:sz w:val="18"/>
                  <w:szCs w:val="18"/>
                  <w:color w:val="0000FF"/>
                  <w:w w:val="90"/>
                </w:rPr>
                <w:t>Agreement (approved July 31, 2013) (incorporated herein by reference to Exhibit 10.3 in Jazz Pharmaceuticals plc’s</w:t>
              </w:r>
            </w:hyperlink>
          </w:p>
        </w:tc>
        <w:tc>
          <w:tcPr>
            <w:tcW w:w="148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6"/>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Quarterly Report on Form 10-Q (File No. 001-33500) for the period ended September 30, 2013, as filed with the SEC on</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November 5, 2013).</w:t>
              </w:r>
            </w:hyperlink>
          </w:p>
        </w:tc>
        <w:tc>
          <w:tcPr>
            <w:tcW w:w="22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10.29J+</w:t>
            </w:r>
          </w:p>
        </w:tc>
        <w:tc>
          <w:tcPr>
            <w:tcW w:w="918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3"/>
              </w:rPr>
            </w:pPr>
            <w:hyperlink r:id="rId206">
              <w:r>
                <w:rPr>
                  <w:rFonts w:ascii="Arial" w:cs="Arial" w:eastAsia="Arial" w:hAnsi="Arial"/>
                  <w:sz w:val="18"/>
                  <w:szCs w:val="18"/>
                  <w:color w:val="0000FF"/>
                  <w:w w:val="93"/>
                </w:rPr>
                <w:t>Jazz Pharmaceuticals plc 2011 Equity Incentive Plan - Form of U.S. Restricted Stock Unit Award Grant Notice and Form of</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U.S. Restricted Stock Unit Award Agreement (approved July 31, 2013) (incorporated herein by reference to Exhibit 10.4 in</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0000FF"/>
            </w:tcBorders>
            <w:gridSpan w:val="28"/>
            <w:shd w:val="clear" w:color="auto" w:fill="CCEEFF"/>
          </w:tcPr>
          <w:p>
            <w:pPr>
              <w:spacing w:after="0" w:line="169"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Jazz Pharmaceuticals plc’s Quarterly Report on Form 10-Q (File No. 001-33500) for the period ended September 30, 2013,</w:t>
              </w:r>
            </w:hyperlink>
          </w:p>
        </w:tc>
        <w:tc>
          <w:tcPr>
            <w:tcW w:w="100" w:type="dxa"/>
            <w:vAlign w:val="bottom"/>
            <w:tcBorders>
              <w:top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6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as filed with the SEC on November 5, 2013).</w:t>
              </w:r>
            </w:hyperlink>
          </w:p>
        </w:tc>
        <w:tc>
          <w:tcPr>
            <w:tcW w:w="5680" w:type="dxa"/>
            <w:vAlign w:val="bottom"/>
            <w:tcBorders>
              <w:top w:val="single" w:sz="8" w:color="0000FF"/>
              <w:bottom w:val="single" w:sz="8" w:color="CCEEFF"/>
            </w:tcBorders>
            <w:gridSpan w:val="22"/>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10.29K+</w:t>
            </w:r>
          </w:p>
        </w:tc>
        <w:tc>
          <w:tcPr>
            <w:tcW w:w="9180" w:type="dxa"/>
            <w:vAlign w:val="bottom"/>
            <w:gridSpan w:val="35"/>
          </w:tcPr>
          <w:p>
            <w:pPr>
              <w:spacing w:after="0" w:line="189" w:lineRule="exact"/>
              <w:rPr>
                <w:rFonts w:ascii="Arial" w:cs="Arial" w:eastAsia="Arial" w:hAnsi="Arial"/>
                <w:sz w:val="18"/>
                <w:szCs w:val="18"/>
                <w:color w:val="0000FF"/>
                <w:w w:val="93"/>
              </w:rPr>
            </w:pPr>
            <w:hyperlink r:id="rId207">
              <w:r>
                <w:rPr>
                  <w:rFonts w:ascii="Arial" w:cs="Arial" w:eastAsia="Arial" w:hAnsi="Arial"/>
                  <w:sz w:val="18"/>
                  <w:szCs w:val="18"/>
                  <w:color w:val="0000FF"/>
                  <w:w w:val="93"/>
                </w:rPr>
                <w:t>Jazz Pharmaceuticals plc 2011 Equity Incentive Plan - Form of Non-U.S. Option Grant Notice and Form of Non-U.S. Option</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0"/>
              </w:rPr>
            </w:pPr>
            <w:hyperlink r:id="rId207">
              <w:r>
                <w:rPr>
                  <w:rFonts w:ascii="Arial" w:cs="Arial" w:eastAsia="Arial" w:hAnsi="Arial"/>
                  <w:sz w:val="18"/>
                  <w:szCs w:val="18"/>
                  <w:color w:val="0000FF"/>
                  <w:w w:val="90"/>
                </w:rPr>
                <w:t>Agreement (approved July 31, 2013) (incorporated herein by reference to Exhibit 10.5 in Jazz Pharmaceuticals plc’s</w:t>
              </w:r>
            </w:hyperlink>
          </w:p>
        </w:tc>
        <w:tc>
          <w:tcPr>
            <w:tcW w:w="700" w:type="dxa"/>
            <w:vAlign w:val="bottom"/>
            <w:tcBorders>
              <w:top w:val="single" w:sz="8" w:color="0000FF"/>
            </w:tcBorders>
            <w:gridSpan w:val="23"/>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6"/>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Quarterly Report on Form 10-Q (File No. 001-33500) for the period ended September 30, 2013, as filed with the SEC on</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November 5, 2013).</w:t>
              </w:r>
            </w:hyperlink>
          </w:p>
        </w:tc>
        <w:tc>
          <w:tcPr>
            <w:tcW w:w="114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10.29L+</w:t>
            </w:r>
          </w:p>
        </w:tc>
        <w:tc>
          <w:tcPr>
            <w:tcW w:w="8680" w:type="dxa"/>
            <w:vAlign w:val="bottom"/>
            <w:tcBorders>
              <w:bottom w:val="single" w:sz="8" w:color="0000FF"/>
            </w:tcBorders>
            <w:gridSpan w:val="15"/>
            <w:shd w:val="clear" w:color="auto" w:fill="CCEEFF"/>
          </w:tcPr>
          <w:p>
            <w:pPr>
              <w:spacing w:after="0" w:line="189"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Jazz Pharmaceuticals plc 2011 Equity Incentive Plan - Form of Non-U.S. Restricted Stock Unit Award Grant Notice and</w:t>
              </w:r>
            </w:hyperlink>
          </w:p>
        </w:tc>
        <w:tc>
          <w:tcPr>
            <w:tcW w:w="500" w:type="dxa"/>
            <w:vAlign w:val="bottom"/>
            <w:tcBorders>
              <w:bottom w:val="single" w:sz="8" w:color="CCEEFF"/>
              <w:right w:val="single" w:sz="8" w:color="CCEEFF"/>
            </w:tcBorders>
            <w:gridSpan w:val="20"/>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35"/>
            <w:shd w:val="clear" w:color="auto" w:fill="CCEEFF"/>
          </w:tcPr>
          <w:p>
            <w:pPr>
              <w:spacing w:after="0" w:line="169" w:lineRule="exact"/>
              <w:rPr>
                <w:rFonts w:ascii="Arial" w:cs="Arial" w:eastAsia="Arial" w:hAnsi="Arial"/>
                <w:sz w:val="18"/>
                <w:szCs w:val="18"/>
                <w:color w:val="0000FF"/>
                <w:w w:val="95"/>
              </w:rPr>
            </w:pPr>
            <w:hyperlink r:id="rId208">
              <w:r>
                <w:rPr>
                  <w:rFonts w:ascii="Arial" w:cs="Arial" w:eastAsia="Arial" w:hAnsi="Arial"/>
                  <w:sz w:val="18"/>
                  <w:szCs w:val="18"/>
                  <w:color w:val="0000FF"/>
                  <w:w w:val="95"/>
                </w:rPr>
                <w:t>Form of Non-U.S. Restricted Stock Unit Award Agreement (approved July 31, 2013) (incorporated herein by reference to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w w:val="94"/>
              </w:rPr>
            </w:pPr>
            <w:hyperlink r:id="rId208">
              <w:r>
                <w:rPr>
                  <w:rFonts w:ascii="Arial" w:cs="Arial" w:eastAsia="Arial" w:hAnsi="Arial"/>
                  <w:sz w:val="18"/>
                  <w:szCs w:val="18"/>
                  <w:color w:val="0000FF"/>
                  <w:w w:val="94"/>
                </w:rPr>
                <w:t>Exhibit 10.6 in Jazz Pharmaceuticals plc’s Quarterly Report on Form 10-Q (File No. 001-33500) for the period ended</w:t>
              </w:r>
            </w:hyperlink>
          </w:p>
        </w:tc>
        <w:tc>
          <w:tcPr>
            <w:tcW w:w="400" w:type="dxa"/>
            <w:vAlign w:val="bottom"/>
            <w:tcBorders>
              <w:top w:val="single" w:sz="8" w:color="CCEEFF"/>
              <w:right w:val="single" w:sz="8" w:color="CCEEFF"/>
            </w:tcBorders>
            <w:gridSpan w:val="1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60" w:type="dxa"/>
            <w:vAlign w:val="bottom"/>
            <w:tcBorders>
              <w:top w:val="single" w:sz="8" w:color="0000FF"/>
            </w:tcBorders>
            <w:gridSpan w:val="11"/>
            <w:shd w:val="clear" w:color="auto" w:fill="CCEEFF"/>
          </w:tcPr>
          <w:p>
            <w:pPr>
              <w:spacing w:after="0" w:line="169" w:lineRule="exact"/>
              <w:rPr>
                <w:rFonts w:ascii="Arial" w:cs="Arial" w:eastAsia="Arial" w:hAnsi="Arial"/>
                <w:sz w:val="18"/>
                <w:szCs w:val="18"/>
                <w:color w:val="0000FF"/>
              </w:rPr>
            </w:pPr>
            <w:hyperlink r:id="rId208">
              <w:r>
                <w:rPr>
                  <w:rFonts w:ascii="Arial" w:cs="Arial" w:eastAsia="Arial" w:hAnsi="Arial"/>
                  <w:sz w:val="18"/>
                  <w:szCs w:val="18"/>
                  <w:color w:val="0000FF"/>
                </w:rPr>
                <w:t>September 30, 2013, as filed with the SEC on November 5, 2013).</w:t>
              </w:r>
            </w:hyperlink>
          </w:p>
        </w:tc>
        <w:tc>
          <w:tcPr>
            <w:tcW w:w="720" w:type="dxa"/>
            <w:vAlign w:val="bottom"/>
            <w:tcBorders>
              <w:top w:val="single" w:sz="8" w:color="CCEEFF"/>
              <w:right w:val="single" w:sz="8" w:color="CCEEFF"/>
            </w:tcBorders>
            <w:gridSpan w:val="24"/>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1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0" w:type="dxa"/>
            <w:vAlign w:val="bottom"/>
            <w:tcBorders>
              <w:top w:val="single" w:sz="8" w:color="0000FF"/>
            </w:tcBorders>
            <w:gridSpan w:val="5"/>
          </w:tcPr>
          <w:p>
            <w:pPr>
              <w:ind w:left="4100"/>
              <w:spacing w:after="0"/>
              <w:rPr>
                <w:sz w:val="20"/>
                <w:szCs w:val="20"/>
                <w:color w:val="auto"/>
              </w:rPr>
            </w:pPr>
            <w:r>
              <w:rPr>
                <w:rFonts w:ascii="Arial" w:cs="Arial" w:eastAsia="Arial" w:hAnsi="Arial"/>
                <w:sz w:val="18"/>
                <w:szCs w:val="18"/>
                <w:color w:val="auto"/>
              </w:rPr>
              <w:t>108</w:t>
            </w:r>
          </w:p>
        </w:tc>
        <w:tc>
          <w:tcPr>
            <w:tcW w:w="25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10.29M+</w:t>
            </w:r>
          </w:p>
        </w:tc>
        <w:tc>
          <w:tcPr>
            <w:tcW w:w="100" w:type="dxa"/>
            <w:vAlign w:val="bottom"/>
          </w:tcPr>
          <w:p>
            <w:pPr>
              <w:spacing w:after="0"/>
              <w:rPr>
                <w:sz w:val="24"/>
                <w:szCs w:val="24"/>
                <w:color w:val="auto"/>
              </w:rPr>
            </w:pPr>
          </w:p>
        </w:tc>
        <w:tc>
          <w:tcPr>
            <w:tcW w:w="9180" w:type="dxa"/>
            <w:vAlign w:val="bottom"/>
            <w:gridSpan w:val="37"/>
          </w:tcPr>
          <w:p>
            <w:pPr>
              <w:spacing w:after="0"/>
              <w:rPr>
                <w:rFonts w:ascii="Arial" w:cs="Arial" w:eastAsia="Arial" w:hAnsi="Arial"/>
                <w:sz w:val="18"/>
                <w:szCs w:val="18"/>
                <w:color w:val="0000FF"/>
                <w:w w:val="93"/>
              </w:rPr>
            </w:pPr>
            <w:hyperlink r:id="rId211">
              <w:r>
                <w:rPr>
                  <w:rFonts w:ascii="Arial" w:cs="Arial" w:eastAsia="Arial" w:hAnsi="Arial"/>
                  <w:sz w:val="18"/>
                  <w:szCs w:val="18"/>
                  <w:color w:val="0000FF"/>
                  <w:w w:val="93"/>
                </w:rPr>
                <w:t>Jazz Pharmaceuticals plc 2011 Equity Incentive Plan - Form of Non-U.S. Option Grant Notice and Form of Non-U.S. Option</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00" w:type="dxa"/>
            <w:vAlign w:val="bottom"/>
            <w:tcBorders>
              <w:top w:val="single" w:sz="8" w:color="0000FF"/>
            </w:tcBorders>
            <w:gridSpan w:val="34"/>
          </w:tcPr>
          <w:p>
            <w:pPr>
              <w:spacing w:after="0" w:line="169" w:lineRule="exact"/>
              <w:rPr>
                <w:rFonts w:ascii="Arial" w:cs="Arial" w:eastAsia="Arial" w:hAnsi="Arial"/>
                <w:sz w:val="18"/>
                <w:szCs w:val="18"/>
                <w:color w:val="0000FF"/>
                <w:w w:val="93"/>
              </w:rPr>
            </w:pPr>
            <w:hyperlink r:id="rId211">
              <w:r>
                <w:rPr>
                  <w:rFonts w:ascii="Arial" w:cs="Arial" w:eastAsia="Arial" w:hAnsi="Arial"/>
                  <w:sz w:val="18"/>
                  <w:szCs w:val="18"/>
                  <w:color w:val="0000FF"/>
                  <w:w w:val="93"/>
                </w:rPr>
                <w:t>Agreement (incorporated herein by reference to Exhibit 10.1 in Jazz Pharmaceuticals plc’s Quarterly Report on Form 10-Q</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211">
              <w:r>
                <w:rPr>
                  <w:rFonts w:ascii="Arial" w:cs="Arial" w:eastAsia="Arial" w:hAnsi="Arial"/>
                  <w:sz w:val="18"/>
                  <w:szCs w:val="18"/>
                  <w:color w:val="0000FF"/>
                </w:rPr>
                <w:t>(File No. 001-33500) for the period ended March 31, 2016, as filed with the SEC on May 10,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10.29N+</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5"/>
              </w:rPr>
            </w:pPr>
            <w:hyperlink r:id="rId212">
              <w:r>
                <w:rPr>
                  <w:rFonts w:ascii="Arial" w:cs="Arial" w:eastAsia="Arial" w:hAnsi="Arial"/>
                  <w:sz w:val="18"/>
                  <w:szCs w:val="18"/>
                  <w:color w:val="0000FF"/>
                  <w:w w:val="95"/>
                </w:rPr>
                <w:t>Jazz Pharmaceuticals plc 2011 Equity Incentive Plan - Form of Non-U.S. Restricted Stock Unit Grant Notice and Form of</w:t>
              </w:r>
            </w:hyperlink>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20" w:type="dxa"/>
            <w:vAlign w:val="bottom"/>
            <w:tcBorders>
              <w:top w:val="single" w:sz="8" w:color="0000FF"/>
              <w:bottom w:val="single" w:sz="8" w:color="0000FF"/>
            </w:tcBorders>
            <w:gridSpan w:val="20"/>
            <w:shd w:val="clear" w:color="auto" w:fill="CCEEFF"/>
          </w:tcPr>
          <w:p>
            <w:pPr>
              <w:spacing w:after="0" w:line="169" w:lineRule="exact"/>
              <w:rPr>
                <w:rFonts w:ascii="Arial" w:cs="Arial" w:eastAsia="Arial" w:hAnsi="Arial"/>
                <w:sz w:val="18"/>
                <w:szCs w:val="18"/>
                <w:color w:val="0000FF"/>
                <w:w w:val="89"/>
              </w:rPr>
            </w:pPr>
            <w:hyperlink r:id="rId212">
              <w:r>
                <w:rPr>
                  <w:rFonts w:ascii="Arial" w:cs="Arial" w:eastAsia="Arial" w:hAnsi="Arial"/>
                  <w:sz w:val="18"/>
                  <w:szCs w:val="18"/>
                  <w:color w:val="0000FF"/>
                  <w:w w:val="89"/>
                </w:rPr>
                <w:t>Non-U.S. Restricted Stock Unit Award Agreement (incorporated herein by reference to Exhibit 10.2 in Jazz Pharmaceuticals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40" w:type="dxa"/>
            <w:vAlign w:val="bottom"/>
            <w:gridSpan w:val="31"/>
            <w:shd w:val="clear" w:color="auto" w:fill="CCEEFF"/>
          </w:tcPr>
          <w:p>
            <w:pPr>
              <w:spacing w:after="0" w:line="169" w:lineRule="exact"/>
              <w:rPr>
                <w:rFonts w:ascii="Arial" w:cs="Arial" w:eastAsia="Arial" w:hAnsi="Arial"/>
                <w:sz w:val="18"/>
                <w:szCs w:val="18"/>
                <w:color w:val="0000FF"/>
                <w:w w:val="94"/>
              </w:rPr>
            </w:pPr>
            <w:hyperlink r:id="rId212">
              <w:r>
                <w:rPr>
                  <w:rFonts w:ascii="Arial" w:cs="Arial" w:eastAsia="Arial" w:hAnsi="Arial"/>
                  <w:sz w:val="18"/>
                  <w:szCs w:val="18"/>
                  <w:color w:val="0000FF"/>
                  <w:w w:val="94"/>
                </w:rPr>
                <w:t>plc’s Quarterly Report on Form 10-Q (File No. 001-33500) for the period ended March 31, 2016, as filed with the SEC on</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91"/>
              </w:rPr>
            </w:pPr>
            <w:hyperlink r:id="rId212">
              <w:r>
                <w:rPr>
                  <w:rFonts w:ascii="Arial" w:cs="Arial" w:eastAsia="Arial" w:hAnsi="Arial"/>
                  <w:sz w:val="18"/>
                  <w:szCs w:val="18"/>
                  <w:color w:val="0000FF"/>
                  <w:w w:val="91"/>
                </w:rPr>
                <w:t>May 10, 2016).</w:t>
              </w:r>
            </w:hyperlink>
          </w:p>
        </w:tc>
        <w:tc>
          <w:tcPr>
            <w:tcW w:w="7740" w:type="dxa"/>
            <w:vAlign w:val="bottom"/>
            <w:tcBorders>
              <w:top w:val="single" w:sz="8" w:color="0000FF"/>
              <w:bottom w:val="single" w:sz="8" w:color="CCEEFF"/>
            </w:tcBorders>
            <w:gridSpan w:val="20"/>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10.29O+</w:t>
            </w:r>
          </w:p>
        </w:tc>
        <w:tc>
          <w:tcPr>
            <w:tcW w:w="8960" w:type="dxa"/>
            <w:vAlign w:val="bottom"/>
            <w:tcBorders>
              <w:bottom w:val="single" w:sz="8" w:color="0000FF"/>
            </w:tcBorders>
            <w:gridSpan w:val="27"/>
          </w:tcPr>
          <w:p>
            <w:pPr>
              <w:spacing w:after="0" w:line="189" w:lineRule="exact"/>
              <w:rPr>
                <w:rFonts w:ascii="Arial" w:cs="Arial" w:eastAsia="Arial" w:hAnsi="Arial"/>
                <w:sz w:val="18"/>
                <w:szCs w:val="18"/>
                <w:color w:val="0000FF"/>
                <w:w w:val="91"/>
              </w:rPr>
            </w:pPr>
            <w:hyperlink r:id="rId213">
              <w:r>
                <w:rPr>
                  <w:rFonts w:ascii="Arial" w:cs="Arial" w:eastAsia="Arial" w:hAnsi="Arial"/>
                  <w:sz w:val="18"/>
                  <w:szCs w:val="18"/>
                  <w:color w:val="0000FF"/>
                  <w:w w:val="91"/>
                </w:rPr>
                <w:t>Amended and Restated 2011 Equity Incentive Plan (approved August 4, 2016) (incorporated herein by reference to Exhibit</w:t>
              </w:r>
            </w:hyperlink>
          </w:p>
        </w:tc>
        <w:tc>
          <w:tcPr>
            <w:tcW w:w="220" w:type="dxa"/>
            <w:vAlign w:val="bottom"/>
            <w:gridSpan w:val="10"/>
          </w:tcPr>
          <w:p>
            <w:pPr>
              <w:spacing w:after="0"/>
              <w:rPr>
                <w:sz w:val="16"/>
                <w:szCs w:val="16"/>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80" w:type="dxa"/>
            <w:vAlign w:val="bottom"/>
            <w:gridSpan w:val="37"/>
          </w:tcPr>
          <w:p>
            <w:pPr>
              <w:spacing w:after="0" w:line="169" w:lineRule="exact"/>
              <w:rPr>
                <w:rFonts w:ascii="Arial" w:cs="Arial" w:eastAsia="Arial" w:hAnsi="Arial"/>
                <w:sz w:val="18"/>
                <w:szCs w:val="18"/>
                <w:color w:val="0000FF"/>
                <w:w w:val="92"/>
              </w:rPr>
            </w:pPr>
            <w:hyperlink r:id="rId21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8</w:t>
              </w:r>
              <w:r>
                <w:rPr>
                  <w:rFonts w:ascii="Arial" w:cs="Arial" w:eastAsia="Arial" w:hAnsi="Arial"/>
                  <w:sz w:val="18"/>
                  <w:szCs w:val="18"/>
                  <w:color w:val="0000FF"/>
                  <w:w w:val="92"/>
                </w:rPr>
                <w:t xml:space="preserve"> in Jazz Pharmaceuticals plc’s Quarterly Report on Form 10-Q (File No. 001-33500) for the period ended June 30, 2016,</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6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as filed with the SEC on August 9,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10.29P+</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7"/>
              </w:rPr>
            </w:pPr>
            <w:hyperlink r:id="rId214">
              <w:r>
                <w:rPr>
                  <w:rFonts w:ascii="Arial" w:cs="Arial" w:eastAsia="Arial" w:hAnsi="Arial"/>
                  <w:sz w:val="18"/>
                  <w:szCs w:val="18"/>
                  <w:color w:val="0000FF"/>
                  <w:w w:val="97"/>
                </w:rPr>
                <w:t>Amended and Restated 2011 Equity Incentive Plan (approved November 3, 2016) (incorporated herein by reference to</w:t>
              </w:r>
            </w:hyperlink>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0000FF"/>
            </w:tcBorders>
            <w:gridSpan w:val="14"/>
            <w:shd w:val="clear" w:color="auto" w:fill="CCEEFF"/>
          </w:tcPr>
          <w:p>
            <w:pPr>
              <w:spacing w:after="0" w:line="169" w:lineRule="exact"/>
              <w:rPr>
                <w:rFonts w:ascii="Arial" w:cs="Arial" w:eastAsia="Arial" w:hAnsi="Arial"/>
                <w:sz w:val="18"/>
                <w:szCs w:val="18"/>
                <w:color w:val="0000FF"/>
                <w:w w:val="92"/>
              </w:rPr>
            </w:pPr>
            <w:hyperlink r:id="rId214">
              <w:r>
                <w:rPr>
                  <w:rFonts w:ascii="Arial" w:cs="Arial" w:eastAsia="Arial" w:hAnsi="Arial"/>
                  <w:sz w:val="18"/>
                  <w:szCs w:val="18"/>
                  <w:color w:val="0000FF"/>
                  <w:w w:val="92"/>
                </w:rPr>
                <w:t>Exhibit 10.2 in Jazz Pharmaceuticals plc’s Quarterly Report on Form 10-Q (File No. 001-33500) for the period ended</w:t>
              </w:r>
            </w:hyperlink>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0" w:type="dxa"/>
            <w:vAlign w:val="bottom"/>
            <w:tcBorders>
              <w:top w:val="single" w:sz="8" w:color="0000FF"/>
              <w:bottom w:val="single" w:sz="8" w:color="0000FF"/>
            </w:tcBorders>
            <w:gridSpan w:val="8"/>
            <w:shd w:val="clear" w:color="auto" w:fill="CCEEFF"/>
          </w:tcPr>
          <w:p>
            <w:pPr>
              <w:spacing w:after="0" w:line="169" w:lineRule="exact"/>
              <w:rPr>
                <w:rFonts w:ascii="Arial" w:cs="Arial" w:eastAsia="Arial" w:hAnsi="Arial"/>
                <w:sz w:val="18"/>
                <w:szCs w:val="18"/>
                <w:color w:val="0000FF"/>
                <w:w w:val="90"/>
              </w:rPr>
            </w:pPr>
            <w:hyperlink r:id="rId214">
              <w:r>
                <w:rPr>
                  <w:rFonts w:ascii="Arial" w:cs="Arial" w:eastAsia="Arial" w:hAnsi="Arial"/>
                  <w:sz w:val="18"/>
                  <w:szCs w:val="18"/>
                  <w:color w:val="0000FF"/>
                  <w:w w:val="90"/>
                </w:rPr>
                <w:t>September 30, 2016, as filed with the SEC on November 8, 2016).</w:t>
              </w:r>
            </w:hyperlink>
          </w:p>
        </w:tc>
        <w:tc>
          <w:tcPr>
            <w:tcW w:w="3660" w:type="dxa"/>
            <w:vAlign w:val="bottom"/>
            <w:tcBorders>
              <w:top w:val="single" w:sz="8" w:color="0000FF"/>
              <w:bottom w:val="single" w:sz="8" w:color="CCEEFF"/>
            </w:tcBorders>
            <w:gridSpan w:val="5"/>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10.29Q+</w:t>
            </w:r>
          </w:p>
        </w:tc>
        <w:tc>
          <w:tcPr>
            <w:tcW w:w="9180" w:type="dxa"/>
            <w:vAlign w:val="bottom"/>
            <w:gridSpan w:val="37"/>
          </w:tcPr>
          <w:p>
            <w:pPr>
              <w:spacing w:after="0" w:line="189" w:lineRule="exact"/>
              <w:rPr>
                <w:rFonts w:ascii="Arial" w:cs="Arial" w:eastAsia="Arial" w:hAnsi="Arial"/>
                <w:sz w:val="18"/>
                <w:szCs w:val="18"/>
                <w:color w:val="0000FF"/>
                <w:w w:val="93"/>
              </w:rPr>
            </w:pPr>
            <w:hyperlink r:id="rId215">
              <w:r>
                <w:rPr>
                  <w:rFonts w:ascii="Arial" w:cs="Arial" w:eastAsia="Arial" w:hAnsi="Arial"/>
                  <w:sz w:val="18"/>
                  <w:szCs w:val="18"/>
                  <w:color w:val="0000FF"/>
                  <w:w w:val="93"/>
                </w:rPr>
                <w:t>Form of U.S. Restricted Stock Unit Award Grant Notice and Form of U.S. Restricted Stock Unit Award Agreement under the</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20" w:type="dxa"/>
            <w:vAlign w:val="bottom"/>
            <w:tcBorders>
              <w:top w:val="single" w:sz="8" w:color="0000FF"/>
            </w:tcBorders>
            <w:gridSpan w:val="35"/>
          </w:tcPr>
          <w:p>
            <w:pPr>
              <w:spacing w:after="0" w:line="169" w:lineRule="exact"/>
              <w:rPr>
                <w:rFonts w:ascii="Arial" w:cs="Arial" w:eastAsia="Arial" w:hAnsi="Arial"/>
                <w:sz w:val="18"/>
                <w:szCs w:val="18"/>
                <w:color w:val="0000FF"/>
                <w:w w:val="94"/>
              </w:rPr>
            </w:pPr>
            <w:hyperlink r:id="rId215">
              <w:r>
                <w:rPr>
                  <w:rFonts w:ascii="Arial" w:cs="Arial" w:eastAsia="Arial" w:hAnsi="Arial"/>
                  <w:sz w:val="18"/>
                  <w:szCs w:val="18"/>
                  <w:color w:val="0000FF"/>
                  <w:w w:val="94"/>
                </w:rPr>
                <w:t>Jazz Pharmaceuticals plc Amended and Restated 2011 Equity Incentive Plan (incorporated herein by reference to Exhibit</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40" w:type="dxa"/>
            <w:vAlign w:val="bottom"/>
            <w:tcBorders>
              <w:top w:val="single" w:sz="8" w:color="0000FF"/>
            </w:tcBorders>
            <w:gridSpan w:val="16"/>
          </w:tcPr>
          <w:p>
            <w:pPr>
              <w:spacing w:after="0" w:line="169" w:lineRule="exact"/>
              <w:rPr>
                <w:rFonts w:ascii="Arial" w:cs="Arial" w:eastAsia="Arial" w:hAnsi="Arial"/>
                <w:sz w:val="18"/>
                <w:szCs w:val="18"/>
                <w:color w:val="0000FF"/>
                <w:w w:val="90"/>
              </w:rPr>
            </w:pPr>
            <w:hyperlink r:id="rId21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w:t>
              </w:r>
              <w:r>
                <w:rPr>
                  <w:rFonts w:ascii="Arial" w:cs="Arial" w:eastAsia="Arial" w:hAnsi="Arial"/>
                  <w:sz w:val="18"/>
                  <w:szCs w:val="18"/>
                  <w:color w:val="0000FF"/>
                  <w:w w:val="90"/>
                </w:rPr>
                <w:t xml:space="preserve"> in Jazz Pharmaceuticals plc’s Quarterly Report on Form 10-Q (File No. 001-33500) for the period ended September</w:t>
              </w:r>
            </w:hyperlink>
          </w:p>
        </w:tc>
        <w:tc>
          <w:tcPr>
            <w:tcW w:w="340" w:type="dxa"/>
            <w:vAlign w:val="bottom"/>
            <w:gridSpan w:val="17"/>
          </w:tcPr>
          <w:p>
            <w:pPr>
              <w:jc w:val="right"/>
              <w:ind w:right="100"/>
              <w:spacing w:after="0" w:line="169" w:lineRule="exact"/>
              <w:rPr>
                <w:rFonts w:ascii="Arial" w:cs="Arial" w:eastAsia="Arial" w:hAnsi="Arial"/>
                <w:sz w:val="18"/>
                <w:szCs w:val="18"/>
                <w:color w:val="0000FF"/>
                <w:w w:val="87"/>
              </w:rPr>
            </w:pPr>
            <w:hyperlink r:id="rId215">
              <w:r>
                <w:rPr>
                  <w:rFonts w:ascii="Arial" w:cs="Arial" w:eastAsia="Arial" w:hAnsi="Arial"/>
                  <w:sz w:val="18"/>
                  <w:szCs w:val="18"/>
                  <w:color w:val="0000FF"/>
                  <w:w w:val="87"/>
                </w:rPr>
                <w:t>30,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2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215">
              <w:r>
                <w:rPr>
                  <w:rFonts w:ascii="Arial" w:cs="Arial" w:eastAsia="Arial" w:hAnsi="Arial"/>
                  <w:sz w:val="18"/>
                  <w:szCs w:val="18"/>
                  <w:color w:val="0000FF"/>
                </w:rPr>
                <w:t>2016, as filed with the SEC on November 8, 2016).</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10.29R+</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4"/>
              </w:rPr>
            </w:pPr>
            <w:hyperlink r:id="rId216">
              <w:r>
                <w:rPr>
                  <w:rFonts w:ascii="Arial" w:cs="Arial" w:eastAsia="Arial" w:hAnsi="Arial"/>
                  <w:sz w:val="18"/>
                  <w:szCs w:val="18"/>
                  <w:color w:val="0000FF"/>
                  <w:w w:val="94"/>
                </w:rPr>
                <w:t>Form of U.S. Option Grant Notice and Form of U.S. Option Agreement under the Jazz Pharmaceuticals plc Amended and</w:t>
              </w:r>
            </w:hyperlink>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w w:val="95"/>
              </w:rPr>
            </w:pPr>
            <w:hyperlink r:id="rId216">
              <w:r>
                <w:rPr>
                  <w:rFonts w:ascii="Arial" w:cs="Arial" w:eastAsia="Arial" w:hAnsi="Arial"/>
                  <w:sz w:val="18"/>
                  <w:szCs w:val="18"/>
                  <w:color w:val="0000FF"/>
                  <w:w w:val="95"/>
                </w:rPr>
                <w:t>Restated 2011 Equity Incentive Plan (incorporated herein by reference to Exhibit 10.7 in Jazz Pharmaceuticals plc’s</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37"/>
            <w:shd w:val="clear" w:color="auto" w:fill="CCEEFF"/>
          </w:tcPr>
          <w:p>
            <w:pPr>
              <w:spacing w:after="0" w:line="169" w:lineRule="exact"/>
              <w:rPr>
                <w:rFonts w:ascii="Arial" w:cs="Arial" w:eastAsia="Arial" w:hAnsi="Arial"/>
                <w:sz w:val="18"/>
                <w:szCs w:val="18"/>
                <w:color w:val="0000FF"/>
                <w:w w:val="95"/>
              </w:rPr>
            </w:pPr>
            <w:hyperlink r:id="rId216">
              <w:r>
                <w:rPr>
                  <w:rFonts w:ascii="Arial" w:cs="Arial" w:eastAsia="Arial" w:hAnsi="Arial"/>
                  <w:sz w:val="18"/>
                  <w:szCs w:val="18"/>
                  <w:color w:val="0000FF"/>
                  <w:w w:val="95"/>
                </w:rPr>
                <w:t>Quarterly Report on Form 10-Q (File No. 001-33500) for the period ended September 30, 2016, as filed with the SEC on</w:t>
              </w:r>
            </w:hyperlink>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0000FF"/>
              <w:bottom w:val="single" w:sz="8" w:color="0000FF"/>
            </w:tcBorders>
            <w:gridSpan w:val="3"/>
            <w:shd w:val="clear" w:color="auto" w:fill="CCEEFF"/>
          </w:tcPr>
          <w:p>
            <w:pPr>
              <w:spacing w:after="0" w:line="169" w:lineRule="exact"/>
              <w:rPr>
                <w:rFonts w:ascii="Arial" w:cs="Arial" w:eastAsia="Arial" w:hAnsi="Arial"/>
                <w:sz w:val="18"/>
                <w:szCs w:val="18"/>
                <w:color w:val="0000FF"/>
                <w:w w:val="90"/>
              </w:rPr>
            </w:pPr>
            <w:hyperlink r:id="rId216">
              <w:r>
                <w:rPr>
                  <w:rFonts w:ascii="Arial" w:cs="Arial" w:eastAsia="Arial" w:hAnsi="Arial"/>
                  <w:sz w:val="18"/>
                  <w:szCs w:val="18"/>
                  <w:color w:val="0000FF"/>
                  <w:w w:val="90"/>
                </w:rPr>
                <w:t>November 8, 2016).</w:t>
              </w:r>
            </w:hyperlink>
          </w:p>
        </w:tc>
        <w:tc>
          <w:tcPr>
            <w:tcW w:w="7260" w:type="dxa"/>
            <w:vAlign w:val="bottom"/>
            <w:tcBorders>
              <w:top w:val="single" w:sz="8" w:color="0000FF"/>
              <w:bottom w:val="single" w:sz="8" w:color="CCEEFF"/>
            </w:tcBorders>
            <w:gridSpan w:val="1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10.29S+</w:t>
            </w:r>
          </w:p>
        </w:tc>
        <w:tc>
          <w:tcPr>
            <w:tcW w:w="9180" w:type="dxa"/>
            <w:vAlign w:val="bottom"/>
            <w:gridSpan w:val="37"/>
          </w:tcPr>
          <w:p>
            <w:pPr>
              <w:spacing w:after="0" w:line="189" w:lineRule="exact"/>
              <w:rPr>
                <w:rFonts w:ascii="Arial" w:cs="Arial" w:eastAsia="Arial" w:hAnsi="Arial"/>
                <w:sz w:val="18"/>
                <w:szCs w:val="18"/>
                <w:color w:val="0000FF"/>
                <w:w w:val="93"/>
              </w:rPr>
            </w:pPr>
            <w:hyperlink r:id="rId217">
              <w:r>
                <w:rPr>
                  <w:rFonts w:ascii="Arial" w:cs="Arial" w:eastAsia="Arial" w:hAnsi="Arial"/>
                  <w:sz w:val="18"/>
                  <w:szCs w:val="18"/>
                  <w:color w:val="0000FF"/>
                  <w:w w:val="93"/>
                </w:rPr>
                <w:t>Form of Non-U.S. Restricted Stock Unit Award Grant Notice and Form of Non-U.S. Restricted Stock Unit Award Agreement</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40" w:type="dxa"/>
            <w:vAlign w:val="bottom"/>
            <w:tcBorders>
              <w:top w:val="single" w:sz="8" w:color="0000FF"/>
            </w:tcBorders>
            <w:gridSpan w:val="36"/>
          </w:tcPr>
          <w:p>
            <w:pPr>
              <w:spacing w:after="0" w:line="169" w:lineRule="exact"/>
              <w:rPr>
                <w:rFonts w:ascii="Arial" w:cs="Arial" w:eastAsia="Arial" w:hAnsi="Arial"/>
                <w:sz w:val="18"/>
                <w:szCs w:val="18"/>
                <w:color w:val="0000FF"/>
                <w:w w:val="92"/>
              </w:rPr>
            </w:pPr>
            <w:hyperlink r:id="rId217">
              <w:r>
                <w:rPr>
                  <w:rFonts w:ascii="Arial" w:cs="Arial" w:eastAsia="Arial" w:hAnsi="Arial"/>
                  <w:sz w:val="18"/>
                  <w:szCs w:val="18"/>
                  <w:color w:val="0000FF"/>
                  <w:w w:val="92"/>
                </w:rPr>
                <w:t>under the Jazz Pharmaceuticals plc Amended and Restated 2011 Equity Incentive Plan (incorporated herein by reference to</w:t>
              </w:r>
            </w:hyperlink>
          </w:p>
        </w:tc>
        <w:tc>
          <w:tcPr>
            <w:tcW w:w="4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60" w:type="dxa"/>
            <w:vAlign w:val="bottom"/>
            <w:tcBorders>
              <w:top w:val="single" w:sz="8" w:color="0000FF"/>
            </w:tcBorders>
            <w:gridSpan w:val="27"/>
          </w:tcPr>
          <w:p>
            <w:pPr>
              <w:spacing w:after="0" w:line="169" w:lineRule="exact"/>
              <w:rPr>
                <w:rFonts w:ascii="Arial" w:cs="Arial" w:eastAsia="Arial" w:hAnsi="Arial"/>
                <w:sz w:val="18"/>
                <w:szCs w:val="18"/>
                <w:color w:val="0000FF"/>
                <w:w w:val="96"/>
              </w:rPr>
            </w:pPr>
            <w:hyperlink r:id="rId217">
              <w:r>
                <w:rPr>
                  <w:rFonts w:ascii="Arial" w:cs="Arial" w:eastAsia="Arial" w:hAnsi="Arial"/>
                  <w:sz w:val="18"/>
                  <w:szCs w:val="18"/>
                  <w:color w:val="0000FF"/>
                  <w:w w:val="96"/>
                </w:rPr>
                <w:t>Exhibit 10.8 in Jazz Pharmaceuticals plc’s Quarterly Report on Form 10-Q (File No. 001-33500) for the period 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6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217">
              <w:r>
                <w:rPr>
                  <w:rFonts w:ascii="Arial" w:cs="Arial" w:eastAsia="Arial" w:hAnsi="Arial"/>
                  <w:sz w:val="18"/>
                  <w:szCs w:val="18"/>
                  <w:color w:val="0000FF"/>
                </w:rPr>
                <w:t>September 30, 2016, as filed with the SEC on November 8, 2016).</w:t>
              </w:r>
            </w:hyperlink>
          </w:p>
        </w:tc>
        <w:tc>
          <w:tcPr>
            <w:tcW w:w="3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10.29T+</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3"/>
              </w:rPr>
            </w:pPr>
            <w:hyperlink r:id="rId218">
              <w:r>
                <w:rPr>
                  <w:rFonts w:ascii="Arial" w:cs="Arial" w:eastAsia="Arial" w:hAnsi="Arial"/>
                  <w:sz w:val="18"/>
                  <w:szCs w:val="18"/>
                  <w:color w:val="0000FF"/>
                  <w:w w:val="93"/>
                </w:rPr>
                <w:t>Form of Non-U.S. Option Grant Notice and Non-U.S. Option Agreement under the Jazz Pharmaceuticals plc Amended and</w:t>
              </w:r>
            </w:hyperlink>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0000FF"/>
            </w:tcBorders>
            <w:gridSpan w:val="28"/>
            <w:shd w:val="clear" w:color="auto" w:fill="CCEEFF"/>
          </w:tcPr>
          <w:p>
            <w:pPr>
              <w:spacing w:after="0" w:line="169" w:lineRule="exact"/>
              <w:rPr>
                <w:rFonts w:ascii="Arial" w:cs="Arial" w:eastAsia="Arial" w:hAnsi="Arial"/>
                <w:sz w:val="18"/>
                <w:szCs w:val="18"/>
                <w:color w:val="0000FF"/>
                <w:w w:val="97"/>
              </w:rPr>
            </w:pPr>
            <w:hyperlink r:id="rId218">
              <w:r>
                <w:rPr>
                  <w:rFonts w:ascii="Arial" w:cs="Arial" w:eastAsia="Arial" w:hAnsi="Arial"/>
                  <w:sz w:val="18"/>
                  <w:szCs w:val="18"/>
                  <w:color w:val="0000FF"/>
                  <w:w w:val="97"/>
                </w:rPr>
                <w:t>Restated 2011 Equity Incentive Plan (incorporated herein by reference to Exhibit 10.2 in Jazz Pharmaceuticals plc’s</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34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Quarterly Report on Form 10-Q (File No. 001-33500) for the period ended June 30, 2018, as filed with the SEC on</w:t>
              </w:r>
            </w:hyperlink>
          </w:p>
        </w:tc>
        <w:tc>
          <w:tcPr>
            <w:tcW w:w="840" w:type="dxa"/>
            <w:vAlign w:val="bottom"/>
            <w:tcBorders>
              <w:top w:val="single" w:sz="8" w:color="CCEEFF"/>
            </w:tcBorders>
            <w:gridSpan w:val="25"/>
            <w:shd w:val="clear" w:color="auto" w:fill="CCEEFF"/>
          </w:tcPr>
          <w:p>
            <w:pPr>
              <w:spacing w:after="0" w:line="169" w:lineRule="exact"/>
              <w:rPr>
                <w:rFonts w:ascii="Arial" w:cs="Arial" w:eastAsia="Arial" w:hAnsi="Arial"/>
                <w:sz w:val="18"/>
                <w:szCs w:val="18"/>
                <w:color w:val="0000FF"/>
              </w:rPr>
            </w:pPr>
            <w:hyperlink r:id="rId218">
              <w:r>
                <w:rPr>
                  <w:rFonts w:ascii="Arial" w:cs="Arial" w:eastAsia="Arial" w:hAnsi="Arial"/>
                  <w:sz w:val="18"/>
                  <w:szCs w:val="18"/>
                  <w:color w:val="0000FF"/>
                </w:rPr>
                <w:t>August 7,</w:t>
              </w:r>
            </w:hyperlink>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8"/>
                <w:szCs w:val="18"/>
                <w:color w:val="0000FF"/>
                <w:w w:val="90"/>
              </w:rPr>
            </w:pPr>
            <w:hyperlink r:id="rId218">
              <w:r>
                <w:rPr>
                  <w:rFonts w:ascii="Arial" w:cs="Arial" w:eastAsia="Arial" w:hAnsi="Arial"/>
                  <w:sz w:val="18"/>
                  <w:szCs w:val="18"/>
                  <w:color w:val="0000FF"/>
                  <w:w w:val="90"/>
                </w:rPr>
                <w:t>2018).</w:t>
              </w:r>
            </w:hyperlink>
          </w:p>
        </w:tc>
        <w:tc>
          <w:tcPr>
            <w:tcW w:w="640" w:type="dxa"/>
            <w:vAlign w:val="bottom"/>
            <w:tcBorders>
              <w:top w:val="single" w:sz="8" w:color="0000FF"/>
              <w:bottom w:val="single" w:sz="8" w:color="CCEEFF"/>
            </w:tcBorders>
            <w:shd w:val="clear" w:color="auto" w:fill="CCEEFF"/>
          </w:tcPr>
          <w:p>
            <w:pPr>
              <w:spacing w:after="0"/>
              <w:rPr>
                <w:sz w:val="17"/>
                <w:szCs w:val="17"/>
                <w:color w:val="auto"/>
              </w:rPr>
            </w:pPr>
          </w:p>
        </w:tc>
        <w:tc>
          <w:tcPr>
            <w:tcW w:w="340" w:type="dxa"/>
            <w:vAlign w:val="bottom"/>
            <w:tcBorders>
              <w:top w:val="single" w:sz="8" w:color="0000FF"/>
              <w:bottom w:val="single" w:sz="8" w:color="CCEEFF"/>
            </w:tcBorders>
            <w:shd w:val="clear" w:color="auto" w:fill="CCEEFF"/>
          </w:tcPr>
          <w:p>
            <w:pPr>
              <w:spacing w:after="0"/>
              <w:rPr>
                <w:sz w:val="17"/>
                <w:szCs w:val="17"/>
                <w:color w:val="auto"/>
              </w:rPr>
            </w:pPr>
          </w:p>
        </w:tc>
        <w:tc>
          <w:tcPr>
            <w:tcW w:w="800" w:type="dxa"/>
            <w:vAlign w:val="bottom"/>
            <w:tcBorders>
              <w:top w:val="single" w:sz="8" w:color="0000FF"/>
              <w:bottom w:val="single" w:sz="8" w:color="CCEEFF"/>
            </w:tcBorders>
            <w:shd w:val="clear" w:color="auto" w:fill="CCEEFF"/>
          </w:tcPr>
          <w:p>
            <w:pPr>
              <w:spacing w:after="0"/>
              <w:rPr>
                <w:sz w:val="17"/>
                <w:szCs w:val="17"/>
                <w:color w:val="auto"/>
              </w:rPr>
            </w:pPr>
          </w:p>
        </w:tc>
        <w:tc>
          <w:tcPr>
            <w:tcW w:w="760" w:type="dxa"/>
            <w:vAlign w:val="bottom"/>
            <w:tcBorders>
              <w:top w:val="single" w:sz="8" w:color="0000FF"/>
              <w:bottom w:val="single" w:sz="8" w:color="CCEEFF"/>
            </w:tcBorders>
            <w:shd w:val="clear" w:color="auto" w:fill="CCEEFF"/>
          </w:tcPr>
          <w:p>
            <w:pPr>
              <w:spacing w:after="0"/>
              <w:rPr>
                <w:sz w:val="17"/>
                <w:szCs w:val="17"/>
                <w:color w:val="auto"/>
              </w:rPr>
            </w:pPr>
          </w:p>
        </w:tc>
        <w:tc>
          <w:tcPr>
            <w:tcW w:w="68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1060" w:type="dxa"/>
            <w:vAlign w:val="bottom"/>
            <w:tcBorders>
              <w:top w:val="single" w:sz="8" w:color="0000FF"/>
              <w:bottom w:val="single" w:sz="8" w:color="CCEEFF"/>
            </w:tcBorders>
            <w:shd w:val="clear" w:color="auto" w:fill="CCEEFF"/>
          </w:tcPr>
          <w:p>
            <w:pPr>
              <w:spacing w:after="0"/>
              <w:rPr>
                <w:sz w:val="17"/>
                <w:szCs w:val="17"/>
                <w:color w:val="auto"/>
              </w:rPr>
            </w:pPr>
          </w:p>
        </w:tc>
        <w:tc>
          <w:tcPr>
            <w:tcW w:w="244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86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18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10.29U+</w:t>
            </w:r>
          </w:p>
        </w:tc>
        <w:tc>
          <w:tcPr>
            <w:tcW w:w="9180" w:type="dxa"/>
            <w:vAlign w:val="bottom"/>
            <w:gridSpan w:val="37"/>
          </w:tcPr>
          <w:p>
            <w:pPr>
              <w:spacing w:after="0" w:line="189" w:lineRule="exact"/>
              <w:rPr>
                <w:rFonts w:ascii="Arial" w:cs="Arial" w:eastAsia="Arial" w:hAnsi="Arial"/>
                <w:sz w:val="18"/>
                <w:szCs w:val="18"/>
                <w:color w:val="0000FF"/>
                <w:w w:val="95"/>
              </w:rPr>
            </w:pPr>
            <w:hyperlink r:id="rId219">
              <w:r>
                <w:rPr>
                  <w:rFonts w:ascii="Arial" w:cs="Arial" w:eastAsia="Arial" w:hAnsi="Arial"/>
                  <w:sz w:val="18"/>
                  <w:szCs w:val="18"/>
                  <w:color w:val="0000FF"/>
                  <w:w w:val="95"/>
                </w:rPr>
                <w:t>Form of Non-U.S. Restricted Stock Unit Award Grant Notice and Non-U.S. Restricted Stock Unit Award Agreement under</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89"/>
              </w:rPr>
            </w:pPr>
            <w:hyperlink r:id="rId219">
              <w:r>
                <w:rPr>
                  <w:rFonts w:ascii="Arial" w:cs="Arial" w:eastAsia="Arial" w:hAnsi="Arial"/>
                  <w:sz w:val="18"/>
                  <w:szCs w:val="18"/>
                  <w:color w:val="0000FF"/>
                  <w:w w:val="89"/>
                </w:rPr>
                <w:t>the Jazz Pharmaceuticals plc Amended and Restated 2011 Equity Incentive Plan (incorporated herein by reference to Exhibit</w:t>
              </w:r>
            </w:hyperlink>
          </w:p>
        </w:tc>
        <w:tc>
          <w:tcPr>
            <w:tcW w:w="60" w:type="dxa"/>
            <w:vAlign w:val="bottom"/>
            <w:tcBorders>
              <w:bottom w:val="single" w:sz="8" w:color="0000FF"/>
            </w:tcBorders>
            <w:gridSpan w:val="3"/>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80" w:type="dxa"/>
            <w:vAlign w:val="bottom"/>
            <w:gridSpan w:val="33"/>
          </w:tcPr>
          <w:p>
            <w:pPr>
              <w:spacing w:after="0" w:line="169"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in Jazz Pharmaceuticals plc’s Quarterly Report on Form 10-Q (File No. 001-33500) for the period ended June 30, 2018,</w:t>
              </w:r>
            </w:hyperlink>
          </w:p>
        </w:tc>
        <w:tc>
          <w:tcPr>
            <w:tcW w:w="100" w:type="dxa"/>
            <w:vAlign w:val="bottom"/>
            <w:gridSpan w:val="4"/>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6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219">
              <w:r>
                <w:rPr>
                  <w:rFonts w:ascii="Arial" w:cs="Arial" w:eastAsia="Arial" w:hAnsi="Arial"/>
                  <w:sz w:val="18"/>
                  <w:szCs w:val="18"/>
                  <w:color w:val="0000FF"/>
                </w:rPr>
                <w:t>as filed with the SEC on August 7, 2018).</w:t>
              </w:r>
            </w:hyperlink>
          </w:p>
        </w:tc>
        <w:tc>
          <w:tcPr>
            <w:tcW w:w="120" w:type="dxa"/>
            <w:vAlign w:val="bottom"/>
            <w:gridSpan w:val="5"/>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10.29V+</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5"/>
              </w:rPr>
            </w:pPr>
            <w:hyperlink r:id="rId220">
              <w:r>
                <w:rPr>
                  <w:rFonts w:ascii="Arial" w:cs="Arial" w:eastAsia="Arial" w:hAnsi="Arial"/>
                  <w:sz w:val="18"/>
                  <w:szCs w:val="18"/>
                  <w:color w:val="0000FF"/>
                  <w:w w:val="95"/>
                </w:rPr>
                <w:t>Form of Non-U.S. Option Grant Notice and Non-U.S. Option Agreement under the Jazz Pharmaceuticals plc 2011 Equity</w:t>
              </w:r>
            </w:hyperlink>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w w:val="91"/>
              </w:rPr>
            </w:pPr>
            <w:hyperlink r:id="rId220">
              <w:r>
                <w:rPr>
                  <w:rFonts w:ascii="Arial" w:cs="Arial" w:eastAsia="Arial" w:hAnsi="Arial"/>
                  <w:sz w:val="18"/>
                  <w:szCs w:val="18"/>
                  <w:color w:val="0000FF"/>
                  <w:w w:val="91"/>
                </w:rPr>
                <w:t>Incentive Plan (incorporated herein by reference to Exhibit 10.4 in Jazz Pharmaceuticals plc’s Quarterly Report on Form</w:t>
              </w:r>
            </w:hyperlink>
          </w:p>
        </w:tc>
        <w:tc>
          <w:tcPr>
            <w:tcW w:w="400" w:type="dxa"/>
            <w:vAlign w:val="bottom"/>
            <w:tcBorders>
              <w:top w:val="single" w:sz="8" w:color="CCEEFF"/>
            </w:tcBorders>
            <w:gridSpan w:val="19"/>
            <w:shd w:val="clear" w:color="auto" w:fill="CCEEFF"/>
          </w:tcPr>
          <w:p>
            <w:pPr>
              <w:jc w:val="right"/>
              <w:ind w:right="200"/>
              <w:spacing w:after="0" w:line="169" w:lineRule="exact"/>
              <w:rPr>
                <w:rFonts w:ascii="Arial" w:cs="Arial" w:eastAsia="Arial" w:hAnsi="Arial"/>
                <w:sz w:val="17"/>
                <w:szCs w:val="17"/>
                <w:color w:val="0000FF"/>
                <w:w w:val="73"/>
              </w:rPr>
            </w:pPr>
            <w:hyperlink r:id="rId220">
              <w:r>
                <w:rPr>
                  <w:rFonts w:ascii="Arial" w:cs="Arial" w:eastAsia="Arial" w:hAnsi="Arial"/>
                  <w:sz w:val="17"/>
                  <w:szCs w:val="17"/>
                  <w:color w:val="0000FF"/>
                  <w:w w:val="73"/>
                </w:rPr>
                <w:t>10-</w:t>
              </w:r>
            </w:hyperlink>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320" w:type="dxa"/>
            <w:vAlign w:val="bottom"/>
            <w:tcBorders>
              <w:top w:val="single" w:sz="8" w:color="0000FF"/>
              <w:bottom w:val="single" w:sz="8" w:color="0000FF"/>
            </w:tcBorders>
            <w:gridSpan w:val="10"/>
            <w:shd w:val="clear" w:color="auto" w:fill="CCEEFF"/>
          </w:tcPr>
          <w:p>
            <w:pPr>
              <w:spacing w:after="0" w:line="169" w:lineRule="exact"/>
              <w:rPr>
                <w:rFonts w:ascii="Arial" w:cs="Arial" w:eastAsia="Arial" w:hAnsi="Arial"/>
                <w:sz w:val="18"/>
                <w:szCs w:val="18"/>
                <w:color w:val="0000FF"/>
                <w:w w:val="91"/>
              </w:rPr>
            </w:pPr>
            <w:hyperlink r:id="rId220">
              <w:r>
                <w:rPr>
                  <w:rFonts w:ascii="Arial" w:cs="Arial" w:eastAsia="Arial" w:hAnsi="Arial"/>
                  <w:sz w:val="18"/>
                  <w:szCs w:val="18"/>
                  <w:color w:val="0000FF"/>
                  <w:w w:val="91"/>
                </w:rPr>
                <w:t>Q (File No. 001-33500) for the period ended March 31, 2019, as filed with the SEC on May 7, 2019).</w:t>
              </w:r>
            </w:hyperlink>
          </w:p>
        </w:tc>
        <w:tc>
          <w:tcPr>
            <w:tcW w:w="1680" w:type="dxa"/>
            <w:vAlign w:val="bottom"/>
            <w:tcBorders>
              <w:top w:val="single" w:sz="8" w:color="0000FF"/>
              <w:bottom w:val="single" w:sz="8" w:color="CCEEFF"/>
            </w:tcBorders>
            <w:gridSpan w:val="19"/>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8"/>
            <w:shd w:val="clear" w:color="auto" w:fill="CCEEFF"/>
          </w:tcPr>
          <w:p>
            <w:pPr>
              <w:spacing w:after="0"/>
              <w:rPr>
                <w:sz w:val="17"/>
                <w:szCs w:val="17"/>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10.29W+</w:t>
            </w:r>
          </w:p>
        </w:tc>
        <w:tc>
          <w:tcPr>
            <w:tcW w:w="9180" w:type="dxa"/>
            <w:vAlign w:val="bottom"/>
            <w:gridSpan w:val="37"/>
          </w:tcPr>
          <w:p>
            <w:pPr>
              <w:spacing w:after="0" w:line="189" w:lineRule="exact"/>
              <w:rPr>
                <w:rFonts w:ascii="Arial" w:cs="Arial" w:eastAsia="Arial" w:hAnsi="Arial"/>
                <w:sz w:val="18"/>
                <w:szCs w:val="18"/>
                <w:color w:val="0000FF"/>
                <w:w w:val="95"/>
              </w:rPr>
            </w:pPr>
            <w:hyperlink r:id="rId221">
              <w:r>
                <w:rPr>
                  <w:rFonts w:ascii="Arial" w:cs="Arial" w:eastAsia="Arial" w:hAnsi="Arial"/>
                  <w:sz w:val="18"/>
                  <w:szCs w:val="18"/>
                  <w:color w:val="0000FF"/>
                  <w:w w:val="95"/>
                </w:rPr>
                <w:t>Form of Non-U.S. Restricted Stock Unit Award Grant Notice and Non-U.S. Restricted Stock Unit Award Agreement under</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tcBorders>
              <w:top w:val="single" w:sz="8" w:color="0000FF"/>
            </w:tcBorders>
            <w:gridSpan w:val="25"/>
          </w:tcPr>
          <w:p>
            <w:pPr>
              <w:spacing w:after="0" w:line="169" w:lineRule="exact"/>
              <w:rPr>
                <w:rFonts w:ascii="Arial" w:cs="Arial" w:eastAsia="Arial" w:hAnsi="Arial"/>
                <w:sz w:val="18"/>
                <w:szCs w:val="18"/>
                <w:color w:val="0000FF"/>
                <w:w w:val="98"/>
              </w:rPr>
            </w:pPr>
            <w:hyperlink r:id="rId221">
              <w:r>
                <w:rPr>
                  <w:rFonts w:ascii="Arial" w:cs="Arial" w:eastAsia="Arial" w:hAnsi="Arial"/>
                  <w:sz w:val="18"/>
                  <w:szCs w:val="18"/>
                  <w:color w:val="0000FF"/>
                  <w:w w:val="98"/>
                </w:rPr>
                <w:t>the Jazz Pharmaceuticals plc 2011 Equity Incentive Plan (incorporated herein by reference to Exhibit 10.5 in Jazz</w:t>
              </w:r>
            </w:hyperlink>
          </w:p>
        </w:tc>
        <w:tc>
          <w:tcPr>
            <w:tcW w:w="20" w:type="dxa"/>
            <w:vAlign w:val="bottom"/>
          </w:tcPr>
          <w:p>
            <w:pPr>
              <w:spacing w:after="0"/>
              <w:rPr>
                <w:sz w:val="14"/>
                <w:szCs w:val="14"/>
                <w:color w:val="auto"/>
              </w:rPr>
            </w:pPr>
          </w:p>
        </w:tc>
        <w:tc>
          <w:tcPr>
            <w:tcW w:w="240" w:type="dxa"/>
            <w:vAlign w:val="bottom"/>
            <w:gridSpan w:val="11"/>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180" w:type="dxa"/>
            <w:vAlign w:val="bottom"/>
            <w:tcBorders>
              <w:top w:val="single" w:sz="8" w:color="0000FF"/>
            </w:tcBorders>
            <w:gridSpan w:val="11"/>
          </w:tcPr>
          <w:p>
            <w:pPr>
              <w:spacing w:after="0" w:line="169" w:lineRule="exact"/>
              <w:rPr>
                <w:rFonts w:ascii="Arial" w:cs="Arial" w:eastAsia="Arial" w:hAnsi="Arial"/>
                <w:sz w:val="18"/>
                <w:szCs w:val="18"/>
                <w:color w:val="0000FF"/>
                <w:w w:val="90"/>
              </w:rPr>
            </w:pPr>
            <w:hyperlink r:id="rId221">
              <w:r>
                <w:rPr>
                  <w:rFonts w:ascii="Arial" w:cs="Arial" w:eastAsia="Arial" w:hAnsi="Arial"/>
                  <w:sz w:val="18"/>
                  <w:szCs w:val="18"/>
                  <w:color w:val="0000FF"/>
                  <w:w w:val="90"/>
                </w:rPr>
                <w:t>Pharmaceuticals plc’s Quarterly Report on Form 10-Q (File No. 001-33500) for the period ended March 31, 2019,</w:t>
              </w:r>
            </w:hyperlink>
          </w:p>
        </w:tc>
        <w:tc>
          <w:tcPr>
            <w:tcW w:w="1000" w:type="dxa"/>
            <w:vAlign w:val="bottom"/>
            <w:gridSpan w:val="26"/>
          </w:tcPr>
          <w:p>
            <w:pPr>
              <w:ind w:left="100"/>
              <w:spacing w:after="0" w:line="169" w:lineRule="exact"/>
              <w:rPr>
                <w:rFonts w:ascii="Arial" w:cs="Arial" w:eastAsia="Arial" w:hAnsi="Arial"/>
                <w:sz w:val="18"/>
                <w:szCs w:val="18"/>
                <w:color w:val="0000FF"/>
              </w:rPr>
            </w:pPr>
            <w:hyperlink r:id="rId221">
              <w:r>
                <w:rPr>
                  <w:rFonts w:ascii="Arial" w:cs="Arial" w:eastAsia="Arial" w:hAnsi="Arial"/>
                  <w:sz w:val="18"/>
                  <w:szCs w:val="18"/>
                  <w:color w:val="0000FF"/>
                </w:rPr>
                <w:t>as filed</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4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221">
              <w:r>
                <w:rPr>
                  <w:rFonts w:ascii="Arial" w:cs="Arial" w:eastAsia="Arial" w:hAnsi="Arial"/>
                  <w:sz w:val="18"/>
                  <w:szCs w:val="18"/>
                  <w:color w:val="0000FF"/>
                </w:rPr>
                <w:t>with the SEC on May 7, 2019).</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11"/>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10.29X+</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3"/>
              </w:rPr>
            </w:pPr>
            <w:hyperlink r:id="rId222">
              <w:r>
                <w:rPr>
                  <w:rFonts w:ascii="Arial" w:cs="Arial" w:eastAsia="Arial" w:hAnsi="Arial"/>
                  <w:sz w:val="18"/>
                  <w:szCs w:val="18"/>
                  <w:color w:val="0000FF"/>
                  <w:w w:val="93"/>
                </w:rPr>
                <w:t>Form of U.S. Restricted Stock Unit Award Grant Notice and Form of U.S. Restricted Stock Unit Award Agreement under the</w:t>
              </w:r>
            </w:hyperlink>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760" w:type="dxa"/>
            <w:vAlign w:val="bottom"/>
            <w:tcBorders>
              <w:top w:val="single" w:sz="8" w:color="0000FF"/>
              <w:bottom w:val="single" w:sz="8" w:color="0000FF"/>
            </w:tcBorders>
            <w:gridSpan w:val="17"/>
            <w:shd w:val="clear" w:color="auto" w:fill="CCEEFF"/>
          </w:tcPr>
          <w:p>
            <w:pPr>
              <w:spacing w:after="0" w:line="169" w:lineRule="exact"/>
              <w:rPr>
                <w:rFonts w:ascii="Arial" w:cs="Arial" w:eastAsia="Arial" w:hAnsi="Arial"/>
                <w:sz w:val="18"/>
                <w:szCs w:val="18"/>
                <w:color w:val="0000FF"/>
                <w:w w:val="90"/>
              </w:rPr>
            </w:pPr>
            <w:hyperlink r:id="rId222">
              <w:r>
                <w:rPr>
                  <w:rFonts w:ascii="Arial" w:cs="Arial" w:eastAsia="Arial" w:hAnsi="Arial"/>
                  <w:sz w:val="18"/>
                  <w:szCs w:val="18"/>
                  <w:color w:val="0000FF"/>
                  <w:w w:val="90"/>
                </w:rPr>
                <w:t>Jazz Pharmaceuticals plc Amended and Restated 2011 Equity Incentive Plan (incorporated herein by reference to Exhibit</w:t>
              </w:r>
            </w:hyperlink>
          </w:p>
        </w:tc>
        <w:tc>
          <w:tcPr>
            <w:tcW w:w="360" w:type="dxa"/>
            <w:vAlign w:val="bottom"/>
            <w:tcBorders>
              <w:top w:val="single" w:sz="8" w:color="0000FF"/>
              <w:bottom w:val="single" w:sz="8" w:color="CCEEFF"/>
            </w:tcBorders>
            <w:gridSpan w:val="18"/>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37"/>
            <w:shd w:val="clear" w:color="auto" w:fill="CCEEFF"/>
          </w:tcPr>
          <w:p>
            <w:pPr>
              <w:spacing w:after="0" w:line="169" w:lineRule="exact"/>
              <w:rPr>
                <w:rFonts w:ascii="Arial" w:cs="Arial" w:eastAsia="Arial" w:hAnsi="Arial"/>
                <w:sz w:val="18"/>
                <w:szCs w:val="18"/>
                <w:color w:val="0000FF"/>
                <w:w w:val="92"/>
              </w:rPr>
            </w:pPr>
            <w:hyperlink r:id="rId22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8</w:t>
              </w:r>
              <w:r>
                <w:rPr>
                  <w:rFonts w:ascii="Arial" w:cs="Arial" w:eastAsia="Arial" w:hAnsi="Arial"/>
                  <w:sz w:val="18"/>
                  <w:szCs w:val="18"/>
                  <w:color w:val="0000FF"/>
                  <w:w w:val="92"/>
                </w:rPr>
                <w:t xml:space="preserve"> in Jazz Pharmaceuticals plc’s Quarterly Report on Form 10-Q (File No. 001-33500) for the period ended June 30, 2021,</w:t>
              </w:r>
            </w:hyperlink>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2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91"/>
              </w:rPr>
            </w:pPr>
            <w:hyperlink r:id="rId222">
              <w:r>
                <w:rPr>
                  <w:rFonts w:ascii="Arial" w:cs="Arial" w:eastAsia="Arial" w:hAnsi="Arial"/>
                  <w:sz w:val="18"/>
                  <w:szCs w:val="18"/>
                  <w:color w:val="0000FF"/>
                  <w:w w:val="91"/>
                </w:rPr>
                <w:t>as filed with the SEC on August 3, 2021).</w:t>
              </w:r>
            </w:hyperlink>
          </w:p>
        </w:tc>
        <w:tc>
          <w:tcPr>
            <w:tcW w:w="6040" w:type="dxa"/>
            <w:vAlign w:val="bottom"/>
            <w:tcBorders>
              <w:top w:val="single" w:sz="8" w:color="0000FF"/>
              <w:bottom w:val="single" w:sz="8" w:color="CCEEFF"/>
            </w:tcBorders>
            <w:gridSpan w:val="27"/>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5"/>
            <w:shd w:val="clear" w:color="auto" w:fill="CCEEFF"/>
          </w:tcPr>
          <w:p>
            <w:pPr>
              <w:spacing w:after="0"/>
              <w:rPr>
                <w:sz w:val="17"/>
                <w:szCs w:val="17"/>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10.29Y+</w:t>
            </w:r>
          </w:p>
        </w:tc>
        <w:tc>
          <w:tcPr>
            <w:tcW w:w="9180" w:type="dxa"/>
            <w:vAlign w:val="bottom"/>
            <w:gridSpan w:val="37"/>
          </w:tcPr>
          <w:p>
            <w:pPr>
              <w:spacing w:after="0" w:line="189" w:lineRule="exact"/>
              <w:rPr>
                <w:rFonts w:ascii="Arial" w:cs="Arial" w:eastAsia="Arial" w:hAnsi="Arial"/>
                <w:sz w:val="18"/>
                <w:szCs w:val="18"/>
                <w:color w:val="0000FF"/>
                <w:w w:val="93"/>
              </w:rPr>
            </w:pPr>
            <w:hyperlink r:id="rId223">
              <w:r>
                <w:rPr>
                  <w:rFonts w:ascii="Arial" w:cs="Arial" w:eastAsia="Arial" w:hAnsi="Arial"/>
                  <w:sz w:val="18"/>
                  <w:szCs w:val="18"/>
                  <w:color w:val="0000FF"/>
                  <w:w w:val="93"/>
                </w:rPr>
                <w:t>Form of Non-U.S. Restricted Stock Unit Award Grant Notice and Form of Non-U.S. Restricted Stock Unit Award Agreement</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40" w:type="dxa"/>
            <w:vAlign w:val="bottom"/>
            <w:tcBorders>
              <w:top w:val="single" w:sz="8" w:color="0000FF"/>
            </w:tcBorders>
            <w:gridSpan w:val="36"/>
          </w:tcPr>
          <w:p>
            <w:pPr>
              <w:spacing w:after="0" w:line="169" w:lineRule="exact"/>
              <w:rPr>
                <w:rFonts w:ascii="Arial" w:cs="Arial" w:eastAsia="Arial" w:hAnsi="Arial"/>
                <w:sz w:val="18"/>
                <w:szCs w:val="18"/>
                <w:color w:val="0000FF"/>
                <w:w w:val="92"/>
              </w:rPr>
            </w:pPr>
            <w:hyperlink r:id="rId223">
              <w:r>
                <w:rPr>
                  <w:rFonts w:ascii="Arial" w:cs="Arial" w:eastAsia="Arial" w:hAnsi="Arial"/>
                  <w:sz w:val="18"/>
                  <w:szCs w:val="18"/>
                  <w:color w:val="0000FF"/>
                  <w:w w:val="92"/>
                </w:rPr>
                <w:t>under the Jazz Pharmaceuticals plc Amended and Restated 2011 Equity Incentive Plan (incorporated herein by reference to</w:t>
              </w:r>
            </w:hyperlink>
          </w:p>
        </w:tc>
        <w:tc>
          <w:tcPr>
            <w:tcW w:w="4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60" w:type="dxa"/>
            <w:vAlign w:val="bottom"/>
            <w:tcBorders>
              <w:top w:val="single" w:sz="8" w:color="0000FF"/>
            </w:tcBorders>
            <w:gridSpan w:val="27"/>
          </w:tcPr>
          <w:p>
            <w:pPr>
              <w:spacing w:after="0" w:line="169" w:lineRule="exact"/>
              <w:rPr>
                <w:rFonts w:ascii="Arial" w:cs="Arial" w:eastAsia="Arial" w:hAnsi="Arial"/>
                <w:sz w:val="18"/>
                <w:szCs w:val="18"/>
                <w:color w:val="0000FF"/>
                <w:w w:val="92"/>
              </w:rPr>
            </w:pPr>
            <w:hyperlink r:id="rId223">
              <w:r>
                <w:rPr>
                  <w:rFonts w:ascii="Arial" w:cs="Arial" w:eastAsia="Arial" w:hAnsi="Arial"/>
                  <w:sz w:val="18"/>
                  <w:szCs w:val="18"/>
                  <w:color w:val="0000FF"/>
                  <w:w w:val="92"/>
                </w:rPr>
                <w:t>Exhibit 10.9 in Jazz Pharmaceuticals plc’s Quarterly Report on Form 10-Q (File No. 001-33500) for the period ended June</w:t>
              </w:r>
            </w:hyperlink>
          </w:p>
        </w:tc>
        <w:tc>
          <w:tcPr>
            <w:tcW w:w="220" w:type="dxa"/>
            <w:vAlign w:val="bottom"/>
            <w:gridSpan w:val="10"/>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30, 2021, as filed with the SEC on August 3, 2021).</w:t>
              </w:r>
            </w:hyperlink>
          </w:p>
        </w:tc>
        <w:tc>
          <w:tcPr>
            <w:tcW w:w="5140" w:type="dxa"/>
            <w:vAlign w:val="bottom"/>
            <w:tcBorders>
              <w:top w:val="single" w:sz="8" w:color="0000FF"/>
            </w:tcBorders>
            <w:gridSpan w:val="16"/>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11"/>
          </w:tcPr>
          <w:p>
            <w:pPr>
              <w:spacing w:after="0"/>
              <w:rPr>
                <w:sz w:val="14"/>
                <w:szCs w:val="14"/>
                <w:color w:val="auto"/>
              </w:rPr>
            </w:pPr>
          </w:p>
        </w:tc>
      </w:tr>
      <w:tr>
        <w:trPr>
          <w:trHeight w:val="223"/>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10.29Z+</w:t>
            </w:r>
          </w:p>
        </w:tc>
        <w:tc>
          <w:tcPr>
            <w:tcW w:w="9180" w:type="dxa"/>
            <w:vAlign w:val="bottom"/>
            <w:gridSpan w:val="37"/>
          </w:tcPr>
          <w:p>
            <w:pPr>
              <w:spacing w:after="0"/>
              <w:rPr>
                <w:rFonts w:ascii="Arial" w:cs="Arial" w:eastAsia="Arial" w:hAnsi="Arial"/>
                <w:sz w:val="18"/>
                <w:szCs w:val="18"/>
                <w:color w:val="0000FF"/>
                <w:w w:val="93"/>
              </w:rPr>
            </w:pPr>
            <w:hyperlink r:id="rId224">
              <w:r>
                <w:rPr>
                  <w:rFonts w:ascii="Arial" w:cs="Arial" w:eastAsia="Arial" w:hAnsi="Arial"/>
                  <w:sz w:val="18"/>
                  <w:szCs w:val="18"/>
                  <w:color w:val="0000FF"/>
                  <w:w w:val="93"/>
                </w:rPr>
                <w:t>Form of Non-U.S. Restricted Stock Unit Award Grant Notice and Form of Non-U.S. Restricted Stock Unit Award Agreement</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60" w:type="dxa"/>
            <w:vAlign w:val="bottom"/>
            <w:tcBorders>
              <w:top w:val="single" w:sz="8" w:color="0000FF"/>
              <w:bottom w:val="single" w:sz="8" w:color="0000FF"/>
            </w:tcBorders>
            <w:gridSpan w:val="27"/>
          </w:tcPr>
          <w:p>
            <w:pPr>
              <w:spacing w:after="0" w:line="169" w:lineRule="exact"/>
              <w:rPr>
                <w:rFonts w:ascii="Arial" w:cs="Arial" w:eastAsia="Arial" w:hAnsi="Arial"/>
                <w:sz w:val="18"/>
                <w:szCs w:val="18"/>
                <w:color w:val="0000FF"/>
                <w:w w:val="90"/>
              </w:rPr>
            </w:pPr>
            <w:hyperlink r:id="rId224">
              <w:r>
                <w:rPr>
                  <w:rFonts w:ascii="Arial" w:cs="Arial" w:eastAsia="Arial" w:hAnsi="Arial"/>
                  <w:sz w:val="18"/>
                  <w:szCs w:val="18"/>
                  <w:color w:val="0000FF"/>
                  <w:w w:val="90"/>
                </w:rPr>
                <w:t>under the Jazz Pharmaceuticals plc Amended and Restated 2011 Equity Incentive Plan (incorporated herein by reference to</w:t>
              </w:r>
            </w:hyperlink>
          </w:p>
        </w:tc>
        <w:tc>
          <w:tcPr>
            <w:tcW w:w="18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6703695" cy="514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5">
                      <a:extLst>
                        <a:ext uri="{28A0092B-C50C-407E-A947-70E740481C1C}"/>
                      </a:extLst>
                    </a:blip>
                    <a:srcRect/>
                    <a:stretch>
                      <a:fillRect/>
                    </a:stretch>
                  </pic:blipFill>
                  <pic:spPr bwMode="auto">
                    <a:xfrm>
                      <a:off x="0" y="0"/>
                      <a:ext cx="6703695" cy="514350"/>
                    </a:xfrm>
                    <a:prstGeom prst="rect">
                      <a:avLst/>
                    </a:prstGeom>
                    <a:noFill/>
                  </pic:spPr>
                </pic:pic>
              </a:graphicData>
            </a:graphic>
          </wp:anchor>
        </w:drawing>
      </w:r>
    </w:p>
    <w:p>
      <w:pPr>
        <w:ind w:left="1380" w:right="720"/>
        <w:spacing w:after="0" w:line="234" w:lineRule="auto"/>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Exhibit 10.1 in Jazz Pharmaceuticals plc’s Quarterly Report on Form 10-Q (File No. 001-33500) for the period ended</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September 30, 2021, as filed with the SEC on November 9, 2021).</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08" w:right="101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ind w:left="20"/>
              <w:spacing w:after="0"/>
              <w:rPr>
                <w:sz w:val="20"/>
                <w:szCs w:val="20"/>
                <w:color w:val="auto"/>
              </w:rPr>
            </w:pPr>
            <w:r>
              <w:rPr>
                <w:rFonts w:ascii="Arial" w:cs="Arial" w:eastAsia="Arial" w:hAnsi="Arial"/>
                <w:sz w:val="18"/>
                <w:szCs w:val="18"/>
                <w:color w:val="auto"/>
              </w:rPr>
              <w:t>10.29AA+</w:t>
            </w:r>
          </w:p>
        </w:tc>
        <w:tc>
          <w:tcPr>
            <w:tcW w:w="9860" w:type="dxa"/>
            <w:vAlign w:val="bottom"/>
            <w:gridSpan w:val="41"/>
          </w:tcPr>
          <w:p>
            <w:pPr>
              <w:spacing w:after="0"/>
              <w:rPr>
                <w:rFonts w:ascii="Arial" w:cs="Arial" w:eastAsia="Arial" w:hAnsi="Arial"/>
                <w:sz w:val="18"/>
                <w:szCs w:val="18"/>
                <w:color w:val="0000FF"/>
              </w:rPr>
            </w:pPr>
            <w:hyperlink r:id="rId227">
              <w:r>
                <w:rPr>
                  <w:rFonts w:ascii="Arial" w:cs="Arial" w:eastAsia="Arial" w:hAnsi="Arial"/>
                  <w:sz w:val="18"/>
                  <w:szCs w:val="18"/>
                  <w:color w:val="0000FF"/>
                </w:rPr>
                <w:t>Form of U.S. Performance Restricted Stock Unit Award Grant Notice and Form of U.S. Performance Restricted Stock Unit</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20" w:type="dxa"/>
            <w:vAlign w:val="bottom"/>
            <w:tcBorders>
              <w:top w:val="single" w:sz="8" w:color="0000FF"/>
            </w:tcBorders>
            <w:gridSpan w:val="27"/>
          </w:tcPr>
          <w:p>
            <w:pPr>
              <w:spacing w:after="0" w:line="169" w:lineRule="exact"/>
              <w:rPr>
                <w:rFonts w:ascii="Arial" w:cs="Arial" w:eastAsia="Arial" w:hAnsi="Arial"/>
                <w:sz w:val="18"/>
                <w:szCs w:val="18"/>
                <w:color w:val="0000FF"/>
                <w:w w:val="93"/>
              </w:rPr>
            </w:pPr>
            <w:hyperlink r:id="rId227">
              <w:r>
                <w:rPr>
                  <w:rFonts w:ascii="Arial" w:cs="Arial" w:eastAsia="Arial" w:hAnsi="Arial"/>
                  <w:sz w:val="18"/>
                  <w:szCs w:val="18"/>
                  <w:color w:val="0000FF"/>
                  <w:w w:val="93"/>
                </w:rPr>
                <w:t>Award Agreement under the Jazz Pharmaceuticals plc Amended and Restated 2011 Equity Incentive Plan (incorporated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620" w:type="dxa"/>
            <w:vAlign w:val="bottom"/>
            <w:tcBorders>
              <w:top w:val="single" w:sz="8" w:color="0000FF"/>
            </w:tcBorders>
            <w:gridSpan w:val="17"/>
          </w:tcPr>
          <w:p>
            <w:pPr>
              <w:spacing w:after="0" w:line="169" w:lineRule="exact"/>
              <w:rPr>
                <w:rFonts w:ascii="Arial" w:cs="Arial" w:eastAsia="Arial" w:hAnsi="Arial"/>
                <w:sz w:val="18"/>
                <w:szCs w:val="18"/>
                <w:color w:val="0000FF"/>
                <w:w w:val="91"/>
              </w:rPr>
            </w:pPr>
            <w:hyperlink r:id="rId227">
              <w:r>
                <w:rPr>
                  <w:rFonts w:ascii="Arial" w:cs="Arial" w:eastAsia="Arial" w:hAnsi="Arial"/>
                  <w:sz w:val="18"/>
                  <w:szCs w:val="18"/>
                  <w:color w:val="0000FF"/>
                  <w:w w:val="91"/>
                </w:rPr>
                <w:t>herein by reference to Exhibit 10.6 in Jazz Pharmaceuticals plc’s Quarterly Report on Form 10-Q (File No. 001-33500)</w:t>
              </w:r>
            </w:hyperlink>
          </w:p>
        </w:tc>
        <w:tc>
          <w:tcPr>
            <w:tcW w:w="1240" w:type="dxa"/>
            <w:vAlign w:val="bottom"/>
            <w:gridSpan w:val="24"/>
          </w:tcPr>
          <w:p>
            <w:pPr>
              <w:ind w:left="20"/>
              <w:spacing w:after="0" w:line="169" w:lineRule="exact"/>
              <w:rPr>
                <w:rFonts w:ascii="Arial" w:cs="Arial" w:eastAsia="Arial" w:hAnsi="Arial"/>
                <w:sz w:val="18"/>
                <w:szCs w:val="18"/>
                <w:color w:val="0000FF"/>
              </w:rPr>
            </w:pPr>
            <w:hyperlink r:id="rId227">
              <w:r>
                <w:rPr>
                  <w:rFonts w:ascii="Arial" w:cs="Arial" w:eastAsia="Arial" w:hAnsi="Arial"/>
                  <w:sz w:val="18"/>
                  <w:szCs w:val="18"/>
                  <w:color w:val="0000FF"/>
                </w:rPr>
                <w:t>for</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4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227">
              <w:r>
                <w:rPr>
                  <w:rFonts w:ascii="Arial" w:cs="Arial" w:eastAsia="Arial" w:hAnsi="Arial"/>
                  <w:sz w:val="18"/>
                  <w:szCs w:val="18"/>
                  <w:color w:val="0000FF"/>
                </w:rPr>
                <w:t>the period ended June 30, 2021, as filed with the SEC on August 3,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10.29BB+</w:t>
            </w:r>
          </w:p>
        </w:tc>
        <w:tc>
          <w:tcPr>
            <w:tcW w:w="920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5"/>
              </w:rPr>
            </w:pPr>
            <w:hyperlink r:id="rId228">
              <w:r>
                <w:rPr>
                  <w:rFonts w:ascii="Arial" w:cs="Arial" w:eastAsia="Arial" w:hAnsi="Arial"/>
                  <w:sz w:val="18"/>
                  <w:szCs w:val="18"/>
                  <w:color w:val="0000FF"/>
                  <w:w w:val="95"/>
                </w:rPr>
                <w:t>Form of Non-U.S. Performance Restricted Stock Unit Award Grant Notice and Form of Non-U.S. Performance Restricted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00" w:type="dxa"/>
            <w:vAlign w:val="bottom"/>
            <w:tcBorders>
              <w:top w:val="single" w:sz="8" w:color="0000FF"/>
            </w:tcBorders>
            <w:gridSpan w:val="22"/>
            <w:shd w:val="clear" w:color="auto" w:fill="CCEEFF"/>
          </w:tcPr>
          <w:p>
            <w:pPr>
              <w:spacing w:after="0" w:line="169" w:lineRule="exact"/>
              <w:rPr>
                <w:rFonts w:ascii="Arial" w:cs="Arial" w:eastAsia="Arial" w:hAnsi="Arial"/>
                <w:sz w:val="18"/>
                <w:szCs w:val="18"/>
                <w:color w:val="0000FF"/>
                <w:w w:val="94"/>
              </w:rPr>
            </w:pPr>
            <w:hyperlink r:id="rId228">
              <w:r>
                <w:rPr>
                  <w:rFonts w:ascii="Arial" w:cs="Arial" w:eastAsia="Arial" w:hAnsi="Arial"/>
                  <w:sz w:val="18"/>
                  <w:szCs w:val="18"/>
                  <w:color w:val="0000FF"/>
                  <w:w w:val="94"/>
                </w:rPr>
                <w:t>Stock Unit Award Agreement under the Jazz Pharmaceuticals plc Amended and Restated 2011 Equity Incentive Plan</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42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w w:val="91"/>
              </w:rPr>
            </w:pPr>
            <w:hyperlink r:id="rId228">
              <w:r>
                <w:rPr>
                  <w:rFonts w:ascii="Arial" w:cs="Arial" w:eastAsia="Arial" w:hAnsi="Arial"/>
                  <w:sz w:val="18"/>
                  <w:szCs w:val="18"/>
                  <w:color w:val="0000FF"/>
                  <w:w w:val="91"/>
                </w:rPr>
                <w:t>(incorporated herein by reference to Exhibit 10.7 in Jazz Pharmaceuticals plc’s Quarterly Report on Form 10-Q (File</w:t>
              </w:r>
            </w:hyperlink>
          </w:p>
        </w:tc>
        <w:tc>
          <w:tcPr>
            <w:tcW w:w="780" w:type="dxa"/>
            <w:vAlign w:val="bottom"/>
            <w:tcBorders>
              <w:top w:val="single" w:sz="8" w:color="CCEEFF"/>
              <w:right w:val="single" w:sz="8" w:color="CCEEFF"/>
            </w:tcBorders>
            <w:gridSpan w:val="27"/>
            <w:shd w:val="clear" w:color="auto" w:fill="CCEEFF"/>
          </w:tcPr>
          <w:p>
            <w:pPr>
              <w:ind w:left="40"/>
              <w:spacing w:after="0" w:line="169" w:lineRule="exact"/>
              <w:rPr>
                <w:rFonts w:ascii="Arial" w:cs="Arial" w:eastAsia="Arial" w:hAnsi="Arial"/>
                <w:sz w:val="18"/>
                <w:szCs w:val="18"/>
                <w:color w:val="0000FF"/>
              </w:rPr>
            </w:pPr>
            <w:hyperlink r:id="rId228">
              <w:r>
                <w:rPr>
                  <w:rFonts w:ascii="Arial" w:cs="Arial" w:eastAsia="Arial" w:hAnsi="Arial"/>
                  <w:sz w:val="18"/>
                  <w:szCs w:val="18"/>
                  <w:color w:val="0000FF"/>
                </w:rPr>
                <w:t>No.</w:t>
              </w:r>
            </w:hyperlink>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6500" w:type="dxa"/>
            <w:vAlign w:val="bottom"/>
            <w:tcBorders>
              <w:top w:val="single" w:sz="8" w:color="0000FF"/>
              <w:bottom w:val="single" w:sz="8" w:color="0000FF"/>
            </w:tcBorders>
            <w:gridSpan w:val="11"/>
            <w:shd w:val="clear" w:color="auto" w:fill="CCEEFF"/>
          </w:tcPr>
          <w:p>
            <w:pPr>
              <w:spacing w:after="0" w:line="169" w:lineRule="exact"/>
              <w:rPr>
                <w:rFonts w:ascii="Arial" w:cs="Arial" w:eastAsia="Arial" w:hAnsi="Arial"/>
                <w:sz w:val="18"/>
                <w:szCs w:val="18"/>
                <w:color w:val="0000FF"/>
                <w:w w:val="90"/>
              </w:rPr>
            </w:pPr>
            <w:hyperlink r:id="rId228">
              <w:r>
                <w:rPr>
                  <w:rFonts w:ascii="Arial" w:cs="Arial" w:eastAsia="Arial" w:hAnsi="Arial"/>
                  <w:sz w:val="18"/>
                  <w:szCs w:val="18"/>
                  <w:color w:val="0000FF"/>
                  <w:w w:val="90"/>
                </w:rPr>
                <w:t>001-33500) for the period ended June 30, 2021, as filed with the SEC on August 3, 2021).</w:t>
              </w:r>
            </w:hyperlink>
          </w:p>
        </w:tc>
        <w:tc>
          <w:tcPr>
            <w:tcW w:w="2220" w:type="dxa"/>
            <w:vAlign w:val="bottom"/>
            <w:tcBorders>
              <w:top w:val="single" w:sz="8" w:color="0000FF"/>
              <w:bottom w:val="single" w:sz="8" w:color="CCEEFF"/>
            </w:tcBorders>
            <w:gridSpan w:val="8"/>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10.30+</w:t>
            </w:r>
          </w:p>
        </w:tc>
        <w:tc>
          <w:tcPr>
            <w:tcW w:w="9200" w:type="dxa"/>
            <w:vAlign w:val="bottom"/>
            <w:gridSpan w:val="40"/>
          </w:tcPr>
          <w:p>
            <w:pPr>
              <w:spacing w:after="0" w:line="189" w:lineRule="exact"/>
              <w:rPr>
                <w:rFonts w:ascii="Arial" w:cs="Arial" w:eastAsia="Arial" w:hAnsi="Arial"/>
                <w:sz w:val="18"/>
                <w:szCs w:val="18"/>
                <w:color w:val="0000FF"/>
                <w:w w:val="91"/>
              </w:rPr>
            </w:pPr>
            <w:hyperlink r:id="rId229">
              <w:r>
                <w:rPr>
                  <w:rFonts w:ascii="Arial" w:cs="Arial" w:eastAsia="Arial" w:hAnsi="Arial"/>
                  <w:sz w:val="18"/>
                  <w:szCs w:val="18"/>
                  <w:color w:val="0000FF"/>
                  <w:w w:val="91"/>
                </w:rPr>
                <w:t>Jazz Pharmaceuticals plc Amended and Restated Directors Deferred Compensation Plan (incorporated herein by reference to</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20" w:type="dxa"/>
            <w:vAlign w:val="bottom"/>
            <w:tcBorders>
              <w:top w:val="single" w:sz="8" w:color="0000FF"/>
            </w:tcBorders>
            <w:gridSpan w:val="37"/>
          </w:tcPr>
          <w:p>
            <w:pPr>
              <w:spacing w:after="0" w:line="169" w:lineRule="exact"/>
              <w:rPr>
                <w:rFonts w:ascii="Arial" w:cs="Arial" w:eastAsia="Arial" w:hAnsi="Arial"/>
                <w:sz w:val="18"/>
                <w:szCs w:val="18"/>
                <w:color w:val="0000FF"/>
                <w:w w:val="93"/>
              </w:rPr>
            </w:pPr>
            <w:hyperlink r:id="rId229">
              <w:r>
                <w:rPr>
                  <w:rFonts w:ascii="Arial" w:cs="Arial" w:eastAsia="Arial" w:hAnsi="Arial"/>
                  <w:sz w:val="18"/>
                  <w:szCs w:val="18"/>
                  <w:color w:val="0000FF"/>
                  <w:w w:val="93"/>
                </w:rPr>
                <w:t>Exhibit 99.6 in Jazz Pharmaceuticals plc’s registration statement on Form S-8 (File No. 333-179075), as filed with the SEC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8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229">
              <w:r>
                <w:rPr>
                  <w:rFonts w:ascii="Arial" w:cs="Arial" w:eastAsia="Arial" w:hAnsi="Arial"/>
                  <w:sz w:val="18"/>
                  <w:szCs w:val="18"/>
                  <w:color w:val="0000FF"/>
                </w:rPr>
                <w:t>on January 18,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10.31A+</w:t>
            </w:r>
          </w:p>
        </w:tc>
        <w:tc>
          <w:tcPr>
            <w:tcW w:w="920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3"/>
              </w:rPr>
            </w:pPr>
            <w:hyperlink r:id="rId230">
              <w:r>
                <w:rPr>
                  <w:rFonts w:ascii="Arial" w:cs="Arial" w:eastAsia="Arial" w:hAnsi="Arial"/>
                  <w:sz w:val="18"/>
                  <w:szCs w:val="18"/>
                  <w:color w:val="0000FF"/>
                  <w:w w:val="93"/>
                </w:rPr>
                <w:t>Jazz Pharmaceuticals plc Amended and Restated 2007 Non-Employee Directors Stock Option Plan (incorporated herein by</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28"/>
            <w:shd w:val="clear" w:color="auto" w:fill="CCEEFF"/>
          </w:tcPr>
          <w:p>
            <w:pPr>
              <w:spacing w:after="0" w:line="169" w:lineRule="exact"/>
              <w:rPr>
                <w:rFonts w:ascii="Arial" w:cs="Arial" w:eastAsia="Arial" w:hAnsi="Arial"/>
                <w:sz w:val="18"/>
                <w:szCs w:val="18"/>
                <w:color w:val="0000FF"/>
                <w:w w:val="92"/>
              </w:rPr>
            </w:pPr>
            <w:hyperlink r:id="rId230">
              <w:r>
                <w:rPr>
                  <w:rFonts w:ascii="Arial" w:cs="Arial" w:eastAsia="Arial" w:hAnsi="Arial"/>
                  <w:sz w:val="18"/>
                  <w:szCs w:val="18"/>
                  <w:color w:val="0000FF"/>
                  <w:w w:val="92"/>
                </w:rPr>
                <w:t>reference to Exhibit 99.4 in Jazz Pharmaceuticals plc’s registration statement on Form S-8 (File No. 333-179075), as filed</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258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90"/>
              </w:rPr>
            </w:pPr>
            <w:hyperlink r:id="rId230">
              <w:r>
                <w:rPr>
                  <w:rFonts w:ascii="Arial" w:cs="Arial" w:eastAsia="Arial" w:hAnsi="Arial"/>
                  <w:sz w:val="18"/>
                  <w:szCs w:val="18"/>
                  <w:color w:val="0000FF"/>
                  <w:w w:val="90"/>
                </w:rPr>
                <w:t>with the SEC on January 18, 2012).</w:t>
              </w:r>
            </w:hyperlink>
          </w:p>
        </w:tc>
        <w:tc>
          <w:tcPr>
            <w:tcW w:w="6200" w:type="dxa"/>
            <w:vAlign w:val="bottom"/>
            <w:tcBorders>
              <w:top w:val="single" w:sz="8" w:color="0000FF"/>
              <w:bottom w:val="single" w:sz="8" w:color="CCEEFF"/>
            </w:tcBorders>
            <w:gridSpan w:val="19"/>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10.31B+</w:t>
            </w:r>
          </w:p>
        </w:tc>
        <w:tc>
          <w:tcPr>
            <w:tcW w:w="9200" w:type="dxa"/>
            <w:vAlign w:val="bottom"/>
            <w:gridSpan w:val="40"/>
          </w:tcPr>
          <w:p>
            <w:pPr>
              <w:spacing w:after="0" w:line="189" w:lineRule="exact"/>
              <w:rPr>
                <w:rFonts w:ascii="Arial" w:cs="Arial" w:eastAsia="Arial" w:hAnsi="Arial"/>
                <w:sz w:val="18"/>
                <w:szCs w:val="18"/>
                <w:color w:val="0000FF"/>
                <w:w w:val="98"/>
              </w:rPr>
            </w:pPr>
            <w:hyperlink r:id="rId231">
              <w:r>
                <w:rPr>
                  <w:rFonts w:ascii="Arial" w:cs="Arial" w:eastAsia="Arial" w:hAnsi="Arial"/>
                  <w:sz w:val="18"/>
                  <w:szCs w:val="18"/>
                  <w:color w:val="0000FF"/>
                  <w:w w:val="98"/>
                </w:rPr>
                <w:t>Form of Non-U.S. Option Grant Notice and Form of Non-U.S. Option Agreement under the Jazz Pharmaceuticals plc</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48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0"/>
              </w:rPr>
            </w:pPr>
            <w:hyperlink r:id="rId231">
              <w:r>
                <w:rPr>
                  <w:rFonts w:ascii="Arial" w:cs="Arial" w:eastAsia="Arial" w:hAnsi="Arial"/>
                  <w:sz w:val="18"/>
                  <w:szCs w:val="18"/>
                  <w:color w:val="0000FF"/>
                  <w:w w:val="90"/>
                </w:rPr>
                <w:t>Amended and Restated 2007 Non-Employee Directors Stock Option Plan (incorporated herein by reference to Exhibit</w:t>
              </w:r>
            </w:hyperlink>
          </w:p>
        </w:tc>
        <w:tc>
          <w:tcPr>
            <w:tcW w:w="40" w:type="dxa"/>
            <w:vAlign w:val="bottom"/>
            <w:tcBorders>
              <w:bottom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1"/>
          </w:tcPr>
          <w:p>
            <w:pPr>
              <w:spacing w:after="0" w:line="169" w:lineRule="exact"/>
              <w:rPr>
                <w:rFonts w:ascii="Arial" w:cs="Arial" w:eastAsia="Arial" w:hAnsi="Arial"/>
                <w:sz w:val="18"/>
                <w:szCs w:val="18"/>
                <w:color w:val="0000FF"/>
                <w:w w:val="99"/>
              </w:rPr>
            </w:pPr>
            <w:hyperlink r:id="rId231">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30B</w:t>
              </w:r>
              <w:r>
                <w:rPr>
                  <w:rFonts w:ascii="Arial" w:cs="Arial" w:eastAsia="Arial" w:hAnsi="Arial"/>
                  <w:sz w:val="18"/>
                  <w:szCs w:val="18"/>
                  <w:color w:val="0000FF"/>
                  <w:w w:val="99"/>
                </w:rPr>
                <w:t xml:space="preserve"> in Jazz Pharmaceuticals plc’s Annual Report on Form 10-K (File No. 001-33500) for the period ended December 31,</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0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231">
              <w:r>
                <w:rPr>
                  <w:rFonts w:ascii="Arial" w:cs="Arial" w:eastAsia="Arial" w:hAnsi="Arial"/>
                  <w:sz w:val="18"/>
                  <w:szCs w:val="18"/>
                  <w:color w:val="0000FF"/>
                </w:rPr>
                <w:t>2012, as filed with the SEC on February 26, 2013).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10.31C+</w:t>
            </w:r>
          </w:p>
        </w:tc>
        <w:tc>
          <w:tcPr>
            <w:tcW w:w="862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90"/>
              </w:rPr>
            </w:pPr>
            <w:hyperlink r:id="rId232">
              <w:r>
                <w:rPr>
                  <w:rFonts w:ascii="Arial" w:cs="Arial" w:eastAsia="Arial" w:hAnsi="Arial"/>
                  <w:sz w:val="18"/>
                  <w:szCs w:val="18"/>
                  <w:color w:val="0000FF"/>
                  <w:w w:val="90"/>
                </w:rPr>
                <w:t>Jazz Pharmaceuticals plc Amended and Restated 2007 Non-Employee Directors Stock Option Plan - Form of Non-U.S.</w:t>
              </w:r>
            </w:hyperlink>
          </w:p>
        </w:tc>
        <w:tc>
          <w:tcPr>
            <w:tcW w:w="580" w:type="dxa"/>
            <w:vAlign w:val="bottom"/>
            <w:tcBorders>
              <w:bottom w:val="single" w:sz="8" w:color="CCEEFF"/>
              <w:right w:val="single" w:sz="8" w:color="CCEEFF"/>
            </w:tcBorders>
            <w:gridSpan w:val="23"/>
            <w:shd w:val="clear" w:color="auto" w:fill="CCEEFF"/>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200" w:type="dxa"/>
            <w:vAlign w:val="bottom"/>
            <w:tcBorders>
              <w:right w:val="single" w:sz="8" w:color="CCEEFF"/>
            </w:tcBorders>
            <w:gridSpan w:val="40"/>
            <w:shd w:val="clear" w:color="auto" w:fill="CCEEFF"/>
          </w:tcPr>
          <w:p>
            <w:pPr>
              <w:spacing w:after="0" w:line="169" w:lineRule="exact"/>
              <w:rPr>
                <w:rFonts w:ascii="Arial" w:cs="Arial" w:eastAsia="Arial" w:hAnsi="Arial"/>
                <w:sz w:val="18"/>
                <w:szCs w:val="18"/>
                <w:color w:val="0000FF"/>
                <w:w w:val="93"/>
              </w:rPr>
            </w:pPr>
            <w:hyperlink r:id="rId232">
              <w:r>
                <w:rPr>
                  <w:rFonts w:ascii="Arial" w:cs="Arial" w:eastAsia="Arial" w:hAnsi="Arial"/>
                  <w:sz w:val="18"/>
                  <w:szCs w:val="18"/>
                  <w:color w:val="0000FF"/>
                  <w:w w:val="93"/>
                </w:rPr>
                <w:t>Option Grant Notice and Form of Non-U.S. Option Agreement (approved August 1, 2013) (incorporated herein by reference</w:t>
              </w:r>
            </w:hyperlink>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34"/>
            <w:shd w:val="clear" w:color="auto" w:fill="CCEEFF"/>
          </w:tcPr>
          <w:p>
            <w:pPr>
              <w:spacing w:after="0" w:line="169" w:lineRule="exact"/>
              <w:rPr>
                <w:rFonts w:ascii="Arial" w:cs="Arial" w:eastAsia="Arial" w:hAnsi="Arial"/>
                <w:sz w:val="18"/>
                <w:szCs w:val="18"/>
                <w:color w:val="0000FF"/>
                <w:w w:val="95"/>
              </w:rPr>
            </w:pPr>
            <w:hyperlink r:id="rId232">
              <w:r>
                <w:rPr>
                  <w:rFonts w:ascii="Arial" w:cs="Arial" w:eastAsia="Arial" w:hAnsi="Arial"/>
                  <w:sz w:val="18"/>
                  <w:szCs w:val="18"/>
                  <w:color w:val="0000FF"/>
                  <w:w w:val="95"/>
                </w:rPr>
                <w:t>to Exhibit 10.7 in Jazz Pharmaceuticals plc’s Quarterly Report on Form 10-Q (File No. 001-33500) for the period ended</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480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8"/>
                <w:szCs w:val="18"/>
                <w:color w:val="0000FF"/>
                <w:w w:val="90"/>
              </w:rPr>
            </w:pPr>
            <w:hyperlink r:id="rId232">
              <w:r>
                <w:rPr>
                  <w:rFonts w:ascii="Arial" w:cs="Arial" w:eastAsia="Arial" w:hAnsi="Arial"/>
                  <w:sz w:val="18"/>
                  <w:szCs w:val="18"/>
                  <w:color w:val="0000FF"/>
                  <w:w w:val="90"/>
                </w:rPr>
                <w:t>September 30, 2013, as filed with the SEC on November 5, 2013).</w:t>
              </w:r>
            </w:hyperlink>
          </w:p>
        </w:tc>
        <w:tc>
          <w:tcPr>
            <w:tcW w:w="3860" w:type="dxa"/>
            <w:vAlign w:val="bottom"/>
            <w:tcBorders>
              <w:top w:val="single" w:sz="8" w:color="0000FF"/>
              <w:bottom w:val="single" w:sz="8" w:color="CCEEFF"/>
            </w:tcBorders>
            <w:gridSpan w:val="11"/>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10.31D+</w:t>
            </w:r>
          </w:p>
        </w:tc>
        <w:tc>
          <w:tcPr>
            <w:tcW w:w="9200" w:type="dxa"/>
            <w:vAlign w:val="bottom"/>
            <w:gridSpan w:val="40"/>
          </w:tcPr>
          <w:p>
            <w:pPr>
              <w:spacing w:after="0" w:line="189" w:lineRule="exact"/>
              <w:rPr>
                <w:rFonts w:ascii="Arial" w:cs="Arial" w:eastAsia="Arial" w:hAnsi="Arial"/>
                <w:sz w:val="18"/>
                <w:szCs w:val="18"/>
                <w:color w:val="0000FF"/>
                <w:w w:val="92"/>
              </w:rPr>
            </w:pPr>
            <w:hyperlink r:id="rId233">
              <w:r>
                <w:rPr>
                  <w:rFonts w:ascii="Arial" w:cs="Arial" w:eastAsia="Arial" w:hAnsi="Arial"/>
                  <w:sz w:val="18"/>
                  <w:szCs w:val="18"/>
                  <w:color w:val="0000FF"/>
                  <w:w w:val="92"/>
                </w:rPr>
                <w:t>Amended and Restated 2007 Non-Employee Directors Stock Award Plan (approved August 4, 2016) (incorporated herein by</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80" w:type="dxa"/>
            <w:vAlign w:val="bottom"/>
            <w:tcBorders>
              <w:top w:val="single" w:sz="8" w:color="0000FF"/>
            </w:tcBorders>
            <w:gridSpan w:val="35"/>
          </w:tcPr>
          <w:p>
            <w:pPr>
              <w:spacing w:after="0" w:line="169" w:lineRule="exact"/>
              <w:rPr>
                <w:rFonts w:ascii="Arial" w:cs="Arial" w:eastAsia="Arial" w:hAnsi="Arial"/>
                <w:sz w:val="18"/>
                <w:szCs w:val="18"/>
                <w:color w:val="0000FF"/>
                <w:w w:val="93"/>
              </w:rPr>
            </w:pPr>
            <w:hyperlink r:id="rId233">
              <w:r>
                <w:rPr>
                  <w:rFonts w:ascii="Arial" w:cs="Arial" w:eastAsia="Arial" w:hAnsi="Arial"/>
                  <w:sz w:val="18"/>
                  <w:szCs w:val="18"/>
                  <w:color w:val="0000FF"/>
                  <w:w w:val="93"/>
                </w:rPr>
                <w:t>reference to Exhibit 10.9 in Jazz Pharmaceuticals plc’s Quarterly Report on Form 10-Q (File No. 001-33500) for the period</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0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233">
              <w:r>
                <w:rPr>
                  <w:rFonts w:ascii="Arial" w:cs="Arial" w:eastAsia="Arial" w:hAnsi="Arial"/>
                  <w:sz w:val="18"/>
                  <w:szCs w:val="18"/>
                  <w:color w:val="0000FF"/>
                </w:rPr>
                <w:t>ended June 30, 2016, as filed with the SEC on August 9,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10.31E+</w:t>
            </w:r>
          </w:p>
        </w:tc>
        <w:tc>
          <w:tcPr>
            <w:tcW w:w="920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2"/>
              </w:rPr>
            </w:pPr>
            <w:hyperlink r:id="rId234">
              <w:r>
                <w:rPr>
                  <w:rFonts w:ascii="Arial" w:cs="Arial" w:eastAsia="Arial" w:hAnsi="Arial"/>
                  <w:sz w:val="18"/>
                  <w:szCs w:val="18"/>
                  <w:color w:val="0000FF"/>
                  <w:w w:val="92"/>
                </w:rPr>
                <w:t>Amended and Restated 2007 Non-Employee Directors Stock Award Plan (approved November 3, 2016) (incorporated herein</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140" w:type="dxa"/>
            <w:vAlign w:val="bottom"/>
            <w:tcBorders>
              <w:top w:val="single" w:sz="8" w:color="0000FF"/>
            </w:tcBorders>
            <w:gridSpan w:val="38"/>
            <w:shd w:val="clear" w:color="auto" w:fill="CCEEFF"/>
          </w:tcPr>
          <w:p>
            <w:pPr>
              <w:spacing w:after="0" w:line="169" w:lineRule="exact"/>
              <w:rPr>
                <w:rFonts w:ascii="Arial" w:cs="Arial" w:eastAsia="Arial" w:hAnsi="Arial"/>
                <w:sz w:val="18"/>
                <w:szCs w:val="18"/>
                <w:color w:val="0000FF"/>
                <w:w w:val="96"/>
              </w:rPr>
            </w:pPr>
            <w:hyperlink r:id="rId234">
              <w:r>
                <w:rPr>
                  <w:rFonts w:ascii="Arial" w:cs="Arial" w:eastAsia="Arial" w:hAnsi="Arial"/>
                  <w:sz w:val="18"/>
                  <w:szCs w:val="18"/>
                  <w:color w:val="0000FF"/>
                  <w:w w:val="96"/>
                </w:rPr>
                <w:t>by reference to Exhibit 10.3 in Jazz Pharmaceuticals plc’s Quarterly Report on Form 10-Q (File No. 001-33500) for the</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578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8"/>
                <w:szCs w:val="18"/>
                <w:color w:val="0000FF"/>
                <w:w w:val="90"/>
              </w:rPr>
            </w:pPr>
            <w:hyperlink r:id="rId234">
              <w:r>
                <w:rPr>
                  <w:rFonts w:ascii="Arial" w:cs="Arial" w:eastAsia="Arial" w:hAnsi="Arial"/>
                  <w:sz w:val="18"/>
                  <w:szCs w:val="18"/>
                  <w:color w:val="0000FF"/>
                  <w:w w:val="90"/>
                </w:rPr>
                <w:t>period ended September 30, 2016, as filed with the SEC on November 8, 2016).</w:t>
              </w:r>
            </w:hyperlink>
          </w:p>
        </w:tc>
        <w:tc>
          <w:tcPr>
            <w:tcW w:w="2840" w:type="dxa"/>
            <w:vAlign w:val="bottom"/>
            <w:tcBorders>
              <w:top w:val="single" w:sz="8" w:color="0000FF"/>
              <w:bottom w:val="single" w:sz="8" w:color="CCEEFF"/>
            </w:tcBorders>
            <w:gridSpan w:val="7"/>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10.31F+</w:t>
            </w:r>
          </w:p>
        </w:tc>
        <w:tc>
          <w:tcPr>
            <w:tcW w:w="9200" w:type="dxa"/>
            <w:vAlign w:val="bottom"/>
            <w:gridSpan w:val="40"/>
          </w:tcPr>
          <w:p>
            <w:pPr>
              <w:spacing w:after="0" w:line="189" w:lineRule="exact"/>
              <w:rPr>
                <w:rFonts w:ascii="Arial" w:cs="Arial" w:eastAsia="Arial" w:hAnsi="Arial"/>
                <w:sz w:val="18"/>
                <w:szCs w:val="18"/>
                <w:color w:val="0000FF"/>
                <w:w w:val="93"/>
              </w:rPr>
            </w:pPr>
            <w:hyperlink r:id="rId235">
              <w:r>
                <w:rPr>
                  <w:rFonts w:ascii="Arial" w:cs="Arial" w:eastAsia="Arial" w:hAnsi="Arial"/>
                  <w:sz w:val="18"/>
                  <w:szCs w:val="18"/>
                  <w:color w:val="0000FF"/>
                  <w:w w:val="93"/>
                </w:rPr>
                <w:t>Amended and Restated 2007 Non-Employee Directors Stock Award Plan (approved July 30, 2020) (incorporated herein by</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80" w:type="dxa"/>
            <w:vAlign w:val="bottom"/>
            <w:tcBorders>
              <w:top w:val="single" w:sz="8" w:color="0000FF"/>
            </w:tcBorders>
            <w:gridSpan w:val="25"/>
          </w:tcPr>
          <w:p>
            <w:pPr>
              <w:spacing w:after="0" w:line="169" w:lineRule="exact"/>
              <w:rPr>
                <w:rFonts w:ascii="Arial" w:cs="Arial" w:eastAsia="Arial" w:hAnsi="Arial"/>
                <w:sz w:val="18"/>
                <w:szCs w:val="18"/>
                <w:color w:val="0000FF"/>
                <w:w w:val="91"/>
              </w:rPr>
            </w:pPr>
            <w:hyperlink r:id="rId235">
              <w:r>
                <w:rPr>
                  <w:rFonts w:ascii="Arial" w:cs="Arial" w:eastAsia="Arial" w:hAnsi="Arial"/>
                  <w:sz w:val="18"/>
                  <w:szCs w:val="18"/>
                  <w:color w:val="0000FF"/>
                  <w:w w:val="91"/>
                </w:rPr>
                <w:t>reference to Exhibit 10.3 in Jazz Pharmaceuticals plc’s Quarterly Report on Form 10-Q (File No. 001-33500) for the period</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0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235">
              <w:r>
                <w:rPr>
                  <w:rFonts w:ascii="Arial" w:cs="Arial" w:eastAsia="Arial" w:hAnsi="Arial"/>
                  <w:sz w:val="18"/>
                  <w:szCs w:val="18"/>
                  <w:color w:val="0000FF"/>
                </w:rPr>
                <w:t>ended June 30, 2020, as filed with the SEC on August 4,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10.31G+</w:t>
            </w:r>
          </w:p>
        </w:tc>
        <w:tc>
          <w:tcPr>
            <w:tcW w:w="920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3"/>
              </w:rPr>
            </w:pPr>
            <w:hyperlink r:id="rId236">
              <w:r>
                <w:rPr>
                  <w:rFonts w:ascii="Arial" w:cs="Arial" w:eastAsia="Arial" w:hAnsi="Arial"/>
                  <w:sz w:val="18"/>
                  <w:szCs w:val="18"/>
                  <w:color w:val="0000FF"/>
                  <w:w w:val="93"/>
                </w:rPr>
                <w:t>Form of Non-U.S. Restricted Stock Unit Award Grant Notice and Form of Non-U.S. Restricted Stock Unit Award Agreement</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200" w:type="dxa"/>
            <w:vAlign w:val="bottom"/>
            <w:tcBorders>
              <w:top w:val="single" w:sz="8" w:color="0000FF"/>
              <w:right w:val="single" w:sz="8" w:color="CCEEFF"/>
            </w:tcBorders>
            <w:gridSpan w:val="40"/>
            <w:shd w:val="clear" w:color="auto" w:fill="CCEEFF"/>
          </w:tcPr>
          <w:p>
            <w:pPr>
              <w:spacing w:after="0" w:line="169" w:lineRule="exact"/>
              <w:rPr>
                <w:rFonts w:ascii="Arial" w:cs="Arial" w:eastAsia="Arial" w:hAnsi="Arial"/>
                <w:sz w:val="18"/>
                <w:szCs w:val="18"/>
                <w:color w:val="0000FF"/>
                <w:w w:val="93"/>
              </w:rPr>
            </w:pPr>
            <w:hyperlink r:id="rId236">
              <w:r>
                <w:rPr>
                  <w:rFonts w:ascii="Arial" w:cs="Arial" w:eastAsia="Arial" w:hAnsi="Arial"/>
                  <w:sz w:val="18"/>
                  <w:szCs w:val="18"/>
                  <w:color w:val="0000FF"/>
                  <w:w w:val="93"/>
                </w:rPr>
                <w:t>under the Jazz Pharmaceuticals plc Amended and Restated 2007 Non-Employee Directors Stock Award Plan (incorporated</w:t>
              </w:r>
            </w:hyperlink>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w w:val="91"/>
              </w:rPr>
            </w:pPr>
            <w:hyperlink r:id="rId236">
              <w:r>
                <w:rPr>
                  <w:rFonts w:ascii="Arial" w:cs="Arial" w:eastAsia="Arial" w:hAnsi="Arial"/>
                  <w:sz w:val="18"/>
                  <w:szCs w:val="18"/>
                  <w:color w:val="0000FF"/>
                  <w:w w:val="91"/>
                </w:rPr>
                <w:t>herein by reference to Exhibit 10.4 in Jazz Pharmaceuticals plc’s Quarterly Report on Form 10-Q (File No. 001-33500) for</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6040" w:type="dxa"/>
            <w:vAlign w:val="bottom"/>
            <w:tcBorders>
              <w:top w:val="single" w:sz="8" w:color="0000FF"/>
              <w:bottom w:val="single" w:sz="8" w:color="0000FF"/>
            </w:tcBorders>
            <w:gridSpan w:val="10"/>
            <w:shd w:val="clear" w:color="auto" w:fill="CCEEFF"/>
          </w:tcPr>
          <w:p>
            <w:pPr>
              <w:spacing w:after="0" w:line="169" w:lineRule="exact"/>
              <w:rPr>
                <w:rFonts w:ascii="Arial" w:cs="Arial" w:eastAsia="Arial" w:hAnsi="Arial"/>
                <w:sz w:val="18"/>
                <w:szCs w:val="18"/>
                <w:color w:val="0000FF"/>
                <w:w w:val="90"/>
              </w:rPr>
            </w:pPr>
            <w:hyperlink r:id="rId236">
              <w:r>
                <w:rPr>
                  <w:rFonts w:ascii="Arial" w:cs="Arial" w:eastAsia="Arial" w:hAnsi="Arial"/>
                  <w:sz w:val="18"/>
                  <w:szCs w:val="18"/>
                  <w:color w:val="0000FF"/>
                  <w:w w:val="90"/>
                </w:rPr>
                <w:t>the period ended September 30, 2016, as filed with the SEC on November 8, 2016).</w:t>
              </w:r>
            </w:hyperlink>
          </w:p>
        </w:tc>
        <w:tc>
          <w:tcPr>
            <w:tcW w:w="2800" w:type="dxa"/>
            <w:vAlign w:val="bottom"/>
            <w:tcBorders>
              <w:top w:val="single" w:sz="8" w:color="0000FF"/>
              <w:bottom w:val="single" w:sz="8" w:color="CCEEFF"/>
            </w:tcBorders>
            <w:gridSpan w:val="1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10.31H+</w:t>
            </w:r>
          </w:p>
        </w:tc>
        <w:tc>
          <w:tcPr>
            <w:tcW w:w="9200" w:type="dxa"/>
            <w:vAlign w:val="bottom"/>
            <w:gridSpan w:val="40"/>
          </w:tcPr>
          <w:p>
            <w:pPr>
              <w:spacing w:after="0" w:line="189" w:lineRule="exact"/>
              <w:rPr>
                <w:rFonts w:ascii="Arial" w:cs="Arial" w:eastAsia="Arial" w:hAnsi="Arial"/>
                <w:sz w:val="18"/>
                <w:szCs w:val="18"/>
                <w:color w:val="0000FF"/>
                <w:w w:val="98"/>
              </w:rPr>
            </w:pPr>
            <w:hyperlink r:id="rId237">
              <w:r>
                <w:rPr>
                  <w:rFonts w:ascii="Arial" w:cs="Arial" w:eastAsia="Arial" w:hAnsi="Arial"/>
                  <w:sz w:val="18"/>
                  <w:szCs w:val="18"/>
                  <w:color w:val="0000FF"/>
                  <w:w w:val="98"/>
                </w:rPr>
                <w:t>Form of Non-U.S. Option Grant Notice and Form of Non-U.S. Option Agreement under the Jazz Pharmaceuticals plc</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480" w:type="dxa"/>
            <w:vAlign w:val="bottom"/>
            <w:tcBorders>
              <w:top w:val="single" w:sz="8" w:color="0000FF"/>
            </w:tcBorders>
            <w:gridSpan w:val="14"/>
          </w:tcPr>
          <w:p>
            <w:pPr>
              <w:spacing w:after="0" w:line="169" w:lineRule="exact"/>
              <w:rPr>
                <w:rFonts w:ascii="Arial" w:cs="Arial" w:eastAsia="Arial" w:hAnsi="Arial"/>
                <w:sz w:val="18"/>
                <w:szCs w:val="18"/>
                <w:color w:val="0000FF"/>
                <w:w w:val="90"/>
              </w:rPr>
            </w:pPr>
            <w:hyperlink r:id="rId237">
              <w:r>
                <w:rPr>
                  <w:rFonts w:ascii="Arial" w:cs="Arial" w:eastAsia="Arial" w:hAnsi="Arial"/>
                  <w:sz w:val="18"/>
                  <w:szCs w:val="18"/>
                  <w:color w:val="0000FF"/>
                  <w:w w:val="90"/>
                </w:rPr>
                <w:t>Amended and Restated Non-Employee Directors 2007 Stock Award Plan (incorporated herein by reference to Exhibit</w:t>
              </w:r>
            </w:hyperlink>
          </w:p>
        </w:tc>
        <w:tc>
          <w:tcPr>
            <w:tcW w:w="1380" w:type="dxa"/>
            <w:vAlign w:val="bottom"/>
            <w:gridSpan w:val="27"/>
          </w:tcPr>
          <w:p>
            <w:pPr>
              <w:ind w:left="60"/>
              <w:spacing w:after="0" w:line="169" w:lineRule="exact"/>
              <w:rPr>
                <w:rFonts w:ascii="Arial" w:cs="Arial" w:eastAsia="Arial" w:hAnsi="Arial"/>
                <w:sz w:val="18"/>
                <w:szCs w:val="18"/>
                <w:color w:val="0000FF"/>
              </w:rPr>
            </w:pPr>
            <w:hyperlink r:id="rId237">
              <w:r>
                <w:rPr>
                  <w:rFonts w:ascii="Arial" w:cs="Arial" w:eastAsia="Arial" w:hAnsi="Arial"/>
                  <w:sz w:val="18"/>
                  <w:szCs w:val="18"/>
                  <w:color w:val="0000FF"/>
                </w:rPr>
                <w:t>10.5 in</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60" w:type="dxa"/>
            <w:vAlign w:val="bottom"/>
            <w:tcBorders>
              <w:top w:val="single" w:sz="8" w:color="0000FF"/>
            </w:tcBorders>
            <w:gridSpan w:val="39"/>
          </w:tcPr>
          <w:p>
            <w:pPr>
              <w:spacing w:after="0" w:line="169" w:lineRule="exact"/>
              <w:rPr>
                <w:rFonts w:ascii="Arial" w:cs="Arial" w:eastAsia="Arial" w:hAnsi="Arial"/>
                <w:sz w:val="18"/>
                <w:szCs w:val="18"/>
                <w:color w:val="0000FF"/>
                <w:w w:val="93"/>
              </w:rPr>
            </w:pPr>
            <w:hyperlink r:id="rId237">
              <w:r>
                <w:rPr>
                  <w:rFonts w:ascii="Arial" w:cs="Arial" w:eastAsia="Arial" w:hAnsi="Arial"/>
                  <w:sz w:val="18"/>
                  <w:szCs w:val="18"/>
                  <w:color w:val="0000FF"/>
                  <w:w w:val="93"/>
                </w:rPr>
                <w:t>Jazz Pharmaceuticals plc’s Quarterly Report on Form 10-Q (File No. 001-33500) for the period ended September 30, 2016,</w:t>
              </w:r>
            </w:hyperlink>
          </w:p>
        </w:tc>
        <w:tc>
          <w:tcPr>
            <w:tcW w:w="7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6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237">
              <w:r>
                <w:rPr>
                  <w:rFonts w:ascii="Arial" w:cs="Arial" w:eastAsia="Arial" w:hAnsi="Arial"/>
                  <w:sz w:val="18"/>
                  <w:szCs w:val="18"/>
                  <w:color w:val="0000FF"/>
                </w:rPr>
                <w:t>as filed with the SEC on November 8, 2016).</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10.31I+</w:t>
            </w:r>
          </w:p>
        </w:tc>
        <w:tc>
          <w:tcPr>
            <w:tcW w:w="920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3"/>
              </w:rPr>
            </w:pPr>
            <w:hyperlink r:id="rId238">
              <w:r>
                <w:rPr>
                  <w:rFonts w:ascii="Arial" w:cs="Arial" w:eastAsia="Arial" w:hAnsi="Arial"/>
                  <w:sz w:val="18"/>
                  <w:szCs w:val="18"/>
                  <w:color w:val="0000FF"/>
                  <w:w w:val="93"/>
                </w:rPr>
                <w:t>Form of Non-U.S. Option Grant Notice and Non-U.S. Option Agreement under the Jazz Pharmaceuticals plc Amended and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340" w:type="dxa"/>
            <w:vAlign w:val="bottom"/>
            <w:tcBorders>
              <w:top w:val="single" w:sz="8" w:color="0000FF"/>
              <w:bottom w:val="single" w:sz="8" w:color="0000FF"/>
            </w:tcBorders>
            <w:gridSpan w:val="12"/>
            <w:shd w:val="clear" w:color="auto" w:fill="CCEEFF"/>
          </w:tcPr>
          <w:p>
            <w:pPr>
              <w:spacing w:after="0" w:line="169" w:lineRule="exact"/>
              <w:rPr>
                <w:rFonts w:ascii="Arial" w:cs="Arial" w:eastAsia="Arial" w:hAnsi="Arial"/>
                <w:sz w:val="18"/>
                <w:szCs w:val="18"/>
                <w:color w:val="0000FF"/>
                <w:w w:val="90"/>
              </w:rPr>
            </w:pPr>
            <w:hyperlink r:id="rId238">
              <w:r>
                <w:rPr>
                  <w:rFonts w:ascii="Arial" w:cs="Arial" w:eastAsia="Arial" w:hAnsi="Arial"/>
                  <w:sz w:val="18"/>
                  <w:szCs w:val="18"/>
                  <w:color w:val="0000FF"/>
                  <w:w w:val="90"/>
                </w:rPr>
                <w:t>Restated 2007 Non-Employee Directors Stock Award Plan (incorporated herein by reference to Exhibit 10.2 in Jazz</w:t>
              </w:r>
            </w:hyperlink>
          </w:p>
        </w:tc>
        <w:tc>
          <w:tcPr>
            <w:tcW w:w="68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right w:val="single" w:sz="8" w:color="CCEEFF"/>
            </w:tcBorders>
            <w:gridSpan w:val="7"/>
            <w:shd w:val="clear" w:color="auto" w:fill="CCEEFF"/>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200" w:type="dxa"/>
            <w:vAlign w:val="bottom"/>
            <w:tcBorders>
              <w:right w:val="single" w:sz="8" w:color="CCEEFF"/>
            </w:tcBorders>
            <w:gridSpan w:val="40"/>
            <w:shd w:val="clear" w:color="auto" w:fill="CCEEFF"/>
          </w:tcPr>
          <w:p>
            <w:pPr>
              <w:spacing w:after="0" w:line="169" w:lineRule="exact"/>
              <w:rPr>
                <w:rFonts w:ascii="Arial" w:cs="Arial" w:eastAsia="Arial" w:hAnsi="Arial"/>
                <w:sz w:val="18"/>
                <w:szCs w:val="18"/>
                <w:color w:val="0000FF"/>
                <w:w w:val="95"/>
              </w:rPr>
            </w:pPr>
            <w:hyperlink r:id="rId238">
              <w:r>
                <w:rPr>
                  <w:rFonts w:ascii="Arial" w:cs="Arial" w:eastAsia="Arial" w:hAnsi="Arial"/>
                  <w:sz w:val="18"/>
                  <w:szCs w:val="18"/>
                  <w:color w:val="0000FF"/>
                  <w:w w:val="95"/>
                </w:rPr>
                <w:t>Pharmaceuticals plc’s Quarterly Report on Form 10-Q (File No. 001-33500) for the period ended September 30, 2018, as</w:t>
              </w:r>
            </w:hyperlink>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740" w:type="dxa"/>
            <w:vAlign w:val="bottom"/>
            <w:tcBorders>
              <w:top w:val="single" w:sz="8" w:color="0000FF"/>
            </w:tcBorders>
            <w:gridSpan w:val="20"/>
            <w:shd w:val="clear" w:color="auto" w:fill="CCEEFF"/>
          </w:tcPr>
          <w:p>
            <w:pPr>
              <w:spacing w:after="0" w:line="169" w:lineRule="exact"/>
              <w:rPr>
                <w:rFonts w:ascii="Arial" w:cs="Arial" w:eastAsia="Arial" w:hAnsi="Arial"/>
                <w:sz w:val="18"/>
                <w:szCs w:val="18"/>
                <w:color w:val="0000FF"/>
              </w:rPr>
            </w:pPr>
            <w:hyperlink r:id="rId238">
              <w:r>
                <w:rPr>
                  <w:rFonts w:ascii="Arial" w:cs="Arial" w:eastAsia="Arial" w:hAnsi="Arial"/>
                  <w:sz w:val="18"/>
                  <w:szCs w:val="18"/>
                  <w:color w:val="0000FF"/>
                </w:rPr>
                <w:t>filed with the SEC on November 6, 2018).</w:t>
              </w:r>
            </w:hyperlink>
          </w:p>
        </w:tc>
        <w:tc>
          <w:tcPr>
            <w:tcW w:w="160" w:type="dxa"/>
            <w:vAlign w:val="bottom"/>
            <w:tcBorders>
              <w:top w:val="single" w:sz="8" w:color="CCEEFF"/>
            </w:tcBorders>
            <w:gridSpan w:val="6"/>
            <w:shd w:val="clear" w:color="auto" w:fill="CCEEFF"/>
          </w:tcPr>
          <w:p>
            <w:pPr>
              <w:spacing w:after="0"/>
              <w:rPr>
                <w:sz w:val="14"/>
                <w:szCs w:val="14"/>
                <w:color w:val="auto"/>
              </w:rPr>
            </w:pPr>
          </w:p>
        </w:tc>
        <w:tc>
          <w:tcPr>
            <w:tcW w:w="140" w:type="dxa"/>
            <w:vAlign w:val="bottom"/>
            <w:tcBorders>
              <w:top w:val="single" w:sz="8" w:color="CCEEFF"/>
            </w:tcBorders>
            <w:gridSpan w:val="7"/>
            <w:shd w:val="clear" w:color="auto" w:fill="CCEEFF"/>
          </w:tcPr>
          <w:p>
            <w:pPr>
              <w:spacing w:after="0"/>
              <w:rPr>
                <w:sz w:val="14"/>
                <w:szCs w:val="14"/>
                <w:color w:val="auto"/>
              </w:rPr>
            </w:pPr>
          </w:p>
        </w:tc>
        <w:tc>
          <w:tcPr>
            <w:tcW w:w="160" w:type="dxa"/>
            <w:vAlign w:val="bottom"/>
            <w:tcBorders>
              <w:top w:val="single" w:sz="8" w:color="CCEEFF"/>
              <w:right w:val="single" w:sz="8" w:color="CCEEFF"/>
            </w:tcBorders>
            <w:gridSpan w:val="7"/>
            <w:shd w:val="clear" w:color="auto" w:fill="CCEEFF"/>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10.31J+</w:t>
            </w:r>
          </w:p>
        </w:tc>
        <w:tc>
          <w:tcPr>
            <w:tcW w:w="9200" w:type="dxa"/>
            <w:vAlign w:val="bottom"/>
            <w:gridSpan w:val="40"/>
          </w:tcPr>
          <w:p>
            <w:pPr>
              <w:spacing w:after="0" w:line="189" w:lineRule="exact"/>
              <w:rPr>
                <w:rFonts w:ascii="Arial" w:cs="Arial" w:eastAsia="Arial" w:hAnsi="Arial"/>
                <w:sz w:val="18"/>
                <w:szCs w:val="18"/>
                <w:color w:val="0000FF"/>
                <w:w w:val="95"/>
              </w:rPr>
            </w:pPr>
            <w:hyperlink r:id="rId239">
              <w:r>
                <w:rPr>
                  <w:rFonts w:ascii="Arial" w:cs="Arial" w:eastAsia="Arial" w:hAnsi="Arial"/>
                  <w:sz w:val="18"/>
                  <w:szCs w:val="18"/>
                  <w:color w:val="0000FF"/>
                  <w:w w:val="95"/>
                </w:rPr>
                <w:t>Form of Non-U.S. Restricted Stock Unit Award Grant Notice and Non-U.S. Restricted Stock Unit Award Agreement under</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90"/>
              </w:rPr>
            </w:pPr>
            <w:hyperlink r:id="rId239">
              <w:r>
                <w:rPr>
                  <w:rFonts w:ascii="Arial" w:cs="Arial" w:eastAsia="Arial" w:hAnsi="Arial"/>
                  <w:sz w:val="18"/>
                  <w:szCs w:val="18"/>
                  <w:color w:val="0000FF"/>
                  <w:w w:val="90"/>
                </w:rPr>
                <w:t>the Jazz Pharmaceuticals plc Amended and Restated 2007 Non-Employee Directors Stock Award Plan (incorporated herein</w:t>
              </w:r>
            </w:hyperlink>
          </w:p>
        </w:tc>
        <w:tc>
          <w:tcPr>
            <w:tcW w:w="140" w:type="dxa"/>
            <w:vAlign w:val="bottom"/>
            <w:tcBorders>
              <w:bottom w:val="single" w:sz="8" w:color="0000FF"/>
            </w:tcBorders>
            <w:gridSpan w:val="7"/>
          </w:tcPr>
          <w:p>
            <w:pPr>
              <w:spacing w:after="0"/>
              <w:rPr>
                <w:sz w:val="14"/>
                <w:szCs w:val="14"/>
                <w:color w:val="auto"/>
              </w:rPr>
            </w:pPr>
          </w:p>
        </w:tc>
        <w:tc>
          <w:tcPr>
            <w:tcW w:w="8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40" w:type="dxa"/>
            <w:vAlign w:val="bottom"/>
            <w:gridSpan w:val="33"/>
          </w:tcPr>
          <w:p>
            <w:pPr>
              <w:spacing w:after="0" w:line="169" w:lineRule="exact"/>
              <w:rPr>
                <w:rFonts w:ascii="Arial" w:cs="Arial" w:eastAsia="Arial" w:hAnsi="Arial"/>
                <w:sz w:val="18"/>
                <w:szCs w:val="18"/>
                <w:color w:val="0000FF"/>
                <w:w w:val="95"/>
              </w:rPr>
            </w:pPr>
            <w:hyperlink r:id="rId239">
              <w:r>
                <w:rPr>
                  <w:rFonts w:ascii="Arial" w:cs="Arial" w:eastAsia="Arial" w:hAnsi="Arial"/>
                  <w:sz w:val="18"/>
                  <w:szCs w:val="18"/>
                  <w:color w:val="0000FF"/>
                  <w:w w:val="95"/>
                </w:rPr>
                <w:t>by reference to Exhibit 10.3 in Jazz Pharmaceuticals plc’s Quarterly Report on Form 10-Q (File No. 001-33500) for the</w:t>
              </w:r>
            </w:hyperlink>
          </w:p>
        </w:tc>
        <w:tc>
          <w:tcPr>
            <w:tcW w:w="8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62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239">
              <w:r>
                <w:rPr>
                  <w:rFonts w:ascii="Arial" w:cs="Arial" w:eastAsia="Arial" w:hAnsi="Arial"/>
                  <w:sz w:val="18"/>
                  <w:szCs w:val="18"/>
                  <w:color w:val="0000FF"/>
                </w:rPr>
                <w:t>period ended September 30, 2018, as filed with the SEC on November 6, 2018).</w:t>
              </w:r>
            </w:hyperlink>
          </w:p>
        </w:tc>
        <w:tc>
          <w:tcPr>
            <w:tcW w:w="124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898"/>
        </w:trPr>
        <w:tc>
          <w:tcPr>
            <w:tcW w:w="1380" w:type="dxa"/>
            <w:vAlign w:val="bottom"/>
          </w:tcPr>
          <w:p>
            <w:pPr>
              <w:spacing w:after="0"/>
              <w:rPr>
                <w:sz w:val="24"/>
                <w:szCs w:val="24"/>
                <w:color w:val="auto"/>
              </w:rPr>
            </w:pPr>
          </w:p>
        </w:tc>
        <w:tc>
          <w:tcPr>
            <w:tcW w:w="4580" w:type="dxa"/>
            <w:vAlign w:val="bottom"/>
            <w:tcBorders>
              <w:top w:val="single" w:sz="8" w:color="0000FF"/>
            </w:tcBorders>
            <w:gridSpan w:val="6"/>
          </w:tcPr>
          <w:p>
            <w:pPr>
              <w:ind w:left="4120"/>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10.31K+</w:t>
            </w:r>
          </w:p>
        </w:tc>
        <w:tc>
          <w:tcPr>
            <w:tcW w:w="9180" w:type="dxa"/>
            <w:vAlign w:val="bottom"/>
            <w:gridSpan w:val="38"/>
            <w:shd w:val="clear" w:color="auto" w:fill="CCEEFF"/>
          </w:tcPr>
          <w:p>
            <w:pPr>
              <w:spacing w:after="0" w:line="189" w:lineRule="exact"/>
              <w:rPr>
                <w:rFonts w:ascii="Arial" w:cs="Arial" w:eastAsia="Arial" w:hAnsi="Arial"/>
                <w:sz w:val="18"/>
                <w:szCs w:val="18"/>
                <w:color w:val="0000FF"/>
                <w:w w:val="93"/>
              </w:rPr>
            </w:pPr>
            <w:hyperlink r:id="rId242">
              <w:r>
                <w:rPr>
                  <w:rFonts w:ascii="Arial" w:cs="Arial" w:eastAsia="Arial" w:hAnsi="Arial"/>
                  <w:sz w:val="18"/>
                  <w:szCs w:val="18"/>
                  <w:color w:val="0000FF"/>
                  <w:w w:val="93"/>
                </w:rPr>
                <w:t>Form of Non-U.S. Option Grant Notice and Non-U.S. Option Agreement under the Jazz Pharmaceuticals plc Amended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340" w:type="dxa"/>
            <w:vAlign w:val="bottom"/>
            <w:tcBorders>
              <w:top w:val="single" w:sz="8" w:color="0000FF"/>
              <w:bottom w:val="single" w:sz="8" w:color="0000FF"/>
            </w:tcBorders>
            <w:gridSpan w:val="15"/>
            <w:shd w:val="clear" w:color="auto" w:fill="CCEEFF"/>
          </w:tcPr>
          <w:p>
            <w:pPr>
              <w:spacing w:after="0" w:line="169" w:lineRule="exact"/>
              <w:rPr>
                <w:rFonts w:ascii="Arial" w:cs="Arial" w:eastAsia="Arial" w:hAnsi="Arial"/>
                <w:sz w:val="18"/>
                <w:szCs w:val="18"/>
                <w:color w:val="0000FF"/>
                <w:w w:val="90"/>
              </w:rPr>
            </w:pPr>
            <w:hyperlink r:id="rId242">
              <w:r>
                <w:rPr>
                  <w:rFonts w:ascii="Arial" w:cs="Arial" w:eastAsia="Arial" w:hAnsi="Arial"/>
                  <w:sz w:val="18"/>
                  <w:szCs w:val="18"/>
                  <w:color w:val="0000FF"/>
                  <w:w w:val="90"/>
                </w:rPr>
                <w:t>Restated 2007 Non-Employee Directors Stock Award Plan (incorporated herein by reference to Exhibit 10.2 in Jazz</w:t>
              </w:r>
            </w:hyperlink>
          </w:p>
        </w:tc>
        <w:tc>
          <w:tcPr>
            <w:tcW w:w="56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38"/>
            <w:shd w:val="clear" w:color="auto" w:fill="CCEEFF"/>
          </w:tcPr>
          <w:p>
            <w:pPr>
              <w:spacing w:after="0" w:line="169" w:lineRule="exact"/>
              <w:rPr>
                <w:rFonts w:ascii="Arial" w:cs="Arial" w:eastAsia="Arial" w:hAnsi="Arial"/>
                <w:sz w:val="18"/>
                <w:szCs w:val="18"/>
                <w:color w:val="0000FF"/>
                <w:w w:val="95"/>
              </w:rPr>
            </w:pPr>
            <w:hyperlink r:id="rId242">
              <w:r>
                <w:rPr>
                  <w:rFonts w:ascii="Arial" w:cs="Arial" w:eastAsia="Arial" w:hAnsi="Arial"/>
                  <w:sz w:val="18"/>
                  <w:szCs w:val="18"/>
                  <w:color w:val="0000FF"/>
                  <w:w w:val="95"/>
                </w:rPr>
                <w:t>Pharmaceuticals plc’s Quarterly Report on Form 10-Q (File No. 001-33500) for the period ended March 31, 2019, as filed</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rPr>
            </w:pPr>
            <w:hyperlink r:id="rId242">
              <w:r>
                <w:rPr>
                  <w:rFonts w:ascii="Arial" w:cs="Arial" w:eastAsia="Arial" w:hAnsi="Arial"/>
                  <w:sz w:val="18"/>
                  <w:szCs w:val="18"/>
                  <w:color w:val="0000FF"/>
                </w:rPr>
                <w:t>with the SEC on May 7, 2019).</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10.31L+</w:t>
            </w:r>
          </w:p>
        </w:tc>
        <w:tc>
          <w:tcPr>
            <w:tcW w:w="9180" w:type="dxa"/>
            <w:vAlign w:val="bottom"/>
            <w:gridSpan w:val="38"/>
          </w:tcPr>
          <w:p>
            <w:pPr>
              <w:spacing w:after="0" w:line="189" w:lineRule="exact"/>
              <w:rPr>
                <w:rFonts w:ascii="Arial" w:cs="Arial" w:eastAsia="Arial" w:hAnsi="Arial"/>
                <w:sz w:val="18"/>
                <w:szCs w:val="18"/>
                <w:color w:val="0000FF"/>
                <w:w w:val="95"/>
              </w:rPr>
            </w:pPr>
            <w:hyperlink r:id="rId243">
              <w:r>
                <w:rPr>
                  <w:rFonts w:ascii="Arial" w:cs="Arial" w:eastAsia="Arial" w:hAnsi="Arial"/>
                  <w:sz w:val="18"/>
                  <w:szCs w:val="18"/>
                  <w:color w:val="0000FF"/>
                  <w:w w:val="95"/>
                </w:rPr>
                <w:t>Form of Non-U.S. Restricted Stock Unit Award Grant Notice and Non-U.S. Restricted Stock Unit Award Agreement under</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27"/>
          </w:tcPr>
          <w:p>
            <w:pPr>
              <w:spacing w:after="0" w:line="169" w:lineRule="exact"/>
              <w:rPr>
                <w:rFonts w:ascii="Arial" w:cs="Arial" w:eastAsia="Arial" w:hAnsi="Arial"/>
                <w:sz w:val="18"/>
                <w:szCs w:val="18"/>
                <w:color w:val="0000FF"/>
                <w:w w:val="89"/>
              </w:rPr>
            </w:pPr>
            <w:hyperlink r:id="rId243">
              <w:r>
                <w:rPr>
                  <w:rFonts w:ascii="Arial" w:cs="Arial" w:eastAsia="Arial" w:hAnsi="Arial"/>
                  <w:sz w:val="18"/>
                  <w:szCs w:val="18"/>
                  <w:color w:val="0000FF"/>
                  <w:w w:val="89"/>
                </w:rPr>
                <w:t>the Jazz Pharmaceuticals plc Amended and Restated 2007 Non-Employee Directors Stock Award Plan (incorporated herein</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gridSpan w:val="29"/>
          </w:tcPr>
          <w:p>
            <w:pPr>
              <w:spacing w:after="0" w:line="169" w:lineRule="exact"/>
              <w:rPr>
                <w:rFonts w:ascii="Arial" w:cs="Arial" w:eastAsia="Arial" w:hAnsi="Arial"/>
                <w:sz w:val="18"/>
                <w:szCs w:val="18"/>
                <w:color w:val="0000FF"/>
                <w:w w:val="94"/>
              </w:rPr>
            </w:pPr>
            <w:hyperlink r:id="rId243">
              <w:r>
                <w:rPr>
                  <w:rFonts w:ascii="Arial" w:cs="Arial" w:eastAsia="Arial" w:hAnsi="Arial"/>
                  <w:sz w:val="18"/>
                  <w:szCs w:val="18"/>
                  <w:color w:val="0000FF"/>
                  <w:w w:val="94"/>
                </w:rPr>
                <w:t>by reference to Exhibit 10.3 in Jazz Pharmaceuticals plc’s Quarterly Report on Form 10-Q (File No. 001-33500) for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2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243">
              <w:r>
                <w:rPr>
                  <w:rFonts w:ascii="Arial" w:cs="Arial" w:eastAsia="Arial" w:hAnsi="Arial"/>
                  <w:sz w:val="18"/>
                  <w:szCs w:val="18"/>
                  <w:color w:val="0000FF"/>
                </w:rPr>
                <w:t>period ended March 31, 2019, as filed with the SEC on May 7, 2019).</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10.31M+</w:t>
            </w:r>
          </w:p>
        </w:tc>
        <w:tc>
          <w:tcPr>
            <w:tcW w:w="9180" w:type="dxa"/>
            <w:vAlign w:val="bottom"/>
            <w:gridSpan w:val="38"/>
            <w:shd w:val="clear" w:color="auto" w:fill="CCEEFF"/>
          </w:tcPr>
          <w:p>
            <w:pPr>
              <w:spacing w:after="0" w:line="189" w:lineRule="exact"/>
              <w:rPr>
                <w:rFonts w:ascii="Arial" w:cs="Arial" w:eastAsia="Arial" w:hAnsi="Arial"/>
                <w:sz w:val="18"/>
                <w:szCs w:val="18"/>
                <w:color w:val="0000FF"/>
                <w:w w:val="93"/>
              </w:rPr>
            </w:pPr>
            <w:hyperlink r:id="rId244">
              <w:r>
                <w:rPr>
                  <w:rFonts w:ascii="Arial" w:cs="Arial" w:eastAsia="Arial" w:hAnsi="Arial"/>
                  <w:sz w:val="18"/>
                  <w:szCs w:val="18"/>
                  <w:color w:val="0000FF"/>
                  <w:w w:val="93"/>
                </w:rPr>
                <w:t>Form of Non-U.S. Option Grant Notice and Non-U.S. Option Agreement under the Jazz Pharmaceuticals plc Amended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340" w:type="dxa"/>
            <w:vAlign w:val="bottom"/>
            <w:tcBorders>
              <w:top w:val="single" w:sz="8" w:color="0000FF"/>
              <w:bottom w:val="single" w:sz="8" w:color="0000FF"/>
            </w:tcBorders>
            <w:gridSpan w:val="15"/>
            <w:shd w:val="clear" w:color="auto" w:fill="CCEEFF"/>
          </w:tcPr>
          <w:p>
            <w:pPr>
              <w:spacing w:after="0" w:line="169" w:lineRule="exact"/>
              <w:rPr>
                <w:rFonts w:ascii="Arial" w:cs="Arial" w:eastAsia="Arial" w:hAnsi="Arial"/>
                <w:sz w:val="18"/>
                <w:szCs w:val="18"/>
                <w:color w:val="0000FF"/>
                <w:w w:val="90"/>
              </w:rPr>
            </w:pPr>
            <w:hyperlink r:id="rId244">
              <w:r>
                <w:rPr>
                  <w:rFonts w:ascii="Arial" w:cs="Arial" w:eastAsia="Arial" w:hAnsi="Arial"/>
                  <w:sz w:val="18"/>
                  <w:szCs w:val="18"/>
                  <w:color w:val="0000FF"/>
                  <w:w w:val="90"/>
                </w:rPr>
                <w:t>Restated 2007 Non-Employee Directors Stock Award Plan (incorporated herein by reference to Exhibit 10.2 in Jazz</w:t>
              </w:r>
            </w:hyperlink>
          </w:p>
        </w:tc>
        <w:tc>
          <w:tcPr>
            <w:tcW w:w="56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38"/>
            <w:shd w:val="clear" w:color="auto" w:fill="CCEEFF"/>
          </w:tcPr>
          <w:p>
            <w:pPr>
              <w:spacing w:after="0" w:line="169" w:lineRule="exact"/>
              <w:rPr>
                <w:rFonts w:ascii="Arial" w:cs="Arial" w:eastAsia="Arial" w:hAnsi="Arial"/>
                <w:sz w:val="18"/>
                <w:szCs w:val="18"/>
                <w:color w:val="0000FF"/>
                <w:w w:val="95"/>
              </w:rPr>
            </w:pPr>
            <w:hyperlink r:id="rId244">
              <w:r>
                <w:rPr>
                  <w:rFonts w:ascii="Arial" w:cs="Arial" w:eastAsia="Arial" w:hAnsi="Arial"/>
                  <w:sz w:val="18"/>
                  <w:szCs w:val="18"/>
                  <w:color w:val="0000FF"/>
                  <w:w w:val="95"/>
                </w:rPr>
                <w:t>Pharmaceuticals plc’s Quarterly Report on Form 10-Q (File No. 001-33500) for the period ended September 30, 2020, as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40" w:type="dxa"/>
            <w:vAlign w:val="bottom"/>
            <w:tcBorders>
              <w:top w:val="single" w:sz="8" w:color="0000FF"/>
            </w:tcBorders>
            <w:gridSpan w:val="22"/>
            <w:shd w:val="clear" w:color="auto" w:fill="CCEEFF"/>
          </w:tcPr>
          <w:p>
            <w:pPr>
              <w:spacing w:after="0" w:line="169" w:lineRule="exact"/>
              <w:rPr>
                <w:rFonts w:ascii="Arial" w:cs="Arial" w:eastAsia="Arial" w:hAnsi="Arial"/>
                <w:sz w:val="18"/>
                <w:szCs w:val="18"/>
                <w:color w:val="0000FF"/>
              </w:rPr>
            </w:pPr>
            <w:hyperlink r:id="rId244">
              <w:r>
                <w:rPr>
                  <w:rFonts w:ascii="Arial" w:cs="Arial" w:eastAsia="Arial" w:hAnsi="Arial"/>
                  <w:sz w:val="18"/>
                  <w:szCs w:val="18"/>
                  <w:color w:val="0000FF"/>
                </w:rPr>
                <w:t>filed with the SEC on November 2,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10.31N+</w:t>
            </w:r>
          </w:p>
        </w:tc>
        <w:tc>
          <w:tcPr>
            <w:tcW w:w="9180" w:type="dxa"/>
            <w:vAlign w:val="bottom"/>
            <w:gridSpan w:val="38"/>
          </w:tcPr>
          <w:p>
            <w:pPr>
              <w:spacing w:after="0" w:line="189" w:lineRule="exact"/>
              <w:rPr>
                <w:rFonts w:ascii="Arial" w:cs="Arial" w:eastAsia="Arial" w:hAnsi="Arial"/>
                <w:sz w:val="18"/>
                <w:szCs w:val="18"/>
                <w:color w:val="0000FF"/>
                <w:w w:val="95"/>
              </w:rPr>
            </w:pPr>
            <w:hyperlink r:id="rId245">
              <w:r>
                <w:rPr>
                  <w:rFonts w:ascii="Arial" w:cs="Arial" w:eastAsia="Arial" w:hAnsi="Arial"/>
                  <w:sz w:val="18"/>
                  <w:szCs w:val="18"/>
                  <w:color w:val="0000FF"/>
                  <w:w w:val="95"/>
                </w:rPr>
                <w:t>Form of Non-U.S. Restricted Stock Unit Award Grant Notice and Non-U.S. Restricted Stock Unit Award Agreement under</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80" w:type="dxa"/>
            <w:vAlign w:val="bottom"/>
            <w:tcBorders>
              <w:top w:val="single" w:sz="8" w:color="0000FF"/>
            </w:tcBorders>
            <w:gridSpan w:val="27"/>
          </w:tcPr>
          <w:p>
            <w:pPr>
              <w:spacing w:after="0" w:line="169" w:lineRule="exact"/>
              <w:rPr>
                <w:rFonts w:ascii="Arial" w:cs="Arial" w:eastAsia="Arial" w:hAnsi="Arial"/>
                <w:sz w:val="18"/>
                <w:szCs w:val="18"/>
                <w:color w:val="0000FF"/>
                <w:w w:val="89"/>
              </w:rPr>
            </w:pPr>
            <w:hyperlink r:id="rId245">
              <w:r>
                <w:rPr>
                  <w:rFonts w:ascii="Arial" w:cs="Arial" w:eastAsia="Arial" w:hAnsi="Arial"/>
                  <w:sz w:val="18"/>
                  <w:szCs w:val="18"/>
                  <w:color w:val="0000FF"/>
                  <w:w w:val="89"/>
                </w:rPr>
                <w:t>the Jazz Pharmaceuticals plc Amended and Restated 2007 Non-Employee Directors Stock Award Plan (incorporated herein</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tcBorders>
              <w:top w:val="single" w:sz="8" w:color="0000FF"/>
            </w:tcBorders>
            <w:gridSpan w:val="29"/>
          </w:tcPr>
          <w:p>
            <w:pPr>
              <w:spacing w:after="0" w:line="169" w:lineRule="exact"/>
              <w:rPr>
                <w:rFonts w:ascii="Arial" w:cs="Arial" w:eastAsia="Arial" w:hAnsi="Arial"/>
                <w:sz w:val="18"/>
                <w:szCs w:val="18"/>
                <w:color w:val="0000FF"/>
                <w:w w:val="94"/>
              </w:rPr>
            </w:pPr>
            <w:hyperlink r:id="rId245">
              <w:r>
                <w:rPr>
                  <w:rFonts w:ascii="Arial" w:cs="Arial" w:eastAsia="Arial" w:hAnsi="Arial"/>
                  <w:sz w:val="18"/>
                  <w:szCs w:val="18"/>
                  <w:color w:val="0000FF"/>
                  <w:w w:val="94"/>
                </w:rPr>
                <w:t>by reference to Exhibit 10.3 in Jazz Pharmaceuticals plc’s Quarterly Report on Form 10-Q (File No. 001-33500) for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2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245">
              <w:r>
                <w:rPr>
                  <w:rFonts w:ascii="Arial" w:cs="Arial" w:eastAsia="Arial" w:hAnsi="Arial"/>
                  <w:sz w:val="18"/>
                  <w:szCs w:val="18"/>
                  <w:color w:val="0000FF"/>
                </w:rPr>
                <w:t>period ended September 30, 2020, as filed with the SEC on November 2, 2020).</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10.32A+</w:t>
            </w:r>
          </w:p>
        </w:tc>
        <w:tc>
          <w:tcPr>
            <w:tcW w:w="9180" w:type="dxa"/>
            <w:vAlign w:val="bottom"/>
            <w:gridSpan w:val="38"/>
            <w:shd w:val="clear" w:color="auto" w:fill="CCEEFF"/>
          </w:tcPr>
          <w:p>
            <w:pPr>
              <w:spacing w:after="0" w:line="189" w:lineRule="exact"/>
              <w:rPr>
                <w:rFonts w:ascii="Arial" w:cs="Arial" w:eastAsia="Arial" w:hAnsi="Arial"/>
                <w:sz w:val="18"/>
                <w:szCs w:val="18"/>
                <w:color w:val="0000FF"/>
              </w:rPr>
            </w:pPr>
            <w:hyperlink r:id="rId246">
              <w:r>
                <w:rPr>
                  <w:rFonts w:ascii="Arial" w:cs="Arial" w:eastAsia="Arial" w:hAnsi="Arial"/>
                  <w:sz w:val="18"/>
                  <w:szCs w:val="18"/>
                  <w:color w:val="0000FF"/>
                </w:rPr>
                <w:t>GW Pharmaceuticals plc 2020 Long-Term Incentive Plan (incorporated herein by reference to Exhibit 4.1 in GW’s</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80" w:type="dxa"/>
            <w:vAlign w:val="bottom"/>
            <w:tcBorders>
              <w:top w:val="single" w:sz="8" w:color="0000FF"/>
            </w:tcBorders>
            <w:gridSpan w:val="14"/>
            <w:shd w:val="clear" w:color="auto" w:fill="CCEEFF"/>
          </w:tcPr>
          <w:p>
            <w:pPr>
              <w:spacing w:after="0" w:line="169" w:lineRule="exact"/>
              <w:rPr>
                <w:rFonts w:ascii="Arial" w:cs="Arial" w:eastAsia="Arial" w:hAnsi="Arial"/>
                <w:sz w:val="18"/>
                <w:szCs w:val="18"/>
                <w:color w:val="0000FF"/>
              </w:rPr>
            </w:pPr>
            <w:hyperlink r:id="rId246">
              <w:r>
                <w:rPr>
                  <w:rFonts w:ascii="Arial" w:cs="Arial" w:eastAsia="Arial" w:hAnsi="Arial"/>
                  <w:sz w:val="18"/>
                  <w:szCs w:val="18"/>
                  <w:color w:val="0000FF"/>
                </w:rPr>
                <w:t>Registration Statement on Form S-8 (file no. 333-238737), filed with the SEC on May 27, 2020).</w:t>
              </w:r>
            </w:hyperlink>
          </w:p>
        </w:tc>
        <w:tc>
          <w:tcPr>
            <w:tcW w:w="8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right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10.32B+</w:t>
            </w:r>
          </w:p>
        </w:tc>
        <w:tc>
          <w:tcPr>
            <w:tcW w:w="9180" w:type="dxa"/>
            <w:vAlign w:val="bottom"/>
            <w:gridSpan w:val="38"/>
          </w:tcPr>
          <w:p>
            <w:pPr>
              <w:spacing w:after="0" w:line="189" w:lineRule="exact"/>
              <w:rPr>
                <w:rFonts w:ascii="Arial" w:cs="Arial" w:eastAsia="Arial" w:hAnsi="Arial"/>
                <w:sz w:val="18"/>
                <w:szCs w:val="18"/>
                <w:color w:val="0000FF"/>
                <w:w w:val="99"/>
              </w:rPr>
            </w:pPr>
            <w:hyperlink r:id="rId247">
              <w:r>
                <w:rPr>
                  <w:rFonts w:ascii="Arial" w:cs="Arial" w:eastAsia="Arial" w:hAnsi="Arial"/>
                  <w:sz w:val="18"/>
                  <w:szCs w:val="18"/>
                  <w:color w:val="0000FF"/>
                  <w:w w:val="99"/>
                </w:rPr>
                <w:t>Form of Restricted Stock Unit Award Agreement under the GW Pharmaceuticals plc 2020 Long-Term Incentive Plan</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9"/>
          </w:tcPr>
          <w:p>
            <w:pPr>
              <w:spacing w:after="0" w:line="169" w:lineRule="exact"/>
              <w:rPr>
                <w:rFonts w:ascii="Arial" w:cs="Arial" w:eastAsia="Arial" w:hAnsi="Arial"/>
                <w:sz w:val="18"/>
                <w:szCs w:val="18"/>
                <w:color w:val="0000FF"/>
              </w:rPr>
            </w:pPr>
            <w:hyperlink r:id="rId247">
              <w:r>
                <w:rPr>
                  <w:rFonts w:ascii="Arial" w:cs="Arial" w:eastAsia="Arial" w:hAnsi="Arial"/>
                  <w:sz w:val="18"/>
                  <w:szCs w:val="18"/>
                  <w:color w:val="0000FF"/>
                </w:rPr>
                <w:t>(incorporated herein by reference to Exhibit 10.10B in Jazz Pharmaceuticals plc’s Quarterly Report on Form 10-Q (File No.</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6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247">
              <w:r>
                <w:rPr>
                  <w:rFonts w:ascii="Arial" w:cs="Arial" w:eastAsia="Arial" w:hAnsi="Arial"/>
                  <w:sz w:val="18"/>
                  <w:szCs w:val="18"/>
                  <w:color w:val="0000FF"/>
                </w:rPr>
                <w:t>001-33500) for the period ended June 30, 2021, as filed with the SEC on August 3,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10.32C+</w:t>
            </w:r>
          </w:p>
        </w:tc>
        <w:tc>
          <w:tcPr>
            <w:tcW w:w="8840" w:type="dxa"/>
            <w:vAlign w:val="bottom"/>
            <w:tcBorders>
              <w:bottom w:val="single" w:sz="8" w:color="0000FF"/>
            </w:tcBorders>
            <w:gridSpan w:val="26"/>
            <w:shd w:val="clear" w:color="auto" w:fill="CCEEFF"/>
          </w:tcPr>
          <w:p>
            <w:pPr>
              <w:spacing w:after="0" w:line="189" w:lineRule="exact"/>
              <w:rPr>
                <w:rFonts w:ascii="Arial" w:cs="Arial" w:eastAsia="Arial" w:hAnsi="Arial"/>
                <w:sz w:val="18"/>
                <w:szCs w:val="18"/>
                <w:color w:val="0000FF"/>
                <w:w w:val="90"/>
              </w:rPr>
            </w:pPr>
            <w:hyperlink r:id="rId248">
              <w:r>
                <w:rPr>
                  <w:rFonts w:ascii="Arial" w:cs="Arial" w:eastAsia="Arial" w:hAnsi="Arial"/>
                  <w:sz w:val="18"/>
                  <w:szCs w:val="18"/>
                  <w:color w:val="0000FF"/>
                  <w:w w:val="90"/>
                </w:rPr>
                <w:t>Form of Replacement Stock Option Award Agreement under the GW Pharmaceuticals plc 2020 Long-Term Incentive Plan</w:t>
              </w:r>
            </w:hyperlink>
          </w:p>
        </w:tc>
        <w:tc>
          <w:tcPr>
            <w:tcW w:w="340" w:type="dxa"/>
            <w:vAlign w:val="bottom"/>
            <w:tcBorders>
              <w:bottom w:val="single" w:sz="8" w:color="CCEEFF"/>
            </w:tcBorders>
            <w:gridSpan w:val="12"/>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38"/>
            <w:shd w:val="clear" w:color="auto" w:fill="CCEEFF"/>
          </w:tcPr>
          <w:p>
            <w:pPr>
              <w:spacing w:after="0" w:line="169" w:lineRule="exact"/>
              <w:rPr>
                <w:rFonts w:ascii="Arial" w:cs="Arial" w:eastAsia="Arial" w:hAnsi="Arial"/>
                <w:sz w:val="18"/>
                <w:szCs w:val="18"/>
                <w:color w:val="0000FF"/>
                <w:w w:val="93"/>
              </w:rPr>
            </w:pPr>
            <w:hyperlink r:id="rId248">
              <w:r>
                <w:rPr>
                  <w:rFonts w:ascii="Arial" w:cs="Arial" w:eastAsia="Arial" w:hAnsi="Arial"/>
                  <w:sz w:val="18"/>
                  <w:szCs w:val="18"/>
                  <w:color w:val="0000FF"/>
                  <w:w w:val="93"/>
                </w:rPr>
                <w:t>(incorporated herein by reference to Exhibit 10.10C in Jazz Pharmaceuticals plc’s Quarterly Report on Form 10-Q (File No.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rPr>
            </w:pPr>
            <w:hyperlink r:id="rId248">
              <w:r>
                <w:rPr>
                  <w:rFonts w:ascii="Arial" w:cs="Arial" w:eastAsia="Arial" w:hAnsi="Arial"/>
                  <w:sz w:val="18"/>
                  <w:szCs w:val="18"/>
                  <w:color w:val="0000FF"/>
                </w:rPr>
                <w:t>001-33500) for the period ended June 30, 2021, as filed with the SEC on August 3,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10.32D+</w:t>
            </w:r>
          </w:p>
        </w:tc>
        <w:tc>
          <w:tcPr>
            <w:tcW w:w="8360" w:type="dxa"/>
            <w:vAlign w:val="bottom"/>
            <w:tcBorders>
              <w:bottom w:val="single" w:sz="8" w:color="0000FF"/>
            </w:tcBorders>
            <w:gridSpan w:val="16"/>
          </w:tcPr>
          <w:p>
            <w:pPr>
              <w:spacing w:after="0" w:line="189" w:lineRule="exact"/>
              <w:rPr>
                <w:rFonts w:ascii="Arial" w:cs="Arial" w:eastAsia="Arial" w:hAnsi="Arial"/>
                <w:sz w:val="18"/>
                <w:szCs w:val="18"/>
                <w:color w:val="0000FF"/>
                <w:w w:val="91"/>
              </w:rPr>
            </w:pPr>
            <w:hyperlink r:id="rId249">
              <w:r>
                <w:rPr>
                  <w:rFonts w:ascii="Arial" w:cs="Arial" w:eastAsia="Arial" w:hAnsi="Arial"/>
                  <w:sz w:val="18"/>
                  <w:szCs w:val="18"/>
                  <w:color w:val="0000FF"/>
                  <w:w w:val="91"/>
                </w:rPr>
                <w:t>Form of Replacement Restricted Stock Unit Award Agreement under the GW Pharmaceuticals plc 2020 Long-Term</w:t>
              </w:r>
            </w:hyperlink>
          </w:p>
        </w:tc>
        <w:tc>
          <w:tcPr>
            <w:tcW w:w="820" w:type="dxa"/>
            <w:vAlign w:val="bottom"/>
            <w:gridSpan w:val="22"/>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9"/>
          </w:tcPr>
          <w:p>
            <w:pPr>
              <w:spacing w:after="0" w:line="169" w:lineRule="exact"/>
              <w:rPr>
                <w:rFonts w:ascii="Arial" w:cs="Arial" w:eastAsia="Arial" w:hAnsi="Arial"/>
                <w:sz w:val="18"/>
                <w:szCs w:val="18"/>
                <w:color w:val="0000FF"/>
              </w:rPr>
            </w:pPr>
            <w:hyperlink r:id="rId249">
              <w:r>
                <w:rPr>
                  <w:rFonts w:ascii="Arial" w:cs="Arial" w:eastAsia="Arial" w:hAnsi="Arial"/>
                  <w:sz w:val="18"/>
                  <w:szCs w:val="18"/>
                  <w:color w:val="0000FF"/>
                </w:rPr>
                <w:t>Incentive Plan (incorporated herein by reference to Exhibit 10.10D in Jazz Pharmaceuticals plc’s Quarterly Report on Form</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4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249">
              <w:r>
                <w:rPr>
                  <w:rFonts w:ascii="Arial" w:cs="Arial" w:eastAsia="Arial" w:hAnsi="Arial"/>
                  <w:sz w:val="18"/>
                  <w:szCs w:val="18"/>
                  <w:color w:val="0000FF"/>
                </w:rPr>
                <w:t>10-Q (File No. 001-33500) for the period ended June 30, 2021, as filed with the SEC on August 3,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10.33A+</w:t>
            </w:r>
          </w:p>
        </w:tc>
        <w:tc>
          <w:tcPr>
            <w:tcW w:w="9180" w:type="dxa"/>
            <w:vAlign w:val="bottom"/>
            <w:gridSpan w:val="38"/>
            <w:shd w:val="clear" w:color="auto" w:fill="CCEEFF"/>
          </w:tcPr>
          <w:p>
            <w:pPr>
              <w:spacing w:after="0" w:line="189" w:lineRule="exact"/>
              <w:rPr>
                <w:rFonts w:ascii="Arial" w:cs="Arial" w:eastAsia="Arial" w:hAnsi="Arial"/>
                <w:sz w:val="18"/>
                <w:szCs w:val="18"/>
                <w:color w:val="0000FF"/>
                <w:w w:val="90"/>
              </w:rPr>
            </w:pPr>
            <w:hyperlink r:id="rId250">
              <w:r>
                <w:rPr>
                  <w:rFonts w:ascii="Arial" w:cs="Arial" w:eastAsia="Arial" w:hAnsi="Arial"/>
                  <w:sz w:val="18"/>
                  <w:szCs w:val="18"/>
                  <w:color w:val="0000FF"/>
                  <w:w w:val="90"/>
                </w:rPr>
                <w:t>Jazz Pharmaceuticals plc 2007 Employee Stock Purchase Plan, as amended and restated (incorporated herein by reference to</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34"/>
            <w:shd w:val="clear" w:color="auto" w:fill="CCEEFF"/>
          </w:tcPr>
          <w:p>
            <w:pPr>
              <w:spacing w:after="0" w:line="169" w:lineRule="exact"/>
              <w:rPr>
                <w:rFonts w:ascii="Arial" w:cs="Arial" w:eastAsia="Arial" w:hAnsi="Arial"/>
                <w:sz w:val="18"/>
                <w:szCs w:val="18"/>
                <w:color w:val="0000FF"/>
                <w:w w:val="97"/>
              </w:rPr>
            </w:pPr>
            <w:hyperlink r:id="rId250">
              <w:r>
                <w:rPr>
                  <w:rFonts w:ascii="Arial" w:cs="Arial" w:eastAsia="Arial" w:hAnsi="Arial"/>
                  <w:sz w:val="18"/>
                  <w:szCs w:val="18"/>
                  <w:color w:val="0000FF"/>
                  <w:w w:val="97"/>
                </w:rPr>
                <w:t>Exhibit 10.31A in Jazz Pharmaceuticals plc’s Annual Report on Form 10-K (File No. 001-33500) for the period ended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52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rPr>
            </w:pPr>
            <w:hyperlink r:id="rId250">
              <w:r>
                <w:rPr>
                  <w:rFonts w:ascii="Arial" w:cs="Arial" w:eastAsia="Arial" w:hAnsi="Arial"/>
                  <w:sz w:val="18"/>
                  <w:szCs w:val="18"/>
                  <w:color w:val="0000FF"/>
                </w:rPr>
                <w:t>December 31, 2012, as filed with the SEC on February 26, 2013).</w:t>
              </w:r>
            </w:hyperlink>
          </w:p>
        </w:tc>
        <w:tc>
          <w:tcPr>
            <w:tcW w:w="1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10.33B+</w:t>
            </w:r>
          </w:p>
        </w:tc>
        <w:tc>
          <w:tcPr>
            <w:tcW w:w="8760" w:type="dxa"/>
            <w:vAlign w:val="bottom"/>
            <w:tcBorders>
              <w:bottom w:val="single" w:sz="8" w:color="0000FF"/>
            </w:tcBorders>
            <w:gridSpan w:val="23"/>
          </w:tcPr>
          <w:p>
            <w:pPr>
              <w:spacing w:after="0" w:line="189" w:lineRule="exact"/>
              <w:rPr>
                <w:rFonts w:ascii="Arial" w:cs="Arial" w:eastAsia="Arial" w:hAnsi="Arial"/>
                <w:sz w:val="18"/>
                <w:szCs w:val="18"/>
                <w:color w:val="0000FF"/>
                <w:w w:val="89"/>
              </w:rPr>
            </w:pPr>
            <w:hyperlink r:id="rId251">
              <w:r>
                <w:rPr>
                  <w:rFonts w:ascii="Arial" w:cs="Arial" w:eastAsia="Arial" w:hAnsi="Arial"/>
                  <w:sz w:val="18"/>
                  <w:szCs w:val="18"/>
                  <w:color w:val="0000FF"/>
                  <w:w w:val="89"/>
                </w:rPr>
                <w:t>Jazz Pharmaceuticals plc 2007 Employee Stock Purchase Plan Sub-Plan Governing Purchase Rights to Participants in the</w:t>
              </w:r>
            </w:hyperlink>
          </w:p>
        </w:tc>
        <w:tc>
          <w:tcPr>
            <w:tcW w:w="420" w:type="dxa"/>
            <w:vAlign w:val="bottom"/>
            <w:gridSpan w:val="15"/>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9"/>
          </w:tcPr>
          <w:p>
            <w:pPr>
              <w:spacing w:after="0" w:line="169" w:lineRule="exact"/>
              <w:rPr>
                <w:rFonts w:ascii="Arial" w:cs="Arial" w:eastAsia="Arial" w:hAnsi="Arial"/>
                <w:sz w:val="18"/>
                <w:szCs w:val="18"/>
                <w:color w:val="0000FF"/>
              </w:rPr>
            </w:pPr>
            <w:hyperlink r:id="rId251">
              <w:r>
                <w:rPr>
                  <w:rFonts w:ascii="Arial" w:cs="Arial" w:eastAsia="Arial" w:hAnsi="Arial"/>
                  <w:sz w:val="18"/>
                  <w:szCs w:val="18"/>
                  <w:color w:val="0000FF"/>
                </w:rPr>
                <w:t>Republic of Ireland (incorporated herein by reference to Exhibit 10.14C in Jazz Pharmaceuticals plc’s Quarterly Report on</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2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251">
              <w:r>
                <w:rPr>
                  <w:rFonts w:ascii="Arial" w:cs="Arial" w:eastAsia="Arial" w:hAnsi="Arial"/>
                  <w:sz w:val="18"/>
                  <w:szCs w:val="18"/>
                  <w:color w:val="0000FF"/>
                </w:rPr>
                <w:t>Form 10-Q (File No. 001-33500) for the period ended March 31, 2012, as filed with the SEC on May 8, 2012 ).</w:t>
              </w:r>
            </w:hyperlink>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10.34A+</w:t>
            </w:r>
          </w:p>
        </w:tc>
        <w:tc>
          <w:tcPr>
            <w:tcW w:w="9180" w:type="dxa"/>
            <w:vAlign w:val="bottom"/>
            <w:gridSpan w:val="38"/>
            <w:shd w:val="clear" w:color="auto" w:fill="CCEEFF"/>
          </w:tcPr>
          <w:p>
            <w:pPr>
              <w:spacing w:after="0" w:line="189" w:lineRule="exact"/>
              <w:rPr>
                <w:rFonts w:ascii="Arial" w:cs="Arial" w:eastAsia="Arial" w:hAnsi="Arial"/>
                <w:sz w:val="18"/>
                <w:szCs w:val="18"/>
                <w:color w:val="0000FF"/>
                <w:w w:val="92"/>
              </w:rPr>
            </w:pPr>
            <w:hyperlink r:id="rId252">
              <w:r>
                <w:rPr>
                  <w:rFonts w:ascii="Arial" w:cs="Arial" w:eastAsia="Arial" w:hAnsi="Arial"/>
                  <w:sz w:val="18"/>
                  <w:szCs w:val="18"/>
                  <w:color w:val="0000FF"/>
                  <w:w w:val="92"/>
                </w:rPr>
                <w:t>Jazz Pharmaceuticals plc Cash Bonus Plan for U.S. Affiliates (approved October 30, 2019) (incorporated herein by reference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36"/>
            <w:shd w:val="clear" w:color="auto" w:fill="CCEEFF"/>
          </w:tcPr>
          <w:p>
            <w:pPr>
              <w:spacing w:after="0" w:line="169" w:lineRule="exact"/>
              <w:rPr>
                <w:rFonts w:ascii="Arial" w:cs="Arial" w:eastAsia="Arial" w:hAnsi="Arial"/>
                <w:sz w:val="18"/>
                <w:szCs w:val="18"/>
                <w:color w:val="0000FF"/>
                <w:w w:val="95"/>
              </w:rPr>
            </w:pPr>
            <w:hyperlink r:id="rId252">
              <w:r>
                <w:rPr>
                  <w:rFonts w:ascii="Arial" w:cs="Arial" w:eastAsia="Arial" w:hAnsi="Arial"/>
                  <w:sz w:val="18"/>
                  <w:szCs w:val="18"/>
                  <w:color w:val="0000FF"/>
                  <w:w w:val="95"/>
                </w:rPr>
                <w:t>to Exhibit 10.34C in Jazz Pharmaceuticals plc’s Annual Report on Form 10-K (File No. 001-33500) for the period ended</w:t>
              </w:r>
            </w:hyperlink>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720" w:type="dxa"/>
            <w:vAlign w:val="bottom"/>
            <w:tcBorders>
              <w:top w:val="single" w:sz="8" w:color="0000FF"/>
            </w:tcBorders>
            <w:gridSpan w:val="21"/>
            <w:shd w:val="clear" w:color="auto" w:fill="CCEEFF"/>
          </w:tcPr>
          <w:p>
            <w:pPr>
              <w:spacing w:after="0" w:line="169" w:lineRule="exact"/>
              <w:rPr>
                <w:rFonts w:ascii="Arial" w:cs="Arial" w:eastAsia="Arial" w:hAnsi="Arial"/>
                <w:sz w:val="18"/>
                <w:szCs w:val="18"/>
                <w:color w:val="0000FF"/>
              </w:rPr>
            </w:pPr>
            <w:hyperlink r:id="rId252">
              <w:r>
                <w:rPr>
                  <w:rFonts w:ascii="Arial" w:cs="Arial" w:eastAsia="Arial" w:hAnsi="Arial"/>
                  <w:sz w:val="18"/>
                  <w:szCs w:val="18"/>
                  <w:color w:val="0000FF"/>
                </w:rPr>
                <w:t>December 31, 2019, as filed with the SEC on February 25, 2020).</w:t>
              </w:r>
            </w:hyperlink>
          </w:p>
        </w:tc>
        <w:tc>
          <w:tcPr>
            <w:tcW w:w="260" w:type="dxa"/>
            <w:vAlign w:val="bottom"/>
            <w:tcBorders>
              <w:top w:val="single" w:sz="8" w:color="CCEEFF"/>
            </w:tcBorders>
            <w:gridSpan w:val="11"/>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10.34B+</w:t>
            </w:r>
          </w:p>
        </w:tc>
        <w:tc>
          <w:tcPr>
            <w:tcW w:w="9180" w:type="dxa"/>
            <w:vAlign w:val="bottom"/>
            <w:gridSpan w:val="38"/>
          </w:tcPr>
          <w:p>
            <w:pPr>
              <w:spacing w:after="0" w:line="189" w:lineRule="exact"/>
              <w:rPr>
                <w:rFonts w:ascii="Arial" w:cs="Arial" w:eastAsia="Arial" w:hAnsi="Arial"/>
                <w:sz w:val="18"/>
                <w:szCs w:val="18"/>
                <w:color w:val="0000FF"/>
                <w:w w:val="91"/>
              </w:rPr>
            </w:pPr>
            <w:hyperlink r:id="rId253">
              <w:r>
                <w:rPr>
                  <w:rFonts w:ascii="Arial" w:cs="Arial" w:eastAsia="Arial" w:hAnsi="Arial"/>
                  <w:sz w:val="18"/>
                  <w:szCs w:val="18"/>
                  <w:color w:val="0000FF"/>
                  <w:w w:val="91"/>
                </w:rPr>
                <w:t>Jazz Pharmaceuticals Cash Bonus Plan (Ireland and Other Specified Affiliates) (Calendar Year 2020)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80" w:type="dxa"/>
            <w:vAlign w:val="bottom"/>
            <w:tcBorders>
              <w:top w:val="single" w:sz="8" w:color="0000FF"/>
            </w:tcBorders>
            <w:gridSpan w:val="37"/>
          </w:tcPr>
          <w:p>
            <w:pPr>
              <w:spacing w:after="0" w:line="169" w:lineRule="exact"/>
              <w:rPr>
                <w:rFonts w:ascii="Arial" w:cs="Arial" w:eastAsia="Arial" w:hAnsi="Arial"/>
                <w:sz w:val="18"/>
                <w:szCs w:val="18"/>
                <w:color w:val="0000FF"/>
                <w:w w:val="92"/>
              </w:rPr>
            </w:pPr>
            <w:hyperlink r:id="rId253">
              <w:r>
                <w:rPr>
                  <w:rFonts w:ascii="Arial" w:cs="Arial" w:eastAsia="Arial" w:hAnsi="Arial"/>
                  <w:sz w:val="18"/>
                  <w:szCs w:val="18"/>
                  <w:color w:val="0000FF"/>
                  <w:w w:val="92"/>
                </w:rPr>
                <w:t>reference to Exhibit 10.34D in Jazz Pharmaceuticals plc’s Annual Report on Form 10-K (File No. 001-33500) for the period</w:t>
              </w:r>
            </w:hyperlink>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253">
              <w:r>
                <w:rPr>
                  <w:rFonts w:ascii="Arial" w:cs="Arial" w:eastAsia="Arial" w:hAnsi="Arial"/>
                  <w:sz w:val="18"/>
                  <w:szCs w:val="18"/>
                  <w:color w:val="0000FF"/>
                </w:rPr>
                <w:t>ended December 31, 2019, as filed with the SEC on February 25, 2020).</w:t>
              </w:r>
            </w:hyperlink>
          </w:p>
        </w:tc>
        <w:tc>
          <w:tcPr>
            <w:tcW w:w="40" w:type="dxa"/>
            <w:vAlign w:val="bottom"/>
            <w:gridSpan w:val="2"/>
          </w:tcPr>
          <w:p>
            <w:pPr>
              <w:spacing w:after="0"/>
              <w:rPr>
                <w:sz w:val="14"/>
                <w:szCs w:val="14"/>
                <w:color w:val="auto"/>
              </w:rPr>
            </w:pPr>
          </w:p>
        </w:tc>
        <w:tc>
          <w:tcPr>
            <w:tcW w:w="8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10.34C+</w:t>
            </w:r>
          </w:p>
        </w:tc>
        <w:tc>
          <w:tcPr>
            <w:tcW w:w="9180" w:type="dxa"/>
            <w:vAlign w:val="bottom"/>
            <w:gridSpan w:val="38"/>
            <w:shd w:val="clear" w:color="auto" w:fill="CCEEFF"/>
          </w:tcPr>
          <w:p>
            <w:pPr>
              <w:spacing w:after="0" w:line="189" w:lineRule="exact"/>
              <w:rPr>
                <w:rFonts w:ascii="Arial" w:cs="Arial" w:eastAsia="Arial" w:hAnsi="Arial"/>
                <w:sz w:val="18"/>
                <w:szCs w:val="18"/>
                <w:color w:val="0000FF"/>
                <w:w w:val="92"/>
              </w:rPr>
            </w:pPr>
            <w:hyperlink r:id="rId254">
              <w:r>
                <w:rPr>
                  <w:rFonts w:ascii="Arial" w:cs="Arial" w:eastAsia="Arial" w:hAnsi="Arial"/>
                  <w:sz w:val="18"/>
                  <w:szCs w:val="18"/>
                  <w:color w:val="0000FF"/>
                  <w:w w:val="92"/>
                </w:rPr>
                <w:t xml:space="preserve">Jazz Pharmaceuticals plc Cash Bonus Plan for U.S. Affiliates (approved October 30, 2020) </w:t>
              </w:r>
              <w:r>
                <w:rPr>
                  <w:rFonts w:ascii="Arial" w:cs="Arial" w:eastAsia="Arial" w:hAnsi="Arial"/>
                  <w:sz w:val="18"/>
                  <w:szCs w:val="18"/>
                  <w:u w:val="single" w:color="auto"/>
                  <w:color w:val="0000FF"/>
                  <w:w w:val="92"/>
                </w:rPr>
                <w:t>(incorporated</w:t>
              </w:r>
              <w:r>
                <w:rPr>
                  <w:rFonts w:ascii="Arial" w:cs="Arial" w:eastAsia="Arial" w:hAnsi="Arial"/>
                  <w:sz w:val="18"/>
                  <w:szCs w:val="18"/>
                  <w:color w:val="0000FF"/>
                  <w:w w:val="92"/>
                </w:rPr>
                <w:t xml:space="preserve"> herein by reference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0000FF"/>
              <w:right w:val="single" w:sz="8" w:color="CCEEFF"/>
            </w:tcBorders>
            <w:gridSpan w:val="10"/>
            <w:vMerge w:val="restart"/>
            <w:shd w:val="clear" w:color="auto" w:fill="CCEEFF"/>
          </w:tcPr>
          <w:p>
            <w:pPr>
              <w:spacing w:after="0" w:line="169" w:lineRule="exact"/>
              <w:rPr>
                <w:rFonts w:ascii="Arial" w:cs="Arial" w:eastAsia="Arial" w:hAnsi="Arial"/>
                <w:sz w:val="18"/>
                <w:szCs w:val="18"/>
                <w:color w:val="0000FF"/>
                <w:w w:val="91"/>
              </w:rPr>
            </w:pPr>
            <w:hyperlink r:id="rId254">
              <w:r>
                <w:rPr>
                  <w:rFonts w:ascii="Arial" w:cs="Arial" w:eastAsia="Arial" w:hAnsi="Arial"/>
                  <w:sz w:val="18"/>
                  <w:szCs w:val="18"/>
                  <w:color w:val="0000FF"/>
                  <w:w w:val="91"/>
                </w:rPr>
                <w:t>to Exhibit 10.33C in Jazz Pharmaceuticals plc’s Annual Report on Form 10-K (File No. 001</w:t>
              </w:r>
            </w:hyperlink>
          </w:p>
        </w:tc>
        <w:tc>
          <w:tcPr>
            <w:tcW w:w="2040" w:type="dxa"/>
            <w:vAlign w:val="bottom"/>
            <w:tcBorders>
              <w:top w:val="single" w:sz="8" w:color="0000FF"/>
            </w:tcBorders>
            <w:gridSpan w:val="10"/>
            <w:shd w:val="clear" w:color="auto" w:fill="0000FF"/>
          </w:tcPr>
          <w:p>
            <w:pPr>
              <w:spacing w:after="0" w:line="20" w:lineRule="exact"/>
              <w:rPr>
                <w:sz w:val="1"/>
                <w:szCs w:val="1"/>
                <w:color w:val="auto"/>
              </w:rPr>
            </w:pPr>
          </w:p>
        </w:tc>
        <w:tc>
          <w:tcPr>
            <w:tcW w:w="280" w:type="dxa"/>
            <w:vAlign w:val="bottom"/>
            <w:tcBorders>
              <w:top w:val="single" w:sz="8" w:color="0000FF"/>
            </w:tcBorders>
            <w:gridSpan w:val="12"/>
            <w:shd w:val="clear" w:color="auto" w:fill="0000FF"/>
          </w:tcPr>
          <w:p>
            <w:pPr>
              <w:spacing w:after="0" w:line="20" w:lineRule="exact"/>
              <w:rPr>
                <w:sz w:val="1"/>
                <w:szCs w:val="1"/>
                <w:color w:val="auto"/>
              </w:rPr>
            </w:pPr>
          </w:p>
        </w:tc>
        <w:tc>
          <w:tcPr>
            <w:tcW w:w="60" w:type="dxa"/>
            <w:vAlign w:val="bottom"/>
            <w:tcBorders>
              <w:top w:val="single" w:sz="8" w:color="0000FF"/>
            </w:tcBorders>
            <w:gridSpan w:val="3"/>
            <w:shd w:val="clear" w:color="auto" w:fill="0000FF"/>
          </w:tcPr>
          <w:p>
            <w:pPr>
              <w:spacing w:after="0" w:line="20" w:lineRule="exact"/>
              <w:rPr>
                <w:sz w:val="1"/>
                <w:szCs w:val="1"/>
                <w:color w:val="auto"/>
              </w:rPr>
            </w:pPr>
          </w:p>
        </w:tc>
        <w:tc>
          <w:tcPr>
            <w:tcW w:w="140" w:type="dxa"/>
            <w:vAlign w:val="bottom"/>
            <w:tcBorders>
              <w:top w:val="single" w:sz="8" w:color="CCEEFF"/>
            </w:tcBorders>
            <w:gridSpan w:val="3"/>
            <w:vMerge w:val="restart"/>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60" w:type="dxa"/>
            <w:vAlign w:val="bottom"/>
            <w:tcBorders>
              <w:right w:val="single" w:sz="8" w:color="CCEEFF"/>
            </w:tcBorders>
            <w:gridSpan w:val="10"/>
            <w:vMerge w:val="continue"/>
            <w:shd w:val="clear" w:color="auto" w:fill="CCEEFF"/>
          </w:tcPr>
          <w:p>
            <w:pPr>
              <w:spacing w:after="0"/>
              <w:rPr>
                <w:sz w:val="12"/>
                <w:szCs w:val="12"/>
                <w:color w:val="auto"/>
              </w:rPr>
            </w:pPr>
          </w:p>
        </w:tc>
        <w:tc>
          <w:tcPr>
            <w:tcW w:w="2380" w:type="dxa"/>
            <w:vAlign w:val="bottom"/>
            <w:gridSpan w:val="25"/>
            <w:shd w:val="clear" w:color="auto" w:fill="CCEEFF"/>
          </w:tcPr>
          <w:p>
            <w:pPr>
              <w:spacing w:after="0" w:line="149" w:lineRule="exact"/>
              <w:rPr>
                <w:rFonts w:ascii="Arial" w:cs="Arial" w:eastAsia="Arial" w:hAnsi="Arial"/>
                <w:sz w:val="17"/>
                <w:szCs w:val="17"/>
                <w:color w:val="0000FF"/>
              </w:rPr>
            </w:pPr>
            <w:hyperlink r:id="rId254">
              <w:r>
                <w:rPr>
                  <w:rFonts w:ascii="Arial" w:cs="Arial" w:eastAsia="Arial" w:hAnsi="Arial"/>
                  <w:sz w:val="17"/>
                  <w:szCs w:val="17"/>
                  <w:color w:val="0000FF"/>
                </w:rPr>
                <w:t>-33500) for the period ended</w:t>
              </w:r>
            </w:hyperlink>
          </w:p>
        </w:tc>
        <w:tc>
          <w:tcPr>
            <w:tcW w:w="140" w:type="dxa"/>
            <w:vAlign w:val="bottom"/>
            <w:gridSpan w:val="3"/>
            <w:vMerge w:val="continue"/>
            <w:shd w:val="clear" w:color="auto" w:fill="CCEEFF"/>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68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rPr>
            </w:pPr>
            <w:hyperlink r:id="rId254">
              <w:r>
                <w:rPr>
                  <w:rFonts w:ascii="Arial" w:cs="Arial" w:eastAsia="Arial" w:hAnsi="Arial"/>
                  <w:sz w:val="18"/>
                  <w:szCs w:val="18"/>
                  <w:color w:val="0000FF"/>
                </w:rPr>
                <w:t>December 31, 2020, as filed with the SEC on February 23, 2021).</w:t>
              </w:r>
            </w:hyperlink>
          </w:p>
        </w:tc>
        <w:tc>
          <w:tcPr>
            <w:tcW w:w="280" w:type="dxa"/>
            <w:vAlign w:val="bottom"/>
            <w:tcBorders>
              <w:top w:val="single" w:sz="8" w:color="CCEEFF"/>
            </w:tcBorders>
            <w:gridSpan w:val="12"/>
            <w:shd w:val="clear" w:color="auto" w:fill="CCEEFF"/>
          </w:tcPr>
          <w:p>
            <w:pPr>
              <w:spacing w:after="0"/>
              <w:rPr>
                <w:sz w:val="14"/>
                <w:szCs w:val="14"/>
                <w:color w:val="auto"/>
              </w:rPr>
            </w:pPr>
          </w:p>
        </w:tc>
        <w:tc>
          <w:tcPr>
            <w:tcW w:w="200" w:type="dxa"/>
            <w:vAlign w:val="bottom"/>
            <w:tcBorders>
              <w:top w:val="single" w:sz="8" w:color="CCEEFF"/>
            </w:tcBorders>
            <w:gridSpan w:val="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10.34D+</w:t>
            </w:r>
          </w:p>
        </w:tc>
        <w:tc>
          <w:tcPr>
            <w:tcW w:w="9180" w:type="dxa"/>
            <w:vAlign w:val="bottom"/>
            <w:gridSpan w:val="38"/>
          </w:tcPr>
          <w:p>
            <w:pPr>
              <w:spacing w:after="0" w:line="189" w:lineRule="exact"/>
              <w:rPr>
                <w:rFonts w:ascii="Arial" w:cs="Arial" w:eastAsia="Arial" w:hAnsi="Arial"/>
                <w:sz w:val="18"/>
                <w:szCs w:val="18"/>
                <w:color w:val="0000FF"/>
                <w:w w:val="91"/>
              </w:rPr>
            </w:pPr>
            <w:hyperlink r:id="rId255">
              <w:r>
                <w:rPr>
                  <w:rFonts w:ascii="Arial" w:cs="Arial" w:eastAsia="Arial" w:hAnsi="Arial"/>
                  <w:sz w:val="18"/>
                  <w:szCs w:val="18"/>
                  <w:color w:val="0000FF"/>
                  <w:w w:val="91"/>
                </w:rPr>
                <w:t>Jazz Pharmaceuticals Cash Bonus Plan (Ireland and Other Specified Affiliates) (Calendar Year 2021)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80" w:type="dxa"/>
            <w:vAlign w:val="bottom"/>
            <w:tcBorders>
              <w:top w:val="single" w:sz="8" w:color="0000FF"/>
            </w:tcBorders>
            <w:gridSpan w:val="37"/>
          </w:tcPr>
          <w:p>
            <w:pPr>
              <w:spacing w:after="0" w:line="169" w:lineRule="exact"/>
              <w:rPr>
                <w:rFonts w:ascii="Arial" w:cs="Arial" w:eastAsia="Arial" w:hAnsi="Arial"/>
                <w:sz w:val="18"/>
                <w:szCs w:val="18"/>
                <w:color w:val="0000FF"/>
                <w:w w:val="92"/>
              </w:rPr>
            </w:pPr>
            <w:hyperlink r:id="rId255">
              <w:r>
                <w:rPr>
                  <w:rFonts w:ascii="Arial" w:cs="Arial" w:eastAsia="Arial" w:hAnsi="Arial"/>
                  <w:sz w:val="18"/>
                  <w:szCs w:val="18"/>
                  <w:color w:val="0000FF"/>
                  <w:w w:val="92"/>
                </w:rPr>
                <w:t>reference to Exhibit 10.33D in Jazz Pharmaceuticals plc’s Annual Report on Form 10-K (File No. 001-33500) for the period</w:t>
              </w:r>
            </w:hyperlink>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8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255">
              <w:r>
                <w:rPr>
                  <w:rFonts w:ascii="Arial" w:cs="Arial" w:eastAsia="Arial" w:hAnsi="Arial"/>
                  <w:sz w:val="18"/>
                  <w:szCs w:val="18"/>
                  <w:color w:val="0000FF"/>
                </w:rPr>
                <w:t>ended December 31, 2020, as filed with the SEC on February 23, 2021).</w:t>
              </w:r>
            </w:hyperlink>
          </w:p>
        </w:tc>
        <w:tc>
          <w:tcPr>
            <w:tcW w:w="8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10.34E+</w:t>
            </w:r>
          </w:p>
        </w:tc>
        <w:tc>
          <w:tcPr>
            <w:tcW w:w="9180" w:type="dxa"/>
            <w:vAlign w:val="bottom"/>
            <w:gridSpan w:val="38"/>
            <w:shd w:val="clear" w:color="auto" w:fill="CCEEFF"/>
          </w:tcPr>
          <w:p>
            <w:pPr>
              <w:spacing w:after="0" w:line="189" w:lineRule="exact"/>
              <w:rPr>
                <w:rFonts w:ascii="Arial" w:cs="Arial" w:eastAsia="Arial" w:hAnsi="Arial"/>
                <w:sz w:val="18"/>
                <w:szCs w:val="18"/>
                <w:color w:val="0000FF"/>
              </w:rPr>
            </w:pPr>
            <w:hyperlink w:anchor="page183">
              <w:r>
                <w:rPr>
                  <w:rFonts w:ascii="Arial" w:cs="Arial" w:eastAsia="Arial" w:hAnsi="Arial"/>
                  <w:sz w:val="18"/>
                  <w:szCs w:val="18"/>
                  <w:color w:val="0000FF"/>
                </w:rPr>
                <w:t xml:space="preserve">Jazz Pharmaceuticals plc Global Cash Bonus Plan (approved November, </w:t>
              </w:r>
            </w:hyperlink>
            <w:r>
              <w:rPr>
                <w:rFonts w:ascii="Arial" w:cs="Arial" w:eastAsia="Arial" w:hAnsi="Arial"/>
                <w:sz w:val="18"/>
                <w:szCs w:val="18"/>
                <w:color w:val="0000FF"/>
              </w:rPr>
              <w:t>2021)</w:t>
            </w:r>
            <w:hyperlink w:anchor="page183">
              <w:r>
                <w:rPr>
                  <w:rFonts w:ascii="Arial" w:cs="Arial" w:eastAsia="Arial" w:hAnsi="Arial"/>
                  <w:sz w:val="18"/>
                  <w:szCs w:val="18"/>
                  <w:u w:val="single" w:color="auto"/>
                  <w:color w:val="0000FF"/>
                </w:rPr>
                <w:t>.</w:t>
              </w:r>
            </w:hyperlink>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1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720" w:type="dxa"/>
            <w:vAlign w:val="bottom"/>
            <w:tcBorders>
              <w:top w:val="single" w:sz="8" w:color="0000FF"/>
            </w:tcBorders>
            <w:gridSpan w:val="3"/>
          </w:tcPr>
          <w:p>
            <w:pPr>
              <w:jc w:val="right"/>
              <w:ind w:right="360"/>
              <w:spacing w:after="0"/>
              <w:rPr>
                <w:sz w:val="20"/>
                <w:szCs w:val="20"/>
                <w:color w:val="auto"/>
              </w:rPr>
            </w:pPr>
            <w:r>
              <w:rPr>
                <w:rFonts w:ascii="Arial" w:cs="Arial" w:eastAsia="Arial" w:hAnsi="Arial"/>
                <w:sz w:val="18"/>
                <w:szCs w:val="18"/>
                <w:color w:val="auto"/>
              </w:rPr>
              <w:t>111</w:t>
            </w: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-1456690</wp:posOffset>
            </wp:positionV>
            <wp:extent cx="381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58">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Table of Contents</w:t>
              </w:r>
            </w:hyperlink>
          </w:p>
        </w:tc>
        <w:tc>
          <w:tcPr>
            <w:tcW w:w="2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9180" w:type="dxa"/>
            <w:vAlign w:val="bottom"/>
            <w:gridSpan w:val="15"/>
          </w:tcPr>
          <w:p>
            <w:pPr>
              <w:spacing w:after="0"/>
              <w:rPr>
                <w:rFonts w:ascii="Arial" w:cs="Arial" w:eastAsia="Arial" w:hAnsi="Arial"/>
                <w:sz w:val="18"/>
                <w:szCs w:val="18"/>
                <w:color w:val="0000FF"/>
                <w:w w:val="94"/>
              </w:rPr>
            </w:pPr>
            <w:hyperlink r:id="rId259">
              <w:r>
                <w:rPr>
                  <w:rFonts w:ascii="Arial" w:cs="Arial" w:eastAsia="Arial" w:hAnsi="Arial"/>
                  <w:sz w:val="18"/>
                  <w:szCs w:val="18"/>
                  <w:color w:val="0000FF"/>
                  <w:w w:val="94"/>
                </w:rPr>
                <w:t>Amended and Restated Executive Change in Control and Severance Benefit Plan, dated as of July 31, 2019 (incorporated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80" w:type="dxa"/>
            <w:vAlign w:val="bottom"/>
            <w:gridSpan w:val="15"/>
          </w:tcPr>
          <w:p>
            <w:pPr>
              <w:spacing w:after="0" w:line="169" w:lineRule="exact"/>
              <w:rPr>
                <w:rFonts w:ascii="Arial" w:cs="Arial" w:eastAsia="Arial" w:hAnsi="Arial"/>
                <w:sz w:val="18"/>
                <w:szCs w:val="18"/>
                <w:color w:val="0000FF"/>
                <w:w w:val="94"/>
              </w:rPr>
            </w:pPr>
            <w:hyperlink r:id="rId259">
              <w:r>
                <w:rPr>
                  <w:rFonts w:ascii="Arial" w:cs="Arial" w:eastAsia="Arial" w:hAnsi="Arial"/>
                  <w:sz w:val="18"/>
                  <w:szCs w:val="18"/>
                  <w:color w:val="0000FF"/>
                  <w:w w:val="94"/>
                </w:rPr>
                <w:t>herein by reference to Exhibit 10.5 in Jazz Pharmaceuticals plc’s Quarterly Report on Form 10-Q (File No. 001-33500) for</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4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259">
              <w:r>
                <w:rPr>
                  <w:rFonts w:ascii="Arial" w:cs="Arial" w:eastAsia="Arial" w:hAnsi="Arial"/>
                  <w:sz w:val="18"/>
                  <w:szCs w:val="18"/>
                  <w:color w:val="0000FF"/>
                </w:rPr>
                <w:t>the period ended September 30, 2019, as filed with the SEC on November 5, 2019).</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10.36A+</w:t>
            </w:r>
          </w:p>
        </w:tc>
        <w:tc>
          <w:tcPr>
            <w:tcW w:w="9180" w:type="dxa"/>
            <w:vAlign w:val="bottom"/>
            <w:gridSpan w:val="15"/>
            <w:shd w:val="clear" w:color="auto" w:fill="CCEEFF"/>
          </w:tcPr>
          <w:p>
            <w:pPr>
              <w:spacing w:after="0" w:line="189" w:lineRule="exact"/>
              <w:rPr>
                <w:rFonts w:ascii="Arial" w:cs="Arial" w:eastAsia="Arial" w:hAnsi="Arial"/>
                <w:sz w:val="18"/>
                <w:szCs w:val="18"/>
                <w:color w:val="0000FF"/>
                <w:w w:val="97"/>
              </w:rPr>
            </w:pPr>
            <w:hyperlink r:id="rId260">
              <w:r>
                <w:rPr>
                  <w:rFonts w:ascii="Arial" w:cs="Arial" w:eastAsia="Arial" w:hAnsi="Arial"/>
                  <w:sz w:val="18"/>
                  <w:szCs w:val="18"/>
                  <w:color w:val="0000FF"/>
                  <w:w w:val="97"/>
                </w:rPr>
                <w:t>Amended and Restated Non-Employee Director Compensation Policy (approved May 3, 2018) (incorporated herein by</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20" w:type="dxa"/>
            <w:vAlign w:val="bottom"/>
            <w:tcBorders>
              <w:right w:val="single" w:sz="8" w:color="CCEEFF"/>
            </w:tcBorders>
            <w:shd w:val="clear" w:color="auto" w:fill="0000FF"/>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15"/>
            <w:shd w:val="clear" w:color="auto" w:fill="CCEEFF"/>
          </w:tcPr>
          <w:p>
            <w:pPr>
              <w:spacing w:after="0" w:line="169" w:lineRule="exact"/>
              <w:rPr>
                <w:rFonts w:ascii="Arial" w:cs="Arial" w:eastAsia="Arial" w:hAnsi="Arial"/>
                <w:sz w:val="18"/>
                <w:szCs w:val="18"/>
                <w:color w:val="0000FF"/>
                <w:w w:val="94"/>
              </w:rPr>
            </w:pPr>
            <w:hyperlink r:id="rId260">
              <w:r>
                <w:rPr>
                  <w:rFonts w:ascii="Arial" w:cs="Arial" w:eastAsia="Arial" w:hAnsi="Arial"/>
                  <w:sz w:val="18"/>
                  <w:szCs w:val="18"/>
                  <w:color w:val="0000FF"/>
                  <w:w w:val="94"/>
                </w:rPr>
                <w:t>reference to Exhibit 10.1 in Jazz Pharmaceuticals plc’s Quarterly Report on Form 10-Q (File No. 001-33500) for the period</w:t>
              </w:r>
            </w:hyperlink>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260">
              <w:r>
                <w:rPr>
                  <w:rFonts w:ascii="Arial" w:cs="Arial" w:eastAsia="Arial" w:hAnsi="Arial"/>
                  <w:sz w:val="18"/>
                  <w:szCs w:val="18"/>
                  <w:color w:val="0000FF"/>
                </w:rPr>
                <w:t>ended June 30, 2018, as filed with the SEC on August 7, 2018).</w:t>
              </w:r>
            </w:hyperlink>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10.36B+</w:t>
            </w:r>
          </w:p>
        </w:tc>
        <w:tc>
          <w:tcPr>
            <w:tcW w:w="8660" w:type="dxa"/>
            <w:vAlign w:val="bottom"/>
            <w:tcBorders>
              <w:bottom w:val="single" w:sz="8" w:color="0000FF"/>
            </w:tcBorders>
            <w:gridSpan w:val="9"/>
          </w:tcPr>
          <w:p>
            <w:pPr>
              <w:spacing w:after="0" w:line="189" w:lineRule="exact"/>
              <w:rPr>
                <w:rFonts w:ascii="Arial" w:cs="Arial" w:eastAsia="Arial" w:hAnsi="Arial"/>
                <w:sz w:val="18"/>
                <w:szCs w:val="18"/>
                <w:color w:val="0000FF"/>
                <w:w w:val="90"/>
              </w:rPr>
            </w:pPr>
            <w:hyperlink r:id="rId261">
              <w:r>
                <w:rPr>
                  <w:rFonts w:ascii="Arial" w:cs="Arial" w:eastAsia="Arial" w:hAnsi="Arial"/>
                  <w:sz w:val="18"/>
                  <w:szCs w:val="18"/>
                  <w:color w:val="0000FF"/>
                  <w:w w:val="90"/>
                </w:rPr>
                <w:t>Amended and Restated Non-Employee Director Compensation Policy (approved July 21, 2020) (incorporated herein by</w:t>
              </w:r>
            </w:hyperlink>
          </w:p>
        </w:tc>
        <w:tc>
          <w:tcPr>
            <w:tcW w:w="520" w:type="dxa"/>
            <w:vAlign w:val="bottom"/>
            <w:gridSpan w:val="6"/>
          </w:tcPr>
          <w:p>
            <w:pPr>
              <w:spacing w:after="0"/>
              <w:rPr>
                <w:sz w:val="16"/>
                <w:szCs w:val="16"/>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80" w:type="dxa"/>
            <w:vAlign w:val="bottom"/>
            <w:gridSpan w:val="15"/>
          </w:tcPr>
          <w:p>
            <w:pPr>
              <w:spacing w:after="0" w:line="169" w:lineRule="exact"/>
              <w:rPr>
                <w:rFonts w:ascii="Arial" w:cs="Arial" w:eastAsia="Arial" w:hAnsi="Arial"/>
                <w:sz w:val="18"/>
                <w:szCs w:val="18"/>
                <w:color w:val="0000FF"/>
                <w:w w:val="94"/>
              </w:rPr>
            </w:pPr>
            <w:hyperlink r:id="rId261">
              <w:r>
                <w:rPr>
                  <w:rFonts w:ascii="Arial" w:cs="Arial" w:eastAsia="Arial" w:hAnsi="Arial"/>
                  <w:sz w:val="18"/>
                  <w:szCs w:val="18"/>
                  <w:color w:val="0000FF"/>
                  <w:w w:val="94"/>
                </w:rPr>
                <w:t>reference to Exhibit 10.1 in Jazz Pharmaceuticals plc’s Quarterly Report on Form 10-Q (File No. 001-33500) for the period</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261">
              <w:r>
                <w:rPr>
                  <w:rFonts w:ascii="Arial" w:cs="Arial" w:eastAsia="Arial" w:hAnsi="Arial"/>
                  <w:sz w:val="18"/>
                  <w:szCs w:val="18"/>
                  <w:color w:val="0000FF"/>
                </w:rPr>
                <w:t>ended September 30, 2020, as filed with the SEC on November 2, 2020).</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10.36C+</w:t>
            </w:r>
          </w:p>
        </w:tc>
        <w:tc>
          <w:tcPr>
            <w:tcW w:w="9180" w:type="dxa"/>
            <w:vAlign w:val="bottom"/>
            <w:gridSpan w:val="15"/>
            <w:shd w:val="clear" w:color="auto" w:fill="CCEEFF"/>
          </w:tcPr>
          <w:p>
            <w:pPr>
              <w:spacing w:after="0" w:line="189" w:lineRule="exact"/>
              <w:rPr>
                <w:rFonts w:ascii="Arial" w:cs="Arial" w:eastAsia="Arial" w:hAnsi="Arial"/>
                <w:sz w:val="18"/>
                <w:szCs w:val="18"/>
                <w:color w:val="0000FF"/>
                <w:w w:val="96"/>
              </w:rPr>
            </w:pPr>
            <w:hyperlink r:id="rId262">
              <w:r>
                <w:rPr>
                  <w:rFonts w:ascii="Arial" w:cs="Arial" w:eastAsia="Arial" w:hAnsi="Arial"/>
                  <w:sz w:val="18"/>
                  <w:szCs w:val="18"/>
                  <w:color w:val="0000FF"/>
                  <w:w w:val="96"/>
                </w:rPr>
                <w:t>Amended and Restated Non-Employee Director Compensation Policy (approved July 29, 2021) (incorporated herein by</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180" w:type="dxa"/>
            <w:vAlign w:val="bottom"/>
            <w:gridSpan w:val="15"/>
            <w:shd w:val="clear" w:color="auto" w:fill="CCEEFF"/>
          </w:tcPr>
          <w:p>
            <w:pPr>
              <w:spacing w:after="0" w:line="169" w:lineRule="exact"/>
              <w:rPr>
                <w:rFonts w:ascii="Arial" w:cs="Arial" w:eastAsia="Arial" w:hAnsi="Arial"/>
                <w:sz w:val="18"/>
                <w:szCs w:val="18"/>
                <w:color w:val="0000FF"/>
                <w:w w:val="93"/>
              </w:rPr>
            </w:pPr>
            <w:hyperlink r:id="rId262">
              <w:r>
                <w:rPr>
                  <w:rFonts w:ascii="Arial" w:cs="Arial" w:eastAsia="Arial" w:hAnsi="Arial"/>
                  <w:sz w:val="18"/>
                  <w:szCs w:val="18"/>
                  <w:color w:val="0000FF"/>
                  <w:w w:val="93"/>
                </w:rPr>
                <w:t>reference to Exhibit 10.11 in Jazz Pharmaceuticals plc’s Quarterly Report on Form 10-Q (File No. 001-33500) for the period</w:t>
              </w:r>
            </w:hyperlink>
          </w:p>
        </w:tc>
      </w:tr>
      <w:tr>
        <w:trPr>
          <w:trHeight w:val="203"/>
        </w:trPr>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980" w:type="dxa"/>
            <w:vAlign w:val="bottom"/>
            <w:tcBorders>
              <w:top w:val="single" w:sz="8" w:color="0000FF"/>
            </w:tcBorders>
            <w:gridSpan w:val="14"/>
            <w:shd w:val="clear" w:color="auto" w:fill="CCEEFF"/>
          </w:tcPr>
          <w:p>
            <w:pPr>
              <w:spacing w:after="0" w:line="169" w:lineRule="exact"/>
              <w:rPr>
                <w:rFonts w:ascii="Arial" w:cs="Arial" w:eastAsia="Arial" w:hAnsi="Arial"/>
                <w:sz w:val="18"/>
                <w:szCs w:val="18"/>
                <w:color w:val="0000FF"/>
              </w:rPr>
            </w:pPr>
            <w:hyperlink r:id="rId262">
              <w:r>
                <w:rPr>
                  <w:rFonts w:ascii="Arial" w:cs="Arial" w:eastAsia="Arial" w:hAnsi="Arial"/>
                  <w:sz w:val="18"/>
                  <w:szCs w:val="18"/>
                  <w:color w:val="0000FF"/>
                </w:rPr>
                <w:t>ended June 30, 2021, as filed with the SEC on August 3, 2021).</w:t>
              </w:r>
            </w:hyperlink>
          </w:p>
        </w:tc>
        <w:tc>
          <w:tcPr>
            <w:tcW w:w="200" w:type="dxa"/>
            <w:vAlign w:val="bottom"/>
            <w:tcBorders>
              <w:top w:val="single" w:sz="8" w:color="CCEEFF"/>
            </w:tcBorders>
            <w:shd w:val="clear" w:color="auto" w:fill="CCEEFF"/>
          </w:tcPr>
          <w:p>
            <w:pPr>
              <w:spacing w:after="0"/>
              <w:rPr>
                <w:sz w:val="17"/>
                <w:szCs w:val="17"/>
                <w:color w:val="auto"/>
              </w:rPr>
            </w:pPr>
          </w:p>
        </w:tc>
      </w:tr>
      <w:tr>
        <w:trPr>
          <w:trHeight w:val="189"/>
        </w:trPr>
        <w:tc>
          <w:tcPr>
            <w:tcW w:w="12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tcPr>
          <w:p>
            <w:pPr>
              <w:spacing w:after="0"/>
              <w:rPr>
                <w:sz w:val="16"/>
                <w:szCs w:val="16"/>
                <w:color w:val="auto"/>
              </w:rPr>
            </w:pPr>
          </w:p>
        </w:tc>
        <w:tc>
          <w:tcPr>
            <w:tcW w:w="4580" w:type="dxa"/>
            <w:vAlign w:val="bottom"/>
            <w:tcBorders>
              <w:top w:val="single" w:sz="8" w:color="0000FF"/>
            </w:tcBorders>
            <w:gridSpan w:val="5"/>
          </w:tcPr>
          <w:p>
            <w:pPr>
              <w:spacing w:after="0" w:line="189" w:lineRule="exact"/>
              <w:rPr>
                <w:rFonts w:ascii="Arial" w:cs="Arial" w:eastAsia="Arial" w:hAnsi="Arial"/>
                <w:sz w:val="18"/>
                <w:szCs w:val="18"/>
                <w:color w:val="0000FF"/>
              </w:rPr>
            </w:pPr>
            <w:hyperlink w:anchor="page189">
              <w:r>
                <w:rPr>
                  <w:rFonts w:ascii="Arial" w:cs="Arial" w:eastAsia="Arial" w:hAnsi="Arial"/>
                  <w:sz w:val="18"/>
                  <w:szCs w:val="18"/>
                  <w:color w:val="0000FF"/>
                </w:rPr>
                <w:t>Subsidiaries of Jazz Pharmaceuticals plc.</w:t>
              </w:r>
            </w:hyperlink>
          </w:p>
        </w:tc>
        <w:tc>
          <w:tcPr>
            <w:tcW w:w="4600" w:type="dxa"/>
            <w:vAlign w:val="bottom"/>
            <w:tcBorders>
              <w:top w:val="single" w:sz="8" w:color="CCEEFF"/>
            </w:tcBorders>
            <w:gridSpan w:val="10"/>
          </w:tcPr>
          <w:p>
            <w:pPr>
              <w:spacing w:after="0"/>
              <w:rPr>
                <w:sz w:val="16"/>
                <w:szCs w:val="16"/>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9180" w:type="dxa"/>
            <w:vAlign w:val="bottom"/>
            <w:gridSpan w:val="15"/>
            <w:shd w:val="clear" w:color="auto" w:fill="CCEEFF"/>
          </w:tcPr>
          <w:p>
            <w:pPr>
              <w:spacing w:after="0" w:line="189" w:lineRule="exact"/>
              <w:rPr>
                <w:rFonts w:ascii="Arial" w:cs="Arial" w:eastAsia="Arial" w:hAnsi="Arial"/>
                <w:sz w:val="18"/>
                <w:szCs w:val="18"/>
                <w:color w:val="0000FF"/>
              </w:rPr>
            </w:pPr>
            <w:hyperlink w:anchor="page190">
              <w:r>
                <w:rPr>
                  <w:rFonts w:ascii="Arial" w:cs="Arial" w:eastAsia="Arial" w:hAnsi="Arial"/>
                  <w:sz w:val="18"/>
                  <w:szCs w:val="18"/>
                  <w:color w:val="0000FF"/>
                </w:rPr>
                <w:t>Consent of KPMG, Independent Registered Public Accounting Firm.</w:t>
              </w:r>
            </w:hyperlink>
          </w:p>
        </w:tc>
      </w:tr>
      <w:tr>
        <w:trPr>
          <w:trHeight w:val="189"/>
        </w:trPr>
        <w:tc>
          <w:tcPr>
            <w:tcW w:w="12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24.1</w:t>
            </w:r>
          </w:p>
        </w:tc>
        <w:tc>
          <w:tcPr>
            <w:tcW w:w="100" w:type="dxa"/>
            <w:vAlign w:val="bottom"/>
            <w:tcBorders>
              <w:top w:val="single" w:sz="8" w:color="CCEEFF"/>
            </w:tcBorders>
          </w:tcPr>
          <w:p>
            <w:pPr>
              <w:spacing w:after="0"/>
              <w:rPr>
                <w:sz w:val="16"/>
                <w:szCs w:val="16"/>
                <w:color w:val="auto"/>
              </w:rPr>
            </w:pPr>
          </w:p>
        </w:tc>
        <w:tc>
          <w:tcPr>
            <w:tcW w:w="4980" w:type="dxa"/>
            <w:vAlign w:val="bottom"/>
            <w:tcBorders>
              <w:top w:val="single" w:sz="8" w:color="0000FF"/>
            </w:tcBorders>
            <w:gridSpan w:val="6"/>
          </w:tcPr>
          <w:p>
            <w:pPr>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Power of Attorney (included on the signature page hereto).</w:t>
              </w:r>
            </w:hyperlink>
          </w:p>
        </w:tc>
        <w:tc>
          <w:tcPr>
            <w:tcW w:w="4200" w:type="dxa"/>
            <w:vAlign w:val="bottom"/>
            <w:tcBorders>
              <w:top w:val="single" w:sz="8" w:color="CCEEFF"/>
            </w:tcBorders>
            <w:gridSpan w:val="9"/>
          </w:tcPr>
          <w:p>
            <w:pPr>
              <w:spacing w:after="0"/>
              <w:rPr>
                <w:sz w:val="16"/>
                <w:szCs w:val="16"/>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6"/>
                <w:szCs w:val="16"/>
                <w:color w:val="auto"/>
              </w:rPr>
            </w:pPr>
          </w:p>
        </w:tc>
        <w:tc>
          <w:tcPr>
            <w:tcW w:w="9180" w:type="dxa"/>
            <w:vAlign w:val="bottom"/>
            <w:gridSpan w:val="15"/>
            <w:shd w:val="clear" w:color="auto" w:fill="CCEEFF"/>
          </w:tcPr>
          <w:p>
            <w:pPr>
              <w:spacing w:after="0" w:line="189" w:lineRule="exact"/>
              <w:rPr>
                <w:rFonts w:ascii="Arial" w:cs="Arial" w:eastAsia="Arial" w:hAnsi="Arial"/>
                <w:sz w:val="18"/>
                <w:szCs w:val="18"/>
                <w:color w:val="0000FF"/>
                <w:w w:val="96"/>
              </w:rPr>
            </w:pPr>
            <w:hyperlink w:anchor="page191">
              <w:r>
                <w:rPr>
                  <w:rFonts w:ascii="Arial" w:cs="Arial" w:eastAsia="Arial" w:hAnsi="Arial"/>
                  <w:sz w:val="18"/>
                  <w:szCs w:val="18"/>
                  <w:color w:val="0000FF"/>
                  <w:w w:val="96"/>
                </w:rPr>
                <w:t>Certification of Principal Executive Officer pursuant to Rules 13a-14(a) and 15d-14(a) promulgated under the Securities</w:t>
              </w:r>
            </w:hyperlink>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right w:val="single" w:sz="8" w:color="CCEEFF"/>
            </w:tcBorders>
            <w:gridSpan w:val="9"/>
            <w:shd w:val="clear" w:color="auto" w:fill="CCEEFF"/>
          </w:tcPr>
          <w:p>
            <w:pPr>
              <w:spacing w:after="0" w:line="169" w:lineRule="exact"/>
              <w:rPr>
                <w:rFonts w:ascii="Arial" w:cs="Arial" w:eastAsia="Arial" w:hAnsi="Arial"/>
                <w:sz w:val="18"/>
                <w:szCs w:val="18"/>
                <w:color w:val="0000FF"/>
              </w:rPr>
            </w:pPr>
            <w:hyperlink w:anchor="page191">
              <w:r>
                <w:rPr>
                  <w:rFonts w:ascii="Arial" w:cs="Arial" w:eastAsia="Arial" w:hAnsi="Arial"/>
                  <w:sz w:val="18"/>
                  <w:szCs w:val="18"/>
                  <w:color w:val="0000FF"/>
                </w:rPr>
                <w:t>Exchange Act of 1934, as amended.</w:t>
              </w:r>
            </w:hyperlink>
          </w:p>
        </w:tc>
        <w:tc>
          <w:tcPr>
            <w:tcW w:w="200" w:type="dxa"/>
            <w:vAlign w:val="bottom"/>
            <w:tcBorders>
              <w:top w:val="single" w:sz="8" w:color="CCEEFF"/>
            </w:tcBorders>
            <w:gridSpan w:val="3"/>
            <w:shd w:val="clear" w:color="auto" w:fill="CCEEFF"/>
          </w:tcPr>
          <w:p>
            <w:pPr>
              <w:spacing w:after="0"/>
              <w:rPr>
                <w:sz w:val="14"/>
                <w:szCs w:val="14"/>
                <w:color w:val="auto"/>
              </w:rPr>
            </w:pPr>
          </w:p>
        </w:tc>
        <w:tc>
          <w:tcPr>
            <w:tcW w:w="320" w:type="dxa"/>
            <w:vAlign w:val="bottom"/>
            <w:tcBorders>
              <w:top w:val="single" w:sz="8" w:color="CCEEFF"/>
            </w:tcBorders>
            <w:gridSpan w:val="3"/>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c>
          <w:tcPr>
            <w:tcW w:w="9180" w:type="dxa"/>
            <w:vAlign w:val="bottom"/>
            <w:gridSpan w:val="15"/>
          </w:tcPr>
          <w:p>
            <w:pPr>
              <w:spacing w:after="0" w:line="189" w:lineRule="exact"/>
              <w:rPr>
                <w:rFonts w:ascii="Arial" w:cs="Arial" w:eastAsia="Arial" w:hAnsi="Arial"/>
                <w:sz w:val="18"/>
                <w:szCs w:val="18"/>
                <w:color w:val="0000FF"/>
                <w:w w:val="97"/>
              </w:rPr>
            </w:pPr>
            <w:hyperlink w:anchor="page192">
              <w:r>
                <w:rPr>
                  <w:rFonts w:ascii="Arial" w:cs="Arial" w:eastAsia="Arial" w:hAnsi="Arial"/>
                  <w:sz w:val="18"/>
                  <w:szCs w:val="18"/>
                  <w:color w:val="0000FF"/>
                  <w:w w:val="97"/>
                </w:rPr>
                <w:t>Certification of Principal Financial Officer pursuant to Rules 13a-14(a) and 15d-14(a) promulgated under the Securities</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192">
              <w:r>
                <w:rPr>
                  <w:rFonts w:ascii="Arial" w:cs="Arial" w:eastAsia="Arial" w:hAnsi="Arial"/>
                  <w:sz w:val="18"/>
                  <w:szCs w:val="18"/>
                  <w:color w:val="0000FF"/>
                </w:rPr>
                <w:t>Exchange Act of 1934, as amended.</w:t>
              </w:r>
            </w:hyperlink>
          </w:p>
        </w:tc>
        <w:tc>
          <w:tcPr>
            <w:tcW w:w="200" w:type="dxa"/>
            <w:vAlign w:val="bottom"/>
            <w:gridSpan w:val="3"/>
          </w:tcPr>
          <w:p>
            <w:pPr>
              <w:spacing w:after="0"/>
              <w:rPr>
                <w:sz w:val="14"/>
                <w:szCs w:val="14"/>
                <w:color w:val="auto"/>
              </w:rPr>
            </w:pPr>
          </w:p>
        </w:tc>
        <w:tc>
          <w:tcPr>
            <w:tcW w:w="320" w:type="dxa"/>
            <w:vAlign w:val="bottom"/>
            <w:gridSpan w:val="3"/>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6"/>
                <w:szCs w:val="16"/>
                <w:color w:val="auto"/>
              </w:rPr>
            </w:pPr>
          </w:p>
        </w:tc>
        <w:tc>
          <w:tcPr>
            <w:tcW w:w="9180" w:type="dxa"/>
            <w:vAlign w:val="bottom"/>
            <w:gridSpan w:val="15"/>
            <w:shd w:val="clear" w:color="auto" w:fill="CCEEFF"/>
          </w:tcPr>
          <w:p>
            <w:pPr>
              <w:spacing w:after="0" w:line="189" w:lineRule="exact"/>
              <w:rPr>
                <w:rFonts w:ascii="Arial" w:cs="Arial" w:eastAsia="Arial" w:hAnsi="Arial"/>
                <w:sz w:val="18"/>
                <w:szCs w:val="18"/>
                <w:color w:val="0000FF"/>
                <w:w w:val="95"/>
              </w:rPr>
            </w:pPr>
            <w:hyperlink w:anchor="page193">
              <w:r>
                <w:rPr>
                  <w:rFonts w:ascii="Arial" w:cs="Arial" w:eastAsia="Arial" w:hAnsi="Arial"/>
                  <w:sz w:val="18"/>
                  <w:szCs w:val="18"/>
                  <w:color w:val="0000FF"/>
                  <w:w w:val="95"/>
                </w:rPr>
                <w:t>Certification of Principal Executive Officer and Principal Financial Officer pursuant to 18 U.S.C. Section 1350, as adopted</w:t>
              </w:r>
            </w:hyperlink>
          </w:p>
        </w:tc>
      </w:tr>
      <w:tr>
        <w:trPr>
          <w:trHeight w:val="203"/>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32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90"/>
              </w:rPr>
            </w:pPr>
            <w:hyperlink w:anchor="page193">
              <w:r>
                <w:rPr>
                  <w:rFonts w:ascii="Arial" w:cs="Arial" w:eastAsia="Arial" w:hAnsi="Arial"/>
                  <w:sz w:val="18"/>
                  <w:szCs w:val="18"/>
                  <w:color w:val="0000FF"/>
                  <w:w w:val="90"/>
                </w:rPr>
                <w:t>pursuant to Section 906 of the Sarbanes-Oxley Act of 2002.</w:t>
              </w:r>
            </w:hyperlink>
          </w:p>
        </w:tc>
        <w:tc>
          <w:tcPr>
            <w:tcW w:w="4540" w:type="dxa"/>
            <w:vAlign w:val="bottom"/>
            <w:tcBorders>
              <w:top w:val="single" w:sz="8" w:color="0000FF"/>
              <w:bottom w:val="single" w:sz="8" w:color="CCEEFF"/>
            </w:tcBorders>
            <w:gridSpan w:val="8"/>
            <w:shd w:val="clear" w:color="auto" w:fill="CCEEFF"/>
          </w:tcPr>
          <w:p>
            <w:pPr>
              <w:spacing w:after="0"/>
              <w:rPr>
                <w:sz w:val="17"/>
                <w:szCs w:val="17"/>
                <w:color w:val="auto"/>
              </w:rPr>
            </w:pPr>
          </w:p>
        </w:tc>
        <w:tc>
          <w:tcPr>
            <w:tcW w:w="320" w:type="dxa"/>
            <w:vAlign w:val="bottom"/>
            <w:tcBorders>
              <w:top w:val="single" w:sz="8" w:color="CCEEFF"/>
              <w:bottom w:val="single" w:sz="8" w:color="CCEEFF"/>
            </w:tcBorders>
            <w:gridSpan w:val="3"/>
            <w:shd w:val="clear" w:color="auto" w:fill="CCEEFF"/>
          </w:tcPr>
          <w:p>
            <w:pPr>
              <w:spacing w:after="0"/>
              <w:rPr>
                <w:sz w:val="17"/>
                <w:szCs w:val="17"/>
                <w:color w:val="auto"/>
              </w:rPr>
            </w:pPr>
          </w:p>
        </w:tc>
      </w:tr>
      <w:tr>
        <w:trPr>
          <w:trHeight w:val="175"/>
        </w:trPr>
        <w:tc>
          <w:tcPr>
            <w:tcW w:w="13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101.INS</w:t>
            </w:r>
          </w:p>
        </w:tc>
        <w:tc>
          <w:tcPr>
            <w:tcW w:w="9180" w:type="dxa"/>
            <w:vAlign w:val="bottom"/>
            <w:gridSpan w:val="15"/>
          </w:tcPr>
          <w:p>
            <w:pPr>
              <w:spacing w:after="0" w:line="176" w:lineRule="exact"/>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30"/>
        </w:trPr>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8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91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1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91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1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30"/>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91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9180" w:type="dxa"/>
            <w:vAlign w:val="bottom"/>
            <w:gridSpan w:val="1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17"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580" w:right="200" w:hanging="572"/>
        <w:spacing w:after="0" w:line="277" w:lineRule="auto"/>
        <w:tabs>
          <w:tab w:leader="none" w:pos="2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Certain portions of this exhibit have been omitted pursuant to Item 601(b)(2) of Regulation S-K.</w:t>
      </w:r>
    </w:p>
    <w:p>
      <w:pPr>
        <w:spacing w:after="0" w:line="117" w:lineRule="exact"/>
        <w:rPr>
          <w:sz w:val="20"/>
          <w:szCs w:val="20"/>
          <w:color w:val="auto"/>
        </w:rPr>
      </w:pPr>
    </w:p>
    <w:p>
      <w:pPr>
        <w:ind w:left="580" w:hanging="572"/>
        <w:spacing w:after="0" w:line="220" w:lineRule="exact"/>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43" w:lineRule="exact"/>
        <w:rPr>
          <w:sz w:val="20"/>
          <w:szCs w:val="20"/>
          <w:color w:val="auto"/>
        </w:rPr>
      </w:pPr>
    </w:p>
    <w:p>
      <w:pPr>
        <w:spacing w:after="0" w:line="207" w:lineRule="exact"/>
        <w:tabs>
          <w:tab w:leader="none" w:pos="10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K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 w:right="61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480" w:type="dxa"/>
            <w:vAlign w:val="bottom"/>
          </w:tcPr>
          <w:p>
            <w:pPr>
              <w:spacing w:after="0"/>
              <w:rPr>
                <w:sz w:val="20"/>
                <w:szCs w:val="20"/>
                <w:color w:val="auto"/>
              </w:rPr>
            </w:pPr>
            <w:r>
              <w:rPr>
                <w:rFonts w:ascii="Arial" w:cs="Arial" w:eastAsia="Arial" w:hAnsi="Arial"/>
                <w:sz w:val="18"/>
                <w:szCs w:val="18"/>
                <w:color w:val="auto"/>
              </w:rPr>
              <w:t>Date: March 1, 2022</w:t>
            </w: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public limited company</w:t>
            </w:r>
          </w:p>
        </w:tc>
      </w:tr>
      <w:tr>
        <w:trPr>
          <w:trHeight w:val="229"/>
        </w:trPr>
        <w:tc>
          <w:tcPr>
            <w:tcW w:w="548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3440" w:type="dxa"/>
            <w:vAlign w:val="bottom"/>
          </w:tcPr>
          <w:p>
            <w:pPr>
              <w:spacing w:after="0"/>
              <w:rPr>
                <w:sz w:val="19"/>
                <w:szCs w:val="19"/>
                <w:color w:val="auto"/>
              </w:rPr>
            </w:pPr>
          </w:p>
        </w:tc>
      </w:tr>
      <w:tr>
        <w:trPr>
          <w:trHeight w:val="230"/>
        </w:trPr>
        <w:tc>
          <w:tcPr>
            <w:tcW w:w="5480" w:type="dxa"/>
            <w:vAlign w:val="bottom"/>
          </w:tcPr>
          <w:p>
            <w:pPr>
              <w:spacing w:after="0"/>
              <w:rPr>
                <w:sz w:val="20"/>
                <w:szCs w:val="20"/>
                <w:color w:val="auto"/>
              </w:rPr>
            </w:pPr>
          </w:p>
        </w:tc>
        <w:tc>
          <w:tcPr>
            <w:tcW w:w="572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C. C</w:t>
            </w:r>
            <w:r>
              <w:rPr>
                <w:rFonts w:ascii="Arial" w:cs="Arial" w:eastAsia="Arial" w:hAnsi="Arial"/>
                <w:sz w:val="14"/>
                <w:szCs w:val="14"/>
                <w:color w:val="auto"/>
              </w:rPr>
              <w:t>OZADD</w:t>
            </w:r>
          </w:p>
        </w:tc>
      </w:tr>
      <w:tr>
        <w:trPr>
          <w:trHeight w:val="128"/>
        </w:trPr>
        <w:tc>
          <w:tcPr>
            <w:tcW w:w="5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440" w:type="dxa"/>
            <w:vAlign w:val="bottom"/>
          </w:tcPr>
          <w:p>
            <w:pPr>
              <w:jc w:val="center"/>
              <w:ind w:right="2201"/>
              <w:spacing w:after="0" w:line="129" w:lineRule="exact"/>
              <w:rPr>
                <w:sz w:val="20"/>
                <w:szCs w:val="20"/>
                <w:color w:val="auto"/>
              </w:rPr>
            </w:pPr>
            <w:r>
              <w:rPr>
                <w:rFonts w:ascii="Arial" w:cs="Arial" w:eastAsia="Arial" w:hAnsi="Arial"/>
                <w:sz w:val="14"/>
                <w:szCs w:val="14"/>
                <w:b w:val="1"/>
                <w:bCs w:val="1"/>
                <w:color w:val="auto"/>
                <w:w w:val="92"/>
              </w:rPr>
              <w:t>Bruce C. Cozadd</w:t>
            </w:r>
          </w:p>
        </w:tc>
      </w:tr>
      <w:tr>
        <w:trPr>
          <w:trHeight w:val="135"/>
        </w:trPr>
        <w:tc>
          <w:tcPr>
            <w:tcW w:w="5480" w:type="dxa"/>
            <w:vAlign w:val="bottom"/>
          </w:tcPr>
          <w:p>
            <w:pPr>
              <w:spacing w:after="0"/>
              <w:rPr>
                <w:sz w:val="11"/>
                <w:szCs w:val="11"/>
                <w:color w:val="auto"/>
              </w:rPr>
            </w:pPr>
          </w:p>
        </w:tc>
        <w:tc>
          <w:tcPr>
            <w:tcW w:w="5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Chairman and Chief Executive Officer and Director</w:t>
            </w:r>
          </w:p>
        </w:tc>
      </w:tr>
      <w:tr>
        <w:trPr>
          <w:trHeight w:val="186"/>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r>
      <w:tr>
        <w:trPr>
          <w:trHeight w:val="529"/>
        </w:trPr>
        <w:tc>
          <w:tcPr>
            <w:tcW w:w="5480" w:type="dxa"/>
            <w:vAlign w:val="bottom"/>
          </w:tcPr>
          <w:p>
            <w:pPr>
              <w:spacing w:after="0"/>
              <w:rPr>
                <w:sz w:val="24"/>
                <w:szCs w:val="24"/>
                <w:color w:val="auto"/>
              </w:rPr>
            </w:pPr>
          </w:p>
        </w:tc>
        <w:tc>
          <w:tcPr>
            <w:tcW w:w="228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2141"/>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ENÉE</w:t>
            </w:r>
            <w:r>
              <w:rPr>
                <w:rFonts w:ascii="Arial" w:cs="Arial" w:eastAsia="Arial" w:hAnsi="Arial"/>
                <w:sz w:val="18"/>
                <w:szCs w:val="18"/>
                <w:color w:val="auto"/>
                <w:w w:val="97"/>
              </w:rPr>
              <w:t xml:space="preserve"> G</w:t>
            </w:r>
            <w:r>
              <w:rPr>
                <w:rFonts w:ascii="Arial" w:cs="Arial" w:eastAsia="Arial" w:hAnsi="Arial"/>
                <w:sz w:val="14"/>
                <w:szCs w:val="14"/>
                <w:color w:val="auto"/>
                <w:w w:val="97"/>
              </w:rPr>
              <w:t>ALÁ</w:t>
            </w:r>
          </w:p>
        </w:tc>
      </w:tr>
      <w:tr>
        <w:trPr>
          <w:trHeight w:val="128"/>
        </w:trPr>
        <w:tc>
          <w:tcPr>
            <w:tcW w:w="5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440" w:type="dxa"/>
            <w:vAlign w:val="bottom"/>
          </w:tcPr>
          <w:p>
            <w:pPr>
              <w:jc w:val="center"/>
              <w:ind w:right="2201"/>
              <w:spacing w:after="0" w:line="129" w:lineRule="exact"/>
              <w:rPr>
                <w:sz w:val="20"/>
                <w:szCs w:val="20"/>
                <w:color w:val="auto"/>
              </w:rPr>
            </w:pPr>
            <w:r>
              <w:rPr>
                <w:rFonts w:ascii="Arial" w:cs="Arial" w:eastAsia="Arial" w:hAnsi="Arial"/>
                <w:sz w:val="14"/>
                <w:szCs w:val="14"/>
                <w:b w:val="1"/>
                <w:bCs w:val="1"/>
                <w:color w:val="auto"/>
                <w:w w:val="94"/>
              </w:rPr>
              <w:t>Renée Galá</w:t>
            </w:r>
          </w:p>
        </w:tc>
      </w:tr>
      <w:tr>
        <w:trPr>
          <w:trHeight w:val="135"/>
        </w:trPr>
        <w:tc>
          <w:tcPr>
            <w:tcW w:w="5480" w:type="dxa"/>
            <w:vAlign w:val="bottom"/>
          </w:tcPr>
          <w:p>
            <w:pPr>
              <w:spacing w:after="0"/>
              <w:rPr>
                <w:sz w:val="11"/>
                <w:szCs w:val="11"/>
                <w:color w:val="auto"/>
              </w:rPr>
            </w:pPr>
          </w:p>
        </w:tc>
        <w:tc>
          <w:tcPr>
            <w:tcW w:w="5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Executive Vice President and Chief Financial Officer</w:t>
            </w:r>
          </w:p>
        </w:tc>
      </w:tr>
      <w:tr>
        <w:trPr>
          <w:trHeight w:val="186"/>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(Principal Financial Officer)</w:t>
            </w:r>
          </w:p>
        </w:tc>
      </w:tr>
      <w:tr>
        <w:trPr>
          <w:trHeight w:val="529"/>
        </w:trPr>
        <w:tc>
          <w:tcPr>
            <w:tcW w:w="5480" w:type="dxa"/>
            <w:vAlign w:val="bottom"/>
          </w:tcPr>
          <w:p>
            <w:pPr>
              <w:spacing w:after="0"/>
              <w:rPr>
                <w:sz w:val="24"/>
                <w:szCs w:val="24"/>
                <w:color w:val="auto"/>
              </w:rPr>
            </w:pPr>
          </w:p>
        </w:tc>
        <w:tc>
          <w:tcPr>
            <w:tcW w:w="228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2141"/>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ATRICIA</w:t>
            </w:r>
            <w:r>
              <w:rPr>
                <w:rFonts w:ascii="Arial" w:cs="Arial" w:eastAsia="Arial" w:hAnsi="Arial"/>
                <w:sz w:val="18"/>
                <w:szCs w:val="18"/>
                <w:color w:val="auto"/>
                <w:w w:val="99"/>
              </w:rPr>
              <w:t xml:space="preserve"> C</w:t>
            </w:r>
            <w:r>
              <w:rPr>
                <w:rFonts w:ascii="Arial" w:cs="Arial" w:eastAsia="Arial" w:hAnsi="Arial"/>
                <w:sz w:val="14"/>
                <w:szCs w:val="14"/>
                <w:color w:val="auto"/>
                <w:w w:val="99"/>
              </w:rPr>
              <w:t>ARR</w:t>
            </w:r>
          </w:p>
        </w:tc>
      </w:tr>
      <w:tr>
        <w:trPr>
          <w:trHeight w:val="128"/>
        </w:trPr>
        <w:tc>
          <w:tcPr>
            <w:tcW w:w="5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440" w:type="dxa"/>
            <w:vAlign w:val="bottom"/>
          </w:tcPr>
          <w:p>
            <w:pPr>
              <w:jc w:val="center"/>
              <w:ind w:right="2201"/>
              <w:spacing w:after="0" w:line="129" w:lineRule="exact"/>
              <w:rPr>
                <w:sz w:val="20"/>
                <w:szCs w:val="20"/>
                <w:color w:val="auto"/>
              </w:rPr>
            </w:pPr>
            <w:r>
              <w:rPr>
                <w:rFonts w:ascii="Arial" w:cs="Arial" w:eastAsia="Arial" w:hAnsi="Arial"/>
                <w:sz w:val="14"/>
                <w:szCs w:val="14"/>
                <w:b w:val="1"/>
                <w:bCs w:val="1"/>
                <w:color w:val="auto"/>
              </w:rPr>
              <w:t>Patricia Carr</w:t>
            </w:r>
          </w:p>
        </w:tc>
      </w:tr>
      <w:tr>
        <w:trPr>
          <w:trHeight w:val="135"/>
        </w:trPr>
        <w:tc>
          <w:tcPr>
            <w:tcW w:w="5480" w:type="dxa"/>
            <w:vAlign w:val="bottom"/>
          </w:tcPr>
          <w:p>
            <w:pPr>
              <w:spacing w:after="0"/>
              <w:rPr>
                <w:sz w:val="11"/>
                <w:szCs w:val="11"/>
                <w:color w:val="auto"/>
              </w:rPr>
            </w:pPr>
          </w:p>
        </w:tc>
        <w:tc>
          <w:tcPr>
            <w:tcW w:w="5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Senior Vice President, Chief Accounting Officer</w:t>
            </w:r>
          </w:p>
        </w:tc>
      </w:tr>
      <w:tr>
        <w:trPr>
          <w:trHeight w:val="186"/>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45"/>
        <w:spacing w:after="0" w:line="218"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Bruce C. Cozadd, Renée Galá, Neena M. Patil and Patricia Carr,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52"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200"/>
          </w:cols>
          <w:pgMar w:left="320" w:top="125" w:right="379" w:bottom="1440" w:gutter="0" w:footer="0" w:header="0"/>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0" w:type="dxa"/>
            <w:vAlign w:val="bottom"/>
          </w:tcPr>
          <w:p>
            <w:pPr>
              <w:spacing w:after="0"/>
              <w:rPr>
                <w:sz w:val="14"/>
                <w:szCs w:val="14"/>
                <w:color w:val="auto"/>
              </w:rPr>
            </w:pPr>
          </w:p>
        </w:tc>
      </w:tr>
      <w:tr>
        <w:trPr>
          <w:trHeight w:val="304"/>
        </w:trPr>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/s/</w:t>
            </w:r>
          </w:p>
        </w:tc>
        <w:tc>
          <w:tcPr>
            <w:tcW w:w="272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4"/>
              </w:rPr>
              <w:t>Bruce C. Cozadd</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3"/>
              </w:rPr>
              <w:t>/s/</w:t>
            </w:r>
          </w:p>
        </w:tc>
        <w:tc>
          <w:tcPr>
            <w:tcW w:w="238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ENÉE</w:t>
            </w:r>
            <w:r>
              <w:rPr>
                <w:rFonts w:ascii="Arial" w:cs="Arial" w:eastAsia="Arial" w:hAnsi="Arial"/>
                <w:sz w:val="18"/>
                <w:szCs w:val="18"/>
                <w:color w:val="auto"/>
                <w:w w:val="99"/>
              </w:rPr>
              <w:t xml:space="preserve"> G</w:t>
            </w:r>
            <w:r>
              <w:rPr>
                <w:rFonts w:ascii="Arial" w:cs="Arial" w:eastAsia="Arial" w:hAnsi="Arial"/>
                <w:sz w:val="14"/>
                <w:szCs w:val="14"/>
                <w:color w:val="auto"/>
                <w:w w:val="99"/>
              </w:rPr>
              <w:t>ALÁ</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1"/>
              </w:rPr>
              <w:t>Renée Galá</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ATRICIA</w:t>
            </w:r>
            <w:r>
              <w:rPr>
                <w:rFonts w:ascii="Arial" w:cs="Arial" w:eastAsia="Arial" w:hAnsi="Arial"/>
                <w:sz w:val="18"/>
                <w:szCs w:val="18"/>
                <w:color w:val="auto"/>
                <w:w w:val="97"/>
              </w:rPr>
              <w:t xml:space="preserve"> C</w:t>
            </w:r>
            <w:r>
              <w:rPr>
                <w:rFonts w:ascii="Arial" w:cs="Arial" w:eastAsia="Arial" w:hAnsi="Arial"/>
                <w:sz w:val="14"/>
                <w:szCs w:val="14"/>
                <w:color w:val="auto"/>
                <w:w w:val="97"/>
              </w:rPr>
              <w:t>ARR</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8"/>
              </w:rPr>
              <w:t>Patricia Carr</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gridSpan w:val="4"/>
          </w:tcPr>
          <w:p>
            <w:pPr>
              <w:jc w:val="center"/>
              <w:ind w:right="106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ENNIFER</w:t>
            </w:r>
            <w:r>
              <w:rPr>
                <w:rFonts w:ascii="Arial" w:cs="Arial" w:eastAsia="Arial" w:hAnsi="Arial"/>
                <w:sz w:val="18"/>
                <w:szCs w:val="18"/>
                <w:color w:val="auto"/>
                <w:w w:val="95"/>
              </w:rPr>
              <w:t xml:space="preserve"> E</w:t>
            </w:r>
            <w:r>
              <w:rPr>
                <w:rFonts w:ascii="Arial" w:cs="Arial" w:eastAsia="Arial" w:hAnsi="Arial"/>
                <w:sz w:val="14"/>
                <w:szCs w:val="14"/>
                <w:color w:val="auto"/>
                <w:w w:val="95"/>
              </w:rPr>
              <w:t>.</w:t>
            </w:r>
            <w:r>
              <w:rPr>
                <w:rFonts w:ascii="Arial" w:cs="Arial" w:eastAsia="Arial" w:hAnsi="Arial"/>
                <w:sz w:val="18"/>
                <w:szCs w:val="18"/>
                <w:color w:val="auto"/>
                <w:w w:val="95"/>
              </w:rPr>
              <w:t xml:space="preserve"> C</w:t>
            </w:r>
            <w:r>
              <w:rPr>
                <w:rFonts w:ascii="Arial" w:cs="Arial" w:eastAsia="Arial" w:hAnsi="Arial"/>
                <w:sz w:val="14"/>
                <w:szCs w:val="14"/>
                <w:color w:val="auto"/>
                <w:w w:val="95"/>
              </w:rPr>
              <w:t>OOK</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4"/>
              </w:rPr>
              <w:t>Jennifer E. Cook</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ATRICK</w:t>
            </w:r>
            <w:r>
              <w:rPr>
                <w:rFonts w:ascii="Arial" w:cs="Arial" w:eastAsia="Arial" w:hAnsi="Arial"/>
                <w:sz w:val="18"/>
                <w:szCs w:val="18"/>
                <w:color w:val="auto"/>
                <w:w w:val="96"/>
              </w:rPr>
              <w:t xml:space="preserve"> G</w:t>
            </w:r>
            <w:r>
              <w:rPr>
                <w:rFonts w:ascii="Arial" w:cs="Arial" w:eastAsia="Arial" w:hAnsi="Arial"/>
                <w:sz w:val="14"/>
                <w:szCs w:val="14"/>
                <w:color w:val="auto"/>
                <w:w w:val="96"/>
              </w:rPr>
              <w:t>.</w:t>
            </w:r>
            <w:r>
              <w:rPr>
                <w:rFonts w:ascii="Arial" w:cs="Arial" w:eastAsia="Arial" w:hAnsi="Arial"/>
                <w:sz w:val="18"/>
                <w:szCs w:val="18"/>
                <w:color w:val="auto"/>
                <w:w w:val="96"/>
              </w:rPr>
              <w:t xml:space="preserve"> E</w:t>
            </w:r>
            <w:r>
              <w:rPr>
                <w:rFonts w:ascii="Arial" w:cs="Arial" w:eastAsia="Arial" w:hAnsi="Arial"/>
                <w:sz w:val="14"/>
                <w:szCs w:val="14"/>
                <w:color w:val="auto"/>
                <w:w w:val="96"/>
              </w:rPr>
              <w:t>NRIGHT</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6"/>
              </w:rPr>
              <w:t>Patrick G. Enright</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ETER</w:t>
            </w:r>
            <w:r>
              <w:rPr>
                <w:rFonts w:ascii="Arial" w:cs="Arial" w:eastAsia="Arial" w:hAnsi="Arial"/>
                <w:sz w:val="18"/>
                <w:szCs w:val="18"/>
                <w:color w:val="auto"/>
                <w:w w:val="94"/>
              </w:rPr>
              <w:t xml:space="preserve"> G</w:t>
            </w:r>
            <w:r>
              <w:rPr>
                <w:rFonts w:ascii="Arial" w:cs="Arial" w:eastAsia="Arial" w:hAnsi="Arial"/>
                <w:sz w:val="14"/>
                <w:szCs w:val="14"/>
                <w:color w:val="auto"/>
                <w:w w:val="94"/>
              </w:rPr>
              <w:t>RAY</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5"/>
              </w:rPr>
              <w:t>Peter Gray</w:t>
            </w:r>
          </w:p>
        </w:tc>
      </w:tr>
      <w:tr>
        <w:trPr>
          <w:trHeight w:val="242"/>
        </w:trPr>
        <w:tc>
          <w:tcPr>
            <w:tcW w:w="11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780"/>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EATHER</w:t>
            </w:r>
            <w:r>
              <w:rPr>
                <w:rFonts w:ascii="Arial" w:cs="Arial" w:eastAsia="Arial" w:hAnsi="Arial"/>
                <w:sz w:val="18"/>
                <w:szCs w:val="18"/>
                <w:color w:val="auto"/>
                <w:w w:val="99"/>
              </w:rPr>
              <w:t xml:space="preserve"> A</w:t>
            </w:r>
            <w:r>
              <w:rPr>
                <w:rFonts w:ascii="Arial" w:cs="Arial" w:eastAsia="Arial" w:hAnsi="Arial"/>
                <w:sz w:val="14"/>
                <w:szCs w:val="14"/>
                <w:color w:val="auto"/>
                <w:w w:val="99"/>
              </w:rPr>
              <w:t>NN</w:t>
            </w:r>
            <w:r>
              <w:rPr>
                <w:rFonts w:ascii="Arial" w:cs="Arial" w:eastAsia="Arial" w:hAnsi="Arial"/>
                <w:sz w:val="18"/>
                <w:szCs w:val="18"/>
                <w:color w:val="auto"/>
                <w:w w:val="99"/>
              </w:rPr>
              <w:t xml:space="preserve"> M</w:t>
            </w:r>
            <w:r>
              <w:rPr>
                <w:rFonts w:ascii="Arial" w:cs="Arial" w:eastAsia="Arial" w:hAnsi="Arial"/>
                <w:sz w:val="14"/>
                <w:szCs w:val="14"/>
                <w:color w:val="auto"/>
                <w:w w:val="99"/>
              </w:rPr>
              <w:t>CSHARRY</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6"/>
              </w:rPr>
              <w:t>Heather Ann McSharry</w:t>
            </w:r>
          </w:p>
        </w:tc>
      </w:tr>
      <w:tr>
        <w:trPr>
          <w:trHeight w:val="241"/>
        </w:trPr>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3"/>
              </w:rPr>
              <w:t>/s/</w:t>
            </w:r>
          </w:p>
        </w:tc>
        <w:tc>
          <w:tcPr>
            <w:tcW w:w="30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EAMUS</w:t>
            </w:r>
            <w:r>
              <w:rPr>
                <w:rFonts w:ascii="Arial" w:cs="Arial" w:eastAsia="Arial" w:hAnsi="Arial"/>
                <w:sz w:val="18"/>
                <w:szCs w:val="18"/>
                <w:color w:val="auto"/>
              </w:rPr>
              <w:t xml:space="preserve"> C. M</w:t>
            </w:r>
            <w:r>
              <w:rPr>
                <w:rFonts w:ascii="Arial" w:cs="Arial" w:eastAsia="Arial" w:hAnsi="Arial"/>
                <w:sz w:val="14"/>
                <w:szCs w:val="14"/>
                <w:color w:val="auto"/>
              </w:rPr>
              <w:t>ULLIGAN</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3"/>
              </w:rPr>
              <w:t>Seamus C. Mulligan</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ENNETH</w:t>
            </w:r>
            <w:r>
              <w:rPr>
                <w:rFonts w:ascii="Arial" w:cs="Arial" w:eastAsia="Arial" w:hAnsi="Arial"/>
                <w:sz w:val="18"/>
                <w:szCs w:val="18"/>
                <w:color w:val="auto"/>
                <w:w w:val="99"/>
              </w:rPr>
              <w:t xml:space="preserve"> W. O’</w:t>
            </w:r>
            <w:r>
              <w:rPr>
                <w:rFonts w:ascii="Arial" w:cs="Arial" w:eastAsia="Arial" w:hAnsi="Arial"/>
                <w:sz w:val="14"/>
                <w:szCs w:val="14"/>
                <w:color w:val="auto"/>
                <w:w w:val="99"/>
              </w:rPr>
              <w:t>KEEFE</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5"/>
              </w:rPr>
              <w:t>Kenneth W. O’Keefe</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/s/</w:t>
            </w:r>
          </w:p>
        </w:tc>
        <w:tc>
          <w:tcPr>
            <w:tcW w:w="272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O’</w:t>
            </w:r>
            <w:r>
              <w:rPr>
                <w:rFonts w:ascii="Arial" w:cs="Arial" w:eastAsia="Arial" w:hAnsi="Arial"/>
                <w:sz w:val="14"/>
                <w:szCs w:val="14"/>
                <w:color w:val="auto"/>
              </w:rPr>
              <w:t>RIORDAN</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5"/>
              </w:rPr>
              <w:t>Anne O’Riordan</w:t>
            </w:r>
          </w:p>
        </w:tc>
      </w:tr>
      <w:tr>
        <w:trPr>
          <w:trHeight w:val="242"/>
        </w:trPr>
        <w:tc>
          <w:tcPr>
            <w:tcW w:w="382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N</w:t>
            </w:r>
            <w:r>
              <w:rPr>
                <w:rFonts w:ascii="Arial" w:cs="Arial" w:eastAsia="Arial" w:hAnsi="Arial"/>
                <w:sz w:val="14"/>
                <w:szCs w:val="14"/>
                <w:color w:val="auto"/>
              </w:rPr>
              <w:t xml:space="preserve">ORBERT </w:t>
            </w:r>
            <w:r>
              <w:rPr>
                <w:rFonts w:ascii="Arial" w:cs="Arial" w:eastAsia="Arial" w:hAnsi="Arial"/>
                <w:sz w:val="17"/>
                <w:szCs w:val="17"/>
                <w:color w:val="auto"/>
              </w:rPr>
              <w:t>G</w:t>
            </w:r>
            <w:r>
              <w:rPr>
                <w:rFonts w:ascii="Arial" w:cs="Arial" w:eastAsia="Arial" w:hAnsi="Arial"/>
                <w:sz w:val="14"/>
                <w:szCs w:val="14"/>
                <w:color w:val="auto"/>
              </w:rPr>
              <w:t xml:space="preserve">. </w:t>
            </w:r>
            <w:r>
              <w:rPr>
                <w:rFonts w:ascii="Arial" w:cs="Arial" w:eastAsia="Arial" w:hAnsi="Arial"/>
                <w:sz w:val="17"/>
                <w:szCs w:val="17"/>
                <w:color w:val="auto"/>
              </w:rPr>
              <w:t>R</w:t>
            </w:r>
            <w:r>
              <w:rPr>
                <w:rFonts w:ascii="Arial" w:cs="Arial" w:eastAsia="Arial" w:hAnsi="Arial"/>
                <w:sz w:val="14"/>
                <w:szCs w:val="14"/>
                <w:color w:val="auto"/>
              </w:rPr>
              <w:t xml:space="preserve">IEDEL, </w:t>
            </w:r>
            <w:r>
              <w:rPr>
                <w:rFonts w:ascii="Arial" w:cs="Arial" w:eastAsia="Arial" w:hAnsi="Arial"/>
                <w:sz w:val="17"/>
                <w:szCs w:val="17"/>
                <w:color w:val="auto"/>
              </w:rPr>
              <w:t>P</w:t>
            </w:r>
            <w:r>
              <w:rPr>
                <w:rFonts w:ascii="Arial" w:cs="Arial" w:eastAsia="Arial" w:hAnsi="Arial"/>
                <w:sz w:val="14"/>
                <w:szCs w:val="14"/>
                <w:color w:val="auto"/>
              </w:rPr>
              <w:t>H.</w:t>
            </w:r>
            <w:r>
              <w:rPr>
                <w:rFonts w:ascii="Arial" w:cs="Arial" w:eastAsia="Arial" w:hAnsi="Arial"/>
                <w:sz w:val="17"/>
                <w:szCs w:val="17"/>
                <w:color w:val="auto"/>
              </w:rPr>
              <w:t>D</w:t>
            </w:r>
            <w:r>
              <w:rPr>
                <w:rFonts w:ascii="Arial" w:cs="Arial" w:eastAsia="Arial" w:hAnsi="Arial"/>
                <w:sz w:val="14"/>
                <w:szCs w:val="14"/>
                <w:color w:val="auto"/>
              </w:rPr>
              <w:t>.</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5"/>
              </w:rPr>
              <w:t>Norbert G. Riedel, Ph.D.</w:t>
            </w:r>
          </w:p>
        </w:tc>
      </w:tr>
      <w:tr>
        <w:trPr>
          <w:trHeight w:val="241"/>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106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ARK</w:t>
            </w:r>
            <w:r>
              <w:rPr>
                <w:rFonts w:ascii="Arial" w:cs="Arial" w:eastAsia="Arial" w:hAnsi="Arial"/>
                <w:sz w:val="18"/>
                <w:szCs w:val="18"/>
                <w:color w:val="auto"/>
                <w:w w:val="98"/>
              </w:rPr>
              <w:t xml:space="preserve"> D</w:t>
            </w:r>
            <w:r>
              <w:rPr>
                <w:rFonts w:ascii="Arial" w:cs="Arial" w:eastAsia="Arial" w:hAnsi="Arial"/>
                <w:sz w:val="14"/>
                <w:szCs w:val="14"/>
                <w:color w:val="auto"/>
                <w:w w:val="98"/>
              </w:rPr>
              <w:t>.</w:t>
            </w:r>
            <w:r>
              <w:rPr>
                <w:rFonts w:ascii="Arial" w:cs="Arial" w:eastAsia="Arial" w:hAnsi="Arial"/>
                <w:sz w:val="18"/>
                <w:szCs w:val="18"/>
                <w:color w:val="auto"/>
                <w:w w:val="98"/>
              </w:rPr>
              <w:t xml:space="preserve"> S</w:t>
            </w:r>
            <w:r>
              <w:rPr>
                <w:rFonts w:ascii="Arial" w:cs="Arial" w:eastAsia="Arial" w:hAnsi="Arial"/>
                <w:sz w:val="14"/>
                <w:szCs w:val="14"/>
                <w:color w:val="auto"/>
                <w:w w:val="98"/>
              </w:rPr>
              <w:t>MITH,</w:t>
            </w:r>
            <w:r>
              <w:rPr>
                <w:rFonts w:ascii="Arial" w:cs="Arial" w:eastAsia="Arial" w:hAnsi="Arial"/>
                <w:sz w:val="18"/>
                <w:szCs w:val="18"/>
                <w:color w:val="auto"/>
                <w:w w:val="98"/>
              </w:rPr>
              <w:t xml:space="preserve"> M.D.</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9"/>
              </w:rPr>
              <w:t>Mark D. Smith, M.D.</w:t>
            </w:r>
          </w:p>
        </w:tc>
      </w:tr>
      <w:tr>
        <w:trPr>
          <w:trHeight w:val="241"/>
        </w:trPr>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w:t>
            </w:r>
          </w:p>
        </w:tc>
        <w:tc>
          <w:tcPr>
            <w:tcW w:w="3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ATHERINE</w:t>
            </w:r>
            <w:r>
              <w:rPr>
                <w:rFonts w:ascii="Arial" w:cs="Arial" w:eastAsia="Arial" w:hAnsi="Arial"/>
                <w:sz w:val="18"/>
                <w:szCs w:val="18"/>
                <w:color w:val="auto"/>
              </w:rPr>
              <w:t xml:space="preserve"> A. S</w:t>
            </w:r>
            <w:r>
              <w:rPr>
                <w:rFonts w:ascii="Arial" w:cs="Arial" w:eastAsia="Arial" w:hAnsi="Arial"/>
                <w:sz w:val="14"/>
                <w:szCs w:val="14"/>
                <w:color w:val="auto"/>
              </w:rPr>
              <w:t>OHN,</w:t>
            </w:r>
            <w:r>
              <w:rPr>
                <w:rFonts w:ascii="Arial" w:cs="Arial" w:eastAsia="Arial" w:hAnsi="Arial"/>
                <w:sz w:val="18"/>
                <w:szCs w:val="18"/>
                <w:color w:val="auto"/>
              </w:rPr>
              <w:t xml:space="preserve"> P</w:t>
            </w:r>
            <w:r>
              <w:rPr>
                <w:rFonts w:ascii="Arial" w:cs="Arial" w:eastAsia="Arial" w:hAnsi="Arial"/>
                <w:sz w:val="14"/>
                <w:szCs w:val="14"/>
                <w:color w:val="auto"/>
              </w:rPr>
              <w:t>HARM</w:t>
            </w:r>
            <w:r>
              <w:rPr>
                <w:rFonts w:ascii="Arial" w:cs="Arial" w:eastAsia="Arial" w:hAnsi="Arial"/>
                <w:sz w:val="18"/>
                <w:szCs w:val="18"/>
                <w:color w:val="auto"/>
              </w:rPr>
              <w:t>.D.</w:t>
            </w:r>
          </w:p>
        </w:tc>
      </w:tr>
      <w:tr>
        <w:trPr>
          <w:trHeight w:val="184"/>
        </w:trPr>
        <w:tc>
          <w:tcPr>
            <w:tcW w:w="780" w:type="dxa"/>
            <w:vAlign w:val="bottom"/>
          </w:tcPr>
          <w:p>
            <w:pPr>
              <w:spacing w:after="0"/>
              <w:rPr>
                <w:sz w:val="16"/>
                <w:szCs w:val="16"/>
                <w:color w:val="auto"/>
              </w:rPr>
            </w:pPr>
          </w:p>
        </w:tc>
        <w:tc>
          <w:tcPr>
            <w:tcW w:w="304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5"/>
              </w:rPr>
              <w:t>Catherine A. Sohn, Pharm.D.</w:t>
            </w:r>
          </w:p>
        </w:tc>
      </w:tr>
      <w:tr>
        <w:trPr>
          <w:trHeight w:val="241"/>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ICK</w:t>
            </w:r>
            <w:r>
              <w:rPr>
                <w:rFonts w:ascii="Arial" w:cs="Arial" w:eastAsia="Arial" w:hAnsi="Arial"/>
                <w:sz w:val="18"/>
                <w:szCs w:val="18"/>
                <w:color w:val="auto"/>
              </w:rPr>
              <w:t xml:space="preserve"> E W</w:t>
            </w:r>
            <w:r>
              <w:rPr>
                <w:rFonts w:ascii="Arial" w:cs="Arial" w:eastAsia="Arial" w:hAnsi="Arial"/>
                <w:sz w:val="14"/>
                <w:szCs w:val="14"/>
                <w:color w:val="auto"/>
              </w:rPr>
              <w:t>INNINGHAM</w:t>
            </w:r>
          </w:p>
        </w:tc>
      </w:tr>
      <w:tr>
        <w:trPr>
          <w:trHeight w:val="180"/>
        </w:trPr>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6"/>
              </w:rPr>
              <w:t>Rick E Winningham</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Title</w:t>
      </w:r>
    </w:p>
    <w:p>
      <w:pPr>
        <w:spacing w:after="0" w:line="104" w:lineRule="exact"/>
        <w:rPr>
          <w:sz w:val="20"/>
          <w:szCs w:val="20"/>
          <w:color w:val="auto"/>
        </w:rPr>
      </w:pPr>
    </w:p>
    <w:p>
      <w:pPr>
        <w:ind w:right="1580"/>
        <w:spacing w:after="0" w:line="235" w:lineRule="auto"/>
        <w:rPr>
          <w:sz w:val="20"/>
          <w:szCs w:val="20"/>
          <w:color w:val="auto"/>
        </w:rPr>
      </w:pPr>
      <w:r>
        <w:rPr>
          <w:rFonts w:ascii="Arial" w:cs="Arial" w:eastAsia="Arial" w:hAnsi="Arial"/>
          <w:sz w:val="18"/>
          <w:szCs w:val="18"/>
          <w:color w:val="auto"/>
        </w:rPr>
        <w:t xml:space="preserve">Chairman, Chief Executive Officer and Director </w:t>
      </w:r>
      <w:r>
        <w:rPr>
          <w:rFonts w:ascii="Arial" w:cs="Arial" w:eastAsia="Arial" w:hAnsi="Arial"/>
          <w:sz w:val="18"/>
          <w:szCs w:val="18"/>
          <w:i w:val="1"/>
          <w:iCs w:val="1"/>
          <w:color w:val="auto"/>
        </w:rPr>
        <w:t>(Principal Executive Officer)</w:t>
      </w:r>
    </w:p>
    <w:p>
      <w:pPr>
        <w:spacing w:after="0" w:line="40" w:lineRule="exact"/>
        <w:rPr>
          <w:sz w:val="20"/>
          <w:szCs w:val="20"/>
          <w:color w:val="auto"/>
        </w:rPr>
      </w:pPr>
    </w:p>
    <w:p>
      <w:pPr>
        <w:ind w:right="1220"/>
        <w:spacing w:after="0" w:line="235" w:lineRule="auto"/>
        <w:rPr>
          <w:sz w:val="20"/>
          <w:szCs w:val="20"/>
          <w:color w:val="auto"/>
        </w:rPr>
      </w:pPr>
      <w:r>
        <w:rPr>
          <w:rFonts w:ascii="Arial" w:cs="Arial" w:eastAsia="Arial" w:hAnsi="Arial"/>
          <w:sz w:val="18"/>
          <w:szCs w:val="18"/>
          <w:color w:val="auto"/>
        </w:rPr>
        <w:t xml:space="preserve">Executive Vice President and Chief Financial Officer </w:t>
      </w:r>
      <w:r>
        <w:rPr>
          <w:rFonts w:ascii="Arial" w:cs="Arial" w:eastAsia="Arial" w:hAnsi="Arial"/>
          <w:sz w:val="18"/>
          <w:szCs w:val="18"/>
          <w:i w:val="1"/>
          <w:iCs w:val="1"/>
          <w:color w:val="auto"/>
        </w:rPr>
        <w:t>(Principal Financial Officer)</w:t>
      </w:r>
    </w:p>
    <w:p>
      <w:pPr>
        <w:spacing w:after="0" w:line="40" w:lineRule="exact"/>
        <w:rPr>
          <w:sz w:val="20"/>
          <w:szCs w:val="20"/>
          <w:color w:val="auto"/>
        </w:rPr>
      </w:pPr>
    </w:p>
    <w:p>
      <w:pPr>
        <w:ind w:right="1560"/>
        <w:spacing w:after="0" w:line="235" w:lineRule="auto"/>
        <w:rPr>
          <w:sz w:val="20"/>
          <w:szCs w:val="20"/>
          <w:color w:val="auto"/>
        </w:rPr>
      </w:pPr>
      <w:r>
        <w:rPr>
          <w:rFonts w:ascii="Arial" w:cs="Arial" w:eastAsia="Arial" w:hAnsi="Arial"/>
          <w:sz w:val="18"/>
          <w:szCs w:val="18"/>
          <w:color w:val="auto"/>
        </w:rPr>
        <w:t xml:space="preserve">Senior Vice President, Chief Accounting Officer </w:t>
      </w:r>
      <w:r>
        <w:rPr>
          <w:rFonts w:ascii="Arial" w:cs="Arial" w:eastAsia="Arial" w:hAnsi="Arial"/>
          <w:sz w:val="18"/>
          <w:szCs w:val="18"/>
          <w:i w:val="1"/>
          <w:iCs w:val="1"/>
          <w:color w:val="auto"/>
        </w:rPr>
        <w:t>(Principal Accounting Officer)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u w:val="single" w:color="auto"/>
          <w:color w:val="auto"/>
        </w:rPr>
        <w:t>Date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446" w:lineRule="exact"/>
        <w:rPr>
          <w:sz w:val="20"/>
          <w:szCs w:val="20"/>
          <w:color w:val="auto"/>
        </w:rPr>
      </w:pPr>
    </w:p>
    <w:p>
      <w:pPr>
        <w:sectPr>
          <w:pgSz w:w="11900" w:h="16838" w:orient="portrait"/>
          <w:cols w:equalWidth="0" w:num="3">
            <w:col w:w="3820" w:space="120"/>
            <w:col w:w="5060" w:space="720"/>
            <w:col w:w="1480"/>
          </w:cols>
          <w:pgMar w:left="320" w:top="125" w:right="37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audited the accompanying consolidated balance sheets of Jazz Pharmaceuticals plc and subsidiaries (the ‘Company’) as of December 31, 2021 and 2020, the related consolidated statements of income (loss), comprehensive income (loss), stockholders’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2021, and the related notes and financial statement schedules at Item 15(a)2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2021, in conformity with U.S. generally accepted accounting principles.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2022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measurement of fair value of acquired developed technology assets related to a business combination</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discussed in Note 3 to the consolidated financial statements, on May 5, 2021, the Company acquired GW Pharmaceuticals plc (‘GW’) in a business combination for a purchase price of $7,190.7 million. In allocating the purchase price, the Company recognized intangible assets at fair value in the amount of $5,640.0 million, including acquired developed technology of $5,480.0 million.</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identified the assessment of the preliminary measurement of fair value of acquired developed technology assets acquired in the GW Acquisition as a critical audit matter. A high degree of auditor judgment was required in evaluating the key fair value assumptions, specifically revenue forecasts. Changes to these assumptions could have a significant effect on the initial measurement of 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185" w:lineRule="exact"/>
        <w:rPr>
          <w:sz w:val="20"/>
          <w:szCs w:val="20"/>
          <w:color w:val="auto"/>
        </w:rPr>
      </w:pPr>
    </w:p>
    <w:p>
      <w:pPr>
        <w:ind w:left="660" w:right="140" w:hanging="324"/>
        <w:spacing w:after="0" w:line="277" w:lineRule="auto"/>
        <w:rPr>
          <w:sz w:val="20"/>
          <w:szCs w:val="20"/>
          <w:color w:val="auto"/>
        </w:rPr>
      </w:pPr>
      <w:r>
        <w:rPr>
          <w:rFonts w:ascii="Arial" w:cs="Arial" w:eastAsia="Arial" w:hAnsi="Arial"/>
          <w:sz w:val="18"/>
          <w:szCs w:val="18"/>
          <w:color w:val="auto"/>
        </w:rPr>
        <w:t>– We evaluated the design and tested the operating effectiveness of certain internal controls related to the business combinations process, including the control over the development of the key assumptions;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We evaluated the reasonableness of the Company’s revenue forecasts by comparing certain underlying assumptions to (1) company-specific operational information and management’s communications to the Board of Directors and (2) available industry or other third-party reports or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1,057,769</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Accounts receivable, net of allowances of $13,813 and $5,487 at December 31, 2021 and 2020,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396,490</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1,072,721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95,396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152,491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2,839,568</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256,837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127,935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7,152,328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311,103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254,916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25,721</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12,298,639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6,535,901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100,298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26,945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246,322</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653,745</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1,848,516</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140,035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130,397</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116,998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101,148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Ordinary shares, nominal value $0.0001 per share; 300,000 shares authorized; 61,633 and 56,171 shares</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and outstanding at December 31, 2021 and 2020, respectively</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0"/>
              </w:rPr>
              <w:t>Non-voting euro deferred shares, €0.01 par value per share; 4,000 shares authorized, issued and outstanding</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at both December 31, 2021 and 2020</w:t>
            </w: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redemption reserve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3,534,792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2,633,670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830,226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1,159,894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3,965,191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3,659,745</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12,298,639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6,535,901</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3,079,001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2,346,660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2,135,601</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26,160</w:t>
            </w:r>
          </w:p>
        </w:tc>
      </w:tr>
      <w:tr>
        <w:trPr>
          <w:trHeight w:val="223"/>
        </w:trPr>
        <w:tc>
          <w:tcPr>
            <w:tcW w:w="63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3,094,238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2,363,567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2,161,761</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w w:val="94"/>
              </w:rPr>
              <w:t>Cost of product sales (excluding amortization of acquired developed technologies)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148,917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127,930</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736,942</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335,375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299,726</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354,814</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Impairment charge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136,139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109,975</w:t>
            </w:r>
          </w:p>
        </w:tc>
      </w:tr>
      <w:tr>
        <w:trPr>
          <w:trHeight w:val="223"/>
        </w:trPr>
        <w:tc>
          <w:tcPr>
            <w:tcW w:w="6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2,923,960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1,985,494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1,629,387</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532,374</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(72,261)</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loss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w w:val="97"/>
              </w:rPr>
              <w:t>Income (loss) before income tax expense (benefit) and equity in loss of investees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275,095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454,302</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(73,154)</w:t>
            </w:r>
          </w:p>
        </w:tc>
      </w:tr>
      <w:tr>
        <w:trPr>
          <w:trHeight w:val="230"/>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loss of investees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w:t>
            </w:r>
          </w:p>
        </w:tc>
      </w:tr>
      <w:tr>
        <w:trPr>
          <w:trHeight w:val="221"/>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(329,668)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238,616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523,367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40" w:type="dxa"/>
            <w:vAlign w:val="bottom"/>
          </w:tcPr>
          <w:p>
            <w:pPr>
              <w:ind w:left="140"/>
              <w:spacing w:after="0" w:line="203" w:lineRule="exact"/>
              <w:rPr>
                <w:sz w:val="20"/>
                <w:szCs w:val="20"/>
                <w:color w:val="auto"/>
              </w:rPr>
            </w:pPr>
            <w:r>
              <w:rPr>
                <w:rFonts w:ascii="Arial" w:cs="Arial" w:eastAsia="Arial" w:hAnsi="Arial"/>
                <w:sz w:val="18"/>
                <w:szCs w:val="18"/>
                <w:color w:val="auto"/>
              </w:rPr>
              <w:t>Weighted-average ordinary shares used in per share calculations - basic</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59,694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55,712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56,749</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523,367</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0" w:type="dxa"/>
            <w:vAlign w:val="bottom"/>
          </w:tcPr>
          <w:p>
            <w:pPr>
              <w:spacing w:after="0"/>
              <w:rPr>
                <w:sz w:val="1"/>
                <w:szCs w:val="1"/>
                <w:color w:val="auto"/>
              </w:rPr>
            </w:pPr>
          </w:p>
        </w:tc>
      </w:tr>
      <w:tr>
        <w:trPr>
          <w:trHeight w:val="175"/>
        </w:trPr>
        <w:tc>
          <w:tcPr>
            <w:tcW w:w="6400" w:type="dxa"/>
            <w:vAlign w:val="bottom"/>
          </w:tcPr>
          <w:p>
            <w:pPr>
              <w:ind w:left="140"/>
              <w:spacing w:after="0" w:line="176" w:lineRule="exact"/>
              <w:rPr>
                <w:sz w:val="20"/>
                <w:szCs w:val="20"/>
                <w:color w:val="auto"/>
              </w:rPr>
            </w:pPr>
            <w:r>
              <w:rPr>
                <w:rFonts w:ascii="Arial" w:cs="Arial" w:eastAsia="Arial" w:hAnsi="Arial"/>
                <w:sz w:val="18"/>
                <w:szCs w:val="18"/>
                <w:color w:val="auto"/>
                <w:w w:val="97"/>
              </w:rPr>
              <w:t>Unrealized gain (loss) on cash flow hedging activities, net of income tax expense</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(benefit) of $353, ($163) and ($697), respectively</w:t>
            </w: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Unrealized loss on fair value hedging activities, net of income tax benefit of $43, $—</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 respectively</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(266,008)</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89,041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497,765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680" w:type="dxa"/>
            <w:vAlign w:val="bottom"/>
            <w:gridSpan w:val="4"/>
            <w:vMerge w:val="restart"/>
          </w:tcPr>
          <w:p>
            <w:pPr>
              <w:jc w:val="right"/>
              <w:ind w:right="24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1"/>
                <w:szCs w:val="11"/>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Non-voting Euro Deferred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98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Redemption</w:t>
            </w:r>
          </w:p>
        </w:tc>
        <w:tc>
          <w:tcPr>
            <w:tcW w:w="12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90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8"/>
                <w:szCs w:val="8"/>
                <w:color w:val="auto"/>
              </w:rPr>
            </w:pPr>
          </w:p>
        </w:tc>
        <w:tc>
          <w:tcPr>
            <w:tcW w:w="760" w:type="dxa"/>
            <w:vAlign w:val="bottom"/>
          </w:tcPr>
          <w:p>
            <w:pPr>
              <w:jc w:val="right"/>
              <w:ind w:right="249"/>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1"/>
        </w:trPr>
        <w:tc>
          <w:tcPr>
            <w:tcW w:w="198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2,113,630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(197,791)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841,050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2,757,422</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Cumulative effect adjustment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5"/>
              </w:rPr>
              <w:t>from adoption of new accounting</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4"/>
                <w:szCs w:val="14"/>
                <w:color w:val="auto"/>
              </w:rPr>
              <w:t>standards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46,477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46,477</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11,354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(16,739)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(16,739)</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111,304</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(2,250)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(301,450)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(301,450)</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(25,602)</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523,367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523,367</w:t>
            </w:r>
          </w:p>
        </w:tc>
        <w:tc>
          <w:tcPr>
            <w:tcW w:w="0" w:type="dxa"/>
            <w:vAlign w:val="bottom"/>
          </w:tcPr>
          <w:p>
            <w:pPr>
              <w:spacing w:after="0"/>
              <w:rPr>
                <w:sz w:val="1"/>
                <w:szCs w:val="1"/>
                <w:color w:val="auto"/>
              </w:rPr>
            </w:pPr>
          </w:p>
        </w:tc>
      </w:tr>
      <w:tr>
        <w:trPr>
          <w:trHeight w:val="186"/>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1,067,815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3,110,981</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Stock issued under directors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deferred compensation plan</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Exchangeable Senior</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176,260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176,260</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2026</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Partial repurchase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4"/>
              </w:rPr>
              <w:t>Exchangeable Senior Notes, due</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(12,513)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(12,513)</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2021</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86,984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86,984</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12,697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12,697</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(16,877)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(16,877)</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121,093</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(146,537)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(146,537)</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89,041</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238,616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238,616</w:t>
            </w:r>
          </w:p>
        </w:tc>
        <w:tc>
          <w:tcPr>
            <w:tcW w:w="0" w:type="dxa"/>
            <w:vAlign w:val="bottom"/>
          </w:tcPr>
          <w:p>
            <w:pPr>
              <w:spacing w:after="0"/>
              <w:rPr>
                <w:sz w:val="1"/>
                <w:szCs w:val="1"/>
                <w:color w:val="auto"/>
              </w:rPr>
            </w:pPr>
          </w:p>
        </w:tc>
      </w:tr>
      <w:tr>
        <w:trPr>
          <w:trHeight w:val="211"/>
        </w:trPr>
        <w:tc>
          <w:tcPr>
            <w:tcW w:w="1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at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68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vMerge w:val="restart"/>
          </w:tcPr>
          <w:p>
            <w:pPr>
              <w:spacing w:after="0"/>
              <w:rPr>
                <w:sz w:val="11"/>
                <w:szCs w:val="11"/>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Non-voting Euro Deferred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Redemption</w:t>
            </w:r>
          </w:p>
        </w:tc>
        <w:tc>
          <w:tcPr>
            <w:tcW w:w="12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90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8"/>
                <w:szCs w:val="8"/>
                <w:color w:val="auto"/>
              </w:rPr>
            </w:pPr>
          </w:p>
        </w:tc>
        <w:tc>
          <w:tcPr>
            <w:tcW w:w="760" w:type="dxa"/>
            <w:vAlign w:val="bottom"/>
          </w:tcPr>
          <w:p>
            <w:pPr>
              <w:jc w:val="right"/>
              <w:ind w:right="249"/>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1"/>
        </w:trPr>
        <w:tc>
          <w:tcPr>
            <w:tcW w:w="200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7"/>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w w:val="93"/>
              </w:rPr>
              <w:t>(134,352)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rPr>
              <w:t>connection with the acquisition</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608,456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608,456</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of GW Pharmaceuticals plc</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Share-based payment -</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precombination service in</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connection with the acquisition</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GW Pharmaceuticals plc</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119,058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119,058</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16,203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16,203</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(35,602)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(35,602)</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189,452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189,452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3"/>
              </w:rPr>
              <w:t>(266,008)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(266,008)</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(329,668)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(329,668)</w:t>
            </w:r>
          </w:p>
        </w:tc>
        <w:tc>
          <w:tcPr>
            <w:tcW w:w="0" w:type="dxa"/>
            <w:vAlign w:val="bottom"/>
          </w:tcPr>
          <w:p>
            <w:pPr>
              <w:spacing w:after="0"/>
              <w:rPr>
                <w:sz w:val="1"/>
                <w:szCs w:val="1"/>
                <w:color w:val="auto"/>
              </w:rPr>
            </w:pPr>
          </w:p>
        </w:tc>
      </w:tr>
      <w:tr>
        <w:trPr>
          <w:trHeight w:val="211"/>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7"/>
              </w:rPr>
              <w:t>Balance at December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3,534,792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w w:val="93"/>
              </w:rPr>
              <w:t>(400,360)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830,226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3,965,191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6"/>
        </w:trPr>
        <w:tc>
          <w:tcPr>
            <w:tcW w:w="63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(329,668)</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238,616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523,367</w:t>
            </w: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Intangible asset amortization</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525,769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259,580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354,814</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accounting inventory fair value step-up adjustment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223,085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189,006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120,998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110,563</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interest expense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92,655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61,748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46,396</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Deferred tax expense (benefit)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69,198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(136,937)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(236,610)</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15,342</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Provision for losses on accounts receivable and inventory</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6,668</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charge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251,250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109,975</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transactions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Distributions from equity method investees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assets and liabilities: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(92,735)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(38,647)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(92,326)</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(32,790)</w:t>
            </w: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(83,320)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(98,042)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(25,650)</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lease assets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14,148</w:t>
            </w: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Other non-current assets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21,913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(18,919)</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4,770</w:t>
            </w: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Accrued liabilities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142,355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79,477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(5,565)</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10,056</w:t>
            </w: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(5,414)</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lease liabilities, less current portion</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(6,044)</w:t>
            </w:r>
          </w:p>
        </w:tc>
      </w:tr>
      <w:tr>
        <w:trPr>
          <w:trHeight w:val="186"/>
        </w:trPr>
        <w:tc>
          <w:tcPr>
            <w:tcW w:w="6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3,561</w:t>
            </w:r>
          </w:p>
        </w:tc>
      </w:tr>
      <w:tr>
        <w:trPr>
          <w:trHeight w:val="18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778,507</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899,648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776,401</w:t>
            </w:r>
          </w:p>
        </w:tc>
      </w:tr>
      <w:tr>
        <w:trPr>
          <w:trHeight w:val="168"/>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maturity of investments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1,095,000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985,000</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(27,641)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(40,135)</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intangible assets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(80,500)</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Acquisition of investments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(26,819)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(2,397,675)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(917,100)</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a business, net of cash acquired</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(6,234,792)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(251,250)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(61,700)</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acquisition, net of cash acquired</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(55,074)</w:t>
            </w:r>
          </w:p>
        </w:tc>
      </w:tr>
      <w:tr>
        <w:trPr>
          <w:trHeight w:val="186"/>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proceeds from sale of assets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14,209</w:t>
            </w:r>
          </w:p>
        </w:tc>
      </w:tr>
      <w:tr>
        <w:trPr>
          <w:trHeight w:val="18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(5,212,143)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(1,007,670)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(155,300)</w:t>
            </w:r>
          </w:p>
        </w:tc>
      </w:tr>
      <w:tr>
        <w:trPr>
          <w:trHeight w:val="168"/>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proceeds from issuance of borrowings under credit agreement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3,719,930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Net proceeds from issuance of Senior Secured Notes, due 2029</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1,471,533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employee equity incentive and purchase plans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57,831</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Payment of employee withholding taxes related to share-based awards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(35,602)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(16,877)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(16,739)</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for repurchase of Exchangeable Senior Notes, due 2021</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(218,812)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(356,188)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Repayments of long-term debt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(1,101,788)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(33,387)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(33,387)</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proceeds from issuance of Exchangeable Senior Notes, due 2026</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981,381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Net proceeds from revolving credit facility</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repurchases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(301,450)</w:t>
            </w:r>
          </w:p>
        </w:tc>
      </w:tr>
      <w:tr>
        <w:trPr>
          <w:trHeight w:val="186"/>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Repayments under revolving credit facility</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3,970,522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528,073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(293,745)</w:t>
            </w:r>
          </w:p>
        </w:tc>
      </w:tr>
      <w:tr>
        <w:trPr>
          <w:trHeight w:val="17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(3,207)</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r>
      <w:tr>
        <w:trPr>
          <w:trHeight w:val="18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420,425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327,722</w:t>
            </w:r>
          </w:p>
        </w:tc>
      </w:tr>
      <w:tr>
        <w:trPr>
          <w:trHeight w:val="18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1,057,769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637,344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309,622</w:t>
            </w:r>
          </w:p>
        </w:tc>
      </w:tr>
      <w:tr>
        <w:trPr>
          <w:trHeight w:val="20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591,448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1,057,769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637,344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Cash paid for interest</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138,271</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42,470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43,002</w:t>
            </w: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income taxes, net of refunds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271,217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226,823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25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17" w:lineRule="exact"/>
        <w:rPr>
          <w:sz w:val="20"/>
          <w:szCs w:val="20"/>
          <w:color w:val="auto"/>
        </w:rPr>
      </w:pPr>
    </w:p>
    <w:p>
      <w:pPr>
        <w:ind w:left="740" w:hanging="327"/>
        <w:spacing w:after="0" w:line="303" w:lineRule="auto"/>
        <w:tabs>
          <w:tab w:leader="none" w:pos="735"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Xywav® (calcium, magnesium, potassium, and sodium oxybates) oral solution</w:t>
      </w:r>
      <w:r>
        <w:rPr>
          <w:rFonts w:ascii="Arial" w:cs="Arial" w:eastAsia="Arial" w:hAnsi="Arial"/>
          <w:sz w:val="16"/>
          <w:szCs w:val="16"/>
          <w:color w:val="auto"/>
        </w:rPr>
        <w:t>, a product approved by the U.S. Food and Drug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or FDA, in July 2020 and launched in the U.S. in November 2020 for the treatment of cataplexy or excessive daytime sleepiness, or EDS, in patients with narcolepsy aged seven years of age and older, and also approved by FDA in August 2021 for the treatment of idiopathic hypersomnia, or IH, in adults and launched in the U.S. in November 2021. Xywav contains 92% less sodium than Xyrem®;</w:t>
      </w:r>
    </w:p>
    <w:p>
      <w:pPr>
        <w:spacing w:after="0" w:line="42" w:lineRule="exact"/>
        <w:rPr>
          <w:rFonts w:ascii="Arial" w:cs="Arial" w:eastAsia="Arial" w:hAnsi="Arial"/>
          <w:sz w:val="16"/>
          <w:szCs w:val="16"/>
          <w:color w:val="auto"/>
        </w:rPr>
      </w:pPr>
    </w:p>
    <w:p>
      <w:pPr>
        <w:ind w:left="740" w:right="100" w:hanging="327"/>
        <w:spacing w:after="0" w:line="314" w:lineRule="auto"/>
        <w:tabs>
          <w:tab w:leader="none" w:pos="735"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Xyrem (sodium oxybate) oral solution</w:t>
      </w:r>
      <w:r>
        <w:rPr>
          <w:rFonts w:ascii="Arial" w:cs="Arial" w:eastAsia="Arial" w:hAnsi="Arial"/>
          <w:sz w:val="16"/>
          <w:szCs w:val="16"/>
          <w:color w:val="auto"/>
        </w:rPr>
        <w:t>, a product approved by FDA and distributed in the U.S. for the treatment of both cataplexy and EDS in</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seven years of age and older with narcolepsy; Jazz also markets Xyrem in Canada for the treatment of cataplexy in patients with narcolepsy. Xyrem is also approved and distributed in Europe, Great Britain and other markets through a licensing agreement;</w:t>
      </w:r>
    </w:p>
    <w:p>
      <w:pPr>
        <w:spacing w:after="0" w:line="33" w:lineRule="exact"/>
        <w:rPr>
          <w:rFonts w:ascii="Arial" w:cs="Arial" w:eastAsia="Arial" w:hAnsi="Arial"/>
          <w:sz w:val="16"/>
          <w:szCs w:val="16"/>
          <w:color w:val="auto"/>
        </w:rPr>
      </w:pPr>
    </w:p>
    <w:p>
      <w:pPr>
        <w:ind w:left="740" w:right="40" w:hanging="327"/>
        <w:spacing w:after="0" w:line="298" w:lineRule="auto"/>
        <w:tabs>
          <w:tab w:leader="none" w:pos="735"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Epidiolex® (cannabidiol) oral solution</w:t>
      </w:r>
      <w:r>
        <w:rPr>
          <w:rFonts w:ascii="Arial" w:cs="Arial" w:eastAsia="Arial" w:hAnsi="Arial"/>
          <w:sz w:val="16"/>
          <w:szCs w:val="16"/>
          <w:color w:val="auto"/>
        </w:rPr>
        <w:t>, a product approved by FDA and launched in the U.S. in 2018 by GW Pharmaceuticals plc, or GW,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indicated for the treatment of seizures associated with Lennox-Gastaut syndrome, Dravet syndrome, or tuberous sclerosis complex in patients one year of age or older; in Europe (where it is marketed as Epidyolex®) and other markets, it is approved for adjunctive treatment of seizures associated with Lennox-Gastaut syndrome or Dravet syndrome, in conjunction with clobazam (EU and Great Britain only), in patients 2 years of age and older and for adjunctive treatment of seizures associated with tuberous sclerosis complex in patients 2 years of age and older;</w:t>
      </w:r>
    </w:p>
    <w:p>
      <w:pPr>
        <w:spacing w:after="0" w:line="45" w:lineRule="exact"/>
        <w:rPr>
          <w:rFonts w:ascii="Arial" w:cs="Arial" w:eastAsia="Arial" w:hAnsi="Arial"/>
          <w:sz w:val="16"/>
          <w:szCs w:val="16"/>
          <w:color w:val="auto"/>
        </w:rPr>
      </w:pPr>
    </w:p>
    <w:p>
      <w:pPr>
        <w:ind w:left="740" w:right="320" w:hanging="327"/>
        <w:spacing w:after="0" w:line="282" w:lineRule="auto"/>
        <w:tabs>
          <w:tab w:leader="none" w:pos="73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Sunosi® (solriamfetol)</w:t>
      </w:r>
      <w:r>
        <w:rPr>
          <w:rFonts w:ascii="Arial" w:cs="Arial" w:eastAsia="Arial" w:hAnsi="Arial"/>
          <w:sz w:val="18"/>
          <w:szCs w:val="18"/>
          <w:color w:val="auto"/>
        </w:rPr>
        <w:t>, a product approved by FDA and marketed in the U.S., Canada, Europe and Great Britain to improve wakefulness in</w:t>
      </w:r>
      <w:r>
        <w:rPr>
          <w:rFonts w:ascii="Arial" w:cs="Arial" w:eastAsia="Arial" w:hAnsi="Arial"/>
          <w:sz w:val="18"/>
          <w:szCs w:val="18"/>
          <w:b w:val="1"/>
          <w:bCs w:val="1"/>
          <w:color w:val="auto"/>
        </w:rPr>
        <w:t xml:space="preserve"> </w:t>
      </w:r>
      <w:r>
        <w:rPr>
          <w:rFonts w:ascii="Arial" w:cs="Arial" w:eastAsia="Arial" w:hAnsi="Arial"/>
          <w:sz w:val="18"/>
          <w:szCs w:val="18"/>
          <w:color w:val="auto"/>
        </w:rPr>
        <w:t>adult patients with EDS associated with narcolepsy or obstructive sleep apnea; and</w:t>
      </w:r>
    </w:p>
    <w:p>
      <w:pPr>
        <w:spacing w:after="0" w:line="53" w:lineRule="exact"/>
        <w:rPr>
          <w:rFonts w:ascii="Arial" w:cs="Arial" w:eastAsia="Arial" w:hAnsi="Arial"/>
          <w:sz w:val="18"/>
          <w:szCs w:val="18"/>
          <w:color w:val="auto"/>
        </w:rPr>
      </w:pPr>
    </w:p>
    <w:p>
      <w:pPr>
        <w:ind w:left="740" w:right="200" w:hanging="327"/>
        <w:spacing w:after="0" w:line="261" w:lineRule="auto"/>
        <w:tabs>
          <w:tab w:leader="none" w:pos="73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Sativex® (nabiximols) oral solution</w:t>
      </w:r>
      <w:r>
        <w:rPr>
          <w:rFonts w:ascii="Arial" w:cs="Arial" w:eastAsia="Arial" w:hAnsi="Arial"/>
          <w:sz w:val="18"/>
          <w:szCs w:val="18"/>
          <w:color w:val="auto"/>
        </w:rPr>
        <w:t>, a product approved and marketed in the U.K., Canada and other markets as treatment for symptom</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adult patients with moderate to severe spasticity due to multiple sclerosis, or MS, who have not responded adequately to other anti-spasticity medication and who demonstrate clinically significant improvement in spasticity-related symptoms during an initial trial of therapy.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17" w:lineRule="exact"/>
        <w:rPr>
          <w:sz w:val="20"/>
          <w:szCs w:val="20"/>
          <w:color w:val="auto"/>
        </w:rPr>
      </w:pPr>
    </w:p>
    <w:p>
      <w:pPr>
        <w:ind w:left="740" w:right="60" w:hanging="327"/>
        <w:spacing w:after="0" w:line="261" w:lineRule="auto"/>
        <w:tabs>
          <w:tab w:leader="none" w:pos="73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and launched in the U.S. in July 2020 for the treatment of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metastatic small cell lung cancer, or SCLC, with disease progression on or after platinum-based chemotherapy; in Canada, Zepzelca was approved in September 2021 for the treatment of adults with Stage III or metastatic SCLC, who have progressed on or after platinum-containing therapy;</w:t>
      </w:r>
    </w:p>
    <w:p>
      <w:pPr>
        <w:spacing w:after="0" w:line="71" w:lineRule="exact"/>
        <w:rPr>
          <w:rFonts w:ascii="Arial" w:cs="Arial" w:eastAsia="Arial" w:hAnsi="Arial"/>
          <w:sz w:val="18"/>
          <w:szCs w:val="18"/>
          <w:color w:val="auto"/>
        </w:rPr>
      </w:pPr>
    </w:p>
    <w:p>
      <w:pPr>
        <w:ind w:left="740" w:right="80" w:hanging="327"/>
        <w:spacing w:after="0" w:line="289" w:lineRule="auto"/>
        <w:tabs>
          <w:tab w:leader="none" w:pos="735"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Rylaze™ </w:t>
      </w:r>
      <w:r>
        <w:rPr>
          <w:rFonts w:ascii="Arial" w:cs="Arial" w:eastAsia="Arial" w:hAnsi="Arial"/>
          <w:sz w:val="17"/>
          <w:szCs w:val="17"/>
          <w:color w:val="auto"/>
        </w:rPr>
        <w:t>(recombinant Erwinia asparaginase), a product approved by FDA in June 2021 and launched in the U.S. in July 2021 for use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component of a multi-agent chemotherapeutic regimen for the treatment of acute lymphoblastic leukemia, or ALL, or lymphoblastic lymphoma, or LBL, in adults and pediatric patients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w:t>
      </w:r>
    </w:p>
    <w:p>
      <w:pPr>
        <w:spacing w:after="0" w:line="49" w:lineRule="exact"/>
        <w:rPr>
          <w:rFonts w:ascii="Arial" w:cs="Arial" w:eastAsia="Arial" w:hAnsi="Arial"/>
          <w:sz w:val="17"/>
          <w:szCs w:val="17"/>
          <w:color w:val="auto"/>
        </w:rPr>
      </w:pPr>
    </w:p>
    <w:p>
      <w:pPr>
        <w:jc w:val="both"/>
        <w:ind w:left="740" w:right="60" w:hanging="327"/>
        <w:spacing w:after="0" w:line="261" w:lineRule="auto"/>
        <w:tabs>
          <w:tab w:leader="none" w:pos="73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Vyxeos® (daunorubicin and cytarabine) liposome for injection</w:t>
      </w:r>
      <w:r>
        <w:rPr>
          <w:rFonts w:ascii="Arial" w:cs="Arial" w:eastAsia="Arial" w:hAnsi="Arial"/>
          <w:sz w:val="18"/>
          <w:szCs w:val="18"/>
          <w:color w:val="auto"/>
        </w:rPr>
        <w:t>, a product approved in the U.S., Canada, Europe and Great Britain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as Vyxeos® liposomal in Europe and Great Britain) for the treatment of adults with newly-diagnosed therapy-related acute myeloid leukemia, or t-AML, or AML with myelodysplasia-related changes (AML-MRC). An expanded indication was granted in the U.S. for the treatment of newly diagnosed t-AML or AML-MRC in pediatric patients aged 1 year and older; and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40" w:right="40" w:hanging="327"/>
        <w:spacing w:after="0" w:line="258" w:lineRule="auto"/>
        <w:tabs>
          <w:tab w:leader="none" w:pos="735"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is a product approved in the U.S. and Brazil for the treatment of hepatic veno-occlusive disease, or VOD,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renal or pulmonary dysfunction following hematopoietic stem cell transplantation, or HSCT, and in Japan for the treatment of hepatic sinusoidal obstruction syndrome (hepatic-veno occlusive disease). It is currently approved in the EU, Great Britain, Canada, Israel, South Korea, Australia and Switzerland for the treatment of severe hepatic VOD, also known as sinusoidal obstructive syndrome, or SOS, in HSCT therapy. It is indicated in adults and pediatric patients over 1 month of age.</w:t>
      </w:r>
    </w:p>
    <w:p>
      <w:pPr>
        <w:spacing w:after="0" w:line="79"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May 2021, we acquired GW Pharmaceuticals plc, or GW, with the objectives of broadening our neuroscience portfolio, further diversifying our revenue and driving sustainable, long-term value creation opportunities. The total consideration paid by us for the entire issued share capital of GW was $7.2 billion. The acquisition, which we refer to as the GW Acquisition, closed on May 5, 2021. For further information regarding the GW Acquisition, please see Note 3.</w:t>
      </w:r>
    </w:p>
    <w:p>
      <w:pPr>
        <w:spacing w:after="0" w:line="79"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315" w:lineRule="exact"/>
        <w:rPr>
          <w:sz w:val="20"/>
          <w:szCs w:val="20"/>
          <w:color w:val="auto"/>
        </w:rPr>
      </w:pPr>
    </w:p>
    <w:p>
      <w:pPr>
        <w:ind w:left="220" w:right="7640" w:hanging="212"/>
        <w:spacing w:after="0" w:line="377" w:lineRule="auto"/>
        <w:tabs>
          <w:tab w:leader="none" w:pos="198"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right="80" w:firstLine="445"/>
        <w:spacing w:after="0" w:line="311"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or U.S. GAAP, and include the accounts of Jazz Pharmaceuticals plc and our subsidiaries and intercompany transactions and balances have been eliminated. Our consolidated financial statements include the results of operations of businesses we have acquired from the date of each acquisition for the applicable reporting periods.</w:t>
      </w:r>
    </w:p>
    <w:p>
      <w:pPr>
        <w:spacing w:after="0" w:line="41" w:lineRule="exact"/>
        <w:rPr>
          <w:sz w:val="20"/>
          <w:szCs w:val="20"/>
          <w:color w:val="auto"/>
        </w:rPr>
      </w:pPr>
    </w:p>
    <w:p>
      <w:pPr>
        <w:ind w:right="120" w:firstLine="445"/>
        <w:spacing w:after="0" w:line="308" w:lineRule="auto"/>
        <w:rPr>
          <w:sz w:val="20"/>
          <w:szCs w:val="20"/>
          <w:color w:val="auto"/>
        </w:rPr>
      </w:pPr>
      <w:r>
        <w:rPr>
          <w:rFonts w:ascii="Arial" w:cs="Arial" w:eastAsia="Arial" w:hAnsi="Arial"/>
          <w:sz w:val="17"/>
          <w:szCs w:val="17"/>
          <w:color w:val="auto"/>
        </w:rPr>
        <w:t>The results of operations of the acquired GW business, along with the estimated fair values of the assets acquired and liabilities assumed in the GW Acquisition, have been included in our consolidated financial statements since the closing of the GW Acquisition on May 5, 2021.</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In December 2019, the Financial Accounting Standards Board, or FASB, issued ASU No. 2019-12, "Income Taxes (Topic 740): Simplifying the Accounting for Income Taxes", which simplifies the accounting for income taxes by removing certain exceptions to the general principles in the existing guidance for income taxes and making other minor improvements. We adopted this standard on January 1, 2021 and adoption did not have a material impact on our consolidated financial statements.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Risks and Uncertainties</w:t>
      </w:r>
    </w:p>
    <w:p>
      <w:pPr>
        <w:spacing w:after="0" w:line="121"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 xml:space="preserve">We have implemented a comprehensive response strategy designed to manage the ongoing impact of the COVID-19 pandemic on our employees, patients and our business. The prolonged nature of the pandemic is negatively impacting our business in a varied manner due to the emergence of the Delta and Omicron variants and other variants with increased transmissibility, even in some cases in vaccinated people, limited access to health care provider offices and institutions and the willingness of patients or parents of patients to seek treatment. We expect that our business, financial condition, results of operations and growth prospects may continue to be negatively impacted by the pandemic on a limited basis that may vary depending on the context. However </w:t>
      </w:r>
      <w:r>
        <w:rPr>
          <w:rFonts w:ascii="Arial" w:cs="Arial" w:eastAsia="Arial" w:hAnsi="Arial"/>
          <w:sz w:val="16"/>
          <w:szCs w:val="16"/>
          <w:color w:val="212529"/>
        </w:rPr>
        <w:t>we have begun to observe, and expect to continue to observe, a gradual normalization in patient and healthcare provider practices, as providers</w:t>
      </w:r>
      <w:r>
        <w:rPr>
          <w:rFonts w:ascii="Arial" w:cs="Arial" w:eastAsia="Arial" w:hAnsi="Arial"/>
          <w:sz w:val="16"/>
          <w:szCs w:val="16"/>
          <w:color w:val="auto"/>
        </w:rPr>
        <w:t xml:space="preserve"> </w:t>
      </w:r>
      <w:r>
        <w:rPr>
          <w:rFonts w:ascii="Arial" w:cs="Arial" w:eastAsia="Arial" w:hAnsi="Arial"/>
          <w:sz w:val="16"/>
          <w:szCs w:val="16"/>
          <w:color w:val="212529"/>
        </w:rPr>
        <w:t xml:space="preserve">and patients have adapted their behaviors and procedures to the evolving circumstances and as COVID-19 vaccines continue to be administered. </w:t>
      </w:r>
      <w:r>
        <w:rPr>
          <w:rFonts w:ascii="Arial" w:cs="Arial" w:eastAsia="Arial" w:hAnsi="Arial"/>
          <w:sz w:val="16"/>
          <w:szCs w:val="16"/>
          <w:color w:val="000000"/>
        </w:rPr>
        <w:t>With</w:t>
      </w:r>
      <w:r>
        <w:rPr>
          <w:rFonts w:ascii="Arial" w:cs="Arial" w:eastAsia="Arial" w:hAnsi="Arial"/>
          <w:sz w:val="16"/>
          <w:szCs w:val="16"/>
          <w:color w:val="212529"/>
        </w:rPr>
        <w:t xml:space="preserve"> </w:t>
      </w:r>
      <w:r>
        <w:rPr>
          <w:rFonts w:ascii="Arial" w:cs="Arial" w:eastAsia="Arial" w:hAnsi="Arial"/>
          <w:sz w:val="16"/>
          <w:szCs w:val="16"/>
          <w:color w:val="000000"/>
        </w:rPr>
        <w:t>respect to our commercialization activities, while there continues to be some negative impact on demand, new patient starts and treatments for our products arising from the pandemic, primarily due to the inherent limitations of telemedicine and a reprioritization of healthcare resources toward COVID-19, we have seen improvements as healthcare systems have adapted to cope with the ongoing situation. We believe these dynamics have negatively impacted new patient starts in the U.S. and Europe. The extent of the impact on our ability to generate sales of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developments include continued spread of the</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Delta and Omicron variants in the U.S. and other countries and the potential emergence of other SARS-CoV-2 variants that may prove especially contagious or virulent, the ultimate duration and severity of the pandemic, governmental “stay-at-home” orders and travel restrictions, quarantines, social distancing and business closure requirements in the U.S., Ireland and other countries, and the effectiveness of vaccination programs and other actions taken globally to contain and treat the disease.</w:t>
      </w:r>
    </w:p>
    <w:p>
      <w:pPr>
        <w:spacing w:after="0" w:line="25" w:lineRule="exact"/>
        <w:rPr>
          <w:sz w:val="20"/>
          <w:szCs w:val="20"/>
          <w:color w:val="auto"/>
        </w:rPr>
      </w:pPr>
    </w:p>
    <w:p>
      <w:pPr>
        <w:ind w:right="60" w:firstLine="445"/>
        <w:spacing w:after="0" w:line="288" w:lineRule="auto"/>
        <w:rPr>
          <w:sz w:val="20"/>
          <w:szCs w:val="20"/>
          <w:color w:val="auto"/>
        </w:rPr>
      </w:pPr>
      <w:r>
        <w:rPr>
          <w:rFonts w:ascii="Arial" w:cs="Arial" w:eastAsia="Arial" w:hAnsi="Arial"/>
          <w:sz w:val="16"/>
          <w:szCs w:val="16"/>
          <w:color w:val="auto"/>
        </w:rPr>
        <w:t>Our business has been substantially dependent on Xyrem and while we expect that our business will continue to be substantially dependent on oxybate product sales from both Xywav and Xyrem, there is no guarantee that we can maintain oxybate revenues at or near current levels, or that oxybate revenues will continue to grow. Our ability to maintain or increase oxybate revenues and realize the anticipated benefits from our investment in Xywav are subject to a number of risks and uncertainties including, without limitation, those related to the launch of Xywav for the treatment of idiopathic hypersomnia in adults and adoption in that indication; competition from the introduction of authorized generic and generic versions of sodium oxybate and new products for treatment of cataplexy and/or EDS in narcolepsy in the U.S. market and from other competitors; the current and potential impacts of the COVID-19 pandemic, including the current and expected future negative impact on demand for our products;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Xyrem and/or Xywav, including pending antitrust and intellectual property litigation; and continued acceptance of Xywav and Xyrem by physicians and patients.</w:t>
      </w:r>
    </w:p>
    <w:p>
      <w:pPr>
        <w:spacing w:after="0" w:line="60"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In addition to risks related specifically to Xywav and Xyrem, we are subject to other challenges and risks related to successfully commercializing a portfolio of oncology products and other neuroscience products, including Epidiolex, Sunosi, Defitelio, Vyxeos, Rylaze and Zepzelca,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recently approved or acquired products such as Xywav, Epidiolex, Zepzelca and Rylaze; obtaining and maintaining adequate coverage and reimbursement for our products; contracting and rebates to pharmacy benefit managers that reduces our net revenue; increasing scrutiny of pharmaceutical product pricing and resulting changes in healthcare laws and policy; market acceptance; regulatory concerns with controlled substances generally and the potential for abuse; future legislation, Drug enforcement agency, or DEA, action or FDA action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success of the GW Acquisition will depend, in part, on our ability to realize the anticipated benefits from successfully combining our and GW's historical businesses and the integration of our business practices and operations with GW's so that we can fully realize the anticipated benefits of the acquisition. The anticipated benefits to us of the GW Acquisition may not be realized fully within the expected timeframe or at all or may take longer to realize or cost more than expected, which could materially and adversely affect our business, financial condition, results of operations and growth prospects. Moreover, to the extent the COVID-19 pandemic continues to adversely affect our business and results of operations, it may also have the effect of heightening many of the other risks and uncertainties discussed above.</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December 31, 2021 and 2020, we had foreign exchange forward contracts with notional amounts totaling $347.2 million and $357.4 million, respectively. As of December 31, 2021 and 2020, the outstanding foreign exchange forward contracts had a net liability fair value of $2.6 million and a net asset fair value of $11.1 million, respectively.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December 31, 2021, we had a cross-currency interest rate swap with a notional amount of $251.0 million. This outstanding cross-currency interest rate swap contract had a net liability fair value of $15.2 million as of December 31, 2021. The counterparties to these contracts are large multinational commercial banks, and we believe the risk of nonperformance is not significant.</w:t>
      </w:r>
    </w:p>
    <w:p>
      <w:pPr>
        <w:spacing w:after="0" w:line="76" w:lineRule="exact"/>
        <w:rPr>
          <w:sz w:val="20"/>
          <w:szCs w:val="20"/>
          <w:color w:val="auto"/>
        </w:rPr>
      </w:pPr>
    </w:p>
    <w:p>
      <w:pPr>
        <w:ind w:right="20" w:firstLine="445"/>
        <w:spacing w:after="0" w:line="284"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December 31, 2021, allowances on receivables were not material. As of December 31, 2021, three customers accounted for 74% of gross accounts receivable, Express Scripts Specialty Distribution Services, Inc. and its affiliates, or ESSDS, which accounted for</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52% of gross accounts receivable, McKesson Corporation and affiliates, or McKesson, which accounted for 12% of gross accounts receivable and Cardinal Health Inc., or Cardinal, which accounted for 10% of gross accounts receivable. As of December 31, 2020, three customers accounted for 84% of gross accounts receivable, ESSDS, which accounted for 68% of gross accounts receivable, McKesson, which accounted for 12% of gross accounts receivable and Cardinal which accounted for 4% of gross accounts receivable.</w:t>
      </w:r>
    </w:p>
    <w:p>
      <w:pPr>
        <w:spacing w:after="0" w:line="85"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 are manufactured both by us in our facility in Athlone, Ireland and by our U.S.-based supplier.</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17" w:lineRule="exact"/>
        <w:rPr>
          <w:sz w:val="20"/>
          <w:szCs w:val="20"/>
          <w:color w:val="auto"/>
        </w:rPr>
      </w:pPr>
    </w:p>
    <w:p>
      <w:pPr>
        <w:ind w:right="120" w:firstLine="445"/>
        <w:spacing w:after="0" w:line="271" w:lineRule="auto"/>
        <w:rPr>
          <w:sz w:val="20"/>
          <w:szCs w:val="20"/>
          <w:color w:val="auto"/>
        </w:rPr>
      </w:pPr>
      <w:r>
        <w:rPr>
          <w:rFonts w:ascii="Arial" w:cs="Arial" w:eastAsia="Arial" w:hAnsi="Arial"/>
          <w:sz w:val="17"/>
          <w:szCs w:val="17"/>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in-process research and development, or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We consider all highly liquid investments, readily convertible to cash, that mature within three months or less from date of purchase to be cash equivalents.</w:t>
      </w:r>
    </w:p>
    <w:p>
      <w:pPr>
        <w:spacing w:after="0" w:line="62"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Investments consist of time deposits with initial maturities of greater than three months. Collectively, cash equivalents and investments are considered available-for-sale and are recorded at fair value. Unrealized gains and losses, net of tax, are recorded in accumulated other comprehensive loss in shareholders’ equity. We use the specific-identification method for calculating realized gains and losses on securities sold. Realized gains and losses and declines in value judged to be other than temporary on investments are included in interest expense, net in the consolidated statements of income (loss).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We record the fair value of derivative instruments as either assets or liabilities on the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w:t>
      </w:r>
    </w:p>
    <w:p>
      <w:pPr>
        <w:spacing w:after="0" w:line="63"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For derivatives formally designated as hedges, we assess both at inception and quarterly thereafter, whether the hedging derivatives are highly effective in offsetting changes in either the fair value or cash flows of the hedged item.</w:t>
      </w:r>
    </w:p>
    <w:p>
      <w:pPr>
        <w:spacing w:after="0" w:line="62"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w:t>
      </w:r>
    </w:p>
    <w:p>
      <w:pPr>
        <w:spacing w:after="0" w:line="76"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We designate cross-currency interest rate swaps as fair value hedges to hedge foreign currency risks related to our borrowings denominated in currencies other than the U.S. dollar. Fair value hedge amounts included in the assessment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hedge effectiveness are recognized in foreign exchange gain (loss) within the consolidated statements of income (loss), along with the offsetting gains and losses of the related hedged item. We have elected to exclude the total forward points or currency basis from the assessment of hedge effectiveness and account for them as excluded components. The initial fair value of the excluded component is amortized to foreign exchange gain (loss) and the difference between changes in fair value of the excluded component and the amount recorded in earnings is recorded in other comprehensive income (loss).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Derivatives that are not designated and do not qualify as hedges are adjusted to fair value through current earnings.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If our estimate of future demand changes, we consider the impact on the reserve for excess inventory and adjust the reserve as required. Increases in the reserve are recorded as charges in cost of product sales.</w:t>
      </w:r>
    </w:p>
    <w:p>
      <w:pPr>
        <w:spacing w:after="0" w:line="77"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consolidated balance sheet as of December 31, 2021 or 2020.</w:t>
      </w:r>
    </w:p>
    <w:p>
      <w:pPr>
        <w:spacing w:after="0" w:line="80"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Our inventory production process for our cannabinoid products includes the cultivation of botanical raw material. Because of the duration of the cultivation process, a portion of our inventory will not be sold within one year. Consistent with the practice in other industries that cultivate botanical raw materials, all inventory is classified as a current asset.</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Estimated useful lives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years</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Manufacturing equipment and machinery</w:t>
            </w:r>
          </w:p>
        </w:tc>
        <w:tc>
          <w:tcPr>
            <w:tcW w:w="4500" w:type="dxa"/>
            <w:vAlign w:val="bottom"/>
          </w:tcPr>
          <w:p>
            <w:pPr>
              <w:jc w:val="right"/>
              <w:spacing w:after="0"/>
              <w:rPr>
                <w:sz w:val="20"/>
                <w:szCs w:val="20"/>
                <w:color w:val="auto"/>
              </w:rPr>
            </w:pPr>
            <w:r>
              <w:rPr>
                <w:rFonts w:ascii="Arial" w:cs="Arial" w:eastAsia="Arial" w:hAnsi="Arial"/>
                <w:sz w:val="18"/>
                <w:szCs w:val="18"/>
                <w:color w:val="auto"/>
              </w:rPr>
              <w:t>4-20 years</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years</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50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201"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Leasehold improvements are amortized over the shorter of the noncancelable term of our leases or their economic useful lives. Maintenance and repairs are expensed as incurred.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We determine if an arrangement is a lease at inception. Leases are classified at lease commencement as either operating leases or finance leases. Operating leases are included in operating lease assets, other current liabilities, and operating lease liabilities on our consolidated balance sheets. Finance lease assets are included in property, plant and equipment, net, and finance lease liabilities are included in other current liabilities and other non-current liabilities in our consolidated balance sheets. Lease assets and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lease asset also includes any lease payments made, reduced by lease incentives and increased by initial direct costs incurred. Our lease terms may include options to extend or terminate the lease when it is reasonably certain that we will exercise that option. Operating lease expense for minimum lease payments is recognized on a straight-line basis over the lease term. Finance lease expense is recognized as depreciation expense of fixed assets and interest expense on finance lease liabilities.</w:t>
      </w:r>
    </w:p>
    <w:p>
      <w:pPr>
        <w:spacing w:after="0" w:line="58"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vehicle leases we account for the lease and non-lease components as a single lease component.</w:t>
      </w:r>
    </w:p>
    <w:p>
      <w:pPr>
        <w:spacing w:after="0" w:line="62" w:lineRule="exact"/>
        <w:rPr>
          <w:sz w:val="20"/>
          <w:szCs w:val="20"/>
          <w:color w:val="auto"/>
        </w:rPr>
      </w:pPr>
    </w:p>
    <w:p>
      <w:pPr>
        <w:ind w:right="180" w:firstLine="445"/>
        <w:spacing w:after="0" w:line="342" w:lineRule="auto"/>
        <w:rPr>
          <w:sz w:val="20"/>
          <w:szCs w:val="20"/>
          <w:color w:val="auto"/>
        </w:rPr>
      </w:pPr>
      <w:r>
        <w:rPr>
          <w:rFonts w:ascii="Arial" w:cs="Arial" w:eastAsia="Arial" w:hAnsi="Arial"/>
          <w:sz w:val="16"/>
          <w:szCs w:val="16"/>
          <w:color w:val="auto"/>
        </w:rPr>
        <w:t>We have elected the short-term lease exemption and, therefore, do not recognize a lease asset or corresponding liability for lease arrangements with an original term of 12 months or less. Rent expense under short-term leases is recognized on a straight-line basis over the lease term.</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test goodwill for impairment annually in October and when events or changes in circumstances indicate that the carrying value may not be recoverable.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Intangible assets with finite useful lives consist primarily of purchased developed technology and are amortized on a straight-line basis over their estimated useful lives, which range from two to twenty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45"/>
        <w:spacing w:after="0" w:line="275" w:lineRule="auto"/>
        <w:rPr>
          <w:sz w:val="20"/>
          <w:szCs w:val="20"/>
          <w:color w:val="auto"/>
        </w:rPr>
      </w:pPr>
      <w:r>
        <w:rPr>
          <w:rFonts w:ascii="Arial" w:cs="Arial" w:eastAsia="Arial" w:hAnsi="Arial"/>
          <w:sz w:val="17"/>
          <w:szCs w:val="17"/>
          <w:color w:val="auto"/>
        </w:rPr>
        <w:t>Our revenue comprises product sales, net and royalty and contract revenues. Revenues are recognized when control of the promised goods or services is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Revenues from sales of products are recorded at the net sales price, which includes estimates of variable consideration for which reserves are established and which relate to returns, specialty distributor fees, wholesaler fees, prompt payment discounts, government rebates, government chargebacks, coupon programs and rebates under managed care plans and commercial payor contracts. Calculating certain of these reserves involves estimates and judgments and we determine their expected value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We reassess our reserves for variable consideration at each reporting date. Historically, adjustments to estimates for these reserves have not been material.</w:t>
      </w:r>
    </w:p>
    <w:p>
      <w:pPr>
        <w:spacing w:after="0" w:line="77" w:lineRule="exact"/>
        <w:rPr>
          <w:sz w:val="20"/>
          <w:szCs w:val="20"/>
          <w:color w:val="auto"/>
        </w:rPr>
      </w:pPr>
    </w:p>
    <w:p>
      <w:pPr>
        <w:jc w:val="both"/>
        <w:ind w:right="300" w:firstLine="445"/>
        <w:spacing w:after="0" w:line="263" w:lineRule="auto"/>
        <w:rPr>
          <w:sz w:val="20"/>
          <w:szCs w:val="20"/>
          <w:color w:val="auto"/>
        </w:rPr>
      </w:pPr>
      <w:r>
        <w:rPr>
          <w:rFonts w:ascii="Arial" w:cs="Arial" w:eastAsia="Arial" w:hAnsi="Arial"/>
          <w:sz w:val="18"/>
          <w:szCs w:val="18"/>
          <w:color w:val="auto"/>
        </w:rPr>
        <w:t>Reserves for returns, specialty distributor fees, wholesaler fees, government rebates, coupon programs and rebates under managed care plans and commercial payor contracts are included within current liabilities in our consolidated balance sheets. Reserves for government chargebacks and prompt payment discounts are shown as a reduction in accounts receivable.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enter into out-licensing agreements under which we license certain rights to our products or product candidates to third parties. If a licensing arrangement includes multiple goods or services, we consider whether the license is distinct.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If the license to our intellectual property is determined not to be distinct, it is combined with other goods or services into a combined performance obligation. We consider whether the combined performance obligation is satisfied over time or at a point in time and, if over time, the appropriate method of measuring progress for purposes of recognizing revenue from non-refundable, upfront fees. We evaluate the measure of progress each reporting date and, if necessary, adjust the measure of performance and related revenue recognition.</w:t>
      </w:r>
    </w:p>
    <w:p>
      <w:pPr>
        <w:spacing w:after="0" w:line="84"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At the inception of each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 our estimate of the overall transaction price.</w:t>
      </w:r>
    </w:p>
    <w:p>
      <w:pPr>
        <w:spacing w:after="0" w:line="58"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For arrangements that include sales-based royalties and milestone payments based on the level of sales, and the license is deemed to be the predominant item to which the royalties and sales-based milestones relate, we recognize revenue at the later of (i) when the related sales occur, or (ii) when the performance obligation to which some or all of the royalty or sales-based milestone has been allocated has been satisfied (or partially satisfied).</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Excluded from cost of product sales shown on the consolidated statements of income (loss) is amortization of acquired developed technology of $525.8 million, $259.6 million and $243.7 million in 2021, 2020 and 2019, respectively.</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Research and development expenses consist primarily of costs related to clinical studies and outside services, personnel expenses and other research and development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research and development expenses primarily include overhead allocations consisting of various support and facilities-related costs. Research and development costs are expensed as incurred. For product candidates that have not been approved by FDA, inventory used in clinical trials is expensed at the time of production and recorded as research and development expense. For products that have been approved by FDA, inventory used in clinical trials is expensed at the time the inventory is packaged for the trial.</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were $161.5 million, $99.6 million and $65.4 million in 2021, 2020 and 2019,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when it is more-likely-than-not that some portion or all of a deferred tax asset will not be realized. We recognize the benefits of a tax position if it is “more-likely-than-not” of being sustained. A recognized tax benefit is then measured as the largest amount of tax benefit that is greater than fifty percent likely of being realized upon settlement. Interest and penalties related to an underpayment of income taxes are included in the income tax expense and classified with the related liability on the consolidated balance sheets.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weighted average exchange rate for the reporting period. The cumulative foreign currency translation adjustment is recorded as a component of accumulated other comprehensive income (loss) in shareholders’ equity.</w:t>
      </w:r>
    </w:p>
    <w:p>
      <w:pPr>
        <w:spacing w:after="0" w:line="79"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of the relevant subsidiary at the weighted average exchange rate for the reporting period. Any monetary assets and liabilities arising from these transactions are translated into the relevant functional currency at exchange rates prevailing at the balance sheet date or on settlement. Resulting gains and losses are recorded in foreign exchange gain (loss) in our consolidated statements of income (loss).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Deferred financing costs are reported at cost, less accumulated amortization and are presented in the consolidated balance sheets as a direct deduction from the carrying value of the associated debt, with the exception of deferred financing costs associated with revolving-debt arrangements which are presented as assets. The related amortization expense is included in interest expense, net in our consolidated statements of income (loss).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00" w:firstLine="445"/>
        <w:spacing w:after="0" w:line="311"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20" w:firstLine="445"/>
        <w:spacing w:after="0" w:line="279" w:lineRule="auto"/>
        <w:rPr>
          <w:sz w:val="20"/>
          <w:szCs w:val="20"/>
          <w:color w:val="auto"/>
        </w:rPr>
      </w:pPr>
      <w:r>
        <w:rPr>
          <w:rFonts w:ascii="Arial" w:cs="Arial" w:eastAsia="Arial" w:hAnsi="Arial"/>
          <w:sz w:val="17"/>
          <w:szCs w:val="17"/>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 Awards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Performance-based restricted stock units, or PRSUs, awarded to employees vest upon the achievement of certain performance criteria at the end of a specified performance period, subject to a relative total shareholder return, or TSR, modifier. The estimated fair value of these PRSUs is based on a Monte Carlo simulation model. Compensation expense for PRSUs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In the year ended December 31, 2021, we invested in a cell of a protected cell company, or the protected cell, as part of our directors’ and officers’ liability risk financing strategy. Based on our control and the structure of the protected cell, we concluded that Jazz is the primary beneficiary of the protected cell and is required to consolidate the protected cell. The insurance premium payable to the protected cell for the year ended December 31, 2021 and the protected cell’s assets and liabilities as of December 31, 2021 were immaterial.</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eliminates the treasury stock method to calculate diluted earnings per share for convertible instruments and requires the use of the if-converted method. The Company adopted ASU 2020-06 on January 1, 2022, on a modified retrospective basis. As a result of adoption, the Company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increased its convertible debt liabilities, retained earnings and deferred tax assets on January 1, 2022 by $206.2 million, $127.4 million and $0.1 million, respectively and decreased its additional paid-in capital by $333.5 million.</w:t>
      </w:r>
    </w:p>
    <w:p>
      <w:pPr>
        <w:spacing w:after="0" w:line="62"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new guidance is not expected to have a material impact on our results of operations, financial position, or cash flows.</w:t>
      </w:r>
    </w:p>
    <w:p>
      <w:pPr>
        <w:spacing w:after="0" w:line="309" w:lineRule="exact"/>
        <w:rPr>
          <w:sz w:val="20"/>
          <w:szCs w:val="20"/>
          <w:color w:val="auto"/>
        </w:rPr>
      </w:pPr>
    </w:p>
    <w:p>
      <w:pPr>
        <w:ind w:left="220" w:right="6320" w:hanging="212"/>
        <w:spacing w:after="0" w:line="377" w:lineRule="auto"/>
        <w:tabs>
          <w:tab w:leader="none" w:pos="198"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Asset Acquisitions and Collaborations </w:t>
      </w:r>
      <w:r>
        <w:rPr>
          <w:rFonts w:ascii="Arial" w:cs="Arial" w:eastAsia="Arial" w:hAnsi="Arial"/>
          <w:sz w:val="18"/>
          <w:szCs w:val="18"/>
          <w:b w:val="1"/>
          <w:bCs w:val="1"/>
          <w:i w:val="1"/>
          <w:iCs w:val="1"/>
          <w:color w:val="auto"/>
        </w:rPr>
        <w:t>GW Acquisition</w:t>
      </w:r>
    </w:p>
    <w:p>
      <w:pPr>
        <w:spacing w:after="0" w:line="2"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On May 5, 2021, or the Closing Date, we acquired the entire issued share capital of GW. As a result, GW became an indirect wholly owned subsidiary of the Company.</w:t>
      </w:r>
    </w:p>
    <w:p>
      <w:pPr>
        <w:spacing w:after="0" w:line="62" w:lineRule="exact"/>
        <w:rPr>
          <w:sz w:val="20"/>
          <w:szCs w:val="20"/>
          <w:color w:val="auto"/>
        </w:rPr>
      </w:pPr>
    </w:p>
    <w:p>
      <w:pPr>
        <w:ind w:right="300" w:firstLine="445"/>
        <w:spacing w:after="0" w:line="286" w:lineRule="auto"/>
        <w:rPr>
          <w:sz w:val="20"/>
          <w:szCs w:val="20"/>
          <w:color w:val="auto"/>
        </w:rPr>
      </w:pPr>
      <w:r>
        <w:rPr>
          <w:rFonts w:ascii="Arial" w:cs="Arial" w:eastAsia="Arial" w:hAnsi="Arial"/>
          <w:sz w:val="17"/>
          <w:szCs w:val="17"/>
          <w:color w:val="auto"/>
        </w:rPr>
        <w:t>We acquired GW with the objective of broadening our neuroscience portfolio, further diversifying our revenue and driving sustainable, long-term value creation opportunities. GW was a global leader in discovering, developing, manufacturing and commercializing novel, regulatory approved therapeutics from its proprietary cannabinoid research platform to address a broad range of diseases.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consideration for the GW Acquisition was $7.2 billion as follows (all amounts in thousands except American Depositary Shares,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ADS, and per GW ADS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 ADS outstanding May 5, 2021</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31,556,200</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per GW ADS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 to GW ADS holders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6,311,240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to GW share option holders (inclusive of payroll taxes)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267,450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6,578,690</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Equity consideration to GW ADS 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right="3491"/>
        <w:spacing w:after="0" w:line="296" w:lineRule="auto"/>
        <w:rPr>
          <w:sz w:val="20"/>
          <w:szCs w:val="20"/>
          <w:color w:val="auto"/>
        </w:rPr>
      </w:pPr>
      <w:r>
        <w:rPr>
          <w:rFonts w:ascii="Arial" w:cs="Arial" w:eastAsia="Arial" w:hAnsi="Arial"/>
          <w:sz w:val="18"/>
          <w:szCs w:val="18"/>
          <w:color w:val="auto"/>
        </w:rPr>
        <w:t>Consideration related to replacement share option pre-combination service Total 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purchase consideration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608,456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8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612,011</w:t>
      </w:r>
    </w:p>
    <w:p>
      <w:pPr>
        <w:spacing w:after="0" w:line="36" w:lineRule="exact"/>
        <w:rPr>
          <w:sz w:val="20"/>
          <w:szCs w:val="20"/>
          <w:color w:val="auto"/>
        </w:rPr>
      </w:pPr>
    </w:p>
    <w:p>
      <w:pPr>
        <w:ind w:left="829" w:hanging="829"/>
        <w:spacing w:after="0"/>
        <w:tabs>
          <w:tab w:leader="none" w:pos="829" w:val="left"/>
        </w:tabs>
        <w:numPr>
          <w:ilvl w:val="0"/>
          <w:numId w:val="65"/>
        </w:numPr>
        <w:rPr>
          <w:rFonts w:ascii="Arial" w:cs="Arial" w:eastAsia="Arial" w:hAnsi="Arial"/>
          <w:sz w:val="16"/>
          <w:szCs w:val="16"/>
          <w:color w:val="auto"/>
        </w:rPr>
      </w:pPr>
      <w:r>
        <w:rPr>
          <w:rFonts w:ascii="Arial" w:cs="Arial" w:eastAsia="Arial" w:hAnsi="Arial"/>
          <w:sz w:val="16"/>
          <w:szCs w:val="16"/>
          <w:color w:val="auto"/>
        </w:rPr>
        <w:t>7,190,701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0458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8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8891" w:space="720"/>
            <w:col w:w="1629"/>
          </w:cols>
          <w:pgMar w:left="320" w:top="125" w:right="339" w:bottom="1440" w:gutter="0" w:footer="0" w:header="0"/>
          <w:type w:val="continuous"/>
        </w:sectPr>
      </w:pPr>
    </w:p>
    <w:p>
      <w:pPr>
        <w:ind w:right="140" w:firstLine="8"/>
        <w:spacing w:after="0" w:line="262" w:lineRule="auto"/>
        <w:tabs>
          <w:tab w:leader="none" w:pos="229" w:val="left"/>
        </w:tabs>
        <w:numPr>
          <w:ilvl w:val="0"/>
          <w:numId w:val="66"/>
        </w:numPr>
        <w:rPr>
          <w:rFonts w:ascii="Arial" w:cs="Arial" w:eastAsia="Arial" w:hAnsi="Arial"/>
          <w:sz w:val="16"/>
          <w:szCs w:val="16"/>
          <w:color w:val="auto"/>
        </w:rPr>
      </w:pPr>
      <w:r>
        <w:rPr>
          <w:rFonts w:ascii="Arial" w:cs="Arial" w:eastAsia="Arial" w:hAnsi="Arial"/>
          <w:sz w:val="16"/>
          <w:szCs w:val="16"/>
          <w:color w:val="auto"/>
        </w:rPr>
        <w:t>3.8 million ordinary shares were issued to GW ADS holders. The closing price of the ordinary shares on May 4, 2021 ($160.20) was used to determine the fair value of this equity consideration because the closing of the transaction on May 5, 2021 occurred prior to the opening of regular trading.</w:t>
      </w:r>
    </w:p>
    <w:p>
      <w:pPr>
        <w:spacing w:after="0" w:line="7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April 2021, we closed an offering of $1.5 billion in aggregate principal amount of 4.375% senior secured notes, due 2029, or the Secured Notes. In May 2021, we entered into a credit agreement, or the Credit Agreement, that provides for (i) a seven-year $3.1 billion term loan B facility, or the Dollar Term Loan, (ii) a seven-year €625.0 million term loan B facility, or the Euro Term Loan and, together with the Dollar Term Loan, collectively known as the Term Loan and (iii) a five-year $500.0 million revolving credit facility, or the Revolving Credit Facility. We financed the cash portion of the GW Acquisition consideration through a combination of cash on hand and borrowings under the Term Loan and the Secured Notes. For further information on the Term Loan and the Secured Notes, please see Note 12.</w:t>
      </w:r>
    </w:p>
    <w:p>
      <w:pPr>
        <w:spacing w:after="0" w:line="84"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The GW Acquisition was accounted for as a business combination using the acquisition method under which assets and liabilities of GW were recorded at their respective estimated fair values as of the Closing Date and added to the assets and liabilities of the Company, including an amount for goodwill representing the difference between the acquisition consideration and the estimated fair value of the identifiable net assets. The results of operations of GW and the estimated fair values of the assets acquired and liabilities assumed have been included in our consolidated financial statements since the Closing Date.</w:t>
      </w:r>
    </w:p>
    <w:p>
      <w:pPr>
        <w:spacing w:after="0" w:line="80"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In 2021, we incurred $81.9 million in acquisition-related costs related to the GW Acquisition, which primarily consisted of banking, legal, accounting and valuation-related expenses. These expenses were recorded in selling, general and administrative expense in the accompanying consolidated statements of income (loss). In 2021, our consolidated statements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income (loss) included revenues of $476.4 million and a net loss of $704.6 million from the acquired GW business, as measured from the Closing Date.</w:t>
      </w:r>
    </w:p>
    <w:p>
      <w:pPr>
        <w:spacing w:after="0" w:line="140"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The following table summarizes the preliminary fair values of assets acquired and liabilities assumed at the Closing Date before and after the measurement period adjustment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Before Measurement</w:t>
            </w:r>
          </w:p>
        </w:tc>
        <w:tc>
          <w:tcPr>
            <w:tcW w:w="1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Measurement Period</w:t>
            </w:r>
          </w:p>
        </w:tc>
        <w:tc>
          <w:tcPr>
            <w:tcW w:w="160" w:type="dxa"/>
            <w:vAlign w:val="bottom"/>
          </w:tcPr>
          <w:p>
            <w:pPr>
              <w:spacing w:after="0"/>
              <w:rPr>
                <w:sz w:val="14"/>
                <w:szCs w:val="14"/>
                <w:color w:val="auto"/>
              </w:rPr>
            </w:pPr>
          </w:p>
        </w:tc>
        <w:tc>
          <w:tcPr>
            <w:tcW w:w="148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After Measurement</w:t>
            </w:r>
          </w:p>
        </w:tc>
      </w:tr>
      <w:tr>
        <w:trPr>
          <w:trHeight w:val="188"/>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Period Adjustment</w:t>
            </w: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7"/>
              </w:rPr>
              <w:t>Period Adjustment</w:t>
            </w: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343,898</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76,355</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1,206,290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72,758</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154,407</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Acquired developed technologies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5,480,000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5,480,000</w:t>
            </w:r>
          </w:p>
        </w:tc>
      </w:tr>
      <w:tr>
        <w:trPr>
          <w:trHeight w:val="243"/>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 acquired identifiable intangible assets</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5,640,000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5,640,000</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933,234</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(1,083,673)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(1,069,076)</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(131,971)</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assets/liabilities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(35,194)</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7,190,701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The fair value estimates for the assets acquired and liabilities assumed were based upon preliminary calculations, and our estimates and assumptions are subject to change as we obtain additional information for our estimates during the measurement period (up to one year from the Closing Date). During the three months ended December 31, 2021, we recorded a measurement period adjustment which reduced deferred tax liabilities, net and goodwill by $14.6 million. The measurement period adjustment primarily related to the refinement of the opening UK net operating loss position of GW.</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Inventories acquired included raw materials, work in progress and finished goods. Inventories were recorded at their estimated fair values. The inventory was valued at estimated selling price less the estimated costs to be incurred to complete (in the case of work in progress) and sell the inventory, the associated margins on these activities and holding costs. A step-up in value of inventory of $1,062.6 million was recorded in connection with the GW Acquisition. The step-up expense will be recorded in cost of product sales on our consolidated statements of income (loss) as the inventory is sold to customers from the Closing Date.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fair value of acquired intangible assets was $5,640.0 million. The intangible assets include acquired developed technologies, primarily related to Epidiolex, and IPR&amp;D.</w:t>
      </w:r>
    </w:p>
    <w:p>
      <w:pPr>
        <w:spacing w:after="0" w:line="6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fair value of the Epidiolex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9.4% that reflects the return requirements of the market. This intangible asset is being amortized over an estimated useful life of 12 years.</w:t>
      </w:r>
    </w:p>
    <w:p>
      <w:pPr>
        <w:spacing w:after="0" w:line="79"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Acquired IPR&amp;D relates to nabiximols, which is currently in Phase 3 clinical trials for the treatment of spasticity associated with multiple sclerosis and spinal cord injury. The fair value of acquired IPR&amp;D was determined using the income approach, including the application of probability factors related to the likelihood of success of nabiximols reaching final development and commercialization. The fair value of acquired IPR&amp;D was capitalized as of the Closing Date and is subsequently accounted for as an indefinite-lived intangible asset until completion or abandonment of the associated research and development efforts. Accordingly, during the development period after the Closing Date, this asset will not be amortized into earnings; instead, it will be subject to periodic impairment testing.</w:t>
      </w:r>
    </w:p>
    <w:p>
      <w:pPr>
        <w:spacing w:after="0" w:line="84"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Some of the more significant assumptions inherent in the development of intangible asset fair values include: the amount and timing of projected future cash flows (including revenue, cost of sales, research and development cost and sales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marketing expenses); probability of success; the discount rate selected to measure inherent risk of future cash flows; and the assessment of the asset’s life cycle and the competitive trends impacting the asset, among other factors.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 net</w:t>
      </w:r>
    </w:p>
    <w:p>
      <w:pPr>
        <w:spacing w:after="0" w:line="12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net deferred tax liability relates to the difference between the financial statement carrying amount and the tax basis of acquired intangible assets and inventory, partially offset by acquired net operating loss carryforwards and other temporary differences.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tangible assets and liabilities</w:t>
      </w:r>
    </w:p>
    <w:p>
      <w:pPr>
        <w:spacing w:after="0" w:line="121"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Other tangible assets and liabilities were valued at their respective carrying amounts as management believes that these amounts approximated their acquisition-date fair values.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Goodwill represents the excess of the total purchase consideration over the estimated fair value of net assets acquired and was recorded in the consolidated balance sheet as of the Closing Date. The goodwill was primarily attributable to the establishment of the deferred tax liability for the acquired intangible assets and inventory. We do not expect any portion of this goodwill to be deductible for income tax purposes.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 Forma Financial Information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unaudited supplemental pro forma information presents the combined historical results of income (loss) of the Company and GW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 respectively, as if the GW Acquisition had been completed on January 1, 2020. The primary pro forma adjustments include:</w:t>
      </w:r>
    </w:p>
    <w:p>
      <w:pPr>
        <w:spacing w:after="0" w:line="103" w:lineRule="exact"/>
        <w:rPr>
          <w:sz w:val="20"/>
          <w:szCs w:val="20"/>
          <w:color w:val="auto"/>
        </w:rPr>
      </w:pPr>
    </w:p>
    <w:p>
      <w:pPr>
        <w:ind w:left="660" w:right="340" w:hanging="328"/>
        <w:spacing w:after="0" w:line="342"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exclusion of acquisition-related and integration expenses of $357.6 million in 2021 and related income tax expense of $23.6 million. The inclusion of acquisition-related and integration expenses of $386.7 million in 2020 and related income tax benefit of $27.9 million.</w:t>
      </w:r>
    </w:p>
    <w:p>
      <w:pPr>
        <w:spacing w:after="0" w:line="15" w:lineRule="exact"/>
        <w:rPr>
          <w:rFonts w:ascii="Arial" w:cs="Arial" w:eastAsia="Arial" w:hAnsi="Arial"/>
          <w:sz w:val="16"/>
          <w:szCs w:val="16"/>
          <w:color w:val="auto"/>
        </w:rPr>
      </w:pPr>
    </w:p>
    <w:p>
      <w:pPr>
        <w:ind w:left="660" w:right="50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in amortization expense of $159.1 million in 2021 and related income tax benefit of $30.2 million. An increase in amortization expense of $464.6 million in 2020 and related income tax benefit of $88.3 million.</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in cost of product sales of $81.9 million in 2021 and related income tax benefit of $12.4 million. An increase in cost of product sales of $296.3 million in 2020 and related income tax benefit of $59.5 million.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increase in interest expense of $49.1 million in 2021 and related income tax benefit of $9.0 million. An increase in interest expense of</w:t>
      </w:r>
    </w:p>
    <w:p>
      <w:pPr>
        <w:spacing w:after="0" w:line="34" w:lineRule="exact"/>
        <w:rPr>
          <w:rFonts w:ascii="Arial" w:cs="Arial" w:eastAsia="Arial" w:hAnsi="Arial"/>
          <w:sz w:val="17"/>
          <w:szCs w:val="17"/>
          <w:color w:val="auto"/>
        </w:rPr>
      </w:pPr>
    </w:p>
    <w:p>
      <w:pPr>
        <w:ind w:left="660" w:right="140"/>
        <w:spacing w:after="0" w:line="260" w:lineRule="auto"/>
        <w:rPr>
          <w:rFonts w:ascii="Arial" w:cs="Arial" w:eastAsia="Arial" w:hAnsi="Arial"/>
          <w:sz w:val="17"/>
          <w:szCs w:val="17"/>
          <w:color w:val="auto"/>
        </w:rPr>
      </w:pPr>
      <w:r>
        <w:rPr>
          <w:rFonts w:ascii="Arial" w:cs="Arial" w:eastAsia="Arial" w:hAnsi="Arial"/>
          <w:sz w:val="18"/>
          <w:szCs w:val="18"/>
          <w:color w:val="auto"/>
        </w:rPr>
        <w:t>$241.0 million in 2020 and related income tax benefit of $51.9 million. The increase in interest arose on additional borrowings made to partially fund the GW Acquisition as if the borrowings had occurred on January 1, 2020.</w:t>
      </w:r>
    </w:p>
    <w:p>
      <w:pPr>
        <w:spacing w:after="0" w:line="77"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The unaudited pro forma results do not assume any operating efficiencies as a result of the consolidation of operations and are as follows (in thousands):</w:t>
      </w:r>
    </w:p>
    <w:p>
      <w:pPr>
        <w:spacing w:after="0" w:line="84"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Year Ended</w:t>
      </w:r>
    </w:p>
    <w:p>
      <w:pPr>
        <w:jc w:val="center"/>
        <w:ind w:left="80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3,294,697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2,890,772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(422,588)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(980,481)</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Acquisition and Exclusive License Agreement</w:t>
      </w:r>
    </w:p>
    <w:p>
      <w:pPr>
        <w:spacing w:after="0" w:line="117"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In October 2020, we entered into an asset purchase and exclusive license agreement with SpringWorks Therapeutics, Inc., or SpringWorks, under which we acquired SpringWorks’ fatty acid amide hydrolase, or FAAH, inhibitor program. Under the terms of the agreement, SpringWorks has assigned or exclusively licensed all assets relating to its FAAH inhibitor program to us, including assignment of SpringWorks’ proprietary FAAH inhibitor PF-04457845, or PF-’845, now named JZP150 and its license agreement with Pfizer, Inc., or Pfizer, under which Pfizer exclusively licensed PF-’845 to SpringWorks in 2017. In addition to assuming all milestone and royalty obligations owed by SpringWorks to Pfizer, we made an upfront payment of $35.0 million to SpringWorks, which was recorded as acquired IPR&amp;D expense in our consolidated statement of income for the year ended</w:t>
      </w:r>
    </w:p>
    <w:p>
      <w:pPr>
        <w:spacing w:after="0" w:line="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December 31, 2020, and may make potential milestone payments to SpringWorks of up to $375.0 million upon the achievement of certain clinical, regulatory and commercial milestones, and pay incremental tiered royalties to SpringWorks on future net sales of JZP150 in the mid- to high-single digit percentages.</w:t>
      </w: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In December 2019, we entered into an exclusive license agreement, or original license agreement, with Pharma Mar, S.A., or PharmaMar, for development and U.S. commercialization of Zepzelca. Zepzelca was granted orphan drug designation for relapsed SCLC by FDA in August 2018. In December 2019, PharmaMar submitted a new drug application, or NDA, to FDA for accelerated approval of Zepzelca for relapsed SCLC based on data from a Phase 2 trial, and in February 2020, FDA accepted the NDA for filing with priority review. In June 2020, FDA approved the NDA for Zepzelca for the treatment of adult patients with metastatic SCLC with disease progression on or after platinum-based chemotherapy.</w:t>
      </w:r>
    </w:p>
    <w:p>
      <w:pPr>
        <w:spacing w:after="0" w:line="68" w:lineRule="exact"/>
        <w:rPr>
          <w:sz w:val="20"/>
          <w:szCs w:val="20"/>
          <w:color w:val="auto"/>
        </w:rPr>
      </w:pPr>
    </w:p>
    <w:p>
      <w:pPr>
        <w:ind w:right="180" w:firstLine="445"/>
        <w:spacing w:after="0" w:line="255" w:lineRule="auto"/>
        <w:rPr>
          <w:sz w:val="20"/>
          <w:szCs w:val="20"/>
          <w:color w:val="auto"/>
        </w:rPr>
      </w:pPr>
      <w:r>
        <w:rPr>
          <w:rFonts w:ascii="Arial" w:cs="Arial" w:eastAsia="Arial" w:hAnsi="Arial"/>
          <w:sz w:val="18"/>
          <w:szCs w:val="18"/>
          <w:color w:val="auto"/>
        </w:rPr>
        <w:t>Under the terms of the original license agreement, which became effective in January 2020 upon expiration of the waiting period under the Hart-Scott-Rodino Antitrust Improvements Act of 1976, as amended, we paid PharmaMar an upfront payment of $200.0 million, which was recorded as acquired IPR&amp;D expense in our consolidated statement of income for the year ended December 31, 2020. In June 2020, we made a milestone payment of $100.0 million to PharmaMar following FDA accelerated approval of Zepzelca, which was capitalized as an intangible asset on our consolidated balance sheet. In October 2021, we reached our first sales milestone triggering a payment of $25.0 million, which was capitalized as an intangible asset on our consolidated balance sheet.</w:t>
      </w:r>
    </w:p>
    <w:p>
      <w:pPr>
        <w:spacing w:after="0" w:line="84"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PharmaMar is eligible to receive potential future regulatory milestone payments of up to $150.0 million upon the achievement of continued U.S. regulatory approval of Zepzelca following the successful completion of confirmatory trials within certain timelines. PharmaMar is also eligible to receive up to $525.0 million in potential U.S. commercial milestone payments, as well as incremental tiered royalties on future net sales of Zepzelca ranging from the high teens up to 30 percent. PharmaMar may receive additional payments on approval of other indications, with any such payments creditable against commercial milestone payment obligations. PharmaMar retains production rights for Zepzelca and will supply the product to us.</w:t>
      </w:r>
    </w:p>
    <w:p>
      <w:pPr>
        <w:spacing w:after="0" w:line="5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October 2020, we entered into an amendment and restatement of the original license agreement with PharmaMar, or the amended license agreement, which expanded our exclusive license to include rights to develop and commercialize Zepzelca in Canada. To date, we have paid PharmaMar an upfront payment of $1.0 million, which was recorded as acquired IPR&amp;D expense in our consolidated statement of income for the year ended December 31, 2020, and a milestone payment of $1.0 million in September 2021 following the first NDA Approval by Health Canada, which was capitalized as an intangible asset on our consolidated balance sheet. PharmaMar is also eligible to receive up to $6.0 million in potential Canadian regulatory and commercial milestone payments, as well as incremental tiered royalties on future Canadian net sales of Zepzelca ranging from the high teens up to 30 percent.</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August 2019, we announced the acquisition of Cavion, Inc., or Cavion, a clinical-stage biotechnology company, for an upfront payment of $52.5 million with the potential for additional payments of up to $260.0 million upon the achievement of certain clinical, regulatory and commercial milestones, for a total potential consideration of $312.5 million. As a result of the acquisition, we added JZP385, a modulator of T-type calcium channels, for the potential treatment of essential tremor, to our clinical pipeline. The acquisition of Cavion was accounted for as an asset acquisition because it did not meet the definition of a business.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total consideration for the acquisition and the value of assets acquired and liabilities assumed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Upfront payment for acquisition of Cavion's outstanding shares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52,500</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223"/>
        </w:trPr>
        <w:tc>
          <w:tcPr>
            <w:tcW w:w="964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55,471</w:t>
            </w:r>
          </w:p>
        </w:tc>
      </w:tr>
      <w:tr>
        <w:trPr>
          <w:trHeight w:val="20"/>
        </w:trPr>
        <w:tc>
          <w:tcPr>
            <w:tcW w:w="9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9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48,275</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assets acquired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value attributed to in-process research and development related to JZP385 and was expensed as it was determined to have no alternative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and License Agreement</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January 2019, we entered into a strategic collaboration agreement with Codiak BioSciences, Inc., or Codiak, focused on the research, development and commercialization of exosome therapeutics to treat cancer. Codiak granted us an exclusive, worldwide, royalty-bearing license to develop, manufacture and commercialize therapeutic candidates directed at five targets to be developed using Codiak's engEx™ precision engineering platform for exosome therapeutics.</w:t>
      </w:r>
    </w:p>
    <w:p>
      <w:pPr>
        <w:spacing w:after="0" w:line="79"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Under the terms of the agreement, Codiak is responsible for the execution of preclinical and early clinical development of therapeutic candidates directed at all five targets through Phase 1/2 proof of concept studies. Following the conclusion of the applicable Phase 1/2 study, we will be responsible for future development, potential regulatory submissions and commercialization for each product. Codiak has the option to participate in co-commercialization and cost/profit-sharing in the U.S. and Canada on up to two products.</w:t>
      </w:r>
    </w:p>
    <w:p>
      <w:pPr>
        <w:spacing w:after="0" w:line="79"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As part of the agreement, we paid Codiak an upfront payment of $56.0 million in January 2019, which was recorded as acquired IPR&amp;D expense in our consolidated statement of income for the year ended December 31, 2020. Codiak is eligible to receive up to $20.0 million in preclinical development milestone payments. Codiak is also eligible to receive milestone payments totaling up to $200.0 million per target based on investigational new drug application acceptance, clinical and regulatory milestones, including approvals in the U.S., the European Union and Japan, and certain sales milestones. Codiak is also eligible to receive tiered royalties on net sales of each approved product.</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Collaboration and Option Agreement</w:t>
      </w:r>
    </w:p>
    <w:p>
      <w:pPr>
        <w:spacing w:after="0" w:line="117" w:lineRule="exact"/>
        <w:rPr>
          <w:sz w:val="20"/>
          <w:szCs w:val="20"/>
          <w:color w:val="auto"/>
        </w:rPr>
      </w:pPr>
    </w:p>
    <w:p>
      <w:pPr>
        <w:ind w:right="780" w:firstLine="445"/>
        <w:spacing w:after="0" w:line="277" w:lineRule="auto"/>
        <w:rPr>
          <w:sz w:val="20"/>
          <w:szCs w:val="20"/>
          <w:color w:val="auto"/>
        </w:rPr>
      </w:pPr>
      <w:r>
        <w:rPr>
          <w:rFonts w:ascii="Arial" w:cs="Arial" w:eastAsia="Arial" w:hAnsi="Arial"/>
          <w:sz w:val="18"/>
          <w:szCs w:val="18"/>
          <w:color w:val="auto"/>
        </w:rPr>
        <w:t>In 2017, we entered into a collaboration and option agreement with ImmunoGen, Inc. and we paid them a non-refundable upfront payment of $75.0 million, which was charged to acquired IPR&amp;D expense upon closing of the transaction.</w:t>
      </w:r>
    </w:p>
    <w:p>
      <w:pPr>
        <w:spacing w:after="0" w:line="62" w:lineRule="exact"/>
        <w:rPr>
          <w:sz w:val="20"/>
          <w:szCs w:val="20"/>
          <w:color w:val="auto"/>
        </w:rPr>
      </w:pPr>
    </w:p>
    <w:p>
      <w:pPr>
        <w:ind w:right="200" w:firstLine="445"/>
        <w:spacing w:after="0" w:line="286" w:lineRule="auto"/>
        <w:rPr>
          <w:sz w:val="20"/>
          <w:szCs w:val="20"/>
          <w:color w:val="auto"/>
        </w:rPr>
      </w:pPr>
      <w:r>
        <w:rPr>
          <w:rFonts w:ascii="Arial" w:cs="Arial" w:eastAsia="Arial" w:hAnsi="Arial"/>
          <w:sz w:val="17"/>
          <w:szCs w:val="17"/>
          <w:color w:val="auto"/>
        </w:rPr>
        <w:t>This agreement was amended in November 2019. Under the amended agreement we had the right to opt into an exclusive, worldwide license to develop and commercialize IMGN632, a CD123-targeted antibody-drug conjugate for hematological malignancies. In December 2020, we exercised our opt-out rights with respect to IMGN632, thereby relinquishing the development and commercialization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and investments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1"/>
                <w:szCs w:val="11"/>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1"/>
                <w:szCs w:val="11"/>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consolidated statements of income (loss). Our investment balances represent time deposits with original maturities of greater than three months and less than one year. Interest income from available-for-sale securities was $1.8 million, $11.1 million and $20.5 million in 2021, 2020 and 2019,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following table summarizes, by major security type, our available-for-sale securities and derivative contracts that were measured at fair value on a recurring basis and were categorized using the fair value hierarchy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8"/>
              </w:rPr>
              <w:t>December 31, 2021</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3"/>
              </w:rPr>
              <w:t>Quoted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2"/>
              </w:rPr>
              <w:t>Prices 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0"/>
              </w:rPr>
              <w:t>Active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10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4"/>
              </w:rPr>
              <w:t>Identical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00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80,701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80,701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255,652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80,701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1,371,907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1,627,559</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As of December 31, 2021 our available-for-sale securities were comprised of money market funds and the carrying value was approximately equal to the fair values. Money market funds were measured using quoted prices in active markets, which represent Level 1 inputs. As of December 31, 2020 our available-for-sale securities comprised money market funds and time deposits.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Our derivative assets and liabilities include cross-currency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 The interest rate swap agreements matured in July 2021.</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2021 or in 2020.</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December 31, 2021 and 2020, the carrying amount of investments measured using the measurement alternative for equity investments without a readily determinable fair value was $5.0 million and $4.5 million, respectively. The carrying amount, which is recorded within other non-current assets, is based on the latest observable transaction price.</w:t>
      </w:r>
    </w:p>
    <w:p>
      <w:pPr>
        <w:spacing w:after="0" w:line="76"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As of December 31, 2021, the estimated fair values of our 1.50% exchangeable senior notes due 2024, or the 2024 Notes, and our 2.00% exchangeable senior notes due 2026, or the 2026 Notes, were approximately $576.0 million and $1.1 billion, respectively. The 2024 Notes and the 2026 Notes, together with the 1.875% exchangeable senior notes due 2021, or the 2021 Notes, that were repurchased on maturity on August 15, 2021, are collectively known as the Exchangeable Senior Notes. As of December 31, 2021, the estimated fair value of the Secured Notes, the Dollar Term Loan and the Euro Term Loan, were approximately $1.6 billion, $3.1 billion and $236.0 million, respectively. The fair values of each of these debt facilities was estimated using quoted market prices obtained from brokers (Level 2).</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2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are exposed to certain risks arising from operating internationally, including fluctuations in foreign exchange rates primarily related to the translation of the Euro Term Loan and sterling and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we do not use derivatives for speculative trading purposes.</w:t>
      </w:r>
    </w:p>
    <w:p>
      <w:pPr>
        <w:spacing w:after="0" w:line="79"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In order to hedge our exposure to foreign currency exchange risk associated with our Euro Term Loan, we entered into a cross-currency interest rate swap contract in May 2021 with a maturity date of March 31, 2022. The terms of this contract convert the principal repayments and interest payments on our Euro Term Loan into U.S. dollar. As of December 31, 2021, the cross-currency interest rate swap had a notional amount of $251.0 million which is designated for accounting purposes as a fair value hedge. The carrying amount of the Euro Term Loan and the fair value of the cross-currency interest rate swap contract will be remeasured with changes in the euro to U.S. dollar foreign exchange rates recognized within foreign exchange loss in the consolidated statements of income (loss).</w:t>
      </w:r>
    </w:p>
    <w:p>
      <w:pPr>
        <w:spacing w:after="0" w:line="8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impact on accumulated other comprehensive income (loss) and earnings from the cross-currency interest rate swap contract was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Cross-Currency Interest Rate Contract:</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88"/>
        </w:trPr>
        <w:tc>
          <w:tcPr>
            <w:tcW w:w="95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accumulated other comprehensive income (loss), net of tax</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Loss reclassified from accumulated other comprehensive income (loss) to foreign exchange loss, net of tax</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foreign exchange loss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During the next 12 months, we expect to reclassify $0.1 million of losses, net of tax, on the cross-currency interest rate contract recognized in accumulated other comprehensive income (loss) to foreign exchange gain (loss).</w:t>
      </w:r>
    </w:p>
    <w:p>
      <w:pPr>
        <w:spacing w:after="0" w:line="62"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December 31, 2021 and 2020, the notional amount of foreign exchange contracts where hedge accounting was not applied was $347.2 million and $357.4 million, respectively.</w:t>
      </w:r>
    </w:p>
    <w:p>
      <w:pPr>
        <w:spacing w:after="0" w:line="8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foreign exchange loss in our consolidated statements of income (loss) included the following gains and losses associated with foreign exchange contracts not designated as hedging instruments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1" w:lineRule="exact"/>
        <w:rPr>
          <w:sz w:val="20"/>
          <w:szCs w:val="20"/>
          <w:color w:val="auto"/>
        </w:rPr>
      </w:pPr>
    </w:p>
    <w:p>
      <w:pPr>
        <w:jc w:val="both"/>
        <w:ind w:right="120" w:firstLine="445"/>
        <w:spacing w:after="0" w:line="342" w:lineRule="auto"/>
        <w:rPr>
          <w:sz w:val="20"/>
          <w:szCs w:val="20"/>
          <w:color w:val="auto"/>
        </w:rPr>
      </w:pPr>
      <w:r>
        <w:rPr>
          <w:rFonts w:ascii="Arial" w:cs="Arial" w:eastAsia="Arial" w:hAnsi="Arial"/>
          <w:sz w:val="16"/>
          <w:szCs w:val="16"/>
          <w:color w:val="auto"/>
        </w:rPr>
        <w:t>The cash flow effects of our derivative contracts are included within net cash provided by operating activities in the consolidated statements of cash flows, except for the settlement of notional amounts of the cross-currency swap, which are included in net cash provided by (used in) financing activities.</w:t>
      </w:r>
    </w:p>
    <w:p>
      <w:pPr>
        <w:spacing w:after="0" w:line="1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In May 2021, we repaid the term loan to which these interest rate swap agreements related, at which point the interest rate swap contracts were de-designated as cash flow hedges. The interest rate swap agreements matured in July 2021.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impact on accumulated other comprehensive income (loss) and earnings from interest rate swap contracts was as follows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Interest Rate Contracts: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recognized in accumulated other comprehensive income (loss), net of tax</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8"/>
                <w:szCs w:val="18"/>
                <w:color w:val="auto"/>
                <w:w w:val="90"/>
              </w:rPr>
              <w:t>Loss (gain) reclassified from accumulated other comprehensive income (loss) to interest</w:t>
            </w:r>
          </w:p>
        </w:tc>
        <w:tc>
          <w:tcPr>
            <w:tcW w:w="960" w:type="dxa"/>
            <w:vAlign w:val="bottom"/>
            <w:vMerge w:val="restart"/>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2,482</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expense, net of tax</w:t>
            </w:r>
          </w:p>
        </w:tc>
        <w:tc>
          <w:tcPr>
            <w:tcW w:w="96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977"/>
              <w:spacing w:after="0"/>
              <w:rPr>
                <w:sz w:val="20"/>
                <w:szCs w:val="20"/>
                <w:color w:val="auto"/>
              </w:rPr>
            </w:pPr>
            <w:r>
              <w:rPr>
                <w:rFonts w:ascii="Arial" w:cs="Arial" w:eastAsia="Arial" w:hAnsi="Arial"/>
                <w:sz w:val="14"/>
                <w:szCs w:val="14"/>
                <w:b w:val="1"/>
                <w:bCs w:val="1"/>
                <w:color w:val="auto"/>
              </w:rPr>
              <w:t>Asset Derivatives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875"/>
              <w:spacing w:after="0"/>
              <w:rPr>
                <w:sz w:val="20"/>
                <w:szCs w:val="20"/>
                <w:color w:val="auto"/>
              </w:rPr>
            </w:pPr>
            <w:r>
              <w:rPr>
                <w:rFonts w:ascii="Arial" w:cs="Arial" w:eastAsia="Arial" w:hAnsi="Arial"/>
                <w:sz w:val="14"/>
                <w:szCs w:val="14"/>
                <w:b w:val="1"/>
                <w:bCs w:val="1"/>
                <w:color w:val="auto"/>
              </w:rPr>
              <w:t>Liability Derivatives</w:t>
            </w:r>
          </w:p>
        </w:tc>
        <w:tc>
          <w:tcPr>
            <w:tcW w:w="20" w:type="dxa"/>
            <w:vAlign w:val="bottom"/>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Balance Sheet Location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Balance Sheet Location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55"/>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r>
      <w:tr>
        <w:trPr>
          <w:trHeight w:val="211"/>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Cross-currency interest rate contracts</w:t>
            </w:r>
          </w:p>
        </w:tc>
        <w:tc>
          <w:tcPr>
            <w:tcW w:w="4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color w:val="auto"/>
                <w:w w:val="95"/>
              </w:rPr>
              <w:t>Other current assets</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Accrued liabilities</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15,232</w:t>
            </w:r>
          </w:p>
        </w:tc>
        <w:tc>
          <w:tcPr>
            <w:tcW w:w="20" w:type="dxa"/>
            <w:vAlign w:val="bottom"/>
          </w:tcPr>
          <w:p>
            <w:pPr>
              <w:spacing w:after="0"/>
              <w:rPr>
                <w:sz w:val="19"/>
                <w:szCs w:val="19"/>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5"/>
              </w:rPr>
              <w:t>Other current assets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3"/>
          </w:tcPr>
          <w:p>
            <w:pPr>
              <w:jc w:val="center"/>
              <w:ind w:right="140"/>
              <w:spacing w:after="0"/>
              <w:rPr>
                <w:sz w:val="20"/>
                <w:szCs w:val="20"/>
                <w:color w:val="auto"/>
              </w:rPr>
            </w:pPr>
            <w:r>
              <w:rPr>
                <w:rFonts w:ascii="Arial" w:cs="Arial" w:eastAsia="Arial" w:hAnsi="Arial"/>
                <w:sz w:val="18"/>
                <w:szCs w:val="18"/>
                <w:color w:val="auto"/>
                <w:w w:val="94"/>
              </w:rPr>
              <w:t>Accrued liabilities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20" w:type="dxa"/>
            <w:vAlign w:val="bottom"/>
          </w:tcPr>
          <w:p>
            <w:pPr>
              <w:spacing w:after="0"/>
              <w:rPr>
                <w:sz w:val="19"/>
                <w:szCs w:val="19"/>
                <w:color w:val="auto"/>
              </w:rPr>
            </w:pP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0"/>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7"/>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20" w:type="dxa"/>
            <w:vAlign w:val="bottom"/>
            <w:tcBorders>
              <w:bottom w:val="single" w:sz="8" w:color="auto"/>
            </w:tcBorders>
            <w:gridSpan w:val="6"/>
          </w:tcPr>
          <w:p>
            <w:pPr>
              <w:jc w:val="right"/>
              <w:ind w:right="937"/>
              <w:spacing w:after="0"/>
              <w:rPr>
                <w:sz w:val="20"/>
                <w:szCs w:val="20"/>
                <w:color w:val="auto"/>
              </w:rPr>
            </w:pPr>
            <w:r>
              <w:rPr>
                <w:rFonts w:ascii="Arial" w:cs="Arial" w:eastAsia="Arial" w:hAnsi="Arial"/>
                <w:sz w:val="14"/>
                <w:szCs w:val="14"/>
                <w:b w:val="1"/>
                <w:bCs w:val="1"/>
                <w:color w:val="auto"/>
              </w:rPr>
              <w:t>Asset Derivatives</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Borders>
              <w:bottom w:val="single" w:sz="8" w:color="auto"/>
            </w:tcBorders>
            <w:gridSpan w:val="6"/>
          </w:tcPr>
          <w:p>
            <w:pPr>
              <w:jc w:val="right"/>
              <w:ind w:right="855"/>
              <w:spacing w:after="0"/>
              <w:rPr>
                <w:sz w:val="20"/>
                <w:szCs w:val="20"/>
                <w:color w:val="auto"/>
              </w:rPr>
            </w:pPr>
            <w:r>
              <w:rPr>
                <w:rFonts w:ascii="Arial" w:cs="Arial" w:eastAsia="Arial" w:hAnsi="Arial"/>
                <w:sz w:val="14"/>
                <w:szCs w:val="14"/>
                <w:b w:val="1"/>
                <w:bCs w:val="1"/>
                <w:color w:val="auto"/>
              </w:rPr>
              <w:t>Liability Derivatives</w:t>
            </w:r>
          </w:p>
        </w:tc>
        <w:tc>
          <w:tcPr>
            <w:tcW w:w="20" w:type="dxa"/>
            <w:vAlign w:val="bottom"/>
            <w:tcBorders>
              <w:bottom w:val="single" w:sz="8" w:color="auto"/>
            </w:tcBorders>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Balance Sheet Location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37"/>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r>
      <w:tr>
        <w:trPr>
          <w:trHeight w:val="211"/>
        </w:trPr>
        <w:tc>
          <w:tcPr>
            <w:tcW w:w="4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Interest rate contracts</w:t>
            </w:r>
          </w:p>
        </w:tc>
        <w:tc>
          <w:tcPr>
            <w:tcW w:w="40" w:type="dxa"/>
            <w:vAlign w:val="bottom"/>
          </w:tcPr>
          <w:p>
            <w:pPr>
              <w:spacing w:after="0"/>
              <w:rPr>
                <w:sz w:val="19"/>
                <w:szCs w:val="19"/>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4"/>
              </w:rPr>
              <w:t>Other current assets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w w:val="94"/>
              </w:rPr>
              <w:t>Other current assets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3"/>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fair value of derivative instruments</w:t>
            </w: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consolidated balance sheets of offsetting our interest rate contracts and foreign exchange forward contracts subject to such provisions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gridSpan w:val="7"/>
          </w:tcPr>
          <w:p>
            <w:pPr>
              <w:jc w:val="center"/>
              <w:ind w:right="56"/>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Sheet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Cash Collateral</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Received</w:t>
            </w:r>
          </w:p>
        </w:tc>
        <w:tc>
          <w:tcPr>
            <w:tcW w:w="160" w:type="dxa"/>
            <w:vAlign w:val="bottom"/>
          </w:tcPr>
          <w:p>
            <w:pPr>
              <w:spacing w:after="0"/>
              <w:rPr>
                <w:sz w:val="11"/>
                <w:szCs w:val="11"/>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(Pledged)</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20" w:type="dxa"/>
            <w:vAlign w:val="bottom"/>
            <w:gridSpan w:val="11"/>
          </w:tcPr>
          <w:p>
            <w:pPr>
              <w:jc w:val="center"/>
              <w:ind w:right="75"/>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left="165"/>
              <w:spacing w:after="0"/>
              <w:rPr>
                <w:sz w:val="20"/>
                <w:szCs w:val="20"/>
                <w:color w:val="auto"/>
              </w:rPr>
            </w:pPr>
            <w:r>
              <w:rPr>
                <w:rFonts w:ascii="Arial" w:cs="Arial" w:eastAsia="Arial" w:hAnsi="Arial"/>
                <w:sz w:val="14"/>
                <w:szCs w:val="14"/>
                <w:b w:val="1"/>
                <w:bCs w:val="1"/>
                <w:color w:val="auto"/>
                <w:w w:val="89"/>
              </w:rPr>
              <w:t>Sheet</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Assets/ Liabilities</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3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130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4"/>
              </w:rPr>
              <w:t>Cash Collateral</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1"/>
                <w:szCs w:val="11"/>
                <w:color w:val="auto"/>
              </w:rPr>
            </w:pPr>
          </w:p>
        </w:tc>
        <w:tc>
          <w:tcPr>
            <w:tcW w:w="1040" w:type="dxa"/>
            <w:vAlign w:val="bottom"/>
            <w:gridSpan w:val="2"/>
          </w:tcPr>
          <w:p>
            <w:pPr>
              <w:jc w:val="center"/>
              <w:ind w:right="50"/>
              <w:spacing w:after="0" w:line="135" w:lineRule="exact"/>
              <w:rPr>
                <w:sz w:val="20"/>
                <w:szCs w:val="20"/>
                <w:color w:val="auto"/>
              </w:rPr>
            </w:pPr>
            <w:r>
              <w:rPr>
                <w:rFonts w:ascii="Arial" w:cs="Arial" w:eastAsia="Arial" w:hAnsi="Arial"/>
                <w:sz w:val="14"/>
                <w:szCs w:val="14"/>
                <w:b w:val="1"/>
                <w:bCs w:val="1"/>
                <w:color w:val="auto"/>
                <w:w w:val="95"/>
              </w:rPr>
              <w:t>Financial</w:t>
            </w:r>
          </w:p>
        </w:tc>
        <w:tc>
          <w:tcPr>
            <w:tcW w:w="120" w:type="dxa"/>
            <w:vAlign w:val="bottom"/>
          </w:tcPr>
          <w:p>
            <w:pPr>
              <w:spacing w:after="0"/>
              <w:rPr>
                <w:sz w:val="11"/>
                <w:szCs w:val="11"/>
                <w:color w:val="auto"/>
              </w:rPr>
            </w:pPr>
          </w:p>
        </w:tc>
        <w:tc>
          <w:tcPr>
            <w:tcW w:w="900" w:type="dxa"/>
            <w:vAlign w:val="bottom"/>
            <w:gridSpan w:val="2"/>
          </w:tcPr>
          <w:p>
            <w:pPr>
              <w:jc w:val="center"/>
              <w:ind w:left="185"/>
              <w:spacing w:after="0" w:line="135" w:lineRule="exact"/>
              <w:rPr>
                <w:sz w:val="20"/>
                <w:szCs w:val="20"/>
                <w:color w:val="auto"/>
              </w:rPr>
            </w:pPr>
            <w:r>
              <w:rPr>
                <w:rFonts w:ascii="Arial" w:cs="Arial" w:eastAsia="Arial" w:hAnsi="Arial"/>
                <w:sz w:val="14"/>
                <w:szCs w:val="14"/>
                <w:b w:val="1"/>
                <w:bCs w:val="1"/>
                <w:color w:val="auto"/>
                <w:w w:val="91"/>
              </w:rPr>
              <w:t>Received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0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900" w:type="dxa"/>
            <w:vAlign w:val="bottom"/>
            <w:gridSpan w:val="2"/>
          </w:tcPr>
          <w:p>
            <w:pPr>
              <w:jc w:val="center"/>
              <w:ind w:left="205"/>
              <w:spacing w:after="0"/>
              <w:rPr>
                <w:sz w:val="20"/>
                <w:szCs w:val="20"/>
                <w:color w:val="auto"/>
              </w:rPr>
            </w:pPr>
            <w:r>
              <w:rPr>
                <w:rFonts w:ascii="Arial" w:cs="Arial" w:eastAsia="Arial" w:hAnsi="Arial"/>
                <w:sz w:val="14"/>
                <w:szCs w:val="14"/>
                <w:b w:val="1"/>
                <w:bCs w:val="1"/>
                <w:color w:val="auto"/>
                <w:w w:val="90"/>
              </w:rPr>
              <w:t>(Pledged)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8"/>
              </w:rPr>
              <w:t>11,907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11,907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right="62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ind w:left="440"/>
              <w:spacing w:after="0"/>
              <w:rPr>
                <w:sz w:val="20"/>
                <w:szCs w:val="20"/>
                <w:color w:val="auto"/>
              </w:rPr>
            </w:pPr>
            <w:r>
              <w:rPr>
                <w:rFonts w:ascii="Arial" w:cs="Arial" w:eastAsia="Arial" w:hAnsi="Arial"/>
                <w:sz w:val="18"/>
                <w:szCs w:val="18"/>
                <w:color w:val="auto"/>
                <w:w w:val="94"/>
              </w:rPr>
              <w:t>(3,625)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520"/>
              <w:spacing w:after="0"/>
              <w:rPr>
                <w:sz w:val="20"/>
                <w:szCs w:val="20"/>
                <w:color w:val="auto"/>
              </w:rPr>
            </w:pPr>
            <w:r>
              <w:rPr>
                <w:rFonts w:ascii="Arial" w:cs="Arial" w:eastAsia="Arial" w:hAnsi="Arial"/>
                <w:sz w:val="18"/>
                <w:szCs w:val="18"/>
                <w:color w:val="auto"/>
                <w:w w:val="94"/>
              </w:rPr>
              <w:t>(3,625)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2,207</w:t>
            </w:r>
          </w:p>
        </w:tc>
        <w:tc>
          <w:tcPr>
            <w:tcW w:w="940" w:type="dxa"/>
            <w:vAlign w:val="bottom"/>
            <w:gridSpan w:val="2"/>
          </w:tcPr>
          <w:p>
            <w:pPr>
              <w:jc w:val="center"/>
              <w:ind w:right="505"/>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400" w:type="dxa"/>
            <w:vAlign w:val="bottom"/>
            <w:gridSpan w:val="4"/>
          </w:tcPr>
          <w:p>
            <w:pPr>
              <w:jc w:val="center"/>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674"/>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820" w:type="dxa"/>
            <w:vAlign w:val="bottom"/>
            <w:gridSpan w:val="4"/>
          </w:tcPr>
          <w:p>
            <w:pPr>
              <w:ind w:left="42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50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21,550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16,003</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886,849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45,758</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164,322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rPr>
              <w:t>1,072,721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As of December 31, 2021, inventories included $811.3 million related to the purchase accounting inventory fair value step-up on inventory acquired in the GW Acquisition.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Current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 for income taxes on intercompany profit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152,491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Property, Plant and Equipment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40" w:type="dxa"/>
            <w:vAlign w:val="bottom"/>
          </w:tcPr>
          <w:p>
            <w:pPr>
              <w:ind w:left="460"/>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Manufacturing equipment and machinery</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69,079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64,008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16,234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342,208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256,837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Depreciation and amortization expense on property, plant and equipment amounted to $26.7 million, $18.7 million and $15.3 million for the years ended December 31, 2021, 2020 and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574"/>
        </w:trPr>
        <w:tc>
          <w:tcPr>
            <w:tcW w:w="1280" w:type="dxa"/>
            <w:vAlign w:val="bottom"/>
            <w:tcBorders>
              <w:top w:val="single" w:sz="8" w:color="0000FF"/>
            </w:tcBorders>
          </w:tcPr>
          <w:p>
            <w:pPr>
              <w:spacing w:after="0"/>
              <w:rPr>
                <w:sz w:val="24"/>
                <w:szCs w:val="24"/>
                <w:color w:val="auto"/>
              </w:rPr>
            </w:pPr>
          </w:p>
        </w:tc>
        <w:tc>
          <w:tcPr>
            <w:tcW w:w="8440" w:type="dxa"/>
            <w:vAlign w:val="bottom"/>
          </w:tcPr>
          <w:p>
            <w:pPr>
              <w:ind w:left="144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81"/>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10. Goodwill and Intangible Assets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9720" w:type="dxa"/>
            <w:vAlign w:val="bottom"/>
            <w:gridSpan w:val="2"/>
          </w:tcPr>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972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3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r>
      <w:tr>
        <w:trPr>
          <w:trHeight w:val="22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Goodwill arising from the GW Acquisition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933,234</w:t>
            </w:r>
          </w:p>
        </w:tc>
      </w:tr>
      <w:tr>
        <w:trPr>
          <w:trHeight w:val="22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(63,928)</w:t>
            </w:r>
          </w:p>
        </w:tc>
      </w:tr>
      <w:tr>
        <w:trPr>
          <w:trHeight w:val="223"/>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1,827,609</w:t>
            </w:r>
          </w:p>
        </w:tc>
      </w:tr>
      <w:tr>
        <w:trPr>
          <w:trHeight w:val="21"/>
        </w:trPr>
        <w:tc>
          <w:tcPr>
            <w:tcW w:w="12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7"/>
        </w:trPr>
        <w:tc>
          <w:tcPr>
            <w:tcW w:w="23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Acquired developed</w:t>
            </w:r>
          </w:p>
        </w:tc>
        <w:tc>
          <w:tcPr>
            <w:tcW w:w="12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11.4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8,195,675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(1,198,333)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6,997,342</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3,379,162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(1,184,111)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32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8,210,692</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(1,213,350)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6,997,342</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3,395,214</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(1,200,163)</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29"/>
        </w:trPr>
        <w:tc>
          <w:tcPr>
            <w:tcW w:w="2320" w:type="dxa"/>
            <w:vAlign w:val="bottom"/>
          </w:tcPr>
          <w:p>
            <w:pPr>
              <w:ind w:left="1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 assets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8,365,678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(1,213,350)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7,152,328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3,395,214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(1,200,163)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45"/>
        <w:spacing w:after="0" w:line="311" w:lineRule="auto"/>
        <w:rPr>
          <w:sz w:val="20"/>
          <w:szCs w:val="20"/>
          <w:color w:val="auto"/>
        </w:rPr>
      </w:pPr>
      <w:r>
        <w:rPr>
          <w:rFonts w:ascii="Arial" w:cs="Arial" w:eastAsia="Arial" w:hAnsi="Arial"/>
          <w:sz w:val="16"/>
          <w:szCs w:val="16"/>
          <w:color w:val="auto"/>
        </w:rPr>
        <w:t>The increase in the gross carrying amount of intangible assets as of December 31, 2021 compared to December 31, 2020 primarily reflects the intangible assets arising from the GW Acquisition, as described in Note 3, partially offset by the de-recognition of the fully amortized Erwinaze intangible assets and the negative impact of foreign currency translation adjustments due to the weakening of sterling and euro against the U.S. dollar.</w:t>
      </w:r>
    </w:p>
    <w:p>
      <w:pPr>
        <w:spacing w:after="0" w:line="4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Based on finite-lived intangible assets recorded as of December 31, 2021, and assuming the underlying assets will not be impaired and that we will not change the expected lives of any other assets, future amortization expenses were estimated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Amortization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627,866</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627,866</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627,866</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627,866</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627,866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3,858,012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Rebates and other sales deductions</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158,870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Clinical trial accruals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Consulting and professional services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accruals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Accrued royalties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liabilities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Inventory-related accruals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Sales return reserve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portion of lease liabilities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construction-in-progress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12. Debt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040" w:type="dxa"/>
            <w:vAlign w:val="bottom"/>
          </w:tcPr>
          <w:p>
            <w:pPr>
              <w:ind w:left="440"/>
              <w:spacing w:after="0"/>
              <w:rPr>
                <w:sz w:val="20"/>
                <w:szCs w:val="20"/>
                <w:color w:val="auto"/>
              </w:rPr>
            </w:pPr>
            <w:r>
              <w:rPr>
                <w:rFonts w:ascii="Arial" w:cs="Arial" w:eastAsia="Arial" w:hAnsi="Arial"/>
                <w:sz w:val="18"/>
                <w:szCs w:val="18"/>
                <w:color w:val="auto"/>
              </w:rPr>
              <w:t>The following table summarizes the carrying amount of our indebtedness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Notes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 on 2021 Notes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Notes, net</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Notes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and debt issuance costs on 2024 Notes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Notes, net</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503,763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and debt issuance costs on 2026 Notes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 net</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849,270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820,482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3,223,100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6,049,943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2,094,838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6,018,943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1,848,516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On May 5, 2021, the Company, Jazz Financing Lux S.à.r.l., or Jazz Lux, and certain of our other subsidiaries, as borrowers, (collectively with the Company and Jazz Lux, the “Borrowers”), entered into the Credit Agreement, that provides for (i) the Dollar Term Loan which was drawn by Jazz Lux on the Closing Date in U.S. dollars (ii) the Euro Term Loan which was drawn by Jazz Lux on the Closing Date in Euros and (iii) the Revolving Credit Facility, which is available to be drawn by any Borrower in U.S. dollars.</w:t>
      </w:r>
    </w:p>
    <w:p>
      <w:pPr>
        <w:spacing w:after="0" w:line="79"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We used the proceeds from the Term Loan (i) to repay in full $575.9 million under that certain credit agreement, dated as of June 18, 2015 (as amended) among the Company, and certain of our other subsidiaries as borrowers, the lenders party thereto and Bank of America, N.A., as administrative agent and collateral agent, or the Existing Credit Agreement, (ii) to fund, in part, the cash consideration payable in connection with the GW Acquisition and</w:t>
      </w:r>
    </w:p>
    <w:p>
      <w:pPr>
        <w:spacing w:after="0" w:line="2" w:lineRule="exact"/>
        <w:rPr>
          <w:sz w:val="20"/>
          <w:szCs w:val="20"/>
          <w:color w:val="auto"/>
        </w:rPr>
      </w:pPr>
    </w:p>
    <w:p>
      <w:pPr>
        <w:ind w:right="260" w:firstLine="8"/>
        <w:spacing w:after="0" w:line="260"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pay related fees and expenses. Upon the repayment in full of loans under the Existing Credit Agreement, it was terminated and all guarantees and liens thereunder were released.</w:t>
      </w:r>
    </w:p>
    <w:p>
      <w:pPr>
        <w:spacing w:after="0" w:line="77"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Loans under the Term Loan and Revolving Credit Facility bear interest at a rate equal to (A) in the case of the Dollar Term Loan and the Revolving Credit Facility, at the applicable Borrower’s option, either (a) London Inter-Bank Offered Rate, or LIBOR or (b) the prime lending rate and (B) in the case of the Euro Term Loan, Euro Inter-Bank Offered Rate, or EURIBOR, in each case, plus an applicable margin. The applicable margin for the Term Loan is 3.50% (in the case of LIBOR or EURIBOR borrowings) and 2.50% (in the case of borrowings at the prime lending rate). The applicable margin for the Revolving Credit Facility ranges from 3.25% to 2.75% (in the case of LIBOR borrowings) and 2.25% to 1.75% (in the case of borrowings at the prime lending rate), depending on our first lien secured net leverage ratio level. The Dollar Term Loan is subject to a LIBOR floor of 0.50%, the Euro Term Loan and loans under the Revolving Credit Facility are not subject to a EURIBOR or LIBOR (as applicable) floor. The Revolving Credit Facility has a commitment fee payable on the undrawn amount ranging from 0.50% to 0.40% per annum based upon our first lien secured net leverage ratio.</w:t>
      </w:r>
    </w:p>
    <w:p>
      <w:pPr>
        <w:spacing w:after="0" w:line="57"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As of December 31, 2021, the interest rate and effective interest rate on the Dollar Term Loan were 4.00% and 4.55%, respectively. The interest rate and effective interest rate on the Euro Term Loan were 4.43% and 4.93%, respectively. As of December 31, 2021, we had an undrawn Revolving Credit Facility totaling $500.0 million.</w:t>
      </w:r>
    </w:p>
    <w:p>
      <w:pPr>
        <w:spacing w:after="0" w:line="76" w:lineRule="exact"/>
        <w:rPr>
          <w:sz w:val="20"/>
          <w:szCs w:val="20"/>
          <w:color w:val="auto"/>
        </w:rPr>
      </w:pPr>
    </w:p>
    <w:p>
      <w:pPr>
        <w:jc w:val="both"/>
        <w:ind w:right="240" w:firstLine="445"/>
        <w:spacing w:after="0" w:line="311" w:lineRule="auto"/>
        <w:rPr>
          <w:sz w:val="20"/>
          <w:szCs w:val="20"/>
          <w:color w:val="auto"/>
        </w:rPr>
      </w:pPr>
      <w:r>
        <w:rPr>
          <w:rFonts w:ascii="Arial" w:cs="Arial" w:eastAsia="Arial" w:hAnsi="Arial"/>
          <w:sz w:val="16"/>
          <w:szCs w:val="16"/>
          <w:color w:val="auto"/>
        </w:rPr>
        <w:t>The Borrowers’ obligations under the Credit Agreement and any hedging or cash management obligations entered into with any lender thereunder are guaranteed by the Company, the other borrowers, and each of the Company’s other existing or subsequently acquired or organized direct and indirect subsidiaries (subject to certain exceptions), or the Guarantors. We refer to the Borrowers and the Guarantors collectively as the “Loan Parties.”</w:t>
      </w:r>
    </w:p>
    <w:p>
      <w:pPr>
        <w:spacing w:after="0" w:line="41"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Loan Parties’ obligations under the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76"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We may make voluntary prepayments at any time without payment of a premium or penalty, subject to certain exceptions, and are required to make certain mandatory prepayments of outstanding indebtedness under the Credit Agreement in certain circumstances.</w:t>
      </w:r>
    </w:p>
    <w:p>
      <w:pPr>
        <w:spacing w:after="0" w:line="62" w:lineRule="exact"/>
        <w:rPr>
          <w:sz w:val="20"/>
          <w:szCs w:val="20"/>
          <w:color w:val="auto"/>
        </w:rPr>
      </w:pPr>
    </w:p>
    <w:p>
      <w:pPr>
        <w:ind w:right="280" w:firstLine="445"/>
        <w:spacing w:after="0" w:line="311" w:lineRule="auto"/>
        <w:rPr>
          <w:sz w:val="20"/>
          <w:szCs w:val="20"/>
          <w:color w:val="auto"/>
        </w:rPr>
      </w:pPr>
      <w:r>
        <w:rPr>
          <w:rFonts w:ascii="Arial" w:cs="Arial" w:eastAsia="Arial" w:hAnsi="Arial"/>
          <w:sz w:val="16"/>
          <w:szCs w:val="16"/>
          <w:color w:val="auto"/>
        </w:rPr>
        <w:t>Principal repayments of the Dollar Term Loan, which are due quarterly, began in September 2021 and are equal to 1.0% per annum of the original principal amount of $3.1 billion with any remaining balance payable on the maturity date. The Euro Term Loan does not have any mandatory principal repayments during its term, however in September and December 2021, we made voluntary prepayments totaling €416.7 million or $502.0 million.</w:t>
      </w:r>
    </w:p>
    <w:p>
      <w:pPr>
        <w:spacing w:after="0" w:line="4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Credit Agreement contains customary representations and warranties and customary affirmative and negative covenants applicable to the Company and its restricted subsidiaries, including, among other things, restrictions on indebtedness, liens, investments, mergers, dispositions, prepayment of junior indebtedness and dividends and other distributions. The Credit Agreement contains financial covenants that require the Company and its restricted subsidiaries to (a) not exceed a maximum first lien secured net leverage ratio and (b) not fall below a minimum interest coverage ratio, provided that such covenants apply only to the Revolving Credit Facility and are applicable only if amounts are drawn (or non-cash collateralized letters of credit in excess of $50 million are outstanding) under the Revolving Credit Facility. The Credit Agreement also contains customary events of default relating to, among other things, failure to make payments, breach of covenants and breach of representations.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2029 Senior Secured Notes</w:t>
      </w:r>
    </w:p>
    <w:p>
      <w:pPr>
        <w:spacing w:after="0" w:line="117"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On April 29, 2021, Jazz Securities Designated Activity Company, or Jazz Securities, a direct wholly owned subsidiary of the Company, closed the offering of the Secured Notes in a private placement. We used the proceeds from the Secured Notes to fund, in part, the cash consideration payable in connection with the GW Acquisition.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Interest on the Secured Notes is payable semi-annually in arrears on January 15 and July 15 of each year, beginning on January 15, 2022, at a rate of 4.375% per year. The Secured Notes mature on January 15, 2029.</w:t>
      </w:r>
    </w:p>
    <w:p>
      <w:pPr>
        <w:spacing w:after="0" w:line="62" w:lineRule="exact"/>
        <w:rPr>
          <w:sz w:val="20"/>
          <w:szCs w:val="20"/>
          <w:color w:val="auto"/>
        </w:rPr>
      </w:pPr>
    </w:p>
    <w:p>
      <w:pPr>
        <w:jc w:val="both"/>
        <w:ind w:right="300" w:firstLine="445"/>
        <w:spacing w:after="0" w:line="311" w:lineRule="auto"/>
        <w:rPr>
          <w:sz w:val="20"/>
          <w:szCs w:val="20"/>
          <w:color w:val="auto"/>
        </w:rPr>
      </w:pPr>
      <w:r>
        <w:rPr>
          <w:rFonts w:ascii="Arial" w:cs="Arial" w:eastAsia="Arial" w:hAnsi="Arial"/>
          <w:sz w:val="16"/>
          <w:szCs w:val="16"/>
          <w:color w:val="auto"/>
        </w:rPr>
        <w:t>The Secured Notes are jointly and severally guaranteed by the Company and each of its restricted subsidiaries, other than Jazz Securities, that is a borrower, or a guarantor, under the Credit Agreement. The Secured Notes and related guarantees are secured by a first priority lien (subject to permitted liens and certain other exceptions), equally and ratably with the Credit Agreement, on the collateral securing the Credit Agreement.</w:t>
      </w:r>
    </w:p>
    <w:p>
      <w:pPr>
        <w:spacing w:after="0" w:line="41" w:lineRule="exact"/>
        <w:rPr>
          <w:sz w:val="20"/>
          <w:szCs w:val="20"/>
          <w:color w:val="auto"/>
        </w:rPr>
      </w:pPr>
    </w:p>
    <w:p>
      <w:pPr>
        <w:ind w:right="60" w:firstLine="445"/>
        <w:spacing w:after="0" w:line="288" w:lineRule="auto"/>
        <w:rPr>
          <w:sz w:val="20"/>
          <w:szCs w:val="20"/>
          <w:color w:val="auto"/>
        </w:rPr>
      </w:pPr>
      <w:r>
        <w:rPr>
          <w:rFonts w:ascii="Arial" w:cs="Arial" w:eastAsia="Arial" w:hAnsi="Arial"/>
          <w:sz w:val="16"/>
          <w:szCs w:val="16"/>
          <w:color w:val="auto"/>
        </w:rPr>
        <w:t>Except as described below, the Secured Notes may not be optionally redeemed before July 15, 2024. Thereafter, some or all of the Secured Notes, may be redeemed at any time and from time to time at a specified redemption prices, plus accrued and unpaid interest, if any, to, but excluding, to the redemption date. Jazz Securities may redeem all but not part of the Secured Notes at its option at any time in connection with certain tax-related events and may redeem some or all of the Secured Notes at any time and from time to time prior to July 15, 2024 at a price equal to 100% of the principal amount of the Secured Notes to be redeemed plus a “make whole” premium, plus accrued and unpaid interest, if any, to, but excluding, the redemption date. In addition, Jazz Securities may redeem up to 40% of the aggregate principal amount of the Secured Notes at any time and from time to time prior to July 15, 2024, with the net proceeds of certain equity offerings at a price of 104.375% of the principal amount of such Secured Notes, plus accrued and unpaid interest, if any, to, but excluding, the redemption date. In addition, during each of the three consecutive twelve-month periods commencing on the issue date of the Secured Notes, Jazz Securities may redeem up to 10% of the original aggregate initial principal amount of the Secured Notes at a redemption price of 103% of the principal amount of such Secured Notes, plus accrued and unpaid interest, if any, to, but excluding, the redemption date.</w:t>
      </w:r>
    </w:p>
    <w:p>
      <w:pPr>
        <w:spacing w:after="0" w:line="60" w:lineRule="exact"/>
        <w:rPr>
          <w:sz w:val="20"/>
          <w:szCs w:val="20"/>
          <w:color w:val="auto"/>
        </w:rPr>
      </w:pPr>
    </w:p>
    <w:p>
      <w:pPr>
        <w:jc w:val="both"/>
        <w:ind w:right="320" w:firstLine="445"/>
        <w:spacing w:after="0" w:line="263" w:lineRule="auto"/>
        <w:rPr>
          <w:sz w:val="20"/>
          <w:szCs w:val="20"/>
          <w:color w:val="auto"/>
        </w:rPr>
      </w:pPr>
      <w:r>
        <w:rPr>
          <w:rFonts w:ascii="Arial" w:cs="Arial" w:eastAsia="Arial" w:hAnsi="Arial"/>
          <w:sz w:val="18"/>
          <w:szCs w:val="18"/>
          <w:color w:val="auto"/>
        </w:rPr>
        <w:t>If Jazz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76"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indenture governing the Secured Notes contains customary affirmative covenants and negative covenants applicable to the Company and its restricted subsidiaries, including, among other things, restrictions on indebtedness, liens, investments, mergers, dispositions, prepayment of junior indebtedness and dividends and other distributions. If Jazz Securities or the Company’s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80" w:lineRule="exact"/>
        <w:rPr>
          <w:sz w:val="20"/>
          <w:szCs w:val="20"/>
          <w:color w:val="auto"/>
        </w:rPr>
      </w:pPr>
    </w:p>
    <w:p>
      <w:pPr>
        <w:ind w:left="220" w:right="1480" w:firstLine="243"/>
        <w:spacing w:after="0" w:line="375" w:lineRule="auto"/>
        <w:rPr>
          <w:sz w:val="20"/>
          <w:szCs w:val="20"/>
          <w:color w:val="auto"/>
        </w:rPr>
      </w:pPr>
      <w:r>
        <w:rPr>
          <w:rFonts w:ascii="Arial" w:cs="Arial" w:eastAsia="Arial" w:hAnsi="Arial"/>
          <w:sz w:val="18"/>
          <w:szCs w:val="18"/>
          <w:color w:val="auto"/>
        </w:rPr>
        <w:t xml:space="preserve">As of December 31, 2021, the interest rate and effective interest rate on the Secured Notes were 4.375% and 4.64%, respectively. </w:t>
      </w:r>
      <w:r>
        <w:rPr>
          <w:rFonts w:ascii="Arial" w:cs="Arial" w:eastAsia="Arial" w:hAnsi="Arial"/>
          <w:sz w:val="18"/>
          <w:szCs w:val="18"/>
          <w:b w:val="1"/>
          <w:bCs w:val="1"/>
          <w:i w:val="1"/>
          <w:iCs w:val="1"/>
          <w:color w:val="auto"/>
        </w:rPr>
        <w:t>Exchangeable Senior Notes Due 2026</w:t>
      </w:r>
    </w:p>
    <w:p>
      <w:pPr>
        <w:spacing w:after="0" w:line="1"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In 2020 we completed a private placement of $1.0 billion principal amount of the 2026 Notes. We used a portion of the net proceeds from this offering to repurchase for cash $332.9 million aggregate principal amount of the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84"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70" w:lineRule="exact"/>
        <w:rPr>
          <w:sz w:val="20"/>
          <w:szCs w:val="20"/>
          <w:color w:val="auto"/>
        </w:rPr>
      </w:pPr>
    </w:p>
    <w:p>
      <w:pPr>
        <w:ind w:right="100" w:firstLine="445"/>
        <w:spacing w:after="0" w:line="290" w:lineRule="auto"/>
        <w:rPr>
          <w:sz w:val="20"/>
          <w:szCs w:val="20"/>
          <w:color w:val="auto"/>
        </w:rPr>
      </w:pPr>
      <w:r>
        <w:rPr>
          <w:rFonts w:ascii="Arial" w:cs="Arial" w:eastAsia="Arial" w:hAnsi="Arial"/>
          <w:sz w:val="16"/>
          <w:szCs w:val="16"/>
          <w:color w:val="auto"/>
        </w:rPr>
        <w:t>In accounting for the issuance of the 2026 Notes, we separated the 2026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2026 Notes as a whole. The excess of the principal amount of the liability component over its carrying amount will be amortized to interest expense over the expected life of the 2026 Notes using the effective interest method with an effective interest rate of 5.98% per annum. We have determined the expected life of the 2026 Notes to be equal to the original 6-year term. The equity component is not remeasured as long as it continues to meet the conditions for equity classification. As of December 31, 2021, the “if converted value” of the 2026 Notes did not exceed the principal amount of the 2026 Notes. As of December 31, 2020, the “if converted value” of the 2026 Notes exceeded the principal amount by $59.3 million.</w:t>
      </w:r>
    </w:p>
    <w:p>
      <w:pPr>
        <w:spacing w:after="0" w:line="5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allocated the total issuance costs incurred of $18.6 million to the liability and equity components based on their relative values. Issuance costs attributable to the liability component will be amortized to expense over the term of the 2026 Notes, and issuance costs attributable to the equity component were included with the equity component in our shareholders’ equity.</w:t>
      </w:r>
    </w:p>
    <w:p>
      <w:pPr>
        <w:spacing w:after="0" w:line="76" w:lineRule="exact"/>
        <w:rPr>
          <w:sz w:val="20"/>
          <w:szCs w:val="20"/>
          <w:color w:val="auto"/>
        </w:rPr>
      </w:pPr>
    </w:p>
    <w:p>
      <w:pPr>
        <w:ind w:left="220" w:right="120" w:firstLine="243"/>
        <w:spacing w:after="0" w:line="375" w:lineRule="auto"/>
        <w:rPr>
          <w:sz w:val="20"/>
          <w:szCs w:val="20"/>
          <w:color w:val="auto"/>
        </w:rPr>
      </w:pPr>
      <w:r>
        <w:rPr>
          <w:rFonts w:ascii="Arial" w:cs="Arial" w:eastAsia="Arial" w:hAnsi="Arial"/>
          <w:sz w:val="18"/>
          <w:szCs w:val="18"/>
          <w:color w:val="auto"/>
        </w:rPr>
        <w:t xml:space="preserve">As of December 31, 2021 and 2020, the carrying value of the equity component of the 2026 Notes, net of equity issuance costs, was $176.3 million. </w:t>
      </w:r>
      <w:r>
        <w:rPr>
          <w:rFonts w:ascii="Arial" w:cs="Arial" w:eastAsia="Arial" w:hAnsi="Arial"/>
          <w:sz w:val="18"/>
          <w:szCs w:val="18"/>
          <w:b w:val="1"/>
          <w:bCs w:val="1"/>
          <w:i w:val="1"/>
          <w:iCs w:val="1"/>
          <w:color w:val="auto"/>
        </w:rPr>
        <w:t>Exchangeable Senior Notes Due 2024</w:t>
      </w:r>
    </w:p>
    <w:p>
      <w:pPr>
        <w:spacing w:after="0" w:line="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2017, we completed a private placement of $575.0 million principal amount of 2024 Notes. We used the net proceeds from this offering to repay $500.0 million in outstanding loans under the revolving credit facility and to pay related fees and expenses. We used the remainder of the net proceeds for general corporate purposes.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84"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In accounting for the issuance of the 2024 Notes, we separated the 2024 Notes into liability and equity components. The carrying amount of the liability component was calculated by measuring the estimated fair value of a similar liability that does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 have an associated exchange feature. The carrying amount of the equity component representing the exchange option was determined by deducting the fair value of the liability component from the face value of the 2024 Notes as a whole. The excess of the principal amount of the liability component over its carrying amount will be amortized to interest expense over the expected life of the 2024 Notes using the effective interest method with an effective interest rate of 6.8% per annum. We have determined the expected life of the 2024 Notes to be equal to the original seven-year term. The equity component is not remeasured as long as it continues to meet the conditions for equity classification. As of December 31, 2021 and 2020, the “if-converted value” did not exceed the principal amount of the 2024 Notes.</w:t>
      </w:r>
    </w:p>
    <w:p>
      <w:pPr>
        <w:spacing w:after="0" w:line="8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allocated the total issuance costs incurred of $15.6 million to the liability and equity components based on their relative values. Issuance costs attributable to the liability component will be amortized to expense over the term of the 2024 Notes, and issuance costs attributable to the equity component were included with the equity component in our shareholders’ equity.</w:t>
      </w:r>
    </w:p>
    <w:p>
      <w:pPr>
        <w:spacing w:after="0" w:line="76" w:lineRule="exact"/>
        <w:rPr>
          <w:sz w:val="20"/>
          <w:szCs w:val="20"/>
          <w:color w:val="auto"/>
        </w:rPr>
      </w:pPr>
    </w:p>
    <w:p>
      <w:pPr>
        <w:ind w:left="220" w:right="120" w:firstLine="243"/>
        <w:spacing w:after="0" w:line="375" w:lineRule="auto"/>
        <w:rPr>
          <w:sz w:val="20"/>
          <w:szCs w:val="20"/>
          <w:color w:val="auto"/>
        </w:rPr>
      </w:pPr>
      <w:r>
        <w:rPr>
          <w:rFonts w:ascii="Arial" w:cs="Arial" w:eastAsia="Arial" w:hAnsi="Arial"/>
          <w:sz w:val="18"/>
          <w:szCs w:val="18"/>
          <w:color w:val="auto"/>
        </w:rPr>
        <w:t xml:space="preserve">As of December 31, 2021 and 2020, the carrying value of the equity component of the 2024 Notes, net of equity issuance costs, was $149.8 million. </w:t>
      </w:r>
      <w:r>
        <w:rPr>
          <w:rFonts w:ascii="Arial" w:cs="Arial" w:eastAsia="Arial" w:hAnsi="Arial"/>
          <w:sz w:val="18"/>
          <w:szCs w:val="18"/>
          <w:b w:val="1"/>
          <w:bCs w:val="1"/>
          <w:i w:val="1"/>
          <w:iCs w:val="1"/>
          <w:color w:val="auto"/>
        </w:rPr>
        <w:t>Exchangeable Senior Notes Due 2021</w:t>
      </w:r>
    </w:p>
    <w:p>
      <w:pPr>
        <w:spacing w:after="0" w:line="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2014, we completed a private placement of the 2021 Notes with a maturity date of August 15, 2021. Interest on the 2021 Notes was payable semi-annually in cash in arrears on February 15 and August 15 of each year, beginning on February 15, 2015, at a rate of 1.875% per year. The exchange rate was 5.0057 ordinary shares per $1,000 principal amount of 2021 Notes, which was equivalent to an exchange price of approximately $199.77 per ordinary share.</w:t>
      </w:r>
    </w:p>
    <w:p>
      <w:pPr>
        <w:spacing w:after="0" w:line="79"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In accounting for the issuance of the 2021 Notes, we separated the 2021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2021 Notes as a whole. The excess of the principal amount of the liability component over its carrying amount was amortized to interest expense over the expected life of the 2021 Notes using the effective interest method with an effective interest rate of 6.4% per annum.</w:t>
      </w:r>
    </w:p>
    <w:p>
      <w:pPr>
        <w:spacing w:after="0" w:line="53"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We allocated the total issuance costs incurred of $16.1 million to the liability and equity components based on their relative values. Issuance costs attributable to the liability component were amortized to interest expense, net over the term of the 2021 Notes, and issuance costs attributable to the equity component were included with the equity component in our shareholders’ equity. In 2020 we repurchased $356.2 million aggregate principal amount of the 2021 Notes and we repurchased the remaining $218.8 million aggregate principal amount on maturity in August 2021.</w:t>
      </w:r>
    </w:p>
    <w:p>
      <w:pPr>
        <w:spacing w:after="0" w:line="63"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58" w:lineRule="exact"/>
        <w:rPr>
          <w:sz w:val="20"/>
          <w:szCs w:val="20"/>
          <w:color w:val="auto"/>
        </w:rPr>
      </w:pPr>
    </w:p>
    <w:p>
      <w:pPr>
        <w:ind w:right="340" w:firstLine="445"/>
        <w:spacing w:after="0" w:line="342" w:lineRule="auto"/>
        <w:rPr>
          <w:sz w:val="20"/>
          <w:szCs w:val="20"/>
          <w:color w:val="auto"/>
        </w:rPr>
      </w:pPr>
      <w:r>
        <w:rPr>
          <w:rFonts w:ascii="Arial" w:cs="Arial" w:eastAsia="Arial" w:hAnsi="Arial"/>
          <w:sz w:val="16"/>
          <w:szCs w:val="16"/>
          <w:color w:val="auto"/>
        </w:rPr>
        <w:t>For the years ended December 31, 2021, 2020 and 2019, we recognized $89.9 million, $87.6 million and $62.5 million, respectively, in interest expense, net related to the contractual coupon rate and the amortization of the debt discount and debt issuance costs on the Exchangeable Senior Notes.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with respect to our long-term debt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Scheduled Long-Term Debt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vMerge w:val="continue"/>
          </w:tcPr>
          <w:p>
            <w:pPr>
              <w:spacing w:after="0"/>
              <w:rPr>
                <w:sz w:val="12"/>
                <w:szCs w:val="12"/>
                <w:color w:val="auto"/>
              </w:rPr>
            </w:pPr>
          </w:p>
        </w:tc>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Maturities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80" w:type="dxa"/>
            <w:vAlign w:val="bottom"/>
            <w:shd w:val="clear" w:color="auto" w:fill="CCEEFF"/>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8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80" w:type="dxa"/>
            <w:vAlign w:val="bottom"/>
            <w:shd w:val="clear" w:color="auto" w:fill="CCEEFF"/>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8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80" w:type="dxa"/>
            <w:vAlign w:val="bottom"/>
            <w:shd w:val="clear" w:color="auto" w:fill="CCEEFF"/>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6,395,458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0" w:type="dxa"/>
            <w:vAlign w:val="bottom"/>
            <w:gridSpan w:val="2"/>
          </w:tcPr>
          <w:p>
            <w:pPr>
              <w:jc w:val="right"/>
              <w:ind w:right="3470"/>
              <w:spacing w:after="0"/>
              <w:rPr>
                <w:sz w:val="20"/>
                <w:szCs w:val="20"/>
                <w:color w:val="auto"/>
              </w:rPr>
            </w:pPr>
            <w:r>
              <w:rPr>
                <w:rFonts w:ascii="Arial" w:cs="Arial" w:eastAsia="Arial" w:hAnsi="Arial"/>
                <w:sz w:val="18"/>
                <w:szCs w:val="18"/>
                <w:color w:val="auto"/>
              </w:rPr>
              <w:t>F-32</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We have noncancelable leases for our buildings and growing facilities and we are obligated to make payments under noncancelable operating leases for automobiles used by our sales force.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lease expense for the years ended December 31, 2021, 2020 and 2019 were as follows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160" w:type="dxa"/>
            <w:vAlign w:val="bottom"/>
            <w:tcBorders>
              <w:bottom w:val="single" w:sz="8" w:color="auto"/>
            </w:tcBorders>
          </w:tcPr>
          <w:p>
            <w:pPr>
              <w:spacing w:after="0"/>
              <w:rPr>
                <w:sz w:val="16"/>
                <w:szCs w:val="16"/>
                <w:color w:val="auto"/>
              </w:rPr>
            </w:pPr>
          </w:p>
        </w:tc>
      </w:tr>
      <w:tr>
        <w:trPr>
          <w:trHeight w:val="186"/>
        </w:trPr>
        <w:tc>
          <w:tcPr>
            <w:tcW w:w="6720" w:type="dxa"/>
            <w:vAlign w:val="bottom"/>
          </w:tcPr>
          <w:p>
            <w:pPr>
              <w:spacing w:after="0"/>
              <w:rPr>
                <w:sz w:val="20"/>
                <w:szCs w:val="20"/>
                <w:color w:val="auto"/>
              </w:rPr>
            </w:pPr>
            <w:r>
              <w:rPr>
                <w:rFonts w:ascii="Arial" w:cs="Arial" w:eastAsia="Arial" w:hAnsi="Arial"/>
                <w:sz w:val="14"/>
                <w:szCs w:val="14"/>
                <w:b w:val="1"/>
                <w:bCs w:val="1"/>
                <w:color w:val="auto"/>
              </w:rPr>
              <w:t>Lease Cost</w:t>
            </w: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180" w:type="dxa"/>
            <w:vAlign w:val="bottom"/>
          </w:tcPr>
          <w:p>
            <w:pPr>
              <w:jc w:val="right"/>
              <w:ind w:right="888"/>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cost</w:t>
            </w:r>
          </w:p>
        </w:tc>
        <w:tc>
          <w:tcPr>
            <w:tcW w:w="39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21,755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23,087</w:t>
            </w: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Short-term lease cost</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2,465</w:t>
            </w: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lease cost</w:t>
            </w:r>
          </w:p>
        </w:tc>
        <w:tc>
          <w:tcPr>
            <w:tcW w:w="3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Sublease income</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 Cost</w:t>
            </w:r>
          </w:p>
        </w:tc>
        <w:tc>
          <w:tcPr>
            <w:tcW w:w="3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Amortization of leased asset</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3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39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30,038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25,613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24,923</w:t>
            </w:r>
          </w:p>
        </w:tc>
      </w:tr>
      <w:tr>
        <w:trPr>
          <w:trHeight w:val="21"/>
        </w:trPr>
        <w:tc>
          <w:tcPr>
            <w:tcW w:w="674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6"/>
        </w:trPr>
        <w:tc>
          <w:tcPr>
            <w:tcW w:w="8520" w:type="dxa"/>
            <w:vAlign w:val="bottom"/>
            <w:gridSpan w:val="7"/>
          </w:tcPr>
          <w:p>
            <w:pPr>
              <w:ind w:left="460"/>
              <w:spacing w:after="0"/>
              <w:rPr>
                <w:sz w:val="20"/>
                <w:szCs w:val="20"/>
                <w:color w:val="auto"/>
              </w:rPr>
            </w:pPr>
            <w:r>
              <w:rPr>
                <w:rFonts w:ascii="Arial" w:cs="Arial" w:eastAsia="Arial" w:hAnsi="Arial"/>
                <w:sz w:val="18"/>
                <w:szCs w:val="18"/>
                <w:color w:val="auto"/>
                <w:w w:val="91"/>
              </w:rPr>
              <w:t>Supplemental balance sheet information related to operating and finance leases was as follows (in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7"/>
        </w:trPr>
        <w:tc>
          <w:tcPr>
            <w:tcW w:w="28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188"/>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Leases</w:t>
            </w:r>
          </w:p>
        </w:tc>
        <w:tc>
          <w:tcPr>
            <w:tcW w:w="444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b w:val="1"/>
                <w:bCs w:val="1"/>
                <w:color w:val="auto"/>
              </w:rPr>
              <w:t>Classification</w:t>
            </w:r>
          </w:p>
        </w:tc>
        <w:tc>
          <w:tcPr>
            <w:tcW w:w="7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1"/>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Operating lease assets</w:t>
            </w:r>
          </w:p>
        </w:tc>
        <w:tc>
          <w:tcPr>
            <w:tcW w:w="4440" w:type="dxa"/>
            <w:vAlign w:val="bottom"/>
            <w:gridSpan w:val="2"/>
          </w:tcPr>
          <w:p>
            <w:pPr>
              <w:ind w:left="500"/>
              <w:spacing w:after="0"/>
              <w:rPr>
                <w:sz w:val="20"/>
                <w:szCs w:val="20"/>
                <w:color w:val="auto"/>
              </w:rPr>
            </w:pPr>
            <w:r>
              <w:rPr>
                <w:rFonts w:ascii="Arial" w:cs="Arial" w:eastAsia="Arial" w:hAnsi="Arial"/>
                <w:sz w:val="18"/>
                <w:szCs w:val="18"/>
                <w:color w:val="auto"/>
              </w:rPr>
              <w:t>Operating lease assets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86,586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129,169</w:t>
            </w: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assets</w:t>
            </w:r>
          </w:p>
        </w:tc>
        <w:tc>
          <w:tcPr>
            <w:tcW w:w="4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Property, plant and equipment</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92,324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129,169</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8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44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15,357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14,457</w:t>
            </w: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liabilities</w:t>
            </w:r>
          </w:p>
        </w:tc>
        <w:tc>
          <w:tcPr>
            <w:tcW w:w="4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4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Operating lease liabilities, less current portion</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140,035</w:t>
            </w:r>
          </w:p>
        </w:tc>
      </w:tr>
      <w:tr>
        <w:trPr>
          <w:trHeight w:val="230"/>
        </w:trPr>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Finance lease liabilities</w:t>
            </w:r>
          </w:p>
        </w:tc>
        <w:tc>
          <w:tcPr>
            <w:tcW w:w="44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Other non-current liabilities</w:t>
            </w: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6,269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109,232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154,492</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99"/>
        </w:trPr>
        <w:tc>
          <w:tcPr>
            <w:tcW w:w="28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188"/>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39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11"/>
        </w:trPr>
        <w:tc>
          <w:tcPr>
            <w:tcW w:w="7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3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3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related to operating and finance leases was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280" w:type="dxa"/>
            <w:vAlign w:val="bottom"/>
            <w:tcBorders>
              <w:bottom w:val="single" w:sz="8" w:color="auto"/>
            </w:tcBorders>
          </w:tcPr>
          <w:p>
            <w:pPr>
              <w:spacing w:after="0"/>
              <w:rPr>
                <w:sz w:val="16"/>
                <w:szCs w:val="16"/>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11"/>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24,847</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21,678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17,066</w:t>
            </w: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cash outflows from finance leases</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Financing cash outflows from finance leases</w:t>
            </w: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operating activities: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Operating lease assets obtained in exchange for new operating lease liabilities (1)</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153,448</w:t>
            </w: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assets obtained in exchange for new finance lease liabilities</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De-recognition of operating lease asset on lease assignment</w:t>
            </w: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56,968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De-recognition of operating lease liability on lease assignment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68,064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6760" w:type="dxa"/>
            <w:vAlign w:val="bottom"/>
            <w:gridSpan w:val="3"/>
          </w:tcPr>
          <w:p>
            <w:pPr>
              <w:spacing w:after="0"/>
              <w:rPr>
                <w:sz w:val="20"/>
                <w:szCs w:val="20"/>
                <w:color w:val="auto"/>
              </w:rPr>
            </w:pPr>
            <w:r>
              <w:rPr>
                <w:rFonts w:ascii="Arial" w:cs="Arial" w:eastAsia="Arial" w:hAnsi="Arial"/>
                <w:sz w:val="18"/>
                <w:szCs w:val="18"/>
                <w:color w:val="auto"/>
              </w:rPr>
              <w:t>_____________________________</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600" w:type="dxa"/>
            <w:vAlign w:val="bottom"/>
            <w:gridSpan w:val="3"/>
          </w:tcPr>
          <w:p>
            <w:pPr>
              <w:ind w:left="240"/>
              <w:spacing w:after="0"/>
              <w:rPr>
                <w:sz w:val="20"/>
                <w:szCs w:val="20"/>
                <w:color w:val="auto"/>
              </w:rPr>
            </w:pPr>
            <w:r>
              <w:rPr>
                <w:rFonts w:ascii="Arial" w:cs="Arial" w:eastAsia="Arial" w:hAnsi="Arial"/>
                <w:sz w:val="18"/>
                <w:szCs w:val="18"/>
                <w:color w:val="auto"/>
              </w:rPr>
              <w:t>(1) Includes the balances recognized on January 1, 2019 on adoption of ASU No. 2016-02.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740" w:type="dxa"/>
            <w:vAlign w:val="bottom"/>
            <w:gridSpan w:val="2"/>
          </w:tcPr>
          <w:p>
            <w:pPr>
              <w:ind w:left="440"/>
              <w:spacing w:after="0"/>
              <w:rPr>
                <w:sz w:val="20"/>
                <w:szCs w:val="20"/>
                <w:color w:val="auto"/>
              </w:rPr>
            </w:pPr>
            <w:r>
              <w:rPr>
                <w:rFonts w:ascii="Arial" w:cs="Arial" w:eastAsia="Arial" w:hAnsi="Arial"/>
                <w:sz w:val="18"/>
                <w:szCs w:val="18"/>
                <w:color w:val="auto"/>
                <w:w w:val="96"/>
              </w:rPr>
              <w:t>Maturities of operating and finance lease liabilities were as follows (in thousands):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Operating Leases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12"/>
              <w:spacing w:after="0"/>
              <w:rPr>
                <w:sz w:val="20"/>
                <w:szCs w:val="20"/>
                <w:color w:val="auto"/>
              </w:rPr>
            </w:pPr>
            <w:r>
              <w:rPr>
                <w:rFonts w:ascii="Arial" w:cs="Arial" w:eastAsia="Arial" w:hAnsi="Arial"/>
                <w:sz w:val="14"/>
                <w:szCs w:val="14"/>
                <w:b w:val="1"/>
                <w:bCs w:val="1"/>
                <w:color w:val="auto"/>
                <w:w w:val="92"/>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w:t>
            </w:r>
          </w:p>
        </w:tc>
      </w:tr>
      <w:tr>
        <w:trPr>
          <w:trHeight w:val="223"/>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122,661</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r>
      <w:tr>
        <w:trPr>
          <w:trHeight w:val="230"/>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December 31, 2021 and December 31, 2020.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As of December 31, 2021, we had $73.2 million of noncancelable purchase commitments due within one year, primarily related to agreements with third party manufacturers.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Xyrem Class Action</w:t>
      </w:r>
    </w:p>
    <w:p>
      <w:pPr>
        <w:spacing w:after="0" w:line="117"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From June 2020 to October 2021,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76"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80" w:lineRule="exact"/>
        <w:rPr>
          <w:sz w:val="20"/>
          <w:szCs w:val="20"/>
          <w:color w:val="auto"/>
        </w:rPr>
      </w:pPr>
    </w:p>
    <w:p>
      <w:pPr>
        <w:ind w:right="50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69"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62" w:lineRule="exact"/>
        <w:rPr>
          <w:sz w:val="20"/>
          <w:szCs w:val="20"/>
          <w:color w:val="auto"/>
        </w:rPr>
      </w:pPr>
    </w:p>
    <w:p>
      <w:pPr>
        <w:ind w:right="460" w:firstLine="445"/>
        <w:spacing w:after="0" w:line="263" w:lineRule="auto"/>
        <w:rPr>
          <w:sz w:val="20"/>
          <w:szCs w:val="20"/>
          <w:color w:val="auto"/>
        </w:rPr>
      </w:pPr>
      <w:r>
        <w:rPr>
          <w:rFonts w:ascii="Arial" w:cs="Arial" w:eastAsia="Arial" w:hAnsi="Arial"/>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76"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6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jc w:val="both"/>
        <w:ind w:right="420" w:firstLine="445"/>
        <w:spacing w:after="0" w:line="311" w:lineRule="auto"/>
        <w:rPr>
          <w:sz w:val="20"/>
          <w:szCs w:val="20"/>
          <w:color w:val="auto"/>
        </w:rPr>
      </w:pPr>
      <w:r>
        <w:rPr>
          <w:rFonts w:ascii="Arial" w:cs="Arial" w:eastAsia="Arial" w:hAnsi="Arial"/>
          <w:sz w:val="16"/>
          <w:szCs w:val="16"/>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41"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The parties have submitted a proposed case schedule through briefing on class certification. A trial date will be set following a ruling on class certification.</w:t>
      </w:r>
    </w:p>
    <w:p>
      <w:pPr>
        <w:spacing w:after="0" w:line="62"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GW Acquisition Litigation</w:t>
      </w:r>
    </w:p>
    <w:p>
      <w:pPr>
        <w:spacing w:after="0" w:line="11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62" w:lineRule="exact"/>
        <w:rPr>
          <w:sz w:val="20"/>
          <w:szCs w:val="20"/>
          <w:color w:val="auto"/>
        </w:rPr>
      </w:pPr>
    </w:p>
    <w:p>
      <w:pPr>
        <w:ind w:right="120" w:firstLine="445"/>
        <w:spacing w:after="0" w:line="268" w:lineRule="auto"/>
        <w:rPr>
          <w:sz w:val="20"/>
          <w:szCs w:val="20"/>
          <w:color w:val="auto"/>
        </w:rPr>
      </w:pPr>
      <w:r>
        <w:rPr>
          <w:rFonts w:ascii="Arial" w:cs="Arial" w:eastAsia="Arial" w:hAnsi="Arial"/>
          <w:sz w:val="17"/>
          <w:szCs w:val="17"/>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78"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62"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On May 27, 2021, a class action lawsuit was filed in the United States District Court for the Southern District of California by plaintiff Kurt Ziegler against GW and its former Directors asserting claims under Sections 14(a) and 20(a) of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Securities Exchange Act of 1934, referred to as the Ziegler Lawsuit. The allegations in the Ziegler Lawsuit are similar to those in the previously dismissed Transaction Litigation.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Avadel Patent Litigation</w:t>
      </w:r>
    </w:p>
    <w:p>
      <w:pPr>
        <w:spacing w:after="0" w:line="117"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On May 13, 2021, we filed a patent infringement suit against Avadel Pharmaceuticals plc, or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5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August 4, 2021, we filed an additional patent infringement suit against Avadel in the United States District Court for the District of Delaware. The second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right="360" w:firstLine="445"/>
        <w:spacing w:after="0" w:line="257" w:lineRule="auto"/>
        <w:rPr>
          <w:sz w:val="20"/>
          <w:szCs w:val="20"/>
          <w:color w:val="auto"/>
        </w:rPr>
      </w:pPr>
      <w:r>
        <w:rPr>
          <w:rFonts w:ascii="Arial" w:cs="Arial" w:eastAsia="Arial" w:hAnsi="Arial"/>
          <w:sz w:val="18"/>
          <w:szCs w:val="18"/>
          <w:color w:val="auto"/>
        </w:rPr>
        <w:t>On November 10, 2021, we filed an additional patent infringement suit against Avadel in the United States District Court for the District of Delaware. The third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Canopy Patent Litigation</w:t>
      </w:r>
    </w:p>
    <w:p>
      <w:pPr>
        <w:spacing w:after="0" w:line="117"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In December 2020, Canopy Growth Corporation filed a complaint against our subsidiary, GW, in the United States District Court for the Western District of Texas, alleging infringement of its patent, U.S. Patent No. 10,870,632. Canopy claims that our extraction process used to produce material used to produce Epidiolex infringes its patent. Canopy seeks a judgment that we have infringed their patent and an award of monetary damages. In July 2021, we filed an answer to the amended complaint, and counterclaims seeking judgment that the ‘632 patent is invalid and that we have not infringed the patent. In October 2021, the United States District Court for the Western District of Texas held a claim construction hearing regarding the disputed term of the ‘632 patent. In November 2021, the Court issued a claim construction order, which the Company views as generally favorable. On February 23, 2022, the parties filed a Joint Motion and Stipulation to Enter Final Judgment in favor of GW. Pursuant to the stipulation, Canopy has the right to appeal the Court’s ruling on the disputed term. On February 25, 2022, the Court granted the parties’ motion and entered final judgment in favor of GW.</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Lupin Patent Litigation</w:t>
      </w:r>
    </w:p>
    <w:p>
      <w:pPr>
        <w:spacing w:after="0" w:line="117" w:lineRule="exact"/>
        <w:rPr>
          <w:sz w:val="20"/>
          <w:szCs w:val="20"/>
          <w:color w:val="auto"/>
        </w:rPr>
      </w:pPr>
    </w:p>
    <w:p>
      <w:pPr>
        <w:ind w:right="240" w:firstLine="445"/>
        <w:spacing w:after="0" w:line="296" w:lineRule="auto"/>
        <w:rPr>
          <w:sz w:val="20"/>
          <w:szCs w:val="20"/>
          <w:color w:val="auto"/>
        </w:rPr>
      </w:pPr>
      <w:r>
        <w:rPr>
          <w:rFonts w:ascii="Arial" w:cs="Arial" w:eastAsia="Arial" w:hAnsi="Arial"/>
          <w:sz w:val="16"/>
          <w:szCs w:val="16"/>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 A paragraph IV certification is a certification by a generic applicant that alleges that patents covering the branded product are invalid, unenforceable, and/or will not be infringed by the manufacture, use or sale of the generic product.</w:t>
      </w:r>
    </w:p>
    <w:p>
      <w:pPr>
        <w:spacing w:after="0" w:line="53" w:lineRule="exact"/>
        <w:rPr>
          <w:sz w:val="20"/>
          <w:szCs w:val="20"/>
          <w:color w:val="auto"/>
        </w:rPr>
      </w:pPr>
    </w:p>
    <w:p>
      <w:pPr>
        <w:ind w:right="100" w:firstLine="445"/>
        <w:spacing w:after="0" w:line="294" w:lineRule="auto"/>
        <w:rPr>
          <w:sz w:val="20"/>
          <w:szCs w:val="20"/>
          <w:color w:val="auto"/>
        </w:rPr>
      </w:pPr>
      <w:r>
        <w:rPr>
          <w:rFonts w:ascii="Arial" w:cs="Arial" w:eastAsia="Arial" w:hAnsi="Arial"/>
          <w:sz w:val="16"/>
          <w:szCs w:val="16"/>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w:t>
      </w:r>
    </w:p>
    <w:p>
      <w:pPr>
        <w:spacing w:after="0" w:line="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October 4, 2021, Lupin filed an answer to the complaint and counterclaims asserting that the patents are invalid or not enforceable, and that its product, if approved, will not infringe our patents.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Otsuka Patent Litigation</w:t>
      </w:r>
    </w:p>
    <w:p>
      <w:pPr>
        <w:spacing w:after="0" w:line="117" w:lineRule="exact"/>
        <w:rPr>
          <w:sz w:val="20"/>
          <w:szCs w:val="20"/>
          <w:color w:val="auto"/>
        </w:rPr>
      </w:pPr>
    </w:p>
    <w:p>
      <w:pPr>
        <w:ind w:right="300" w:firstLine="445"/>
        <w:spacing w:after="0" w:line="279" w:lineRule="auto"/>
        <w:rPr>
          <w:sz w:val="20"/>
          <w:szCs w:val="20"/>
          <w:color w:val="auto"/>
        </w:rPr>
      </w:pPr>
      <w:r>
        <w:rPr>
          <w:rFonts w:ascii="Arial" w:cs="Arial" w:eastAsia="Arial" w:hAnsi="Arial"/>
          <w:sz w:val="17"/>
          <w:szCs w:val="17"/>
          <w:color w:val="auto"/>
        </w:rPr>
        <w:t>In October 2021, Otsuka Pharmaceutical Co., Ltd., or Otsuka, filed claims against GW Pharma Limited and GW Pharmaceuticals Limited, or collectively, the GW Parties, in the English High Court, Patents Court. Otsuka alleges that under a now-expired Research Collaboration and License Agreement between Otsuka and the GW Parties, Otsuka and the GW Parties jointly own certain patents and other intellectual property, that Epidiolex is covered by that intellectual property, and that Otsuka is therefore due a royalty on net sales of Epidiolex.</w:t>
      </w:r>
    </w:p>
    <w:p>
      <w:pPr>
        <w:spacing w:after="0" w:line="63"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 December 2021, we filed an application for an order declaring that the English High Court, Patents Court has no jurisdiction over the dispute with Otsuka, or should not exercise its jurisdiction.</w:t>
      </w:r>
    </w:p>
    <w:p>
      <w:pPr>
        <w:spacing w:after="0" w:line="62"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In January 2022, we filed a lawsuit against Otsuka in the Supreme Court of the State of New York, County of New York, seeking a declaration that Otsuka is not entitled to any royalties on sales of Epidiolex under the Research Collaboration and License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vigorously enforces its intellectual property rights, but cannot predict the outcome of these matters.</w:t>
      </w:r>
    </w:p>
    <w:p>
      <w:pPr>
        <w:spacing w:after="0" w:line="117"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In November 2016, our board of directors authorized a share repurchase program and as of December 31, 2021 had authorized the repurchase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2021, we did not repurchase any of our ordinary shares under the share repurchase program. In 2020, we spent a total of $146.5 million to repurchase 1.2 million of our ordinary shares at an average total purchase price, including brokerage commissions, of $121.98 per share. All ordinary shares repurchased were canceled. As of December 31, 2021, the remaining amount authorized under the share repurchase program was $431.2 million.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Authorized But Unissued 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reserved the following shares of authorized but unissued ordinary shares (in thousands):</w:t>
      </w:r>
    </w:p>
    <w:p>
      <w:pPr>
        <w:spacing w:after="0" w:line="14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 Equity Incentive Plan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22,195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w:t>
            </w:r>
          </w:p>
        </w:tc>
      </w:tr>
      <w:tr>
        <w:trPr>
          <w:trHeight w:val="23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2007 Employee 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22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GW Incentive Plans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Amended and Restated 2007 Non-Employee Directors Stock Award Plan</w:t>
            </w:r>
          </w:p>
        </w:tc>
        <w:tc>
          <w:tcPr>
            <w:tcW w:w="60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2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 Equity Incentive Plan</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28,140</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In 2021 and 2020, we did not declare or pay cash dividends on our common equity.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consolidated financial condition, results of operations, capital requirements, compliance with the terms our credit agreement or other future borrowing arrangements, and other factors our board of directors deems relevant.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Comprehensive Income (Loss)</w:t>
      </w:r>
    </w:p>
    <w:p>
      <w:pPr>
        <w:spacing w:after="0" w:line="121"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Comprehensive income (loss) includes net income (loss) and all changes in shareholders’ equity during a period, except for those changes resulting from investments by shareholders or distributions to shareholders.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loss as of December 31, 2021 and 2020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(268,736)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(268,347)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(266,008)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In 2021, other comprehensive loss reflects foreign currency translation adjustments, primarily due to the weakening of the sterling and euro against the U.S. dollar.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Income (Loss) per Ordinary Share</w:t>
      </w:r>
    </w:p>
    <w:p>
      <w:pPr>
        <w:spacing w:after="0" w:line="121" w:lineRule="exact"/>
        <w:rPr>
          <w:sz w:val="20"/>
          <w:szCs w:val="20"/>
          <w:color w:val="auto"/>
        </w:rPr>
      </w:pPr>
    </w:p>
    <w:p>
      <w:pPr>
        <w:ind w:right="280" w:firstLine="445"/>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(329,668)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238,616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523,367</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56,749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employee equity incentive and purchase plans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57,550</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income (loss) per ordinary share :</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4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and PRSUs, the assumed issuance of ordinary shares under our employee stock purchase plan, or ESPP, and the assumed issuance of ordinary shares upon exchange of the Exchangeable Senior Notes. The average share price of our ordinary shares in 2021 exceeded the effective exchange price per ordinary share of the 2026 Notes. However, the potential ordinary shares issuable upon exchange were excluded from the calculation of diluted net loss per ordinary share because their effect would have been anti-dilutive. The average price of our ordinary shares in 2021 did not exceed the effective exchange price per ordinary share of the 2021 Notes and 2024 Notes. The potential issue of ordinary shares issuable upon exchange of the Exchangeable Senior Notes had no effect on diluted net income per ordinary share for 2020 and 2019 as the average price of our ordinary shares during those periods did not exceed the effective exchange prices per ordinary share of the Exchangeable Senior Notes.</w:t>
      </w:r>
    </w:p>
    <w:p>
      <w:pPr>
        <w:spacing w:after="0" w:line="58"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computation of diluted net income (loss) per ordinary share for the years presented because including them would have an anti-dilutive effect (in thousands):</w:t>
      </w:r>
    </w:p>
    <w:p>
      <w:pPr>
        <w:spacing w:after="0" w:line="94"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Employee equity incentive and purchase plans</w:t>
            </w:r>
          </w:p>
        </w:tc>
        <w:tc>
          <w:tcPr>
            <w:tcW w:w="560" w:type="dxa"/>
            <w:vAlign w:val="bottom"/>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and Other Information</w:t>
      </w:r>
    </w:p>
    <w:p>
      <w:pPr>
        <w:spacing w:after="0" w:line="121"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total long-lived assets by location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71,906</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176,778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3,438</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157,282</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Italy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16,008</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long-lived assets (1)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343,423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257,104</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560" w:hanging="309"/>
        <w:spacing w:after="0"/>
        <w:tabs>
          <w:tab w:leader="none" w:pos="5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Long-lived assets consist of property, plant and equipment and operating lease assets.</w:t>
      </w:r>
    </w:p>
    <w:p>
      <w:pPr>
        <w:spacing w:after="0" w:line="355"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1,642,525</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1,642,525</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Sativex</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2,335,393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1,785,355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1,646,239</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Zepzelca</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90,380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Vyxeos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121,407</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172,938</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Erwinaze/Erwinase</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177,465</w:t>
            </w: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471,810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17,552</w:t>
            </w: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2,135,601</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26,160</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2,161,761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8400" w:type="dxa"/>
            <w:vAlign w:val="bottom"/>
            <w:gridSpan w:val="5"/>
          </w:tcPr>
          <w:p>
            <w:pPr>
              <w:ind w:left="460"/>
              <w:spacing w:after="0"/>
              <w:rPr>
                <w:sz w:val="20"/>
                <w:szCs w:val="20"/>
                <w:color w:val="auto"/>
              </w:rPr>
            </w:pPr>
            <w:r>
              <w:rPr>
                <w:rFonts w:ascii="Arial" w:cs="Arial" w:eastAsia="Arial" w:hAnsi="Arial"/>
                <w:sz w:val="18"/>
                <w:szCs w:val="18"/>
                <w:color w:val="auto"/>
                <w:w w:val="94"/>
              </w:rPr>
              <w:t>The following table presents a summary of total revenues attributed to geographic sources (in thousands):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6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1,964,161</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175,208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150,201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47,399</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3,094,238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2,161,761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72"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deferred revenue balance as of December 31, 2021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$2.8 million in 2021 relating to these upfront payments. The deferred revenue balances are being recognized over an average of four years representing the period we expect to perform our research and developments obligations under each agreement.</w:t>
      </w:r>
    </w:p>
    <w:p>
      <w:pPr>
        <w:spacing w:after="0" w:line="80"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year ended December 31, 2021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5"/>
              </w:rPr>
              <w:t>Contract Liabilities</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r>
      <w:tr>
        <w:trPr>
          <w:trHeight w:val="20"/>
        </w:trPr>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Share-Based Compensation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GW Incentive Plans</w:t>
      </w:r>
    </w:p>
    <w:p>
      <w:pPr>
        <w:spacing w:after="0" w:line="11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On May 5, 2021, Jazz Pharmaceuticals plc acquired the entire issued share capital of GW Pharmaceuticals plc. In connection with the GW Acquisition, we assumed the GW Pharmaceuticals plc 2008 Long-Term Incentive Plan, GW Pharmaceuticals plc 2017 Long-Term Incentive Plan and GW Pharmaceuticals plc 2020 Long-Term Incentive Plan, each as amended from time to time, together referred to as the GW Incentive Plans. The terms of the GW Incentive Plans provide for the grant of stock options, stock appreciation rights, RSUs, other stock awards, and performance awards that may be settled in cash, shares, or other property. Ordinary shares granted to employees in exchange for GW ADS in connection with the GW Acquisition vest ratably over service periods of two years, while all post-acquisition grants vest ratably over service periods of four years, and expire no more than 10 years after the date of grant. As of December 31, 2021, a total of 1,864,475 of our ordinary shares had been authorized for issuance under the GW Incentive Plans.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On January 18, 2012, the businesses of Jazz Pharmaceuticals, Inc. and Azur Pharma were combined in a merger transaction, or the Azur Merger. In connection with the Azur Merger, Jazz Pharmaceuticals, Inc.’s board of directors adopted the 2011 Equity Incentive Plan, or the 2011 Plan, in October 2011 and its stockholders approved the 2011 Plan at the special meeting of the stockholders held in December 2011 in connection with the Azur Merger. The 2011 Plan became effective immediately before the consummation of the Azur Merger and was assumed and adopted by us upon the consummation of the Azur Merger. The terms of the 2011 Plan provide for the grant of stock options, stock appreciation rights, RSUs, other stock awards, and performance awards that may be settled in cash, shares, or other property. All outstanding grants under the 2011 Plan were granted to employees and vest ratably over service periods of four years and expire no more than 10 years after the date of grant. As of December 31, 2021, a total of 32,065,082 of our ordinary shares had been authorized for issuance under the 2011 Plan. In addition, the share reserve under the 2011 Plan will automatically increase on January 1 of each year through January 1, 2022, by the least of (a) 4.5% of the total number of ordinary shares outstanding on December 31 of the preceding calendar year, (b) 5,000,000 shares, or (c) such lesser number of ordinary shares as determined by our board of directors. On January 1, 2022, the share reserve under the 2011 Plan automatically increased by 2,771,906 ordinary shares pursuant to this provision.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Equity Incentive Plan</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2007 Equity Incentive Plan, or the 2007 Plan, which was initially adopted by the Jazz Pharmaceuticals, Inc. board of directors and approved by the Jazz Pharmaceuticals, Inc. stockholders in connection with its initial public offering, was continued and assumed by us upon consummation of the Azur Merger. The 2007 Plan provided for the grant of stock options, RSUs, stock appreciation rights, performance stock awards and other forms of equity compensation to employees, including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officers, non-employee directors and consultants. Prior to the consummation of the Azur Merger, all of the grants under the 2007 Plan were granted to employees and vest ratably over service periods of three to five years and expire no more than 10 years after the date of grant. Effective as of the closing of the Azur Merger on January 18, 2012, the number of shares reserved for issuance under the 2007 Plan was set to 1,000,000 ordinary shares. The share reserve under the 2007 Plan will not automatically increase. Since the Azur Merger, all of the new grants under the 2007 Plan were granted to non-employee directors, vest ratably over service periods of one to three years and expire no more than 10 years after the date of grant. The 2007 Plan expired in April 2017, and accordingly, no new grants can be awarded under the 2007 Plan. As of December 31, 2021, the number of shares reserved represents issuable shares from options granted but not yet exercised under the 2007 Plan.</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Employee Stock Purchase Plan</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2007, Jazz Pharmaceuticals, Inc.’s employees became eligible to participate in the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of a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2021, a total of 6,105,282 of our ordinary shares had been authorized for issuance under the ESPP. The share reserve under the ESPP will automatically increase on January 1 of each year through January 1, 2022, by the least of (a) 1.5% of the total number of ordinary shares outstanding on December 31 of the preceding calendar year, (b) 1,000,000 shares, and (c) such lesser number of ordinary shares as determined by our board of directors or a duly-authorized committee thereof. On January 1, 2022, the share reserve under the ESPP automatically increased by 923,968 ordinary shares pursuant to this provision.</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2007 Non-Employee Directors Stock Award Plan</w:t>
      </w:r>
    </w:p>
    <w:p>
      <w:pPr>
        <w:spacing w:after="0" w:line="117"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The Amended and Restated 2007 Non-Employee Directors Stock Award Plan, or the 2007 Directors Award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Award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Award Plan to eliminate all future initial and annual automatic grants so that future automatic grants would not be made that would be subject to the excise tax imposed by Section 4985 of the Internal Revenue Code of 1986, as amended, or the Internal Revenue Code, in connection with the Azur Merger. Accordingly, all future stock option grants under the 2007 Directors Award Plan will be at the discretion of our board of directors. Since the Azur Merger, all of the new grants under the 2007 Directors Award Plan were granted to non-employee directors and vest ratably over service periods of one to three years and expire no more than 10 years after the date of grant. In addition, the 2007 Directors Award Plan provides the source of shares to fund distributions made prior to August 15, 2010 under the Directors Deferred Compensation Plan described below. In August 2016, our shareholders approved our proposal to expand the types of stock awards that may be granted to our non-employee directors under the 2007 Directors Award Plan and eliminate the final automatic share reserve increase under the 2007 Directors Award Plan that was scheduled to occur on January 1, 2017. In July 2020, our shareholders approved our proposal to increase the number of ordinary shares authorized for issuance under the 2007 Directors Award Plan by 500,000 shares. As of December 31, 2021, a total of 1,403,938 of our ordinary shares had been authorized for issuance under the 2007 Directors Award Plan.</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Directors Deferred Compensation Plan</w:t>
      </w:r>
    </w:p>
    <w:p>
      <w:pPr>
        <w:spacing w:after="0" w:line="117"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In May 2007, the Jazz Pharmaceuticals, Inc. board of directors adopted the Directors Deferred Compensation Plan, or the Directors Deferred Plan, which was amended in December 2008 and was then amended and restated in August 2010, and which was continued and assumed by us upon consummation of the Azur Merger. The Directors Deferred Plan allows each non-employee director to elect to defer receipt of all or a portion of his or her annual retainer fees to a future date or dates. Amounts deferred under the Directors Deferred Plan are credited as shares of Jazz Pharmaceuticals, Inc.’s common stock (or our ordinary shares following the Azur Merger) to a phantom stock account, the number of which are based on the amount of the retainer fees deferred divided by the market value of Jazz Pharmaceuticals, Inc.’s common stock (or our ordinary shares following the Azur Merger) on the first trading day of the first open window period following the date the retainer fees are deemed earned. On the 10th business day following the day of separation from the board of directors or the occurrence of a change in control, or</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7" w:name="page158"/>
    <w:bookmarkEnd w:id="1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soon thereafter as practical once the non-employee director has provided the necessary information for electronic deposit of the deferred shares, each non-employee director will receive (or commence receiving, depending upon whether the director has elected to receive distributions from his or her phantom stock account in a lump sum or in installments over time) a distribution of his or her phantom stock account, in our ordinary shares (i) reserved under the 2007 Directors Option Plan prior to August 15, 2010 and (ii) from a new reserve of 200,000 shares set up under the Directors Deferred Plan on August 15, 2010. Since the consummation of the Azur Merger we have not permitted non-employee directors to defer any annual retainer fees under the Directors Deferred Plan. On October 31, 2019, our board of directors approved the termination of the Directors Deferred Plan, and all outstanding phantom stock was distributed to each applicable non-employee director on November 2, 2020. We recorded no expense in 2021, 2020 and 2019 related to retainer fees earned and deferred.</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0" w:firstLine="445"/>
        <w:spacing w:after="0" w:line="308" w:lineRule="auto"/>
        <w:rPr>
          <w:sz w:val="20"/>
          <w:szCs w:val="20"/>
          <w:color w:val="auto"/>
        </w:rPr>
      </w:pPr>
      <w:r>
        <w:rPr>
          <w:rFonts w:ascii="Arial" w:cs="Arial" w:eastAsia="Arial" w:hAnsi="Arial"/>
          <w:sz w:val="17"/>
          <w:szCs w:val="17"/>
          <w:color w:val="auto"/>
        </w:rPr>
        <w:t>The table below shows, for market strike price option grants, the weighted-average assumptions used in the Black-Scholes option pricing model and the resulting weighted-average grant date fair value of market strike price option grants granted in each of the past three years: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6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42.09</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Range of risk-free rates</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1.3-2.5%</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188"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We rely on a blend of the historical and implied volatilities of our own ordinary shares to determine expected volatility for share option grants. In addition, we use a single volatility estimate for each share option grant. The weighted-average volatility is determined by calculating the weighted average of volatilities for all share options granted in a given year.</w:t>
      </w:r>
    </w:p>
    <w:p>
      <w:pPr>
        <w:spacing w:after="0" w:line="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expected term of share option grants represents the weighted-average period the awards are expected to remain outstanding and our estimates were based on historical exercise data. The risk-free interest rate assumption was based on zero coupon U.S. Treasury instruments whose term was consistent with the expected term of our share option grants. The expected dividend yield assumption was based on our history and expectation of dividend payouts.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Share-based compensation expense related to share options, RSUs, PRSUs and grants under our ESPP was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78,697</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25,229</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110,563</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We recognized income tax benefits related to share option exercises of $9.3 million, $3.9 million and $5.1 million in 2021, 2020 and 2019, respectively.</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as of December 31, 2021 and activity during 2021 related to our share option plans: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32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Exercise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32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Options 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139.24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30,164</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Exercisable at December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3,270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135.06</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$51.8 million, $26.4 million and $26.2 million during 2021, 2020 and 2019, respectively. We issued new ordinary shares upon exercise of share options.</w:t>
      </w:r>
    </w:p>
    <w:p>
      <w:pPr>
        <w:spacing w:after="0" w:line="79"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As of December 31, 2021, total compensation cost not yet recognized related to unvested share options was $29.2 million, which is expected to be recognized over a weighted-average period of 1.8 years.</w:t>
      </w:r>
    </w:p>
    <w:p>
      <w:pPr>
        <w:spacing w:after="0" w:line="62"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As of December 31, 2021, total compensation cost not yet recognized related to grants under the ESPP was $4.4 million, which is expected to be recognized over a weighted-average period of 1.1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Nominal Strike Price Options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During the second quarter of 2021, we issued nominal strike price options to replace certain unvested GW awards in connection with the GW Acquisition with a weighted-average grant date fair value of $170.82. The fair value of nominal strike price options was determined on the date of the grant based on the market price of our ordinary shares as of that date.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information as of December 31, 2021 and activity during 2021 related to our nominal strike price options: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16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center"/>
              <w:ind w:left="344"/>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16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1"/>
              </w:rPr>
              <w:t>Subject to</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16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344"/>
              <w:spacing w:after="0" w:line="135"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16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344"/>
              <w:spacing w:after="0" w:line="135" w:lineRule="exact"/>
              <w:rPr>
                <w:sz w:val="20"/>
                <w:szCs w:val="20"/>
                <w:color w:val="auto"/>
              </w:rPr>
            </w:pPr>
            <w:r>
              <w:rPr>
                <w:rFonts w:ascii="Arial" w:cs="Arial" w:eastAsia="Arial" w:hAnsi="Arial"/>
                <w:sz w:val="14"/>
                <w:szCs w:val="14"/>
                <w:b w:val="1"/>
                <w:bCs w:val="1"/>
                <w:color w:val="auto"/>
                <w:w w:val="86"/>
              </w:rPr>
              <w:t>Exercise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7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Term (Years)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124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0.02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Options forfeited</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0.02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w:t>
            </w:r>
          </w:p>
        </w:tc>
        <w:tc>
          <w:tcPr>
            <w:tcW w:w="1220" w:type="dxa"/>
            <w:vAlign w:val="bottom"/>
            <w:tcBorders>
              <w:top w:val="single" w:sz="8" w:color="CCEEFF"/>
              <w:bottom w:val="single" w:sz="8" w:color="CCEEFF"/>
            </w:tcBorders>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December 31, 2021</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92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1"/>
              </w:rPr>
              <w:t>0.02</w:t>
            </w: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13,969</w:t>
            </w: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w w:val="86"/>
              </w:rPr>
              <w:t>110</w:t>
            </w:r>
          </w:p>
        </w:tc>
        <w:tc>
          <w:tcPr>
            <w:tcW w:w="1220" w:type="dxa"/>
            <w:vAlign w:val="bottom"/>
            <w:gridSpan w:val="2"/>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20" w:type="dxa"/>
            <w:vAlign w:val="bottom"/>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As of December 31, 2021, total compensation cost not yet recognized related to unvested nominal strike price options was $8.1 million, which is expected to be recognized over a weighted-average period of 1.1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In 2021, we granted RSUs covering an equal number of our ordinary shares to employees with a weighted-average grant date fair value of $168.10. The fair value of RSUs is determined on the date of grant based on the market price of our ordinary shares as of that date. The fair value of the RSUs is recognized as an expense ratably over the vesting period of four years. In 2021, 692,000 RSUs were released with 465,000 ordinary shares issued and 227,000 ordinary shares withheld for tax purposes.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shares vested was $109.2 million, $53.5 million and $52.0 million during 2021, 2020 and 2019, respectively.</w:t>
      </w:r>
    </w:p>
    <w:p>
      <w:pPr>
        <w:spacing w:after="0" w:line="117"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As of December 31, 2021, total compensation cost not yet recognized related to unvested RSUs was $238.2 million, which is expected to be recognized over a weighted-average period of 2.6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as of December 31, 2021 and activity during 2021 related to our RSUs: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3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Number of RSUs (In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3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Grant-Date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3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520" w:type="dxa"/>
            <w:vAlign w:val="bottom"/>
          </w:tcPr>
          <w:p>
            <w:pPr>
              <w:jc w:val="right"/>
              <w:ind w:right="335"/>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6"/>
                <w:szCs w:val="16"/>
                <w:color w:val="auto"/>
              </w:rPr>
            </w:pPr>
          </w:p>
        </w:tc>
        <w:tc>
          <w:tcPr>
            <w:tcW w:w="132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168.10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released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148.12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335,224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In May 2021, the Compensation &amp; Management Development Committee of our board of directors approved awards of PRSU's to certain employees of the Company, subject to vesting on the achievement of certain commercial and pipeline performance criteria to be assessed over a performance period from the date of the grant to December 31, 2023. Following the determination of the Company’s achievement with respect to the performance criteria, the amount of shares awarded will be subject to adjustment based on the application of a relative TSR modifier. The number of shares that may be earned ranges between 0% and 200% of the target number of PRSUs granted based on the degree of achievement of the applicable performance metric and the application of the relative TSR modifier.</w:t>
      </w:r>
    </w:p>
    <w:p>
      <w:pPr>
        <w:spacing w:after="0" w:line="84"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The table below shows the number of PRSUs granted covering an equal number of our ordinary shares and the weighted-average grant date fair value of PRSUs granted: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3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PRSUs (In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3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Grant-Date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3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520" w:type="dxa"/>
            <w:vAlign w:val="bottom"/>
          </w:tcPr>
          <w:p>
            <w:pPr>
              <w:jc w:val="right"/>
              <w:ind w:right="336"/>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6"/>
                <w:szCs w:val="16"/>
                <w:color w:val="auto"/>
              </w:rPr>
            </w:pPr>
          </w:p>
        </w:tc>
        <w:tc>
          <w:tcPr>
            <w:tcW w:w="132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PRSUs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190.81</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 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190.81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4"/>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680" w:firstLine="445"/>
        <w:spacing w:after="0" w:line="277" w:lineRule="auto"/>
        <w:rPr>
          <w:sz w:val="20"/>
          <w:szCs w:val="20"/>
          <w:color w:val="auto"/>
        </w:rPr>
      </w:pPr>
      <w:r>
        <w:rPr>
          <w:rFonts w:ascii="Arial" w:cs="Arial" w:eastAsia="Arial" w:hAnsi="Arial"/>
          <w:sz w:val="18"/>
          <w:szCs w:val="18"/>
          <w:color w:val="auto"/>
        </w:rPr>
        <w:t>As of December 31, 2021, total compensation cost not yet recognized related to unvested PRSUs was $26.4 million, which is expected to be recognized over a weighted-average period of 2.0 years.</w:t>
      </w:r>
    </w:p>
    <w:p>
      <w:pPr>
        <w:spacing w:after="0" w:line="62" w:lineRule="exact"/>
        <w:rPr>
          <w:sz w:val="20"/>
          <w:szCs w:val="20"/>
          <w:color w:val="auto"/>
        </w:rPr>
      </w:pPr>
    </w:p>
    <w:p>
      <w:pPr>
        <w:jc w:val="both"/>
        <w:ind w:right="700" w:firstLine="445"/>
        <w:spacing w:after="0" w:line="311" w:lineRule="auto"/>
        <w:rPr>
          <w:sz w:val="20"/>
          <w:szCs w:val="20"/>
          <w:color w:val="auto"/>
        </w:rPr>
      </w:pPr>
      <w:r>
        <w:rPr>
          <w:rFonts w:ascii="Arial" w:cs="Arial" w:eastAsia="Arial" w:hAnsi="Arial"/>
          <w:sz w:val="16"/>
          <w:szCs w:val="16"/>
          <w:color w:val="auto"/>
        </w:rPr>
        <w:t>As the PRSUs granted in May 2021 are subject to a market condition, the grant date fair value for such PRSUs was based on a Monte Carlo simulation model. The Company evaluated the performance targets in the context of its current long-range financial plan and its product candidate development pipeline and recognized compensation expense based on the probable number of awards that will ultimately vest.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Employee Benefit Plans</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maintain a qualified 401(k) savings plan, in which all U.S. based employees are eligible to participate, provided they meet the requirements of the plan. We match certain employee contributions under the 401(k) savings plan and for the years ended December 31, 2021, 2020 and 2019 we recorded expense of $9.1 million, $6.3 million and $5.0 million, respectively, related to this plan.</w:t>
      </w:r>
    </w:p>
    <w:p>
      <w:pPr>
        <w:spacing w:after="0" w:line="76" w:lineRule="exact"/>
        <w:rPr>
          <w:sz w:val="20"/>
          <w:szCs w:val="20"/>
          <w:color w:val="auto"/>
        </w:rPr>
      </w:pPr>
    </w:p>
    <w:p>
      <w:pPr>
        <w:ind w:right="220" w:firstLine="445"/>
        <w:spacing w:after="0" w:line="308" w:lineRule="auto"/>
        <w:rPr>
          <w:sz w:val="20"/>
          <w:szCs w:val="20"/>
          <w:color w:val="auto"/>
        </w:rPr>
      </w:pPr>
      <w:r>
        <w:rPr>
          <w:rFonts w:ascii="Arial" w:cs="Arial" w:eastAsia="Arial" w:hAnsi="Arial"/>
          <w:sz w:val="17"/>
          <w:szCs w:val="17"/>
          <w:color w:val="auto"/>
        </w:rPr>
        <w:t>We also operate a number of defined contribution retirement plans for certain non-U.S. based employees. Expenses related to contributions to such plans for the years ended December 31, 2021, 2020 and 2019 were $11.4 million, $4.2 million and $3.2 million,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 for employee benefit plans in 2021 included plans acquired in the GW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(loss) before income tax expense (benefit) and equity in loss of investees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(681,291)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3,304</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317,728</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139,721</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454,302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details of income tax expense (benefit)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Ireland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25,770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51,696</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88,850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109,495</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163,456</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exclusive of other components below</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Ireland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(163,626)</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(41,297)</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(38,597)</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exclusive of other components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(242,167)</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change in tax rates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w:t>
            </w: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change in tax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expense (benefit)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(236,610)</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income tax expense of $216.1 million and $33.5 million in 2021 and 2020, respectively, and our income tax benefit of $73.2 million in 2019 related to tax arising on income in Ireland, the U.K., the U.S. and certain other foreign jurisdictions, certain unrecognized tax benefits and various expenses not deductible for income tax purposes. Our income tax expense in 2021 included an expense of $259.9 million arising on the remeasurement of our U.K. net deferred tax liability, which arose primarily in relation to the GW Acquisition, due to a change in the statutory tax rate in the U.K. following enactment of the U.K. Finance Act 2021. Our income tax benefit in 2019 included a discrete tax benefit of $112.3 million resulting from an intra-entity intellectual property asset transfer.</w:t>
      </w:r>
    </w:p>
    <w:p>
      <w:pPr>
        <w:spacing w:after="0" w:line="84"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The effective tax rates for 2021, 2020 and 2019 were (191.5)% , 12.2% and (16.1)%, respectively. The effective tax rate for 2021 was lower than the Irish statutory rate of 12.5% primarily due to the impact of the remeasurement of our U.K. net deferred tax liability due to the change in the statutory tax rate in the U.K. The effective tax rate for 2020 was lower than the Irish statutory rate of 12.5% primarily due to the impact of originating tax credits and deductions on subsidiary equity, partially offset by income taxable at a rate higher than the Irish statutory rate, the disallowance of certain interest deductions and a provision for a proposed settlement reached with the French taxing authorities. The effective tax rate for 2019 was lower than the Irish statutory rate of 12.5% primarily due to the impact of the intra-entity intellectual property asset transfer. The decrease in the effective tax rate in 2021 compared to 2020 was primarily due to the impact of the U.K. statutory rate change. Excluding this impact, the increase in the benefit for income taxes in 2021 compared to 2020 resulted primarily from the mix of pre-tax income and losses incurred across tax jurisdictions, deductions on subsidiary equity and the impacts recognized in 2020 of the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1" w:name="page162"/>
    <w:bookmarkEnd w:id="1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disallowance of certain interest deductions and a provision for a proposed settlement reached with the French taxing authorities. The increase in the effective tax rate in 2020 compared to 2019 was primarily due to the impact of the intra-entity intellectual property asset transfer. Excluding this effect, the increase in the effective tax rate for 2020 compared to 2019 was primarily due to the benefit recognized in 2019 from the application of the Italian patent box incentive regime 2015 through 2019 and the impacts recognized in 2020 of the disallowance of certain interest deductions and a provision for a proposed settlement reached with the French taxing authorities.</w:t>
      </w:r>
    </w:p>
    <w:p>
      <w:pPr>
        <w:spacing w:after="0" w:line="8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reconciliation between the statutory income tax rate applied to income before the income tax expense (benefit) and equity in loss of investees and our effective income tax rate was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53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 at the statutory income tax rate</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56,788</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Change in tax rate</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261,663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6,923</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 on subsidiary equity</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(23,450)</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Change in valuation allowance</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14,823</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other tax credits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(39,776)</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Non-deductible acquisition-related costs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11,738</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Non-deductible compensation</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Financing costs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(7,615)</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unrecognized tax benefits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w w:val="91"/>
              </w:rPr>
              <w:t>Tax deficiencies/(excess tax benefits) from share-based compensation</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income tax rate differential</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39,695</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Foreign derived intangible income benefit</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estimates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Intra-entity transfer of intellectual property assets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(112,274)</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 box incentive benefit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w:t>
            </w:r>
          </w:p>
        </w:tc>
      </w:tr>
      <w:tr>
        <w:trPr>
          <w:trHeight w:val="23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income tax expense/(benefit)</w:t>
            </w: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852"/>
        </w:trPr>
        <w:tc>
          <w:tcPr>
            <w:tcW w:w="5360" w:type="dxa"/>
            <w:vAlign w:val="bottom"/>
          </w:tcPr>
          <w:p>
            <w:pPr>
              <w:spacing w:after="0"/>
              <w:rPr>
                <w:sz w:val="24"/>
                <w:szCs w:val="24"/>
                <w:color w:val="auto"/>
              </w:rPr>
            </w:pPr>
          </w:p>
        </w:tc>
        <w:tc>
          <w:tcPr>
            <w:tcW w:w="1440" w:type="dxa"/>
            <w:vAlign w:val="bottom"/>
            <w:gridSpan w:val="2"/>
          </w:tcPr>
          <w:p>
            <w:pPr>
              <w:jc w:val="right"/>
              <w:ind w:right="910"/>
              <w:spacing w:after="0"/>
              <w:rPr>
                <w:sz w:val="20"/>
                <w:szCs w:val="20"/>
                <w:color w:val="auto"/>
              </w:rPr>
            </w:pPr>
            <w:r>
              <w:rPr>
                <w:rFonts w:ascii="Arial" w:cs="Arial" w:eastAsia="Arial" w:hAnsi="Arial"/>
                <w:sz w:val="18"/>
                <w:szCs w:val="18"/>
                <w:color w:val="auto"/>
              </w:rPr>
              <w:t>F-48</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2" w:name="page163"/>
    <w:bookmarkEnd w:id="1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net deferred tax assets/(liabilities)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284,155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258,296</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 carryforwards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68,860</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189,959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173,918</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62,561</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Deduction on subsidiary equity carryforwards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13,201</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Indirect effects of unrecognized tax benefits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48,743</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26,090</w:t>
            </w: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31,787</w:t>
            </w:r>
          </w:p>
        </w:tc>
      </w:tr>
      <w:tr>
        <w:trPr>
          <w:trHeight w:val="229"/>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69,289</w:t>
            </w:r>
          </w:p>
        </w:tc>
      </w:tr>
      <w:tr>
        <w:trPr>
          <w:trHeight w:val="223"/>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752,745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(77,342)</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675,403</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(448,310)</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(181,742)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(26,316)</w:t>
            </w:r>
          </w:p>
        </w:tc>
      </w:tr>
      <w:tr>
        <w:trPr>
          <w:trHeight w:val="229"/>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(76,258)</w:t>
            </w:r>
          </w:p>
        </w:tc>
      </w:tr>
      <w:tr>
        <w:trPr>
          <w:trHeight w:val="223"/>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(550,884)</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of deferred tax assets and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(989,438)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124,519</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net change in valuation allowance was an increase of $76.9 million, $11.0 million and $5.1 million in 2021, 2020 and 2019, respectively.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presentation of deferred tax assets and liabilities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9"/>
              </w:rPr>
              <w:t>254,916</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color w:val="auto"/>
                <w:w w:val="90"/>
              </w:rPr>
              <w:t>(130,397)</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deferred tax assets and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9"/>
              </w:rPr>
              <w:t>124,519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45"/>
        <w:spacing w:after="0" w:line="284" w:lineRule="auto"/>
        <w:rPr>
          <w:sz w:val="20"/>
          <w:szCs w:val="20"/>
          <w:color w:val="auto"/>
        </w:rPr>
      </w:pPr>
      <w:r>
        <w:rPr>
          <w:rFonts w:ascii="Arial" w:cs="Arial" w:eastAsia="Arial" w:hAnsi="Arial"/>
          <w:sz w:val="16"/>
          <w:szCs w:val="16"/>
          <w:color w:val="auto"/>
        </w:rPr>
        <w:t>As of December 31, 2021, we had net operating losses, or NOL, carryforwards and tax credit carryforwards for U.S. federal income tax purposes of approximately $81.6 million and $216.5 million, respectively, available to reduce future income subject to income taxes. The U.S. federal NOL carryforwards will expire, if not utilized, in the tax years 2022 to 2036, and the U.S. federal tax credits will expire, if not utilized, in the tax years 2022 to 2041. In addition, we had approximately $44.3 million of NOL carryforwards and $8.0 million of tax credit carryforwards as of December 31, 2021 available to reduce future taxable income for U.S. state income tax purposes. The U.S. state NOL carryforwards will expire, if not utilized, in the tax years 2022 to 2040. As of December 31, 2021, there were NOL and other carryforwards for income tax purposes of approximately $864.9 million,</w:t>
      </w:r>
    </w:p>
    <w:p>
      <w:pPr>
        <w:spacing w:after="0" w:line="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$224.3 million, $133.5 million and $45.7 million available to reduce future income subject to income taxes in the United Kingdom, Malta, Ireland and Luxembourg respectively. The NOLs and other carryforwards generated in the United Kingdom, Malta, Ireland and Luxembourg have no expiration date. We also had foreign tax credit carryforwards in Ireland, as of December 31, 2021, of $58.8 million, which may only be utilized against certain sources of income. The foreign tax credit carryforwards have no expiration date.</w:t>
      </w:r>
    </w:p>
    <w:p>
      <w:pPr>
        <w:spacing w:after="0" w:line="85" w:lineRule="exact"/>
        <w:rPr>
          <w:sz w:val="20"/>
          <w:szCs w:val="20"/>
          <w:color w:val="auto"/>
        </w:rPr>
      </w:pPr>
    </w:p>
    <w:p>
      <w:pPr>
        <w:ind w:right="120" w:firstLine="445"/>
        <w:spacing w:after="0" w:line="301" w:lineRule="auto"/>
        <w:rPr>
          <w:sz w:val="20"/>
          <w:szCs w:val="20"/>
          <w:color w:val="auto"/>
        </w:rPr>
      </w:pPr>
      <w:r>
        <w:rPr>
          <w:rFonts w:ascii="Arial" w:cs="Arial" w:eastAsia="Arial" w:hAnsi="Arial"/>
          <w:sz w:val="16"/>
          <w:szCs w:val="16"/>
          <w:color w:val="auto"/>
        </w:rPr>
        <w:t>Utilization of certain of our NOL and tax credit carryforwards in the U.S. is subject to an annual limitation due to the ownership change limitations provided by Sections 382 and 383 of the Internal Revenue Code and similar state provisions. Such an annual limitation may result in the expiration of certain NOLs and tax credits before future utilization. In addition, as a result of the Azur Merger, until 2022 we are subject to certain limitations under the Internal Revenue Code in relation to the utilization of U.S. NOLs to offset U.S. taxable income resulting from certain transactions.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Valuation allowances require an assessment of both positive and negative evidence when determining whether it is more likely than not that deferred tax assets are recoverable. Such assessment is required by tax paying component. Our valuation allowance was $154.3 million and $77.3 million as of December 31, 2021 and 2020, respectively, for certain Irish, U.S. (federal and state) and foreign deferred tax assets which we maintain until sufficient positive evidence exists to support reversal. During 2021, as part of the overall change in valuation allowance, we recognized a net income tax expense of $81.3 million relating primarily to the creation of a valuation allowance against certain deferred tax assets primarily associated with temporary differences related to foreign subsidiaries and foreign tax credit carryforwards. During 2020, as part of the overall change in valuation allowance, we recognized a net income tax expense of $6.2 million relating primarily to the creation of a valuation allowance against certain deferred tax assets primarily associated with temporary differences related to foreign subsidiaries. During 2019, as part of the overall change in valuation allowance, we recognized a net income tax expense of $6.3 million relating primarily to the creation of a valuation allowance of $15.7 million against certain deferred tax assets primarily associated with foreign tax credits and temporary differences related to foreign subsidiaries, partially offset by the net release of valuation allowances against certain deferred tax assets primarily associated with NOLs. We periodically evaluate the likelihood of the realization of deferred tax assets and will adjust such amounts in light of changing facts and circumstances including, but not limited to, future projections of taxable income, tax legislation, rulings by relevant taxing authorities, the progress of tax examinations and the regulatory approval of products currently under development. Realization of the deferred tax assets is dependent on future taxable income.</w:t>
      </w:r>
    </w:p>
    <w:p>
      <w:pPr>
        <w:spacing w:after="0" w:line="76" w:lineRule="exact"/>
        <w:rPr>
          <w:sz w:val="20"/>
          <w:szCs w:val="20"/>
          <w:color w:val="auto"/>
        </w:rPr>
      </w:pPr>
    </w:p>
    <w:p>
      <w:pPr>
        <w:ind w:right="380" w:firstLine="445"/>
        <w:spacing w:after="0" w:line="291" w:lineRule="auto"/>
        <w:rPr>
          <w:sz w:val="20"/>
          <w:szCs w:val="20"/>
          <w:color w:val="auto"/>
        </w:rPr>
      </w:pPr>
      <w:r>
        <w:rPr>
          <w:rFonts w:ascii="Arial" w:cs="Arial" w:eastAsia="Arial" w:hAnsi="Arial"/>
          <w:sz w:val="16"/>
          <w:szCs w:val="16"/>
          <w:color w:val="auto"/>
        </w:rPr>
        <w:t>No provision has been made for income tax on undistributed earnings of the Company’s foreign subsidiaries where such earnings are considered indefinitely reinvested in the foreign operations. Temporary differences related to such earnings totaled approximately $2.3 billion as of</w:t>
      </w:r>
    </w:p>
    <w:p>
      <w:pPr>
        <w:ind w:right="80"/>
        <w:spacing w:after="0" w:line="255" w:lineRule="auto"/>
        <w:rPr>
          <w:sz w:val="20"/>
          <w:szCs w:val="20"/>
          <w:color w:val="auto"/>
        </w:rPr>
      </w:pPr>
      <w:r>
        <w:rPr>
          <w:rFonts w:ascii="Arial" w:cs="Arial" w:eastAsia="Arial" w:hAnsi="Arial"/>
          <w:sz w:val="18"/>
          <w:szCs w:val="18"/>
          <w:color w:val="auto"/>
        </w:rPr>
        <w:t>December 31, 2021. In the event of the distribution of those earnings in the form of dividends, a sale of the subsidiaries, or certain other transactions, we may be liable for income taxes, subject to an adjustment, if any, for foreign tax credits. The Company estimates that it would incur additional income taxes of up to approximately $113 million on repatriation of these unremitted earnings to Ireland.</w:t>
      </w:r>
    </w:p>
    <w:p>
      <w:pPr>
        <w:spacing w:after="0" w:line="82"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We only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our gross unrecognized tax benefits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118,213</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27,552</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recognized through purchase accounting</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Decreases related to settlements with taxing authorities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the applicable statute of limitations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(22,116)</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146,557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124,319</w:t>
            </w:r>
          </w:p>
        </w:tc>
      </w:tr>
      <w:tr>
        <w:trPr>
          <w:trHeight w:val="21"/>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60" w:firstLine="445"/>
        <w:spacing w:after="0" w:line="287" w:lineRule="auto"/>
        <w:rPr>
          <w:sz w:val="20"/>
          <w:szCs w:val="20"/>
          <w:color w:val="auto"/>
        </w:rPr>
      </w:pPr>
      <w:r>
        <w:rPr>
          <w:rFonts w:ascii="Arial" w:cs="Arial" w:eastAsia="Arial" w:hAnsi="Arial"/>
          <w:sz w:val="16"/>
          <w:szCs w:val="16"/>
          <w:color w:val="auto"/>
        </w:rPr>
        <w:t>The unrecognized tax benefits were included in income taxes payable, other non-current liabilities and deferred tax assets, net, in our consolidated balance sheets. Interest related to our unrecognized tax benefits is recorded in the income tax expense (benefit) in our consolidated statements of income (loss). As of December 31, 2021 and 2020, our accrued interest and penalties related to income taxes was $4.6 million and $11.3 million, respectively.</w:t>
      </w:r>
    </w:p>
    <w:p>
      <w:pPr>
        <w:spacing w:after="0" w:line="2"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Interest and penalties related to income taxes benefits recognized in the consolidated statements of income (loss) were not significant. Included in the balance of unrecognized tax benefits were potential benefits of $82.0 million and $93.0 million at December 31, 2021 and 2020, respectively, that, if recognized, would affect the effective tax rate on income.</w:t>
      </w:r>
    </w:p>
    <w:p>
      <w:pPr>
        <w:spacing w:after="0" w:line="8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2017. For the U.K. we are no longer subject to income tax examinations by taxing authorities for the years prior to 2018. The U.S. jurisdictions generally have statute of limitations three to four years from the later of the return due date or the date when the return was filed. However, in the U.S. (at the federal level and in most states), carryforwards that were generated in 2017 and earlier may still be adjusted upon examination by the taxing authorities. During 2021, certain of our subsidiaries were under examination by the French taxing authorities for the years ended December 31, 2012, 2013, 2015, 2016 and 2017. Due to the subjective nature of the transfer pricing issues involved, the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4" w:name="page165"/>
    <w:bookmarkEnd w:id="1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Company reached an agreement with the French taxing authorities to settle the examinations for all open years. The Company paid incremental taxes, interest and penalties of $19.7 million, during 2021 to close all periods under examination. Certain of our Italian subsidiaries are currently under examination by the Italian taxing authorities for the year ended December 31, 2017. Certain of our Luxembourg subsidiaries are currently under examination by the Luxembourg taxing authorities for the years ended December 31, 2017 and 2018. Certain of our German subsidiaries are currently under examination by the German taxing authorities for the years ended December 31, 2017,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165" w:name="page166"/>
    <w:bookmarkEnd w:id="1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Schedule II</w:t>
      </w:r>
    </w:p>
    <w:p>
      <w:pPr>
        <w:spacing w:after="0" w:line="10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Additions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charged to</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beginning</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costs and</w:t>
            </w: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Additions</w:t>
            </w: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1"/>
                <w:szCs w:val="11"/>
                <w:color w:val="auto"/>
              </w:rPr>
            </w:pPr>
          </w:p>
        </w:tc>
        <w:tc>
          <w:tcPr>
            <w:tcW w:w="102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period</w:t>
            </w: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2021</w:t>
            </w:r>
          </w:p>
        </w:tc>
        <w:tc>
          <w:tcPr>
            <w:tcW w:w="1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154,255</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2020</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77,342</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2019</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560" w:hanging="552"/>
        <w:spacing w:after="0"/>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Shown as a reduction of accounts receivable. Charges related to sales discounts and chargebacks are reflected as a reduction of revenue.</w:t>
      </w:r>
    </w:p>
    <w:p>
      <w:pPr>
        <w:spacing w:after="0" w:line="20" w:lineRule="exact"/>
        <w:rPr>
          <w:rFonts w:ascii="Arial" w:cs="Arial" w:eastAsia="Arial" w:hAnsi="Arial"/>
          <w:sz w:val="17"/>
          <w:szCs w:val="17"/>
          <w:color w:val="auto"/>
        </w:rPr>
      </w:pPr>
    </w:p>
    <w:p>
      <w:pPr>
        <w:ind w:left="580" w:right="80" w:hanging="572"/>
        <w:spacing w:after="0" w:line="250" w:lineRule="auto"/>
        <w:tabs>
          <w:tab w:leader="none" w:pos="5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Additions to the deferred tax asset valuation allowance charged to costs and expenses relate to movements on certain Irish, U.S. (federal and state) and other foreign deferred tax assets where we continue to maintain a valuation allowance until sufficient positive evidence exists to support reversal.</w:t>
      </w:r>
    </w:p>
    <w:p>
      <w:pPr>
        <w:spacing w:after="0" w:line="1" w:lineRule="exact"/>
        <w:rPr>
          <w:rFonts w:ascii="Arial" w:cs="Arial" w:eastAsia="Arial" w:hAnsi="Arial"/>
          <w:sz w:val="18"/>
          <w:szCs w:val="18"/>
          <w:color w:val="auto"/>
        </w:rPr>
      </w:pPr>
    </w:p>
    <w:p>
      <w:pPr>
        <w:ind w:left="580" w:right="260" w:hanging="572"/>
        <w:spacing w:after="0" w:line="250" w:lineRule="auto"/>
        <w:tabs>
          <w:tab w:leader="none" w:pos="5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additions to the deferred tax asset valuation allowance relate to currency translation adjustments recorded directly in other comprehensive income and, in 2019, additions resulting from the Cavion asset acquisition.</w:t>
      </w:r>
    </w:p>
    <w:p>
      <w:pPr>
        <w:ind w:left="580" w:hanging="572"/>
        <w:spacing w:after="0" w:line="260" w:lineRule="auto"/>
        <w:tabs>
          <w:tab w:leader="none" w:pos="5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Deductions from the deferred tax asset valuation allowance include movements relating to utilization of NOLs and tax credit carryforwards, release in valuation allowance and other movements including adjustments following finalization of tax returns.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00"/>
          </w:cols>
          <w:pgMar w:left="320" w:top="125" w:right="37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231F20"/>
        </w:rPr>
        <w:t>Exhibit 4.6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DESCRIPTION OF SHARE CAPITAL</w:t>
      </w:r>
    </w:p>
    <w:p>
      <w:pPr>
        <w:spacing w:after="0" w:line="256" w:lineRule="exact"/>
        <w:rPr>
          <w:sz w:val="20"/>
          <w:szCs w:val="20"/>
          <w:color w:val="auto"/>
        </w:rPr>
      </w:pPr>
    </w:p>
    <w:p>
      <w:pPr>
        <w:ind w:right="260" w:firstLine="364"/>
        <w:spacing w:after="0" w:line="309" w:lineRule="auto"/>
        <w:rPr>
          <w:sz w:val="20"/>
          <w:szCs w:val="20"/>
          <w:color w:val="auto"/>
        </w:rPr>
      </w:pPr>
      <w:r>
        <w:rPr>
          <w:rFonts w:ascii="Arial" w:cs="Arial" w:eastAsia="Arial" w:hAnsi="Arial"/>
          <w:sz w:val="17"/>
          <w:szCs w:val="17"/>
          <w:color w:val="auto"/>
        </w:rPr>
        <w:t xml:space="preserve">The following description of the share capital of Jazz Pharmaceuticals plc, or the Company, is a summary. This summary does not purport to be complete and is qualified in its entirety by reference to the Irish Companies Act 2014 (as amended), or the Companies Act, </w:t>
      </w:r>
      <w:r>
        <w:rPr>
          <w:rFonts w:ascii="Arial" w:cs="Arial" w:eastAsia="Arial" w:hAnsi="Arial"/>
          <w:sz w:val="17"/>
          <w:szCs w:val="17"/>
          <w:color w:val="231F20"/>
        </w:rPr>
        <w:t>and the complete text of the</w:t>
      </w:r>
      <w:r>
        <w:rPr>
          <w:rFonts w:ascii="Arial" w:cs="Arial" w:eastAsia="Arial" w:hAnsi="Arial"/>
          <w:sz w:val="17"/>
          <w:szCs w:val="17"/>
          <w:color w:val="auto"/>
        </w:rPr>
        <w:t xml:space="preserve"> </w:t>
      </w:r>
      <w:r>
        <w:rPr>
          <w:rFonts w:ascii="Arial" w:cs="Arial" w:eastAsia="Arial" w:hAnsi="Arial"/>
          <w:sz w:val="17"/>
          <w:szCs w:val="17"/>
          <w:color w:val="231F20"/>
        </w:rPr>
        <w:t>Company’s amended and restated memorandum and articles of association, which amended and restated memorandum and articles of association, or the Company’s Constitution, are filed as Exhibit 3.1 to the Company’s Quarterly Report on Form 10-Q filed with the U.S. Securities and Exchange Commission, or SEC, on August 9, 2016</w:t>
      </w:r>
      <w:r>
        <w:rPr>
          <w:rFonts w:ascii="Arial" w:cs="Arial" w:eastAsia="Arial" w:hAnsi="Arial"/>
          <w:sz w:val="17"/>
          <w:szCs w:val="17"/>
          <w:color w:val="000000"/>
        </w:rPr>
        <w:t>. You should read those laws and documents carefully.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Capital Structure</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Authorized Share Capital</w:t>
      </w:r>
    </w:p>
    <w:p>
      <w:pPr>
        <w:spacing w:after="0" w:line="212" w:lineRule="exact"/>
        <w:rPr>
          <w:sz w:val="20"/>
          <w:szCs w:val="20"/>
          <w:color w:val="auto"/>
        </w:rPr>
      </w:pPr>
    </w:p>
    <w:p>
      <w:pPr>
        <w:ind w:right="260" w:firstLine="324"/>
        <w:spacing w:after="0" w:line="308" w:lineRule="auto"/>
        <w:rPr>
          <w:sz w:val="20"/>
          <w:szCs w:val="20"/>
          <w:color w:val="auto"/>
        </w:rPr>
      </w:pPr>
      <w:r>
        <w:rPr>
          <w:rFonts w:ascii="Arial" w:cs="Arial" w:eastAsia="Arial" w:hAnsi="Arial"/>
          <w:sz w:val="18"/>
          <w:szCs w:val="18"/>
          <w:color w:val="231F20"/>
        </w:rPr>
        <w:t>The authorized share capital of the Company is €40,000 and $30,000, divided into 4,000,000 non-voting euro deferred shares with nominal value of €0.01 per share and 300,000,000 ordinary shares with nominal value of $0.0001 per share.</w:t>
      </w:r>
    </w:p>
    <w:p>
      <w:pPr>
        <w:spacing w:after="0" w:line="144" w:lineRule="exact"/>
        <w:rPr>
          <w:sz w:val="20"/>
          <w:szCs w:val="20"/>
          <w:color w:val="auto"/>
        </w:rPr>
      </w:pPr>
    </w:p>
    <w:p>
      <w:pPr>
        <w:ind w:right="80" w:firstLine="324"/>
        <w:spacing w:after="0" w:line="327" w:lineRule="auto"/>
        <w:rPr>
          <w:sz w:val="20"/>
          <w:szCs w:val="20"/>
          <w:color w:val="auto"/>
        </w:rPr>
      </w:pPr>
      <w:r>
        <w:rPr>
          <w:rFonts w:ascii="Arial" w:cs="Arial" w:eastAsia="Arial" w:hAnsi="Arial"/>
          <w:sz w:val="16"/>
          <w:szCs w:val="16"/>
          <w:color w:val="231F20"/>
        </w:rPr>
        <w:t>The Company may issue shares subject to the maximum authorized share capital contained in the Company’s Constitution. The authorized share capital may be increased or reduced (but not below the number of shares then issued and outstanding) by a resolution approved by a simple majority of the votes cast at a general meeting, in person or by proxy, of the Company’s shareholders (referred to under Irish law as an “ordinary resolution”). The shares comprising the Company’s authorized share capital may be divided into shares of such nominal value as the resolution shall prescribe. As a matter of Irish law, the directors of a company may issue new ordinary or preferred shares for cash without shareholder approval once authorized to do so by the memorandum and articles of association or by an ordinary resolution adopted by the shareholders at a general meeting. The authorization may be granted for a maximum period of five years, at which point it must be renewed by the shareholders by an ordinary resolution.</w:t>
      </w:r>
    </w:p>
    <w:p>
      <w:pPr>
        <w:spacing w:after="0" w:line="12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8"/>
          <w:szCs w:val="18"/>
          <w:color w:val="231F20"/>
        </w:rPr>
        <w:t>The Company’s board of directors is authorized pursuant to shareholder resolutions passed on July 29, 2021 to issue new ordinary or preferred shares for cash without shareholder approval for a period of five years from the date of the passing of the resolutions.</w:t>
      </w:r>
    </w:p>
    <w:p>
      <w:pPr>
        <w:spacing w:after="0" w:line="130" w:lineRule="exact"/>
        <w:rPr>
          <w:sz w:val="20"/>
          <w:szCs w:val="20"/>
          <w:color w:val="auto"/>
        </w:rPr>
      </w:pPr>
    </w:p>
    <w:p>
      <w:pPr>
        <w:ind w:right="80" w:firstLine="324"/>
        <w:spacing w:after="0" w:line="306" w:lineRule="auto"/>
        <w:rPr>
          <w:sz w:val="20"/>
          <w:szCs w:val="20"/>
          <w:color w:val="auto"/>
        </w:rPr>
      </w:pPr>
      <w:r>
        <w:rPr>
          <w:rFonts w:ascii="Arial" w:cs="Arial" w:eastAsia="Arial" w:hAnsi="Arial"/>
          <w:sz w:val="17"/>
          <w:szCs w:val="17"/>
          <w:color w:val="231F20"/>
        </w:rPr>
        <w:t>The rights and restrictions to which ordinary shares are subject are prescribed in the Company’s Constitution. The Company’s Constitution permits it to issue preferred shares once authorized to do so by ordinary resolution. The Company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52" w:lineRule="exact"/>
        <w:rPr>
          <w:sz w:val="20"/>
          <w:szCs w:val="20"/>
          <w:color w:val="auto"/>
        </w:rPr>
      </w:pPr>
    </w:p>
    <w:p>
      <w:pPr>
        <w:ind w:right="160" w:firstLine="324"/>
        <w:spacing w:after="0" w:line="309" w:lineRule="auto"/>
        <w:rPr>
          <w:sz w:val="20"/>
          <w:szCs w:val="20"/>
          <w:color w:val="auto"/>
        </w:rPr>
      </w:pPr>
      <w:r>
        <w:rPr>
          <w:rFonts w:ascii="Arial" w:cs="Arial" w:eastAsia="Arial" w:hAnsi="Arial"/>
          <w:sz w:val="17"/>
          <w:szCs w:val="17"/>
          <w:color w:val="231F20"/>
        </w:rPr>
        <w:t>Irish law does not recognize fractional shares held of record. Accordingly, the Company’s Constitution does not provide for the issuance of fractional shares, and the official Irish register of the Company will not reflect any fractional shares. Whenever an alteration or reorganization of the Company’s share capital would result in any shareholder becoming entitled to fractions of a share, the Company’s board of directors may, on behalf of those shareholders that would become entitled to fractions of a share, sell the shares representing the fractions for the best price reasonably obtainable, to any person and distribute the proceeds of the sale in due proportion among those members.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23" w:right="339" w:bottom="1440" w:gutter="0" w:footer="0" w:header="0"/>
        </w:sectPr>
      </w:pPr>
    </w:p>
    <w:bookmarkStart w:id="167" w:name="page168"/>
    <w:bookmarkEnd w:id="167"/>
    <w:p>
      <w:pPr>
        <w:ind w:left="180"/>
        <w:spacing w:after="0"/>
        <w:rPr>
          <w:sz w:val="20"/>
          <w:szCs w:val="20"/>
          <w:color w:val="auto"/>
        </w:rPr>
      </w:pPr>
      <w:r>
        <w:rPr>
          <w:rFonts w:ascii="Arial" w:cs="Arial" w:eastAsia="Arial" w:hAnsi="Arial"/>
          <w:sz w:val="18"/>
          <w:szCs w:val="18"/>
          <w:b w:val="1"/>
          <w:bCs w:val="1"/>
          <w:i w:val="1"/>
          <w:iCs w:val="1"/>
          <w:color w:val="231F20"/>
        </w:rPr>
        <w:t>Issued Share Capital</w:t>
      </w:r>
    </w:p>
    <w:p>
      <w:pPr>
        <w:spacing w:after="0" w:line="212" w:lineRule="exact"/>
        <w:rPr>
          <w:sz w:val="20"/>
          <w:szCs w:val="20"/>
          <w:color w:val="auto"/>
        </w:rPr>
      </w:pPr>
    </w:p>
    <w:p>
      <w:pPr>
        <w:ind w:right="100" w:firstLine="324"/>
        <w:spacing w:after="0" w:line="305" w:lineRule="auto"/>
        <w:rPr>
          <w:sz w:val="20"/>
          <w:szCs w:val="20"/>
          <w:color w:val="auto"/>
        </w:rPr>
      </w:pPr>
      <w:r>
        <w:rPr>
          <w:rFonts w:ascii="Arial" w:cs="Arial" w:eastAsia="Arial" w:hAnsi="Arial"/>
          <w:sz w:val="17"/>
          <w:szCs w:val="17"/>
          <w:color w:val="231F20"/>
        </w:rPr>
        <w:t>As of December 31, 2021, 61,597,929 ordinary shares were issued and outstanding. In addition, as of December 31, 2021, 4,000,000 non-voting euro deferred shares were issued and outstanding at that time, which shares are held by nominees in order to satisfy an Irish legislative requirement to maintain a minimum level of issued share capital denominated in euro. The euro deferred shares, which are not listed on any stock exchange and are not the subject of any registration, carry no voting rights and are not entitled to receive any dividend or distribution. On a return of assets, whether on liquidation or otherwise, the euro deferred shares will entitle the holder thereof only to the repayment of the amounts paid up on such shares after repayment of the capital paid up on ordinary shares plus the payment of $5,000,000 on each of the ordinary shares and the holders of the euro deferred shares (as such) will not be entitled to any further participation in the assets or profits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Preemption Rights, Share Warrants and Share Options</w:t>
      </w:r>
    </w:p>
    <w:p>
      <w:pPr>
        <w:spacing w:after="0" w:line="216" w:lineRule="exact"/>
        <w:rPr>
          <w:sz w:val="20"/>
          <w:szCs w:val="20"/>
          <w:color w:val="auto"/>
        </w:rPr>
      </w:pPr>
    </w:p>
    <w:p>
      <w:pPr>
        <w:ind w:right="40" w:firstLine="324"/>
        <w:spacing w:after="0" w:line="321" w:lineRule="auto"/>
        <w:rPr>
          <w:sz w:val="20"/>
          <w:szCs w:val="20"/>
          <w:color w:val="auto"/>
        </w:rPr>
      </w:pPr>
      <w:r>
        <w:rPr>
          <w:rFonts w:ascii="Arial" w:cs="Arial" w:eastAsia="Arial" w:hAnsi="Arial"/>
          <w:sz w:val="16"/>
          <w:szCs w:val="16"/>
          <w:color w:val="231F20"/>
        </w:rPr>
        <w:t>Under Irish law, certain statutory preemption rights apply automatically in favor of shareholders where shares are to be issued for cash. However, the Company has opted out of these preemption rights by way of shareholder resolution as permitted under Irish law. Irish law provides that this opt-out expires every five years unless renewed by a resolution approved by not less than 75% of the votes cast at a general meeting, in person or by proxy, of the Company’s shareholders (referred to under Irish law as a “special resolution”). The Company’s current opt-out was approved by shareholder resolutions passed at an extraordinary general meeting on September 23, 2021 (the “</w:t>
      </w:r>
      <w:r>
        <w:rPr>
          <w:rFonts w:ascii="Arial" w:cs="Arial" w:eastAsia="Arial" w:hAnsi="Arial"/>
          <w:sz w:val="16"/>
          <w:szCs w:val="16"/>
          <w:b w:val="1"/>
          <w:bCs w:val="1"/>
          <w:color w:val="231F20"/>
        </w:rPr>
        <w:t>EGM</w:t>
      </w:r>
      <w:r>
        <w:rPr>
          <w:rFonts w:ascii="Arial" w:cs="Arial" w:eastAsia="Arial" w:hAnsi="Arial"/>
          <w:sz w:val="16"/>
          <w:szCs w:val="16"/>
          <w:color w:val="231F20"/>
        </w:rPr>
        <w:t>”) and is limited to the allotment of equity securities up to an aggregate nominal value of US$613.60 (6,136,036 shares) (being equivalent to approximately 10% of the aggregate nominal value of the Company’s issued ordinary share capital as at the last practicable date prior to the issue of the notice of the EGM) and provided further that, with respect to equity securities up to an aggregate nominal value of US$306.80 (3,068,018 shares) (being equivalent to approximately 5% of the aggregate nominal value of the Company’s issued ordinary share capital as at the last practicable date prior to the issue of the notice of the EGM), such allotments are to be used only for the purposes of financing (or refinancing, if the allotment is announced within six months after the original transaction) a transaction which the board of directors of the Company determines to be an acquisition or specified capital investment. This opt-out will expire on March 23, 2023 and if it is not renewed before that date, shares issued for cash will need to be offered to existing shareholders on a pro rata basis to their existing shareholding before the shares may be issued to any new shareholders. The 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stock option or similar equity plan.</w:t>
      </w:r>
    </w:p>
    <w:p>
      <w:pPr>
        <w:spacing w:after="0" w:line="129" w:lineRule="exact"/>
        <w:rPr>
          <w:sz w:val="20"/>
          <w:szCs w:val="20"/>
          <w:color w:val="auto"/>
        </w:rPr>
      </w:pPr>
    </w:p>
    <w:p>
      <w:pPr>
        <w:ind w:firstLine="324"/>
        <w:spacing w:after="0" w:line="325" w:lineRule="auto"/>
        <w:rPr>
          <w:sz w:val="20"/>
          <w:szCs w:val="20"/>
          <w:color w:val="auto"/>
        </w:rPr>
      </w:pPr>
      <w:r>
        <w:rPr>
          <w:rFonts w:ascii="Arial" w:cs="Arial" w:eastAsia="Arial" w:hAnsi="Arial"/>
          <w:sz w:val="16"/>
          <w:szCs w:val="16"/>
          <w:color w:val="231F20"/>
        </w:rPr>
        <w:t>The Company’s Constitution provides that, subject to any shareholder approval requirement under any laws, regulations or the rules of any stock exchange to which it is subject, the Company’s board of directors is authorized, from time to time, in its discretion, to grant such persons, for such periods and upon such terms as it deems advisable, options to purchase such number of shares of any class or classes or of any series of any class as the Company’s board of directors may deem advisable, and to cause warrants or other appropriate instruments evidencing such options to be issued. The Companies Act provides that, save to the extent the constitution of a company provides otherwise, the directors of a company may issue options. The Company is subject to the rules of The NASDAQ Stock Market LLC and the U.S. Internal Revenue Code of 1986, or the Code, which require shareholder approval of certain equity plan and share issuances. The Company’s board of directors may issue shares upon exercise of validly issued warrants or options without shareholder approval or authorization, except as described above (up to the relevant authorized share capital limit).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Dividends</w:t>
      </w:r>
    </w:p>
    <w:p>
      <w:pPr>
        <w:spacing w:after="0" w:line="216" w:lineRule="exact"/>
        <w:rPr>
          <w:sz w:val="20"/>
          <w:szCs w:val="20"/>
          <w:color w:val="auto"/>
        </w:rPr>
      </w:pPr>
    </w:p>
    <w:p>
      <w:pPr>
        <w:ind w:right="120" w:firstLine="324"/>
        <w:spacing w:after="0" w:line="295" w:lineRule="auto"/>
        <w:rPr>
          <w:sz w:val="20"/>
          <w:szCs w:val="20"/>
          <w:color w:val="auto"/>
        </w:rPr>
      </w:pPr>
      <w:r>
        <w:rPr>
          <w:rFonts w:ascii="Arial" w:cs="Arial" w:eastAsia="Arial" w:hAnsi="Arial"/>
          <w:sz w:val="18"/>
          <w:szCs w:val="18"/>
          <w:color w:val="231F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Company’s net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787" w:right="379" w:bottom="1440" w:gutter="0" w:footer="0" w:header="0"/>
        </w:sectPr>
      </w:pPr>
    </w:p>
    <w:bookmarkStart w:id="168" w:name="page169"/>
    <w:bookmarkEnd w:id="168"/>
    <w:p>
      <w:pPr>
        <w:ind w:right="440"/>
        <w:spacing w:after="0" w:line="312" w:lineRule="auto"/>
        <w:rPr>
          <w:sz w:val="20"/>
          <w:szCs w:val="20"/>
          <w:color w:val="auto"/>
        </w:rPr>
      </w:pPr>
      <w:r>
        <w:rPr>
          <w:rFonts w:ascii="Arial" w:cs="Arial" w:eastAsia="Arial" w:hAnsi="Arial"/>
          <w:sz w:val="17"/>
          <w:szCs w:val="17"/>
          <w:color w:val="231F20"/>
        </w:rPr>
        <w:t>assets are equal to, or in excess of, the aggregate of its called up share capital plus undistributable reserves and the distribution does not reduce its net assets below such aggregate. Undistributable reserves include the share premium account, the par value of shares acquired by the Company and the amount by which the Company’s accumulated unrealized profits, so far as not previously utilized by any capitalization, exceed the Company’s accumulated unrealized losses, so far as not previously written off in a reduction or reorganization of capital.</w:t>
      </w:r>
    </w:p>
    <w:p>
      <w:pPr>
        <w:spacing w:after="0" w:line="131" w:lineRule="exact"/>
        <w:rPr>
          <w:sz w:val="20"/>
          <w:szCs w:val="20"/>
          <w:color w:val="auto"/>
        </w:rPr>
      </w:pPr>
    </w:p>
    <w:p>
      <w:pPr>
        <w:ind w:right="20" w:firstLine="324"/>
        <w:spacing w:after="0" w:line="288" w:lineRule="auto"/>
        <w:rPr>
          <w:sz w:val="20"/>
          <w:szCs w:val="20"/>
          <w:color w:val="auto"/>
        </w:rPr>
      </w:pPr>
      <w:r>
        <w:rPr>
          <w:rFonts w:ascii="Arial" w:cs="Arial" w:eastAsia="Arial" w:hAnsi="Arial"/>
          <w:sz w:val="18"/>
          <w:szCs w:val="18"/>
          <w:color w:val="231F20"/>
        </w:rPr>
        <w:t>The determination as to whether or not the Company has sufficient distributable reserves to fund a dividend must be made by reference to its “relevant financial statements.” The “relevant financial statements” are either the last set of unconsolidated annual audited financial statements or other financial statements properly prepared in accordance with the Companies Act, which give a “true and fair view” of the Company’s unconsolidated financial position and accord with accepted accounting practice. The relevant financial statements must be filed in the Companies Registration Office (the official public registry for companies in Ireland).</w:t>
      </w:r>
    </w:p>
    <w:p>
      <w:pPr>
        <w:spacing w:after="0" w:line="162" w:lineRule="exact"/>
        <w:rPr>
          <w:sz w:val="20"/>
          <w:szCs w:val="20"/>
          <w:color w:val="auto"/>
        </w:rPr>
      </w:pPr>
    </w:p>
    <w:p>
      <w:pPr>
        <w:ind w:firstLine="324"/>
        <w:spacing w:after="0" w:line="288" w:lineRule="auto"/>
        <w:rPr>
          <w:sz w:val="20"/>
          <w:szCs w:val="20"/>
          <w:color w:val="auto"/>
        </w:rPr>
      </w:pPr>
      <w:r>
        <w:rPr>
          <w:rFonts w:ascii="Arial" w:cs="Arial" w:eastAsia="Arial" w:hAnsi="Arial"/>
          <w:sz w:val="18"/>
          <w:szCs w:val="18"/>
          <w:color w:val="231F20"/>
        </w:rPr>
        <w:t>The Company’s Constitution authorizes the directors to declare dividends without shareholder approval to the extent they appear justified by profits lawfully available for distribution. The Company’s board of directors may also recommend a dividend to be approved and declared by the shareholders at a general meeting. The Company’s board of directors may direct that the payment be made by distribution of assets, shares or cash, and no dividend issued may exceed the amount recommended by the directors. The dividends declared by the directors or shareholders may be paid in the form of cash or non-cash assets and may be paid in dollars or any other currency.</w:t>
      </w:r>
    </w:p>
    <w:p>
      <w:pPr>
        <w:spacing w:after="0" w:line="149" w:lineRule="exact"/>
        <w:rPr>
          <w:sz w:val="20"/>
          <w:szCs w:val="20"/>
          <w:color w:val="auto"/>
        </w:rPr>
      </w:pPr>
    </w:p>
    <w:p>
      <w:pPr>
        <w:ind w:right="660" w:firstLine="324"/>
        <w:spacing w:after="0" w:line="308" w:lineRule="auto"/>
        <w:rPr>
          <w:sz w:val="20"/>
          <w:szCs w:val="20"/>
          <w:color w:val="auto"/>
        </w:rPr>
      </w:pPr>
      <w:r>
        <w:rPr>
          <w:rFonts w:ascii="Arial" w:cs="Arial" w:eastAsia="Arial" w:hAnsi="Arial"/>
          <w:sz w:val="18"/>
          <w:szCs w:val="18"/>
          <w:color w:val="231F20"/>
        </w:rPr>
        <w:t>The Company’s board of directors may deduct from any dividend payable to any shareholder any amounts payable by such shareholder to the Company in relation to its shares.</w:t>
      </w:r>
    </w:p>
    <w:p>
      <w:pPr>
        <w:spacing w:after="0" w:line="130" w:lineRule="exact"/>
        <w:rPr>
          <w:sz w:val="20"/>
          <w:szCs w:val="20"/>
          <w:color w:val="auto"/>
        </w:rPr>
      </w:pPr>
    </w:p>
    <w:p>
      <w:pPr>
        <w:ind w:right="360" w:firstLine="324"/>
        <w:spacing w:after="0" w:line="319" w:lineRule="auto"/>
        <w:rPr>
          <w:sz w:val="20"/>
          <w:szCs w:val="20"/>
          <w:color w:val="auto"/>
        </w:rPr>
      </w:pPr>
      <w:r>
        <w:rPr>
          <w:rFonts w:ascii="Arial" w:cs="Arial" w:eastAsia="Arial" w:hAnsi="Arial"/>
          <w:sz w:val="17"/>
          <w:szCs w:val="17"/>
          <w:color w:val="231F20"/>
        </w:rPr>
        <w:t>The Company may issue shares with preferred rights to participate in dividends declared by the Company from time to time, as determined by ordinary resolution. The holders of preferred shares may, depending on their terms, rank senior to ordinary shares in terms of dividend rights and/or be entitled to claim arrears of a declared dividend out of subsequently declared dividends in priority to ordinary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 Repurchases, Redemptions and Conversions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Overview</w:t>
      </w:r>
    </w:p>
    <w:p>
      <w:pPr>
        <w:spacing w:after="0" w:line="212" w:lineRule="exact"/>
        <w:rPr>
          <w:sz w:val="20"/>
          <w:szCs w:val="20"/>
          <w:color w:val="auto"/>
        </w:rPr>
      </w:pPr>
    </w:p>
    <w:p>
      <w:pPr>
        <w:ind w:right="40" w:firstLine="324"/>
        <w:spacing w:after="0" w:line="303" w:lineRule="auto"/>
        <w:rPr>
          <w:sz w:val="20"/>
          <w:szCs w:val="20"/>
          <w:color w:val="auto"/>
        </w:rPr>
      </w:pPr>
      <w:r>
        <w:rPr>
          <w:rFonts w:ascii="Arial" w:cs="Arial" w:eastAsia="Arial" w:hAnsi="Arial"/>
          <w:sz w:val="17"/>
          <w:szCs w:val="17"/>
          <w:color w:val="231F20"/>
        </w:rPr>
        <w:t>The Company’s Constitution provides that, unless the board specifically determines otherwise, any ordinary share that it has agreed to acquire shall be deemed to be a redeemable share. Accordingly, for Irish law purposes, the repurchase of ordinary shares by the Company may technically be effected as a redemption of those shares as described below under “</w:t>
      </w:r>
      <w:r>
        <w:rPr>
          <w:rFonts w:ascii="Arial" w:cs="Arial" w:eastAsia="Arial" w:hAnsi="Arial"/>
          <w:sz w:val="17"/>
          <w:szCs w:val="17"/>
          <w:i w:val="1"/>
          <w:iCs w:val="1"/>
          <w:color w:val="231F20"/>
        </w:rPr>
        <w:t>—Repurchases and Redemptions</w:t>
      </w:r>
      <w:r>
        <w:rPr>
          <w:rFonts w:ascii="Arial" w:cs="Arial" w:eastAsia="Arial" w:hAnsi="Arial"/>
          <w:sz w:val="17"/>
          <w:szCs w:val="17"/>
          <w:color w:val="231F20"/>
        </w:rPr>
        <w:t>.” If the Company’s Constitution did not contain such provision, repurchases by the Company would be subject to many of the same rules that apply to purchases of its ordinary shares by subsidiaries described below under “</w:t>
      </w:r>
      <w:r>
        <w:rPr>
          <w:rFonts w:ascii="Arial" w:cs="Arial" w:eastAsia="Arial" w:hAnsi="Arial"/>
          <w:sz w:val="17"/>
          <w:szCs w:val="17"/>
          <w:i w:val="1"/>
          <w:iCs w:val="1"/>
          <w:color w:val="231F20"/>
        </w:rPr>
        <w:t>—Purchases by the Company’s Subsidiaries</w:t>
      </w:r>
      <w:r>
        <w:rPr>
          <w:rFonts w:ascii="Arial" w:cs="Arial" w:eastAsia="Arial" w:hAnsi="Arial"/>
          <w:sz w:val="17"/>
          <w:szCs w:val="17"/>
          <w:color w:val="231F20"/>
        </w:rPr>
        <w:t>,” including the shareholder approval requirements described below, and the requirement that any purchases on market be effected on a “recognized stock exchange,” which, for purposes of the Companies Act, includes The NASDAQ Global Select Market. Neither Irish law nor any of the Company’s constituent documents places limitations on the right of nonresident or foreign owners to vote or hold its ordinary shares. Except where otherwise noted, references herein to repurchasing or buying back ordinary shares refer to the redemption of ordinary shares by the Company or the purchase of ordinary shares by one of its subsidiaries, in each case in accordance with the Company’s Constitution and Irish law as described below.</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Repurchases and Redemptions</w:t>
      </w:r>
    </w:p>
    <w:p>
      <w:pPr>
        <w:spacing w:after="0" w:line="212" w:lineRule="exact"/>
        <w:rPr>
          <w:sz w:val="20"/>
          <w:szCs w:val="20"/>
          <w:color w:val="auto"/>
        </w:rPr>
      </w:pPr>
    </w:p>
    <w:p>
      <w:pPr>
        <w:ind w:right="260" w:firstLine="324"/>
        <w:spacing w:after="0" w:line="347" w:lineRule="auto"/>
        <w:rPr>
          <w:sz w:val="20"/>
          <w:szCs w:val="20"/>
          <w:color w:val="auto"/>
        </w:rPr>
      </w:pPr>
      <w:r>
        <w:rPr>
          <w:rFonts w:ascii="Arial" w:cs="Arial" w:eastAsia="Arial" w:hAnsi="Arial"/>
          <w:sz w:val="16"/>
          <w:szCs w:val="16"/>
          <w:color w:val="231F20"/>
        </w:rPr>
        <w:t>Under Irish law, a company may issue redeemable shares and redeem them out of distributable reserves or the proceeds of a new issue of shares for that purpose. Please see also “</w:t>
      </w:r>
      <w:r>
        <w:rPr>
          <w:rFonts w:ascii="Arial" w:cs="Arial" w:eastAsia="Arial" w:hAnsi="Arial"/>
          <w:sz w:val="16"/>
          <w:szCs w:val="16"/>
          <w:i w:val="1"/>
          <w:iCs w:val="1"/>
          <w:color w:val="231F20"/>
        </w:rPr>
        <w:t>—Dividends</w:t>
      </w:r>
      <w:r>
        <w:rPr>
          <w:rFonts w:ascii="Arial" w:cs="Arial" w:eastAsia="Arial" w:hAnsi="Arial"/>
          <w:sz w:val="16"/>
          <w:szCs w:val="16"/>
          <w:color w:val="231F20"/>
        </w:rPr>
        <w:t>.” The Company may not purchase any of its shares if, as a result of such purchase, the nominal value of its issued share capital which is not redeemable would be less than 10% of the nominal value of its total issued share capital. All redeemable shares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787" w:right="379" w:bottom="1440" w:gutter="0" w:footer="0" w:header="0"/>
        </w:sectPr>
      </w:pPr>
    </w:p>
    <w:bookmarkStart w:id="169" w:name="page170"/>
    <w:bookmarkEnd w:id="169"/>
    <w:p>
      <w:pPr>
        <w:ind w:right="940"/>
        <w:spacing w:after="0" w:line="308" w:lineRule="auto"/>
        <w:rPr>
          <w:sz w:val="20"/>
          <w:szCs w:val="20"/>
          <w:color w:val="auto"/>
        </w:rPr>
      </w:pPr>
      <w:r>
        <w:rPr>
          <w:rFonts w:ascii="Arial" w:cs="Arial" w:eastAsia="Arial" w:hAnsi="Arial"/>
          <w:sz w:val="18"/>
          <w:szCs w:val="18"/>
          <w:color w:val="231F20"/>
        </w:rPr>
        <w:t>must also be fully-paid. Redeemable shares may, upon redemption, be cancelled or held in treasury. Based on the provisions of the Company’s Constitution, shareholder approval will not be required to redeem its shares.</w:t>
      </w:r>
    </w:p>
    <w:p>
      <w:pPr>
        <w:spacing w:after="0" w:line="130" w:lineRule="exact"/>
        <w:rPr>
          <w:sz w:val="20"/>
          <w:szCs w:val="20"/>
          <w:color w:val="auto"/>
        </w:rPr>
      </w:pPr>
    </w:p>
    <w:p>
      <w:pPr>
        <w:jc w:val="both"/>
        <w:ind w:right="40" w:firstLine="324"/>
        <w:spacing w:after="0" w:line="377" w:lineRule="auto"/>
        <w:rPr>
          <w:sz w:val="20"/>
          <w:szCs w:val="20"/>
          <w:color w:val="auto"/>
        </w:rPr>
      </w:pPr>
      <w:r>
        <w:rPr>
          <w:rFonts w:ascii="Arial" w:cs="Arial" w:eastAsia="Arial" w:hAnsi="Arial"/>
          <w:sz w:val="16"/>
          <w:szCs w:val="16"/>
          <w:color w:val="231F20"/>
        </w:rPr>
        <w:t>The Company may also be given an additional general authority to purchase its ordinary shares on market by way of ordinary resolution, which would take effect on the same terms and be subject to the same conditions as applicable to purchases by the Company’s subsidiaries as described below.</w:t>
      </w:r>
    </w:p>
    <w:p>
      <w:pPr>
        <w:spacing w:after="0" w:line="97" w:lineRule="exact"/>
        <w:rPr>
          <w:sz w:val="20"/>
          <w:szCs w:val="20"/>
          <w:color w:val="auto"/>
        </w:rPr>
      </w:pPr>
    </w:p>
    <w:p>
      <w:pPr>
        <w:jc w:val="both"/>
        <w:ind w:right="40" w:firstLine="324"/>
        <w:spacing w:after="0" w:line="347" w:lineRule="auto"/>
        <w:rPr>
          <w:sz w:val="20"/>
          <w:szCs w:val="20"/>
          <w:color w:val="auto"/>
        </w:rPr>
      </w:pPr>
      <w:r>
        <w:rPr>
          <w:rFonts w:ascii="Arial" w:cs="Arial" w:eastAsia="Arial" w:hAnsi="Arial"/>
          <w:sz w:val="16"/>
          <w:szCs w:val="16"/>
          <w:color w:val="231F20"/>
        </w:rPr>
        <w:t>Repurchased and redeemed shares may be cancelled or held as treasury shares. The nominal value of treasury shares held by the Company at any time must not exceed 10% of the aggregate of the par value and share premium received in respect of the allotment of the Company shares together with the par value of any shares acquired by the Company. The Company may not exercise any voting rights in respect of any shares held as treasury shares.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Treasury shares may be canceled by the Company or re-issued subject to certain conditions.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Purchases by the Company’s Subsidiaries</w:t>
      </w:r>
    </w:p>
    <w:p>
      <w:pPr>
        <w:spacing w:after="0" w:line="225" w:lineRule="exact"/>
        <w:rPr>
          <w:sz w:val="20"/>
          <w:szCs w:val="20"/>
          <w:color w:val="auto"/>
        </w:rPr>
      </w:pPr>
    </w:p>
    <w:p>
      <w:pPr>
        <w:ind w:right="40" w:firstLine="324"/>
        <w:spacing w:after="0" w:line="285" w:lineRule="auto"/>
        <w:rPr>
          <w:sz w:val="20"/>
          <w:szCs w:val="20"/>
          <w:color w:val="auto"/>
        </w:rPr>
      </w:pPr>
      <w:r>
        <w:rPr>
          <w:rFonts w:ascii="Arial" w:cs="Arial" w:eastAsia="Arial" w:hAnsi="Arial"/>
          <w:sz w:val="18"/>
          <w:szCs w:val="18"/>
          <w:color w:val="231F20"/>
        </w:rPr>
        <w:t>Under Irish law, an Irish or non-Irish subsidiary of the Company may purchase the Company’s shares either on market or off market. For a subsidiary of the Company to make purchases on market of ordinary shares, the Company’s shareholders must provide general authorization for such purchase by way of ordinary resolution. However, as long as this general authority has been granted, no specific shareholder authority for a particular on market purchase by a subsidiary of ordinary shares is required. For a purchase of ordinary shares by a subsidiary of the Company off market, the proposed purchase contract must be authorized by special resolution of the Company’s shareholders before the contract is entered into. The person whose ordinary shares are to be bought back cannot vote in favor of the special resolution and, from the date of the notice of the meeting at which the resolution approving the contract is proposed, the purchase contract must be on display or must be available for inspection by the Company’s shareholders at the registered office of the Company.</w:t>
      </w:r>
    </w:p>
    <w:p>
      <w:pPr>
        <w:spacing w:after="0" w:line="153" w:lineRule="exact"/>
        <w:rPr>
          <w:sz w:val="20"/>
          <w:szCs w:val="20"/>
          <w:color w:val="auto"/>
        </w:rPr>
      </w:pPr>
    </w:p>
    <w:p>
      <w:pPr>
        <w:ind w:firstLine="324"/>
        <w:spacing w:after="0" w:line="295" w:lineRule="auto"/>
        <w:rPr>
          <w:sz w:val="20"/>
          <w:szCs w:val="20"/>
          <w:color w:val="auto"/>
        </w:rPr>
      </w:pPr>
      <w:r>
        <w:rPr>
          <w:rFonts w:ascii="Arial" w:cs="Arial" w:eastAsia="Arial" w:hAnsi="Arial"/>
          <w:sz w:val="18"/>
          <w:szCs w:val="18"/>
          <w:color w:val="231F20"/>
        </w:rPr>
        <w:t>In order for one of the Company’s subsidiaries to make an on market purchase of its shares, such shares must be purchased on a “recognized stock exchange.” The NASDAQ Global Select Market, on which ordinary shares are currently listed, is specified as a recognized stock exchange for this purpose by Irish law.</w:t>
      </w:r>
    </w:p>
    <w:p>
      <w:pPr>
        <w:spacing w:after="0" w:line="141"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231F20"/>
        </w:rPr>
        <w:t>The number of shares held by the Company’s subsidiaries at any time will count as treasury shares and will be included in any calculation of the permitted treasury share threshold of 10% of the aggregate of the par value and share premium received in respect of the allotment of the Company shares together with the par value of any shares acquired by the Company. While a subsidiary holds the Company’s shares, it cannot exercise any voting rights in respect of those shares and no dividend or other payment (including any payment in a winding up of the Company) shall be payable in respect of those shares. The acquisition of ordinary shares by a subsidiary must be funded out of distributable reserves of the subsidiary.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Lien on Shares, Calls on Shares and Forfeiture of Shares</w:t>
      </w:r>
    </w:p>
    <w:p>
      <w:pPr>
        <w:spacing w:after="0" w:line="216" w:lineRule="exact"/>
        <w:rPr>
          <w:sz w:val="20"/>
          <w:szCs w:val="20"/>
          <w:color w:val="auto"/>
        </w:rPr>
      </w:pPr>
    </w:p>
    <w:p>
      <w:pPr>
        <w:ind w:right="40" w:firstLine="324"/>
        <w:spacing w:after="0" w:line="337" w:lineRule="auto"/>
        <w:rPr>
          <w:sz w:val="20"/>
          <w:szCs w:val="20"/>
          <w:color w:val="auto"/>
        </w:rPr>
      </w:pPr>
      <w:r>
        <w:rPr>
          <w:rFonts w:ascii="Arial" w:cs="Arial" w:eastAsia="Arial" w:hAnsi="Arial"/>
          <w:sz w:val="16"/>
          <w:szCs w:val="16"/>
          <w:color w:val="231F20"/>
        </w:rPr>
        <w:t>The Company’s Constitution provides that it has a first and paramount lien on every share that is not a fully paid up share for all amounts payable at a fixed time or called in respect of that share. Subject to the terms of their allotment, directors may call for any unpaid amounts in respect of any shares to be paid, and if payment is not made, the shares may be forfeited. These provisions are standard inclusions in the memorandum and articles of association of an Irish public company limited by shares such as the Company’s and are only applicable to ordinary shares that have not been fully paid up.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Bonus Shares</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8"/>
          <w:szCs w:val="18"/>
          <w:color w:val="231F20"/>
        </w:rPr>
        <w:t>Under the Company’s Constitution, the Company’s board of directors may resolve to capitalize any amount for the time being standing to the credit of any of the Company’s reserve accounts or to the credit of the profit and loss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787" w:right="379" w:bottom="1440" w:gutter="0" w:footer="0" w:header="0"/>
        </w:sectPr>
      </w:pPr>
    </w:p>
    <w:bookmarkStart w:id="170" w:name="page171"/>
    <w:bookmarkEnd w:id="170"/>
    <w:p>
      <w:pPr>
        <w:ind w:right="560"/>
        <w:spacing w:after="0" w:line="308" w:lineRule="auto"/>
        <w:rPr>
          <w:sz w:val="20"/>
          <w:szCs w:val="20"/>
          <w:color w:val="auto"/>
        </w:rPr>
      </w:pPr>
      <w:r>
        <w:rPr>
          <w:rFonts w:ascii="Arial" w:cs="Arial" w:eastAsia="Arial" w:hAnsi="Arial"/>
          <w:sz w:val="18"/>
          <w:szCs w:val="18"/>
          <w:color w:val="231F20"/>
        </w:rPr>
        <w:t>account which is not available for distribution through the issuance of fully paid up bonus shares on the same basis of entitlement as would apply in respect of a dividend distribution.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Consolidation and Division; Subdivision</w:t>
      </w:r>
    </w:p>
    <w:p>
      <w:pPr>
        <w:spacing w:after="0" w:line="229" w:lineRule="exact"/>
        <w:rPr>
          <w:sz w:val="20"/>
          <w:szCs w:val="20"/>
          <w:color w:val="auto"/>
        </w:rPr>
      </w:pPr>
    </w:p>
    <w:p>
      <w:pPr>
        <w:ind w:right="460" w:firstLine="324"/>
        <w:spacing w:after="0" w:line="377" w:lineRule="auto"/>
        <w:rPr>
          <w:sz w:val="20"/>
          <w:szCs w:val="20"/>
          <w:color w:val="auto"/>
        </w:rPr>
      </w:pPr>
      <w:r>
        <w:rPr>
          <w:rFonts w:ascii="Arial" w:cs="Arial" w:eastAsia="Arial" w:hAnsi="Arial"/>
          <w:sz w:val="16"/>
          <w:szCs w:val="16"/>
          <w:color w:val="231F20"/>
        </w:rPr>
        <w:t>Under the Company’s Constitution, the Company may, by ordinary resolution, consolidate and divide all or any of its share capital into shares of larger nominal value than its existing shares or subdivide its shares into smaller amounts than are fixed by the Company’s Constitution.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Reduction of Share Capital</w:t>
      </w:r>
    </w:p>
    <w:p>
      <w:pPr>
        <w:spacing w:after="0" w:line="216" w:lineRule="exact"/>
        <w:rPr>
          <w:sz w:val="20"/>
          <w:szCs w:val="20"/>
          <w:color w:val="auto"/>
        </w:rPr>
      </w:pPr>
    </w:p>
    <w:p>
      <w:pPr>
        <w:jc w:val="both"/>
        <w:ind w:right="40" w:firstLine="324"/>
        <w:spacing w:after="0" w:line="295" w:lineRule="auto"/>
        <w:rPr>
          <w:sz w:val="20"/>
          <w:szCs w:val="20"/>
          <w:color w:val="auto"/>
        </w:rPr>
      </w:pPr>
      <w:r>
        <w:rPr>
          <w:rFonts w:ascii="Arial" w:cs="Arial" w:eastAsia="Arial" w:hAnsi="Arial"/>
          <w:sz w:val="18"/>
          <w:szCs w:val="18"/>
          <w:color w:val="231F20"/>
        </w:rPr>
        <w:t>The Company may, by ordinary resolution, reduce its authorized share capital in any way. The Company also may, by special resolution and subject to confirmation by the Irish High Court, reduce or cancel its issued share capital (which includes share premium) in any manner permitted by the Companies Act.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Meetings of Shareholders</w:t>
      </w:r>
    </w:p>
    <w:p>
      <w:pPr>
        <w:spacing w:after="0" w:line="2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8"/>
          <w:szCs w:val="18"/>
          <w:color w:val="231F20"/>
        </w:rPr>
        <w:t>The Company is required to hold an annual general meeting at intervals of no more than 15 months from the previous annual general meeting, provided that an annual general meeting is held in each calendar year following the first annual general meeting and no more than nine months after the Company’s fiscal year-end. The Company’s articles of association provide that shareholder meetings may be held outside of Ireland (subject to compliance with the Companies Act). Where a company holds its annual general meeting or extraordinary general meeting outside of Ireland, the Companies Act requires that the company, at its own expense, make all necessary arrangements to ensure that members can by technological means participate in the meeting without leaving Ireland (unless all of the members entitled to attend and vote at the meeting consent in writing to the meeting being held outside of Ireland).</w:t>
      </w:r>
    </w:p>
    <w:p>
      <w:pPr>
        <w:spacing w:after="0" w:line="15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8"/>
          <w:szCs w:val="18"/>
          <w:color w:val="231F20"/>
        </w:rPr>
        <w:t>Notice of an annual general meeting must be given to all of the Company’s shareholders and to its auditors. The Company’s Constitution provides for a minimum notice period of 21 clear days, which is the minimum permitted under Irish law.</w:t>
      </w:r>
    </w:p>
    <w:p>
      <w:pPr>
        <w:spacing w:after="0" w:line="144" w:lineRule="exact"/>
        <w:rPr>
          <w:sz w:val="20"/>
          <w:szCs w:val="20"/>
          <w:color w:val="auto"/>
        </w:rPr>
      </w:pPr>
    </w:p>
    <w:p>
      <w:pPr>
        <w:ind w:right="120" w:firstLine="324"/>
        <w:spacing w:after="0" w:line="290" w:lineRule="auto"/>
        <w:rPr>
          <w:sz w:val="20"/>
          <w:szCs w:val="20"/>
          <w:color w:val="auto"/>
        </w:rPr>
      </w:pPr>
      <w:r>
        <w:rPr>
          <w:rFonts w:ascii="Arial" w:cs="Arial" w:eastAsia="Arial" w:hAnsi="Arial"/>
          <w:sz w:val="18"/>
          <w:szCs w:val="18"/>
          <w:color w:val="231F20"/>
        </w:rPr>
        <w:t>The only matters which must, as a matter of Irish law, be transacted at an annual general meeting are the presentation of the annual financial statements and reports of the directors and auditors, a review by the shareholders of the company’s affairs,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Extraordinary General Meetings of Shareholders</w:t>
      </w:r>
    </w:p>
    <w:p>
      <w:pPr>
        <w:spacing w:after="0" w:line="216" w:lineRule="exact"/>
        <w:rPr>
          <w:sz w:val="20"/>
          <w:szCs w:val="20"/>
          <w:color w:val="auto"/>
        </w:rPr>
      </w:pPr>
    </w:p>
    <w:p>
      <w:pPr>
        <w:ind w:right="60" w:firstLine="324"/>
        <w:spacing w:after="0" w:line="312" w:lineRule="auto"/>
        <w:rPr>
          <w:sz w:val="20"/>
          <w:szCs w:val="20"/>
          <w:color w:val="auto"/>
        </w:rPr>
      </w:pPr>
      <w:r>
        <w:rPr>
          <w:rFonts w:ascii="Arial" w:cs="Arial" w:eastAsia="Arial" w:hAnsi="Arial"/>
          <w:sz w:val="17"/>
          <w:szCs w:val="17"/>
          <w:color w:val="231F20"/>
        </w:rPr>
        <w:t>Extraordinary general meetings may be convened by (i) the Company’s board of directors, (ii) on requisition of the Company’s shareholders holding not less than 10% of its paid up share capital carrying voting rights, (iii) on requisition of the Company’s auditors or (iv) in exceptional cases, by order of the court. Extraordinary general meetings are generally held for the purpose of approving shareholder resolutions as may be required from time to time. At any extraordinary general meeting only such business shall be conducted as is set forth in the notice thereof.</w:t>
      </w:r>
    </w:p>
    <w:p>
      <w:pPr>
        <w:spacing w:after="0" w:line="145" w:lineRule="exact"/>
        <w:rPr>
          <w:sz w:val="20"/>
          <w:szCs w:val="20"/>
          <w:color w:val="auto"/>
        </w:rPr>
      </w:pPr>
    </w:p>
    <w:p>
      <w:pPr>
        <w:ind w:right="40" w:firstLine="324"/>
        <w:spacing w:after="0" w:line="295" w:lineRule="auto"/>
        <w:rPr>
          <w:sz w:val="20"/>
          <w:szCs w:val="20"/>
          <w:color w:val="auto"/>
        </w:rPr>
      </w:pPr>
      <w:r>
        <w:rPr>
          <w:rFonts w:ascii="Arial" w:cs="Arial" w:eastAsia="Arial" w:hAnsi="Arial"/>
          <w:sz w:val="18"/>
          <w:szCs w:val="18"/>
          <w:color w:val="231F20"/>
        </w:rPr>
        <w:t>Notice of an extraordinary general meeting must be given to all of the Company’s shareholders and to its auditors. Under Irish law and the Company’s Constitution, the minimum notice periods are 21 clear days’ notice in writing for an extraordinary general meeting to approve a special resolution and 14 clear days’ notice in writing for any other extraordinary general meeting.</w:t>
      </w:r>
    </w:p>
    <w:p>
      <w:pPr>
        <w:spacing w:after="0" w:line="141" w:lineRule="exact"/>
        <w:rPr>
          <w:sz w:val="20"/>
          <w:szCs w:val="20"/>
          <w:color w:val="auto"/>
        </w:rPr>
      </w:pPr>
    </w:p>
    <w:p>
      <w:pPr>
        <w:ind w:firstLine="324"/>
        <w:spacing w:after="0" w:line="295" w:lineRule="auto"/>
        <w:rPr>
          <w:sz w:val="20"/>
          <w:szCs w:val="20"/>
          <w:color w:val="auto"/>
        </w:rPr>
      </w:pPr>
      <w:r>
        <w:rPr>
          <w:rFonts w:ascii="Arial" w:cs="Arial" w:eastAsia="Arial" w:hAnsi="Arial"/>
          <w:sz w:val="18"/>
          <w:szCs w:val="18"/>
          <w:color w:val="231F20"/>
        </w:rPr>
        <w:t>In the case of an extraordinary general meeting convened by the Company’s shareholders, the proposed purpose of the meeting must be set out in the requisition notice. Upon receipt of any such valid requisition notice, the Company’s board of directors has 21 days to convene a meeting of its shareholders to vote on the matters set out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787" w:right="379" w:bottom="1440" w:gutter="0" w:footer="0" w:header="0"/>
        </w:sectPr>
      </w:pPr>
    </w:p>
    <w:bookmarkStart w:id="171" w:name="page172"/>
    <w:bookmarkEnd w:id="171"/>
    <w:p>
      <w:pPr>
        <w:jc w:val="both"/>
        <w:spacing w:after="0" w:line="347" w:lineRule="auto"/>
        <w:rPr>
          <w:sz w:val="20"/>
          <w:szCs w:val="20"/>
          <w:color w:val="auto"/>
        </w:rPr>
      </w:pPr>
      <w:r>
        <w:rPr>
          <w:rFonts w:ascii="Arial" w:cs="Arial" w:eastAsia="Arial" w:hAnsi="Arial"/>
          <w:sz w:val="16"/>
          <w:szCs w:val="16"/>
          <w:color w:val="231F20"/>
        </w:rPr>
        <w:t>in the requisition notice. This meeting must be held within two months of the receipt of the requisition notice. If the Company’s board of directors does not convene the meeting within such 21-day period, the requisitioning shareholders, or any of them representing more than one half of the total voting rights of all of them, may themselves convene a meeting, which meeting must be held within three months of the Company’s receipt of the requisition notice.</w:t>
      </w:r>
    </w:p>
    <w:p>
      <w:pPr>
        <w:spacing w:after="0" w:line="106" w:lineRule="exact"/>
        <w:rPr>
          <w:sz w:val="20"/>
          <w:szCs w:val="20"/>
          <w:color w:val="auto"/>
        </w:rPr>
      </w:pPr>
    </w:p>
    <w:p>
      <w:pPr>
        <w:ind w:right="40" w:firstLine="324"/>
        <w:spacing w:after="0" w:line="295" w:lineRule="auto"/>
        <w:rPr>
          <w:sz w:val="20"/>
          <w:szCs w:val="20"/>
          <w:color w:val="auto"/>
        </w:rPr>
      </w:pPr>
      <w:r>
        <w:rPr>
          <w:rFonts w:ascii="Arial" w:cs="Arial" w:eastAsia="Arial" w:hAnsi="Arial"/>
          <w:sz w:val="18"/>
          <w:szCs w:val="18"/>
          <w:color w:val="231F20"/>
        </w:rPr>
        <w:t>If the Company’s board of directors becomes aware that its net assets are not greater than half of the amount of the Company’s called-up share capital, it must convene an extraordinary general meeting of its shareholders not later than 28 days from the date that they learn of this fact to consider how to address the situation.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Quorum for General Meetings</w:t>
      </w:r>
    </w:p>
    <w:p>
      <w:pPr>
        <w:spacing w:after="0" w:line="216" w:lineRule="exact"/>
        <w:rPr>
          <w:sz w:val="20"/>
          <w:szCs w:val="20"/>
          <w:color w:val="auto"/>
        </w:rPr>
      </w:pPr>
    </w:p>
    <w:p>
      <w:pPr>
        <w:ind w:right="140" w:firstLine="324"/>
        <w:spacing w:after="0" w:line="295" w:lineRule="auto"/>
        <w:rPr>
          <w:sz w:val="20"/>
          <w:szCs w:val="20"/>
          <w:color w:val="auto"/>
        </w:rPr>
      </w:pPr>
      <w:r>
        <w:rPr>
          <w:rFonts w:ascii="Arial" w:cs="Arial" w:eastAsia="Arial" w:hAnsi="Arial"/>
          <w:sz w:val="18"/>
          <w:szCs w:val="18"/>
          <w:color w:val="231F20"/>
        </w:rPr>
        <w:t>The Company’s Constitution provides that no business shall be transacted at any general meeting unless a quorum is present. One or more of the Company’s shareholders present in person or by proxy holding not less than a majority of the Company’s issued and outstanding shares entitled to vote at the meeting in question constitute a quorum.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Voting</w:t>
      </w:r>
    </w:p>
    <w:p>
      <w:pPr>
        <w:spacing w:after="0" w:line="229" w:lineRule="exact"/>
        <w:rPr>
          <w:sz w:val="20"/>
          <w:szCs w:val="20"/>
          <w:color w:val="auto"/>
        </w:rPr>
      </w:pPr>
    </w:p>
    <w:p>
      <w:pPr>
        <w:ind w:right="320" w:firstLine="324"/>
        <w:spacing w:after="0" w:line="377" w:lineRule="auto"/>
        <w:rPr>
          <w:sz w:val="20"/>
          <w:szCs w:val="20"/>
          <w:color w:val="auto"/>
        </w:rPr>
      </w:pPr>
      <w:r>
        <w:rPr>
          <w:rFonts w:ascii="Arial" w:cs="Arial" w:eastAsia="Arial" w:hAnsi="Arial"/>
          <w:sz w:val="16"/>
          <w:szCs w:val="16"/>
          <w:color w:val="231F20"/>
        </w:rPr>
        <w:t>At general meetings of the Company, a resolution put to the vote of the meeting is decided on a poll. The Company’s Constitution provides that its board of directors or its chairman may determine the manner in which the poll is to be taken and the manner in which the votes are to be counted.</w:t>
      </w:r>
    </w:p>
    <w:p>
      <w:pPr>
        <w:spacing w:after="0" w:line="83"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231F20"/>
        </w:rPr>
        <w:t>Each shareholder is entitled to one vote for each ordinary share that he or she holds as of the record date for the meeting. Voting rights may be exercised by shareholders registered in the Company’s share register as of the record date for the meeting or by a duly appointed proxy, which proxy need not be a shareholder. Where interests in shares are held by a nominee trust company, such company may exercise the rights of the beneficial holders on their behalf as their proxy. All proxies must be appointed in the manner prescribed by the Company’s Constitution, which permits shareholders to notify the Company of their proxy appointments electronically in such manner as may be approved by the Company’s board of directors.</w:t>
      </w:r>
    </w:p>
    <w:p>
      <w:pPr>
        <w:spacing w:after="0" w:line="11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7"/>
          <w:szCs w:val="17"/>
          <w:color w:val="231F20"/>
        </w:rPr>
        <w:t>In accordance with the Company’s Constitution, it may from time to time be authorized by ordinary resolution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the Company’s shares that are held by its subsidiaries are not entitled to be voted at general meetings of shareholders.</w:t>
      </w:r>
    </w:p>
    <w:p>
      <w:pPr>
        <w:spacing w:after="0" w:line="14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8"/>
          <w:szCs w:val="18"/>
          <w:color w:val="231F20"/>
        </w:rPr>
        <w:t>Irish law requires special resolutions of the Company’s shareholders at a general meeting to approve certain matters. Examples of matters requiring special resolutions include:</w:t>
      </w:r>
    </w:p>
    <w:p>
      <w:pPr>
        <w:spacing w:after="0" w:line="13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amending the objects or memorandum of association of the Company;</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amending the articles of association of the Company;</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approving a change of name of the Company;</w:t>
      </w:r>
    </w:p>
    <w:p>
      <w:pPr>
        <w:spacing w:after="0" w:line="144" w:lineRule="exact"/>
        <w:rPr>
          <w:rFonts w:ascii="Arial" w:cs="Arial" w:eastAsia="Arial" w:hAnsi="Arial"/>
          <w:sz w:val="18"/>
          <w:szCs w:val="18"/>
          <w:color w:val="231F20"/>
        </w:rPr>
      </w:pPr>
    </w:p>
    <w:p>
      <w:pPr>
        <w:ind w:left="660" w:right="240" w:hanging="328"/>
        <w:spacing w:after="0" w:line="308" w:lineRule="auto"/>
        <w:tabs>
          <w:tab w:leader="none" w:pos="655"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authorizing the entering into of a guarantee or provision of security in connection with a loan, quasi- loan or credit transaction to a director or a person who is deemed to be “connected” to a director for the purposes of the Companies Act;</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opting out of preemption rights on the issuance of new shares;</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re-registration of the Company from a public limited company to a private company;</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variation of class rights attaching to classes of shares (where the articles of association do not provide otherwise);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787" w:right="379" w:bottom="1440" w:gutter="0" w:footer="0" w:header="0"/>
        </w:sectPr>
      </w:pPr>
    </w:p>
    <w:bookmarkStart w:id="172" w:name="page173"/>
    <w:bookmarkEnd w:id="172"/>
    <w:p>
      <w:pPr>
        <w:ind w:left="660" w:hanging="328"/>
        <w:spacing w:after="0"/>
        <w:tabs>
          <w:tab w:leader="none" w:pos="66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purchase of the Company’s shares off market;</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reduction of issued share capital;</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sanctioning a compromise/scheme of arrangement with creditors or shareholders;</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resolving that the Company be wound up by the Irish courts;</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resolving in favor of a shareholders’ voluntary winding-up; and</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setting the re-issue price of treasury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Unanimous Shareholder Consent to Action Without Meeting</w:t>
      </w:r>
    </w:p>
    <w:p>
      <w:pPr>
        <w:spacing w:after="0" w:line="229" w:lineRule="exact"/>
        <w:rPr>
          <w:sz w:val="20"/>
          <w:szCs w:val="20"/>
          <w:color w:val="auto"/>
        </w:rPr>
      </w:pPr>
    </w:p>
    <w:p>
      <w:pPr>
        <w:ind w:right="60" w:firstLine="324"/>
        <w:spacing w:after="0" w:line="295" w:lineRule="auto"/>
        <w:rPr>
          <w:sz w:val="20"/>
          <w:szCs w:val="20"/>
          <w:color w:val="auto"/>
        </w:rPr>
      </w:pPr>
      <w:r>
        <w:rPr>
          <w:rFonts w:ascii="Arial" w:cs="Arial" w:eastAsia="Arial" w:hAnsi="Arial"/>
          <w:sz w:val="18"/>
          <w:szCs w:val="18"/>
          <w:color w:val="231F20"/>
        </w:rPr>
        <w:t>The Companies Act provides that shareholders may approve an ordinary or special resolution of shareholders without a meeting only if (i) all shareholders sign the written resolution and (ii) the company’s articles of association permit written resolutions of shareholders (the Company’s articles of association contain the appropriate authorizations for this purpose).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Variation of Rights Attaching to a Class or Series of Shares</w:t>
      </w:r>
    </w:p>
    <w:p>
      <w:pPr>
        <w:spacing w:after="0" w:line="216" w:lineRule="exact"/>
        <w:rPr>
          <w:sz w:val="20"/>
          <w:szCs w:val="20"/>
          <w:color w:val="auto"/>
        </w:rPr>
      </w:pPr>
    </w:p>
    <w:p>
      <w:pPr>
        <w:ind w:right="40" w:firstLine="324"/>
        <w:spacing w:after="0" w:line="295" w:lineRule="auto"/>
        <w:rPr>
          <w:sz w:val="20"/>
          <w:szCs w:val="20"/>
          <w:color w:val="auto"/>
        </w:rPr>
      </w:pPr>
      <w:r>
        <w:rPr>
          <w:rFonts w:ascii="Arial" w:cs="Arial" w:eastAsia="Arial" w:hAnsi="Arial"/>
          <w:sz w:val="18"/>
          <w:szCs w:val="18"/>
          <w:color w:val="231F20"/>
        </w:rPr>
        <w:t>Under the Company’s Constitution and the Companies Act, any variation of class rights attaching to its issued shares must be approved by a special resolution of the Company’s shareholders of the affected class or with the consent in writing of the holders of three-quarters of all the votes of that class of shares.</w:t>
      </w:r>
    </w:p>
    <w:p>
      <w:pPr>
        <w:spacing w:after="0" w:line="155"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231F20"/>
        </w:rPr>
        <w:t>The provisions of the Company’s Constitution relating to general meetings apply to general meetings of the holders of any class of the Company’s shares except that the necessary quorum is determined in reference to the shares of the holders of the class. Accordingly, for general meetings of holders of a particular class of the Company’s shares, a quorum consists of the holders present in person or by proxy representing at least one half of the issued shares of the class.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Inspection of Books and Records</w:t>
      </w:r>
    </w:p>
    <w:p>
      <w:pPr>
        <w:spacing w:after="0" w:line="216" w:lineRule="exact"/>
        <w:rPr>
          <w:sz w:val="20"/>
          <w:szCs w:val="20"/>
          <w:color w:val="auto"/>
        </w:rPr>
      </w:pPr>
    </w:p>
    <w:p>
      <w:pPr>
        <w:ind w:right="80" w:firstLine="324"/>
        <w:spacing w:after="0" w:line="325" w:lineRule="auto"/>
        <w:rPr>
          <w:sz w:val="20"/>
          <w:szCs w:val="20"/>
          <w:color w:val="auto"/>
        </w:rPr>
      </w:pPr>
      <w:r>
        <w:rPr>
          <w:rFonts w:ascii="Arial" w:cs="Arial" w:eastAsia="Arial" w:hAnsi="Arial"/>
          <w:sz w:val="16"/>
          <w:szCs w:val="16"/>
          <w:color w:val="231F20"/>
        </w:rPr>
        <w:t>Under Irish law, shareholders have the right to: (i) receive a copy of the Company’s Constitution and any act of the Irish Government which alters its memorandum; (ii) inspect and obtain copies of the minutes of general meetings and the Company’s resolutions; (iii) inspect and receive a copy of the register of shareholders, register of directors and secretaries, register of directors’ interests and other statutory registers maintained in respect of the ordinary shares; (iv) receive copies of financial statements and directors’ and auditors’ reports which have previously been sent to shareholders prior to an annual general meeting; and (v) receive financial statements of any of the Company’s subsidiaries that have previously been sent to shareholders prior to an annual general meeting for the preceding ten years. The Company’s auditors also have the right to inspect all of the Company’s books, records and vouchers. The auditors’ report must be circulated to the shareholders with the Company’s financial statements prepared in accordance with Irish law 21 clear days before the annual general meeting and must be read to the shareholders at the Company’s annual general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Acquisitions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An Irish public limited company may be acquired in a number of ways, including:</w:t>
      </w:r>
    </w:p>
    <w:p>
      <w:pPr>
        <w:spacing w:after="0" w:line="212" w:lineRule="exact"/>
        <w:rPr>
          <w:sz w:val="20"/>
          <w:szCs w:val="20"/>
          <w:color w:val="auto"/>
        </w:rPr>
      </w:pPr>
    </w:p>
    <w:p>
      <w:pPr>
        <w:ind w:left="660" w:right="20" w:hanging="328"/>
        <w:spacing w:after="0" w:line="295" w:lineRule="auto"/>
        <w:tabs>
          <w:tab w:leader="none" w:pos="655" w:val="left"/>
        </w:tabs>
        <w:numPr>
          <w:ilvl w:val="0"/>
          <w:numId w:val="74"/>
        </w:numPr>
        <w:rPr>
          <w:rFonts w:ascii="Arial" w:cs="Arial" w:eastAsia="Arial" w:hAnsi="Arial"/>
          <w:sz w:val="18"/>
          <w:szCs w:val="18"/>
          <w:color w:val="231F20"/>
        </w:rPr>
      </w:pPr>
      <w:r>
        <w:rPr>
          <w:rFonts w:ascii="Arial" w:cs="Arial" w:eastAsia="Arial" w:hAnsi="Arial"/>
          <w:sz w:val="18"/>
          <w:szCs w:val="18"/>
          <w:color w:val="231F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73" w:lineRule="exact"/>
        <w:rPr>
          <w:rFonts w:ascii="Arial" w:cs="Arial" w:eastAsia="Arial" w:hAnsi="Arial"/>
          <w:sz w:val="18"/>
          <w:szCs w:val="18"/>
          <w:color w:val="231F20"/>
        </w:rPr>
      </w:pPr>
    </w:p>
    <w:p>
      <w:pPr>
        <w:ind w:left="660" w:right="240" w:hanging="328"/>
        <w:spacing w:after="0" w:line="308" w:lineRule="auto"/>
        <w:tabs>
          <w:tab w:leader="none" w:pos="655" w:val="left"/>
        </w:tabs>
        <w:numPr>
          <w:ilvl w:val="0"/>
          <w:numId w:val="74"/>
        </w:numPr>
        <w:rPr>
          <w:rFonts w:ascii="Arial" w:cs="Arial" w:eastAsia="Arial" w:hAnsi="Arial"/>
          <w:sz w:val="18"/>
          <w:szCs w:val="18"/>
          <w:color w:val="231F20"/>
        </w:rPr>
      </w:pPr>
      <w:r>
        <w:rPr>
          <w:rFonts w:ascii="Arial" w:cs="Arial" w:eastAsia="Arial" w:hAnsi="Arial"/>
          <w:sz w:val="18"/>
          <w:szCs w:val="18"/>
          <w:color w:val="231F20"/>
        </w:rPr>
        <w:t>through a tender or takeover offer by a third party for all of the Company’s shares. Where the holders of 80% or more of the Company’s shares have accepted an offer for their shares, the remaining shareholders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787" w:right="399" w:bottom="1440" w:gutter="0" w:footer="0" w:header="0"/>
        </w:sectPr>
      </w:pPr>
    </w:p>
    <w:bookmarkStart w:id="173" w:name="page174"/>
    <w:bookmarkEnd w:id="173"/>
    <w:p>
      <w:pPr>
        <w:ind w:left="660" w:right="160"/>
        <w:spacing w:after="0" w:line="290" w:lineRule="auto"/>
        <w:rPr>
          <w:sz w:val="20"/>
          <w:szCs w:val="20"/>
          <w:color w:val="auto"/>
        </w:rPr>
      </w:pPr>
      <w:r>
        <w:rPr>
          <w:rFonts w:ascii="Arial" w:cs="Arial" w:eastAsia="Arial" w:hAnsi="Arial"/>
          <w:sz w:val="18"/>
          <w:szCs w:val="18"/>
          <w:color w:val="231F20"/>
        </w:rPr>
        <w:t>may also be statutorily required to transfer their shares, and if the bidder does not exercise its “squeeze out” right, then the non-accepting shareholders also have a statutory right to require the bidder to acquire their shares on the same terms. If the Company’s shares were to be listed on the main securities market of Euronext Dublin or another main securities market or regulated stock exchange in the European Union, this threshold would be increased to 90%; and</w:t>
      </w:r>
    </w:p>
    <w:p>
      <w:pPr>
        <w:spacing w:after="0" w:line="80" w:lineRule="exact"/>
        <w:rPr>
          <w:sz w:val="20"/>
          <w:szCs w:val="20"/>
          <w:color w:val="auto"/>
        </w:rPr>
      </w:pPr>
    </w:p>
    <w:p>
      <w:pPr>
        <w:ind w:left="660" w:right="60" w:hanging="328"/>
        <w:spacing w:after="0" w:line="295" w:lineRule="auto"/>
        <w:tabs>
          <w:tab w:leader="none" w:pos="655" w:val="left"/>
        </w:tabs>
        <w:numPr>
          <w:ilvl w:val="0"/>
          <w:numId w:val="75"/>
        </w:numPr>
        <w:rPr>
          <w:rFonts w:ascii="Arial" w:cs="Arial" w:eastAsia="Arial" w:hAnsi="Arial"/>
          <w:sz w:val="18"/>
          <w:szCs w:val="18"/>
          <w:color w:val="231F20"/>
        </w:rPr>
      </w:pPr>
      <w:r>
        <w:rPr>
          <w:rFonts w:ascii="Arial" w:cs="Arial" w:eastAsia="Arial" w:hAnsi="Arial"/>
          <w:sz w:val="18"/>
          <w:szCs w:val="18"/>
          <w:color w:val="231F20"/>
        </w:rPr>
        <w:t>by way of a merger with an EU-incorporated company under the EU Directive 2017/1132 relating to certain aspects of Company Law (as amended) and the European Communities (Cross-Border Mergers) Regulations 2008 (as amended). Such a merger must be approved by a special resolution.</w:t>
      </w:r>
    </w:p>
    <w:p>
      <w:pPr>
        <w:spacing w:after="0" w:line="141" w:lineRule="exact"/>
        <w:rPr>
          <w:sz w:val="20"/>
          <w:szCs w:val="20"/>
          <w:color w:val="auto"/>
        </w:rPr>
      </w:pPr>
    </w:p>
    <w:p>
      <w:pPr>
        <w:ind w:right="260" w:firstLine="324"/>
        <w:spacing w:after="0" w:line="308" w:lineRule="auto"/>
        <w:rPr>
          <w:sz w:val="20"/>
          <w:szCs w:val="20"/>
          <w:color w:val="auto"/>
        </w:rPr>
      </w:pPr>
      <w:r>
        <w:rPr>
          <w:rFonts w:ascii="Arial" w:cs="Arial" w:eastAsia="Arial" w:hAnsi="Arial"/>
          <w:sz w:val="18"/>
          <w:szCs w:val="18"/>
          <w:color w:val="231F20"/>
        </w:rPr>
        <w:t>Irish law does not generally require shareholder approval for a sale, lease or exchange of all or substantially all of a company’s property and assets, unless the company is listed on a regulated stock exchange in the European Union.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Appraisal Rights</w:t>
      </w:r>
    </w:p>
    <w:p>
      <w:pPr>
        <w:spacing w:after="0" w:line="21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231F20"/>
        </w:rPr>
        <w:t>Generally, under Irish law, shareholders of an Irish company do not have dissenters’ or appraisal rights. Under the European Communities (Cross-Border Mergers) Regulations 2008 governing the merger of an Irish company limited by shares such as the Company and a company incorporated in the European Economic Area (the European Economic Area includes all member states of the European Union and Norway, Iceland and Liechtenstein),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Disclosure of Interests in Shares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7"/>
          <w:szCs w:val="17"/>
          <w:color w:val="231F20"/>
        </w:rPr>
        <w:t>Under the Companies Act, subject to certain limited exceptions, a person must notify the Company (but not the public) if, as a result of a transaction, such person will become interested in three percent or more of the Company’s voting shares, or if as a result of a transaction a shareholder who was interested in more than three percent of its voting shares ceases to be so interested. Where any person is interested in more than three percent of the Company’s voting shares, such person must notify the Company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person is interested as a proportion of the entire nominal value of the Company’s issued share capital (or any such class of share capital in issue). Where the percentage level of the person’s interest does not amount to a whole percentage, this figure may be rounded down to the next whole number. The Company must be notified within five business days of the transaction or alteration of the person’s interests that gave rise to the notification requirement. If a person fails to comply with these notification requirements, such person’s rights in respect of any of the Company’s shares he or she holds will not be enforceable, either directly or indirectly. However, such person may apply to the court to have the rights attaching to such shares reinstated.</w:t>
      </w:r>
    </w:p>
    <w:p>
      <w:pPr>
        <w:spacing w:after="0" w:line="143" w:lineRule="exact"/>
        <w:rPr>
          <w:sz w:val="20"/>
          <w:szCs w:val="20"/>
          <w:color w:val="auto"/>
        </w:rPr>
      </w:pPr>
    </w:p>
    <w:p>
      <w:pPr>
        <w:ind w:right="20" w:firstLine="324"/>
        <w:spacing w:after="0" w:line="329" w:lineRule="auto"/>
        <w:rPr>
          <w:sz w:val="20"/>
          <w:szCs w:val="20"/>
          <w:color w:val="auto"/>
        </w:rPr>
      </w:pPr>
      <w:r>
        <w:rPr>
          <w:rFonts w:ascii="Arial" w:cs="Arial" w:eastAsia="Arial" w:hAnsi="Arial"/>
          <w:sz w:val="16"/>
          <w:szCs w:val="16"/>
          <w:color w:val="231F20"/>
        </w:rPr>
        <w:t>In addition to these disclosure requirements, the Company, under the Companies Act,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to: (i) indicate whether or not it is the case; and (ii) where such person holds or has during that time held an interest in the Company’s shares, to provide additional information, including the person’s own past or present interests in the Company’s shares. If the recipient of the notice fails to respond within the reasonable time period specified in the notice, the Company may apply to a court for an order directing that the affected shares be subject to certain restrictions, as prescribed by the Companies Act, as follows:</w:t>
      </w:r>
    </w:p>
    <w:p>
      <w:pPr>
        <w:spacing w:after="0" w:line="120" w:lineRule="exact"/>
        <w:rPr>
          <w:sz w:val="20"/>
          <w:szCs w:val="20"/>
          <w:color w:val="auto"/>
        </w:rPr>
      </w:pPr>
    </w:p>
    <w:p>
      <w:pPr>
        <w:ind w:left="660" w:right="260" w:hanging="328"/>
        <w:spacing w:after="0" w:line="308" w:lineRule="auto"/>
        <w:tabs>
          <w:tab w:leader="none" w:pos="655" w:val="left"/>
        </w:tabs>
        <w:numPr>
          <w:ilvl w:val="0"/>
          <w:numId w:val="76"/>
        </w:numPr>
        <w:rPr>
          <w:rFonts w:ascii="Arial" w:cs="Arial" w:eastAsia="Arial" w:hAnsi="Arial"/>
          <w:sz w:val="18"/>
          <w:szCs w:val="18"/>
          <w:color w:val="231F20"/>
        </w:rPr>
      </w:pPr>
      <w:r>
        <w:rPr>
          <w:rFonts w:ascii="Arial" w:cs="Arial" w:eastAsia="Arial" w:hAnsi="Arial"/>
          <w:sz w:val="18"/>
          <w:szCs w:val="18"/>
          <w:color w:val="231F20"/>
        </w:rPr>
        <w:t>any transfer of those shares or, in the case of unissued shares, any transfer of the right to be issued with shares and any issue of shares, shall be void;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787" w:right="399" w:bottom="1440" w:gutter="0" w:footer="0" w:header="0"/>
        </w:sectPr>
      </w:pPr>
    </w:p>
    <w:bookmarkStart w:id="174" w:name="page175"/>
    <w:bookmarkEnd w:id="174"/>
    <w:p>
      <w:pPr>
        <w:ind w:left="660" w:hanging="328"/>
        <w:spacing w:after="0"/>
        <w:tabs>
          <w:tab w:leader="none" w:pos="660"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no voting rights shall be exercisable in respect of those shares;</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no further shares shall be issued in right of those shares or in pursuance of any offer made to the holder of those shares; and</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no payment shall be made of any sums due from the Company on those shares, whether in respect of capital or otherwise.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court may also order that shares subject to any of these restrictions be sold with the restrictions terminating upon the completion of the sale.</w:t>
      </w:r>
    </w:p>
    <w:p>
      <w:pPr>
        <w:spacing w:after="0" w:line="237" w:lineRule="exact"/>
        <w:rPr>
          <w:sz w:val="20"/>
          <w:szCs w:val="20"/>
          <w:color w:val="auto"/>
        </w:rPr>
      </w:pPr>
    </w:p>
    <w:p>
      <w:pPr>
        <w:ind w:right="520" w:firstLine="324"/>
        <w:spacing w:after="0" w:line="308" w:lineRule="auto"/>
        <w:rPr>
          <w:sz w:val="20"/>
          <w:szCs w:val="20"/>
          <w:color w:val="auto"/>
        </w:rPr>
      </w:pPr>
      <w:r>
        <w:rPr>
          <w:rFonts w:ascii="Arial" w:cs="Arial" w:eastAsia="Arial" w:hAnsi="Arial"/>
          <w:sz w:val="18"/>
          <w:szCs w:val="18"/>
          <w:color w:val="231F20"/>
        </w:rPr>
        <w:t>In the event the Company is in an offer period pursuant to the Irish takeover rules, as defined below, accelerated disclosure provisions apply for persons holding an interest in the Company’s securities of one percent or more.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Irish Takeover Rules and Substantial Acquisition Rules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231F20"/>
        </w:rPr>
        <w:t>A transaction in which a third party seeks to acquire 30% or more of the voting rights of the Company and certain other acquisitions of the Company’s securities are governed by the Irish Takeover Panel Act 1997 and the Irish Takeover Rules made thereunder, which are referred to herein as the “Irish takeover rules,” and are regulated by the Irish Takeover Panel. The “General Principles” of the Irish takeover rules and certain important aspects of the Irish takeover rules are described below.</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Principles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Irish takeover rules are built on the following General Principles which will apply to any transaction regulated by the Irish Takeover Panel:</w:t>
      </w:r>
    </w:p>
    <w:p>
      <w:pPr>
        <w:spacing w:after="0" w:line="237" w:lineRule="exact"/>
        <w:rPr>
          <w:sz w:val="20"/>
          <w:szCs w:val="20"/>
          <w:color w:val="auto"/>
        </w:rPr>
      </w:pPr>
    </w:p>
    <w:p>
      <w:pPr>
        <w:ind w:left="660" w:right="60" w:hanging="328"/>
        <w:spacing w:after="0" w:line="308" w:lineRule="auto"/>
        <w:tabs>
          <w:tab w:leader="none" w:pos="655"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in the event of an offer, all holders of securities of the target company must be afforded equivalent treatment and, if a person acquires control of a company, the other holders of securities must be protected;</w:t>
      </w:r>
    </w:p>
    <w:p>
      <w:pPr>
        <w:spacing w:after="0" w:line="62" w:lineRule="exact"/>
        <w:rPr>
          <w:rFonts w:ascii="Arial" w:cs="Arial" w:eastAsia="Arial" w:hAnsi="Arial"/>
          <w:sz w:val="18"/>
          <w:szCs w:val="18"/>
          <w:color w:val="231F20"/>
        </w:rPr>
      </w:pPr>
    </w:p>
    <w:p>
      <w:pPr>
        <w:ind w:left="660" w:right="60" w:hanging="328"/>
        <w:spacing w:after="0" w:line="347" w:lineRule="auto"/>
        <w:tabs>
          <w:tab w:leader="none" w:pos="655" w:val="left"/>
        </w:tabs>
        <w:numPr>
          <w:ilvl w:val="0"/>
          <w:numId w:val="78"/>
        </w:numPr>
        <w:rPr>
          <w:rFonts w:ascii="Arial" w:cs="Arial" w:eastAsia="Arial" w:hAnsi="Arial"/>
          <w:sz w:val="16"/>
          <w:szCs w:val="16"/>
          <w:color w:val="231F20"/>
        </w:rPr>
      </w:pPr>
      <w:r>
        <w:rPr>
          <w:rFonts w:ascii="Arial" w:cs="Arial" w:eastAsia="Arial" w:hAnsi="Arial"/>
          <w:sz w:val="16"/>
          <w:szCs w:val="16"/>
          <w:color w:val="231F20"/>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38" w:lineRule="exact"/>
        <w:rPr>
          <w:rFonts w:ascii="Arial" w:cs="Arial" w:eastAsia="Arial" w:hAnsi="Arial"/>
          <w:sz w:val="16"/>
          <w:szCs w:val="16"/>
          <w:color w:val="231F20"/>
        </w:rPr>
      </w:pPr>
    </w:p>
    <w:p>
      <w:pPr>
        <w:ind w:left="660" w:right="740" w:hanging="328"/>
        <w:spacing w:after="0" w:line="308" w:lineRule="auto"/>
        <w:tabs>
          <w:tab w:leader="none" w:pos="655"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a target company’s board of directors must act in the interests of the company as a whole and must not deny the holders of securities the opportunity to decide on the merits of the offer;</w:t>
      </w:r>
    </w:p>
    <w:p>
      <w:pPr>
        <w:spacing w:after="0" w:line="62" w:lineRule="exact"/>
        <w:rPr>
          <w:rFonts w:ascii="Arial" w:cs="Arial" w:eastAsia="Arial" w:hAnsi="Arial"/>
          <w:sz w:val="18"/>
          <w:szCs w:val="18"/>
          <w:color w:val="231F20"/>
        </w:rPr>
      </w:pPr>
    </w:p>
    <w:p>
      <w:pPr>
        <w:ind w:left="660" w:right="220" w:hanging="328"/>
        <w:spacing w:after="0" w:line="341" w:lineRule="auto"/>
        <w:tabs>
          <w:tab w:leader="none" w:pos="655" w:val="left"/>
        </w:tabs>
        <w:numPr>
          <w:ilvl w:val="0"/>
          <w:numId w:val="78"/>
        </w:numPr>
        <w:rPr>
          <w:rFonts w:ascii="Arial" w:cs="Arial" w:eastAsia="Arial" w:hAnsi="Arial"/>
          <w:sz w:val="17"/>
          <w:szCs w:val="17"/>
          <w:color w:val="231F20"/>
        </w:rPr>
      </w:pPr>
      <w:r>
        <w:rPr>
          <w:rFonts w:ascii="Arial" w:cs="Arial" w:eastAsia="Arial" w:hAnsi="Arial"/>
          <w:sz w:val="17"/>
          <w:szCs w:val="17"/>
          <w:color w:val="231F20"/>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38" w:lineRule="exact"/>
        <w:rPr>
          <w:rFonts w:ascii="Arial" w:cs="Arial" w:eastAsia="Arial" w:hAnsi="Arial"/>
          <w:sz w:val="17"/>
          <w:szCs w:val="17"/>
          <w:color w:val="231F20"/>
        </w:rPr>
      </w:pPr>
    </w:p>
    <w:p>
      <w:pPr>
        <w:ind w:left="660" w:right="240" w:hanging="328"/>
        <w:spacing w:after="0" w:line="308" w:lineRule="auto"/>
        <w:tabs>
          <w:tab w:leader="none" w:pos="655"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a bidder can only announce an offer after ensuring that he or she can pay in full the consideration offered, if such is offered, and after taking all reasonable measures to secure the implementation of any other type of consideration;</w:t>
      </w:r>
    </w:p>
    <w:p>
      <w:pPr>
        <w:spacing w:after="0" w:line="62" w:lineRule="exact"/>
        <w:rPr>
          <w:rFonts w:ascii="Arial" w:cs="Arial" w:eastAsia="Arial" w:hAnsi="Arial"/>
          <w:sz w:val="18"/>
          <w:szCs w:val="18"/>
          <w:color w:val="231F20"/>
        </w:rPr>
      </w:pPr>
    </w:p>
    <w:p>
      <w:pPr>
        <w:ind w:left="660" w:hanging="328"/>
        <w:spacing w:after="0" w:line="295" w:lineRule="auto"/>
        <w:tabs>
          <w:tab w:leader="none" w:pos="655"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a target company may not be hindered in the conduct of its affairs longer than is reasonable by an offer for its securities (this is a recognition that an offer will disrupt the day-to-day running of a target company, particularly if the offer is hostile and the board of directors of the target company must direct its attention to resisting the offer); and</w:t>
      </w:r>
    </w:p>
    <w:p>
      <w:pPr>
        <w:spacing w:after="0" w:line="73" w:lineRule="exact"/>
        <w:rPr>
          <w:rFonts w:ascii="Arial" w:cs="Arial" w:eastAsia="Arial" w:hAnsi="Arial"/>
          <w:sz w:val="18"/>
          <w:szCs w:val="18"/>
          <w:color w:val="231F20"/>
        </w:rPr>
      </w:pPr>
    </w:p>
    <w:p>
      <w:pPr>
        <w:ind w:left="660" w:right="180" w:hanging="328"/>
        <w:spacing w:after="0" w:line="295" w:lineRule="auto"/>
        <w:tabs>
          <w:tab w:leader="none" w:pos="655"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an acquisition of securities (whether such acquisition is to be effected by one transaction or a series of transactions) shall take place only at an acceptable speed and shall be subject to adequate and timely disclosure. Specifically, the acquisition of 10% or more of the issued voting shares within a seven day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787" w:right="399" w:bottom="1440" w:gutter="0" w:footer="0" w:header="0"/>
        </w:sectPr>
      </w:pPr>
    </w:p>
    <w:bookmarkStart w:id="175" w:name="page176"/>
    <w:bookmarkEnd w:id="175"/>
    <w:p>
      <w:pPr>
        <w:ind w:left="660" w:right="300"/>
        <w:spacing w:after="0" w:line="308" w:lineRule="auto"/>
        <w:rPr>
          <w:sz w:val="20"/>
          <w:szCs w:val="20"/>
          <w:color w:val="auto"/>
        </w:rPr>
      </w:pPr>
      <w:r>
        <w:rPr>
          <w:rFonts w:ascii="Arial" w:cs="Arial" w:eastAsia="Arial" w:hAnsi="Arial"/>
          <w:sz w:val="18"/>
          <w:szCs w:val="18"/>
          <w:color w:val="231F20"/>
        </w:rPr>
        <w:t>period that would take a shareholder’s holding to or above 15% of the issued voting shares (but less than 30%) is prohibited, subject to certain exemptions.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Mandatory Bid</w:t>
      </w:r>
    </w:p>
    <w:p>
      <w:pPr>
        <w:spacing w:after="0" w:line="225" w:lineRule="exact"/>
        <w:rPr>
          <w:sz w:val="20"/>
          <w:szCs w:val="20"/>
          <w:color w:val="auto"/>
        </w:rPr>
      </w:pPr>
    </w:p>
    <w:p>
      <w:pPr>
        <w:ind w:firstLine="324"/>
        <w:spacing w:after="0" w:line="324" w:lineRule="auto"/>
        <w:rPr>
          <w:sz w:val="20"/>
          <w:szCs w:val="20"/>
          <w:color w:val="auto"/>
        </w:rPr>
      </w:pPr>
      <w:r>
        <w:rPr>
          <w:rFonts w:ascii="Arial" w:cs="Arial" w:eastAsia="Arial" w:hAnsi="Arial"/>
          <w:sz w:val="16"/>
          <w:szCs w:val="16"/>
          <w:color w:val="231F20"/>
        </w:rPr>
        <w:t>Under certain circumstances, a person who acquires ordinary shares, or other of the Company’s voting securities, may be required under the Irish takeover rules to make a mandatory cash offer for the remaining issued and outstanding voting securities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the Company, unless the Irish Takeover Panel otherwise consents. An acquisition of securities by a person holding, together with its concert parties, securities representing between 30% and 50% of the voting rights in the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Voluntary bid; Requirements to Make a Cash Offer and Minimum Price Requirements</w:t>
      </w:r>
    </w:p>
    <w:p>
      <w:pPr>
        <w:spacing w:after="0" w:line="212" w:lineRule="exact"/>
        <w:rPr>
          <w:sz w:val="20"/>
          <w:szCs w:val="20"/>
          <w:color w:val="auto"/>
        </w:rPr>
      </w:pPr>
    </w:p>
    <w:p>
      <w:pPr>
        <w:ind w:right="20" w:firstLine="324"/>
        <w:spacing w:after="0" w:line="290" w:lineRule="auto"/>
        <w:rPr>
          <w:sz w:val="20"/>
          <w:szCs w:val="20"/>
          <w:color w:val="auto"/>
        </w:rPr>
      </w:pPr>
      <w:r>
        <w:rPr>
          <w:rFonts w:ascii="Arial" w:cs="Arial" w:eastAsia="Arial" w:hAnsi="Arial"/>
          <w:sz w:val="18"/>
          <w:szCs w:val="18"/>
          <w:color w:val="231F20"/>
        </w:rPr>
        <w:t>If a person makes a voluntary offer to acquire the issued and outstanding ordinary shares of the Company and the bidder acquired ordinary shares in the three-month period prior to the commencement of the offer period, the offer price must not be less than the highest price paid for ordinary shares by the bidder or its concert parties during that period. The Irish Takeover Panel has the power to extend the “look back” period to 12 months if the Irish Takeover Panel, taking into account the General Principles, believes it is appropriate to do so.</w:t>
      </w:r>
    </w:p>
    <w:p>
      <w:pPr>
        <w:spacing w:after="0" w:line="161" w:lineRule="exact"/>
        <w:rPr>
          <w:sz w:val="20"/>
          <w:szCs w:val="20"/>
          <w:color w:val="auto"/>
        </w:rPr>
      </w:pPr>
    </w:p>
    <w:p>
      <w:pPr>
        <w:ind w:right="40" w:firstLine="324"/>
        <w:spacing w:after="0" w:line="329" w:lineRule="auto"/>
        <w:rPr>
          <w:sz w:val="20"/>
          <w:szCs w:val="20"/>
          <w:color w:val="auto"/>
        </w:rPr>
      </w:pPr>
      <w:r>
        <w:rPr>
          <w:rFonts w:ascii="Arial" w:cs="Arial" w:eastAsia="Arial" w:hAnsi="Arial"/>
          <w:sz w:val="16"/>
          <w:szCs w:val="16"/>
          <w:color w:val="231F20"/>
        </w:rPr>
        <w:t>If the bidder or any of its concert parties has acquired more than 10% of the issued and outstanding ordinary shares (i) during the period of 12 months prior to the commencement of the offer period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or, in the case of (ii), the offer period. The Irish Takeover Panel may apply this rule to a bidder who, together with its concert parties, has acquired less than 10% of the total ordinary shares in the 12-month period prior to the commencement of the offer period if the Irish Takeover Panel, taking into account the General Principles, considers it just and proper to do so.</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An offer period will generally commence on the date of the first announcement of the offer or proposed offer.</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Substantial Acquisition Rules</w:t>
      </w:r>
    </w:p>
    <w:p>
      <w:pPr>
        <w:spacing w:after="0" w:line="225" w:lineRule="exact"/>
        <w:rPr>
          <w:sz w:val="20"/>
          <w:szCs w:val="20"/>
          <w:color w:val="auto"/>
        </w:rPr>
      </w:pPr>
    </w:p>
    <w:p>
      <w:pPr>
        <w:ind w:right="60" w:firstLine="324"/>
        <w:spacing w:after="0" w:line="306" w:lineRule="auto"/>
        <w:rPr>
          <w:sz w:val="20"/>
          <w:szCs w:val="20"/>
          <w:color w:val="auto"/>
        </w:rPr>
      </w:pPr>
      <w:r>
        <w:rPr>
          <w:rFonts w:ascii="Arial" w:cs="Arial" w:eastAsia="Arial" w:hAnsi="Arial"/>
          <w:sz w:val="17"/>
          <w:szCs w:val="17"/>
          <w:color w:val="231F20"/>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Frustrating Action</w:t>
      </w:r>
    </w:p>
    <w:p>
      <w:pPr>
        <w:spacing w:after="0" w:line="212" w:lineRule="exact"/>
        <w:rPr>
          <w:sz w:val="20"/>
          <w:szCs w:val="20"/>
          <w:color w:val="auto"/>
        </w:rPr>
      </w:pPr>
    </w:p>
    <w:p>
      <w:pPr>
        <w:ind w:right="80" w:firstLine="324"/>
        <w:spacing w:after="0" w:line="308" w:lineRule="auto"/>
        <w:rPr>
          <w:sz w:val="20"/>
          <w:szCs w:val="20"/>
          <w:color w:val="auto"/>
        </w:rPr>
      </w:pPr>
      <w:r>
        <w:rPr>
          <w:rFonts w:ascii="Arial" w:cs="Arial" w:eastAsia="Arial" w:hAnsi="Arial"/>
          <w:sz w:val="18"/>
          <w:szCs w:val="18"/>
          <w:color w:val="231F20"/>
        </w:rPr>
        <w:t>Under the Irish takeover rules, the Company’s board of directors is not permitted to take any action that might frustrate an offer for its shares once the Company’s board of directors has received an approach that may lead to 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787" w:right="379" w:bottom="1440" w:gutter="0" w:footer="0" w:header="0"/>
        </w:sectPr>
      </w:pPr>
    </w:p>
    <w:bookmarkStart w:id="176" w:name="page177"/>
    <w:bookmarkEnd w:id="176"/>
    <w:p>
      <w:pPr>
        <w:ind w:right="80"/>
        <w:spacing w:after="0" w:line="316" w:lineRule="auto"/>
        <w:rPr>
          <w:sz w:val="20"/>
          <w:szCs w:val="20"/>
          <w:color w:val="auto"/>
        </w:rPr>
      </w:pPr>
      <w:r>
        <w:rPr>
          <w:rFonts w:ascii="Arial" w:cs="Arial" w:eastAsia="Arial" w:hAnsi="Arial"/>
          <w:sz w:val="16"/>
          <w:szCs w:val="16"/>
          <w:color w:val="231F20"/>
        </w:rPr>
        <w:t>offer or has reason to believe that such an offer is or may be imminent, subject to certain exceptions. Potentially frustrating actions such as (i) the issue of shares, options or convertible securities, (ii) material acquisitions or disposals, (iii) entering into contracts other than in the ordinary course of business or</w:t>
      </w:r>
    </w:p>
    <w:p>
      <w:pPr>
        <w:spacing w:after="0" w:line="2" w:lineRule="exact"/>
        <w:rPr>
          <w:sz w:val="20"/>
          <w:szCs w:val="20"/>
          <w:color w:val="auto"/>
        </w:rPr>
      </w:pPr>
    </w:p>
    <w:p>
      <w:pPr>
        <w:ind w:right="440" w:firstLine="8"/>
        <w:spacing w:after="0" w:line="295" w:lineRule="auto"/>
        <w:tabs>
          <w:tab w:leader="none" w:pos="305" w:val="left"/>
        </w:tabs>
        <w:numPr>
          <w:ilvl w:val="0"/>
          <w:numId w:val="79"/>
        </w:numPr>
        <w:rPr>
          <w:rFonts w:ascii="Arial" w:cs="Arial" w:eastAsia="Arial" w:hAnsi="Arial"/>
          <w:sz w:val="18"/>
          <w:szCs w:val="18"/>
          <w:color w:val="231F20"/>
        </w:rPr>
      </w:pPr>
      <w:r>
        <w:rPr>
          <w:rFonts w:ascii="Arial" w:cs="Arial" w:eastAsia="Arial" w:hAnsi="Arial"/>
          <w:sz w:val="18"/>
          <w:szCs w:val="18"/>
          <w:color w:val="231F20"/>
        </w:rPr>
        <w:t>any action, other than seeking alternative offers, which may result in frustration of an offer, are prohibited during the course of an offer or at any earlier time during which the Company’s board of directors has reason to believe an offer is or may be imminent. Exceptions to this prohibition are available where:</w:t>
      </w:r>
    </w:p>
    <w:p>
      <w:pPr>
        <w:spacing w:after="0" w:line="141" w:lineRule="exact"/>
        <w:rPr>
          <w:rFonts w:ascii="Arial" w:cs="Arial" w:eastAsia="Arial" w:hAnsi="Arial"/>
          <w:sz w:val="18"/>
          <w:szCs w:val="18"/>
          <w:color w:val="231F20"/>
        </w:rPr>
      </w:pPr>
    </w:p>
    <w:p>
      <w:pPr>
        <w:ind w:left="660" w:hanging="328"/>
        <w:spacing w:after="0"/>
        <w:tabs>
          <w:tab w:leader="none" w:pos="660"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the action is approved by the Company’s shareholders at a general meeting; or</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the Irish Takeover Panel has given its consent, where:</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it is satisfied the action would not constitute frustrating action;</w:t>
      </w:r>
    </w:p>
    <w:p>
      <w:pPr>
        <w:spacing w:after="0" w:line="144" w:lineRule="exact"/>
        <w:rPr>
          <w:rFonts w:ascii="Arial" w:cs="Arial" w:eastAsia="Arial" w:hAnsi="Arial"/>
          <w:sz w:val="18"/>
          <w:szCs w:val="18"/>
          <w:color w:val="231F20"/>
        </w:rPr>
      </w:pPr>
    </w:p>
    <w:p>
      <w:pPr>
        <w:ind w:left="660" w:right="80" w:hanging="328"/>
        <w:spacing w:after="0" w:line="308" w:lineRule="auto"/>
        <w:tabs>
          <w:tab w:leader="none" w:pos="655"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the Company’s shareholders holding more than 50% of the voting rights state in writing that they approve the proposed action and would vote in favor of it at a general meeting;</w:t>
      </w:r>
    </w:p>
    <w:p>
      <w:pPr>
        <w:spacing w:after="0" w:line="62" w:lineRule="exact"/>
        <w:rPr>
          <w:rFonts w:ascii="Arial" w:cs="Arial" w:eastAsia="Arial" w:hAnsi="Arial"/>
          <w:sz w:val="18"/>
          <w:szCs w:val="18"/>
          <w:color w:val="231F20"/>
        </w:rPr>
      </w:pPr>
    </w:p>
    <w:p>
      <w:pPr>
        <w:ind w:left="660" w:right="120" w:hanging="328"/>
        <w:spacing w:after="0" w:line="308" w:lineRule="auto"/>
        <w:tabs>
          <w:tab w:leader="none" w:pos="655"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the action is taken in accordance with a contract entered into prior to the announcement of the offer (or any earlier time at which the Company’s board of directors considered the offer to be imminent); or</w:t>
      </w:r>
    </w:p>
    <w:p>
      <w:pPr>
        <w:spacing w:after="0" w:line="62" w:lineRule="exact"/>
        <w:rPr>
          <w:rFonts w:ascii="Arial" w:cs="Arial" w:eastAsia="Arial" w:hAnsi="Arial"/>
          <w:sz w:val="18"/>
          <w:szCs w:val="18"/>
          <w:color w:val="231F20"/>
        </w:rPr>
      </w:pPr>
    </w:p>
    <w:p>
      <w:pPr>
        <w:ind w:left="660" w:right="340" w:hanging="328"/>
        <w:spacing w:after="0" w:line="308" w:lineRule="auto"/>
        <w:tabs>
          <w:tab w:leader="none" w:pos="655"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the decision to take such action was made before the announcement of the offer and either has been at least partially implemented or is in the ordinary course of business.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Provisions</w:t>
      </w:r>
    </w:p>
    <w:p>
      <w:pPr>
        <w:spacing w:after="0" w:line="212" w:lineRule="exact"/>
        <w:rPr>
          <w:sz w:val="20"/>
          <w:szCs w:val="20"/>
          <w:color w:val="auto"/>
        </w:rPr>
      </w:pPr>
    </w:p>
    <w:p>
      <w:pPr>
        <w:ind w:right="20" w:firstLine="324"/>
        <w:spacing w:after="0" w:line="290" w:lineRule="auto"/>
        <w:rPr>
          <w:sz w:val="20"/>
          <w:szCs w:val="20"/>
          <w:color w:val="auto"/>
        </w:rPr>
      </w:pPr>
      <w:r>
        <w:rPr>
          <w:rFonts w:ascii="Arial" w:cs="Arial" w:eastAsia="Arial" w:hAnsi="Arial"/>
          <w:sz w:val="18"/>
          <w:szCs w:val="18"/>
          <w:color w:val="231F20"/>
        </w:rPr>
        <w:t>Certain other provisions of Irish law or the Company’s Constitution may be considered to have anti-takeover effects, including advance notice requirements for director nominations and other shareholder proposals, as well those described under the following captions: “</w:t>
      </w:r>
      <w:r>
        <w:rPr>
          <w:rFonts w:ascii="Arial" w:cs="Arial" w:eastAsia="Arial" w:hAnsi="Arial"/>
          <w:sz w:val="18"/>
          <w:szCs w:val="18"/>
          <w:i w:val="1"/>
          <w:iCs w:val="1"/>
          <w:color w:val="231F20"/>
        </w:rPr>
        <w:t>—Capital Structure—</w:t>
      </w:r>
      <w:r>
        <w:rPr>
          <w:rFonts w:ascii="Arial" w:cs="Arial" w:eastAsia="Arial" w:hAnsi="Arial"/>
          <w:sz w:val="18"/>
          <w:szCs w:val="18"/>
          <w:color w:val="231F20"/>
        </w:rPr>
        <w:t xml:space="preserve"> </w:t>
      </w:r>
      <w:r>
        <w:rPr>
          <w:rFonts w:ascii="Arial" w:cs="Arial" w:eastAsia="Arial" w:hAnsi="Arial"/>
          <w:sz w:val="18"/>
          <w:szCs w:val="18"/>
          <w:i w:val="1"/>
          <w:iCs w:val="1"/>
          <w:color w:val="231F20"/>
        </w:rPr>
        <w:t>Authorized Share Capital</w:t>
      </w:r>
      <w:r>
        <w:rPr>
          <w:rFonts w:ascii="Arial" w:cs="Arial" w:eastAsia="Arial" w:hAnsi="Arial"/>
          <w:sz w:val="18"/>
          <w:szCs w:val="18"/>
          <w:color w:val="231F20"/>
        </w:rPr>
        <w:t>” (regarding issuance of preferred shares), “</w:t>
      </w:r>
      <w:r>
        <w:rPr>
          <w:rFonts w:ascii="Arial" w:cs="Arial" w:eastAsia="Arial" w:hAnsi="Arial"/>
          <w:sz w:val="18"/>
          <w:szCs w:val="18"/>
          <w:i w:val="1"/>
          <w:iCs w:val="1"/>
          <w:color w:val="231F20"/>
        </w:rPr>
        <w:t>—Preemption Rights, Share Warrants and Share Options</w:t>
      </w:r>
      <w:r>
        <w:rPr>
          <w:rFonts w:ascii="Arial" w:cs="Arial" w:eastAsia="Arial" w:hAnsi="Arial"/>
          <w:sz w:val="18"/>
          <w:szCs w:val="18"/>
          <w:color w:val="231F20"/>
        </w:rPr>
        <w:t>,” “</w:t>
      </w:r>
      <w:r>
        <w:rPr>
          <w:rFonts w:ascii="Arial" w:cs="Arial" w:eastAsia="Arial" w:hAnsi="Arial"/>
          <w:sz w:val="18"/>
          <w:szCs w:val="18"/>
          <w:i w:val="1"/>
          <w:iCs w:val="1"/>
          <w:color w:val="231F20"/>
        </w:rPr>
        <w:t>—Disclosure of Interests in Shares</w:t>
      </w:r>
      <w:r>
        <w:rPr>
          <w:rFonts w:ascii="Arial" w:cs="Arial" w:eastAsia="Arial" w:hAnsi="Arial"/>
          <w:sz w:val="18"/>
          <w:szCs w:val="18"/>
          <w:color w:val="231F20"/>
        </w:rPr>
        <w:t>” and “</w:t>
      </w:r>
      <w:r>
        <w:rPr>
          <w:rFonts w:ascii="Arial" w:cs="Arial" w:eastAsia="Arial" w:hAnsi="Arial"/>
          <w:sz w:val="18"/>
          <w:szCs w:val="18"/>
          <w:i w:val="1"/>
          <w:iCs w:val="1"/>
          <w:color w:val="231F20"/>
        </w:rPr>
        <w:t>—Corporate Governance</w:t>
      </w:r>
      <w:r>
        <w:rPr>
          <w:rFonts w:ascii="Arial" w:cs="Arial" w:eastAsia="Arial" w:hAnsi="Arial"/>
          <w:sz w:val="18"/>
          <w:szCs w:val="18"/>
          <w:color w:val="231F20"/>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Governance</w:t>
      </w:r>
    </w:p>
    <w:p>
      <w:pPr>
        <w:spacing w:after="0" w:line="229" w:lineRule="exact"/>
        <w:rPr>
          <w:sz w:val="20"/>
          <w:szCs w:val="20"/>
          <w:color w:val="auto"/>
        </w:rPr>
      </w:pPr>
    </w:p>
    <w:p>
      <w:pPr>
        <w:ind w:right="60" w:firstLine="324"/>
        <w:spacing w:after="0" w:line="288" w:lineRule="auto"/>
        <w:rPr>
          <w:sz w:val="20"/>
          <w:szCs w:val="20"/>
          <w:color w:val="auto"/>
        </w:rPr>
      </w:pPr>
      <w:r>
        <w:rPr>
          <w:rFonts w:ascii="Arial" w:cs="Arial" w:eastAsia="Arial" w:hAnsi="Arial"/>
          <w:sz w:val="18"/>
          <w:szCs w:val="18"/>
          <w:color w:val="231F20"/>
        </w:rPr>
        <w:t>The Company’s Constitution delegates the day-to-day management of the Company to the board of directors. The Company’s board of directors may then delegate the management of the Company to committees of the board of directors (consisting of one or more members of the board of directors) or executives; regardless, the Company’s board of directors remains responsible, as a matter of Irish law, for the proper management of the affairs of the company. Committees may meet and adjourn as they determine proper. A vote at any committee meeting will be determined by a majority of votes of the members present.</w:t>
      </w:r>
    </w:p>
    <w:p>
      <w:pPr>
        <w:spacing w:after="0" w:line="149"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231F20"/>
        </w:rPr>
        <w:t>The Company’s board of directors has a standing audit committee, a compensation committee and a nominating and corporate governance committee, with each committee comprised solely of independent directors, as prescribed by The NASDAQ Global Select Market listing standards and SEC rules and regulations. The Company has adopted corporate governance policies, including a code of conduct and an insider trading policy, as well as an open door reporting policy and a comprehensive compliance program.</w:t>
      </w:r>
    </w:p>
    <w:p>
      <w:pPr>
        <w:spacing w:after="0" w:line="147" w:lineRule="exact"/>
        <w:rPr>
          <w:sz w:val="20"/>
          <w:szCs w:val="20"/>
          <w:color w:val="auto"/>
        </w:rPr>
      </w:pPr>
    </w:p>
    <w:p>
      <w:pPr>
        <w:ind w:right="260" w:firstLine="324"/>
        <w:spacing w:after="0" w:line="308" w:lineRule="auto"/>
        <w:rPr>
          <w:sz w:val="20"/>
          <w:szCs w:val="20"/>
          <w:color w:val="auto"/>
        </w:rPr>
      </w:pPr>
      <w:r>
        <w:rPr>
          <w:rFonts w:ascii="Arial" w:cs="Arial" w:eastAsia="Arial" w:hAnsi="Arial"/>
          <w:sz w:val="18"/>
          <w:szCs w:val="18"/>
          <w:color w:val="231F20"/>
        </w:rPr>
        <w:t>The Companies Act require a minimum of two directors. The Company’s Constitution provides that the board may determine the size of the board from time to time.</w:t>
      </w:r>
    </w:p>
    <w:p>
      <w:pPr>
        <w:spacing w:after="0" w:line="144"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231F20"/>
        </w:rPr>
        <w:t>The Company’s board of directors is divided into three classes, designated Class I, Class II and Class III. The term of the Class I directors will expire on the date of the 2024 annual general meeting; the term of the Class II directors will expire on the date of the 2022 annual general meeting; and the term of the Class III directors will expire on the date of the 2023 annual general meeting. At each annual general meeting of shareholders, successors to the class of directors whose term expires at that annual general meeting are elected for a three-year term. In no case will any decrease in the number of directors shorten the term of any incumbent director. A director may hold office until the annual general meeting of the year in which his or her term expires and until his or her successor is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787" w:right="4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231F20"/>
        </w:rPr>
        <w:t>elected and duly qualified, subject to his or her prior death, resignation, retirement, disqualification or removal from office.</w:t>
      </w:r>
    </w:p>
    <w:p>
      <w:pPr>
        <w:spacing w:after="0" w:line="212" w:lineRule="exact"/>
        <w:rPr>
          <w:sz w:val="20"/>
          <w:szCs w:val="20"/>
          <w:color w:val="auto"/>
        </w:rPr>
      </w:pPr>
    </w:p>
    <w:p>
      <w:pPr>
        <w:ind w:right="40" w:firstLine="324"/>
        <w:spacing w:after="0" w:line="305" w:lineRule="auto"/>
        <w:rPr>
          <w:sz w:val="20"/>
          <w:szCs w:val="20"/>
          <w:color w:val="auto"/>
        </w:rPr>
      </w:pPr>
      <w:r>
        <w:rPr>
          <w:rFonts w:ascii="Arial" w:cs="Arial" w:eastAsia="Arial" w:hAnsi="Arial"/>
          <w:sz w:val="17"/>
          <w:szCs w:val="17"/>
          <w:color w:val="231F20"/>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 Accordingly, the Company’s Constitution provides that if, at any general meeting of shareholders, the number of directors is reduced below the minimum prescribed by the Constitution due to the failure of any person nominated to be a director to be elected, then, in such circumstances, the nominee or nominees who receive the highest number of votes in favor of election will be elected in order to maintain such prescribed minimum number of directors. Each director elected in this manner will remain a director (subject to the provisions of the Companies Act and the articles of association) only until the conclusion of the next annual general meeting unless he or she is reelected.</w:t>
      </w:r>
    </w:p>
    <w:p>
      <w:pPr>
        <w:spacing w:after="0" w:line="151" w:lineRule="exact"/>
        <w:rPr>
          <w:sz w:val="20"/>
          <w:szCs w:val="20"/>
          <w:color w:val="auto"/>
        </w:rPr>
      </w:pPr>
    </w:p>
    <w:p>
      <w:pPr>
        <w:ind w:right="80" w:firstLine="324"/>
        <w:spacing w:after="0" w:line="312" w:lineRule="auto"/>
        <w:rPr>
          <w:sz w:val="20"/>
          <w:szCs w:val="20"/>
          <w:color w:val="auto"/>
        </w:rPr>
      </w:pPr>
      <w:r>
        <w:rPr>
          <w:rFonts w:ascii="Arial" w:cs="Arial" w:eastAsia="Arial" w:hAnsi="Arial"/>
          <w:sz w:val="17"/>
          <w:szCs w:val="17"/>
          <w:color w:val="231F20"/>
        </w:rPr>
        <w:t>Under the Companies Act and notwithstanding anything contained in the Constitution or in any agreement between the Company and a director, the Company’s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the Company in respect of his removal.</w:t>
      </w:r>
    </w:p>
    <w:p>
      <w:pPr>
        <w:spacing w:after="0" w:line="13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8"/>
          <w:szCs w:val="18"/>
          <w:color w:val="231F20"/>
        </w:rPr>
        <w:t>The Company’s Constitution provides that the board of directors may fill any vacancy occurring on the board of directors. If the Company’s board of directors fills a vacancy, the director’s term expires at the next annual general meeting. A vacancy on the board of directors created by the removal of a director may be filled by the shareholders at the meeting at which such director is removed and, in the absence of such election or appointment, the remaining directors may fill the vacancy.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Legal Name; Formation; Fiscal Year; Registered Office</w:t>
      </w:r>
    </w:p>
    <w:p>
      <w:pPr>
        <w:spacing w:after="0" w:line="202" w:lineRule="exact"/>
        <w:rPr>
          <w:sz w:val="20"/>
          <w:szCs w:val="20"/>
          <w:color w:val="auto"/>
        </w:rPr>
      </w:pPr>
    </w:p>
    <w:p>
      <w:pPr>
        <w:ind w:firstLine="324"/>
        <w:spacing w:after="0" w:line="288" w:lineRule="auto"/>
        <w:rPr>
          <w:sz w:val="20"/>
          <w:szCs w:val="20"/>
          <w:color w:val="auto"/>
        </w:rPr>
      </w:pPr>
      <w:r>
        <w:rPr>
          <w:rFonts w:ascii="Arial" w:cs="Arial" w:eastAsia="Arial" w:hAnsi="Arial"/>
          <w:sz w:val="18"/>
          <w:szCs w:val="18"/>
          <w:color w:val="231F20"/>
        </w:rPr>
        <w:t>Jazz Pharmaceuticals Public Limited Company is the Company’s current legal and commercial name. The Company was incorporated in Ireland on March 15, 2005 as a private limited company (registration number 399192) under the name Azur Pharma Limited. Azur Pharma Limited was re-registered as a public limited company named Azur Pharma Public Limited Company effective October 20, 2011, and was subsequently renamed Jazz Pharmaceuticals Public Limited Company on January 16, 2012. The Company’s fiscal year ends on December 31st and its registered address is Fifth Floor, Waterloo Exchange, Waterloo Road, Dublin 4, Ireland D04 E5W7.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Duration; Dissolution; Rights Upon Liquidation</w:t>
      </w:r>
    </w:p>
    <w:p>
      <w:pPr>
        <w:spacing w:after="0" w:line="202" w:lineRule="exact"/>
        <w:rPr>
          <w:sz w:val="20"/>
          <w:szCs w:val="20"/>
          <w:color w:val="auto"/>
        </w:rPr>
      </w:pPr>
    </w:p>
    <w:p>
      <w:pPr>
        <w:ind w:right="40" w:firstLine="324"/>
        <w:spacing w:after="0" w:line="290" w:lineRule="auto"/>
        <w:rPr>
          <w:sz w:val="20"/>
          <w:szCs w:val="20"/>
          <w:color w:val="auto"/>
        </w:rPr>
      </w:pPr>
      <w:r>
        <w:rPr>
          <w:rFonts w:ascii="Arial" w:cs="Arial" w:eastAsia="Arial" w:hAnsi="Arial"/>
          <w:sz w:val="18"/>
          <w:szCs w:val="18"/>
          <w:color w:val="231F20"/>
        </w:rPr>
        <w:t>The Company’s duration is unlimited. The Company may be dissolved and wound up at any time by way of a shareholders’ voluntary winding up or a creditors’ winding up. In the case of a shareholders’ voluntary winding up, a special resolution of shareholders is required. The Company may also be dissolved by way of court order on the application of a creditor, or by the Companies Registration Office as an enforcement measure where it has failed to file certain returns.</w:t>
      </w:r>
    </w:p>
    <w:p>
      <w:pPr>
        <w:spacing w:after="0" w:line="134" w:lineRule="exact"/>
        <w:rPr>
          <w:sz w:val="20"/>
          <w:szCs w:val="20"/>
          <w:color w:val="auto"/>
        </w:rPr>
      </w:pPr>
    </w:p>
    <w:p>
      <w:pPr>
        <w:ind w:right="60" w:firstLine="324"/>
        <w:spacing w:after="0" w:line="308" w:lineRule="auto"/>
        <w:rPr>
          <w:sz w:val="20"/>
          <w:szCs w:val="20"/>
          <w:color w:val="auto"/>
        </w:rPr>
      </w:pPr>
      <w:r>
        <w:rPr>
          <w:rFonts w:ascii="Arial" w:cs="Arial" w:eastAsia="Arial" w:hAnsi="Arial"/>
          <w:sz w:val="18"/>
          <w:szCs w:val="18"/>
          <w:color w:val="231F20"/>
        </w:rPr>
        <w:t>The Company’s Constitution provides that the ordinary shareholders are entitled to participate pro rata in a winding up, but their right to do so may be subject to the rights of any preferred shareholders to participate under the terms of any series or class of preferred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Certificated Shares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Pursuant to the Companies Act, a shareholder is entitled to be issued a share certificate on request and subject to payment of a nominal fee.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787" w:right="3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231F20"/>
        </w:rPr>
        <w:t>No Sinking Fund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Ordinary shares have no sinking fund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Stock Exchange Listing</w:t>
      </w:r>
    </w:p>
    <w:p>
      <w:pPr>
        <w:spacing w:after="0" w:line="20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8"/>
          <w:szCs w:val="18"/>
          <w:color w:val="231F20"/>
        </w:rPr>
        <w:t>Ordinary shares are listed on The NASDAQ Global Select Market under the trading symbol “JAZZ.” Ordinary shares are not currently intended to be listed on the Irish Stock Exchange.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Transfer and Registration of Shares</w:t>
      </w:r>
    </w:p>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231F20"/>
        </w:rPr>
        <w:t>The transfer agent and registrar for ordinary shares is Computershare Trust Company, N.A. Its address is 250 Royall Street, Canton, MA 02021. An affiliate of the transfer agent maintains the share register, registration in which is determinative of ownership of ordinary shares. A shareholder who holds shares beneficially is not the holder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the Company’s official share register, as the depository or other nominee will remain the record holder of any such shares.</w:t>
      </w:r>
    </w:p>
    <w:p>
      <w:pPr>
        <w:spacing w:after="0" w:line="135" w:lineRule="exact"/>
        <w:rPr>
          <w:sz w:val="20"/>
          <w:szCs w:val="20"/>
          <w:color w:val="auto"/>
        </w:rPr>
      </w:pPr>
    </w:p>
    <w:p>
      <w:pPr>
        <w:ind w:firstLine="324"/>
        <w:spacing w:after="0" w:line="325" w:lineRule="auto"/>
        <w:rPr>
          <w:sz w:val="20"/>
          <w:szCs w:val="20"/>
          <w:color w:val="auto"/>
        </w:rPr>
      </w:pPr>
      <w:r>
        <w:rPr>
          <w:rFonts w:ascii="Arial" w:cs="Arial" w:eastAsia="Arial" w:hAnsi="Arial"/>
          <w:sz w:val="16"/>
          <w:szCs w:val="16"/>
          <w:color w:val="231F20"/>
        </w:rPr>
        <w:t>A written instrument of transfer is required under Irish law in order to register on the Company’s official share register any transfer of shares (i) from a person who holds such shares directly to any other person, (ii) from a person who holds such shares beneficially but not directly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the Company’s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13" w:lineRule="exact"/>
        <w:rPr>
          <w:sz w:val="20"/>
          <w:szCs w:val="20"/>
          <w:color w:val="auto"/>
        </w:rPr>
      </w:pPr>
    </w:p>
    <w:p>
      <w:pPr>
        <w:ind w:firstLine="324"/>
        <w:spacing w:after="0" w:line="324" w:lineRule="auto"/>
        <w:rPr>
          <w:sz w:val="20"/>
          <w:szCs w:val="20"/>
          <w:color w:val="auto"/>
        </w:rPr>
      </w:pPr>
      <w:r>
        <w:rPr>
          <w:rFonts w:ascii="Arial" w:cs="Arial" w:eastAsia="Arial" w:hAnsi="Arial"/>
          <w:sz w:val="16"/>
          <w:szCs w:val="16"/>
          <w:color w:val="231F20"/>
        </w:rPr>
        <w:t>Any transfer of ordinary shares that is subject to Irish stamp duty will not be registered in the name of the buyer unless an instrument of transfer is duly stamped and provided to the transfer agent. The Company, in its absolute discretion and insofar as the Companies Act or any other applicable law permit, may, or may provide that any of its subsidiaries will, pay Irish stamp duty arising on a transfer of ordinary shares on behalf of the transferee of such ordinary shares. If stamp duty resulting from the transfer of ordinary shares which would otherwise be payable by the transferee is paid by the Company or any of its subsidiaries on behalf of the transferee, then in those circumstances, the Company will, on its behalf or on behalf of its subsidiary (as the case may be), be entitled to (i) seek reimbursement of the stamp duty from the transferee, (ii) set-off the stamp duty against any dividends payable to the transferee of those ordinary shares and (iii) to claim a first and permanent lien on ordinary shares on which stamp duty has been paid by the Company or its subsidiary for the amount of stamp duty paid. The Company’s lien shall extend to all dividends paid on those ordinary shares. Parties to a share transfer may assume that any stamp duty arising in respect of a transaction in ordinary shares has been paid unless one or both of such parties is otherwise notified.</w:t>
      </w:r>
    </w:p>
    <w:p>
      <w:pPr>
        <w:spacing w:after="0" w:line="127" w:lineRule="exact"/>
        <w:rPr>
          <w:sz w:val="20"/>
          <w:szCs w:val="20"/>
          <w:color w:val="auto"/>
        </w:rPr>
      </w:pPr>
    </w:p>
    <w:p>
      <w:pPr>
        <w:ind w:right="240" w:firstLine="324"/>
        <w:spacing w:after="0" w:line="295" w:lineRule="auto"/>
        <w:rPr>
          <w:sz w:val="20"/>
          <w:szCs w:val="20"/>
          <w:color w:val="auto"/>
        </w:rPr>
      </w:pPr>
      <w:r>
        <w:rPr>
          <w:rFonts w:ascii="Arial" w:cs="Arial" w:eastAsia="Arial" w:hAnsi="Arial"/>
          <w:sz w:val="18"/>
          <w:szCs w:val="18"/>
          <w:color w:val="231F20"/>
        </w:rPr>
        <w:t>The Company’s Constitution delegates to the secretary or assistant secretary of the Company the authority, on behalf of the Company, to execute an instrument of transfer on behalf of a transferring party. Under the Company’s Constitution, the directors can also authorize any person to execute an instrument of transfer on behalf of a transferring party in certain circumstances.</w:t>
      </w:r>
    </w:p>
    <w:p>
      <w:pPr>
        <w:spacing w:after="0" w:line="15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8"/>
          <w:szCs w:val="18"/>
          <w:color w:val="231F20"/>
        </w:rPr>
        <w:t>In order to help ensure that the official share register is regularly updated to reflect trading of ordinary shares occurring through normal electronic systems, the Company intends to regularly produce any required instruments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783" w:right="379" w:bottom="1440" w:gutter="0" w:footer="0" w:header="0"/>
        </w:sectPr>
      </w:pPr>
    </w:p>
    <w:bookmarkStart w:id="179" w:name="page180"/>
    <w:bookmarkEnd w:id="179"/>
    <w:p>
      <w:pPr>
        <w:spacing w:after="0" w:line="286" w:lineRule="auto"/>
        <w:rPr>
          <w:sz w:val="20"/>
          <w:szCs w:val="20"/>
          <w:color w:val="auto"/>
        </w:rPr>
      </w:pPr>
      <w:r>
        <w:rPr>
          <w:rFonts w:ascii="Arial" w:cs="Arial" w:eastAsia="Arial" w:hAnsi="Arial"/>
          <w:sz w:val="18"/>
          <w:szCs w:val="18"/>
          <w:color w:val="231F20"/>
        </w:rPr>
        <w:t>transfer in connection with any transactions for which stamp duty is paid (subject to the reimbursement and set-off rights described above). In the event that the Company notifies one or both of the parties to a share transfer that its believes stamp duty is required to be paid in connection with the transfer and that the Company will not pay the stamp duty, the parties may either themselves arrange for the execution of the required instrument of transfer (and may request a form of instrument of transfer from the Company for this purpose) or request that the Company execute an instrument of transfer on behalf of the transferring party. In either event, if the parties to the share transfer have the instrument of transfer duly stamped (to the extent required) and then provide it to the Company’s transfer agent, the buyer will be registered as the legal owner of the relevant shares on the Company’s official Irish share register (subject to the suspension right described below).</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directors may suspend registration of transfers from time to time, not exceeding 30 days in aggregate each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Irish Restrictions on Import and Export of Capital</w:t>
      </w:r>
    </w:p>
    <w:p>
      <w:pPr>
        <w:spacing w:after="0" w:line="216" w:lineRule="exact"/>
        <w:rPr>
          <w:sz w:val="20"/>
          <w:szCs w:val="20"/>
          <w:color w:val="auto"/>
        </w:rPr>
      </w:pPr>
    </w:p>
    <w:p>
      <w:pPr>
        <w:ind w:right="160" w:firstLine="324"/>
        <w:spacing w:after="0" w:line="295" w:lineRule="auto"/>
        <w:rPr>
          <w:sz w:val="20"/>
          <w:szCs w:val="20"/>
          <w:color w:val="auto"/>
        </w:rPr>
      </w:pPr>
      <w:r>
        <w:rPr>
          <w:rFonts w:ascii="Arial" w:cs="Arial" w:eastAsia="Arial" w:hAnsi="Arial"/>
          <w:sz w:val="18"/>
          <w:szCs w:val="18"/>
          <w:color w:val="231F20"/>
        </w:rPr>
        <w:t>Except as indicated below, there are no restrictions on non-residents of Ireland dealing in Irish domestic securities, which includes ordinary shares of Irish companies. Except as indicated below, dividends and redemption proceeds also continue to be freely transferable to non-resident holders of such securities.</w:t>
      </w:r>
    </w:p>
    <w:p>
      <w:pPr>
        <w:spacing w:after="0" w:line="14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8"/>
          <w:szCs w:val="18"/>
          <w:color w:val="231F20"/>
        </w:rPr>
        <w:t>The Financial Transfers Act, 1992, provides that the Irish Minister for Finance can make provision for the restriction of financial transfers between Ireland and other countries. For the purposes of this Act, “financial transfers” include all transfers which would be movements of capital or payments within the meaning of the treaties governing the European Communities if they had been made between Member States of the Communities. This Act has been used by the Minister for Finance to implement European Council Directives, which provide for the restriction of financial transfers to certain countries, organizations and people including the Al-Qaeda network and the Taliban, Afghanistan, Belarus, Democratic People’s Republic of Korea, Democratic Republic of Congo, Iran, Iraq, Ivory Coast, Lebanon, Liberia, Libya, Republic of Guinea, Somalia, Sudan, Syria Tunisia, Ukraine and Zimbabwe.</w:t>
      </w:r>
    </w:p>
    <w:p>
      <w:pPr>
        <w:spacing w:after="0" w:line="163" w:lineRule="exact"/>
        <w:rPr>
          <w:sz w:val="20"/>
          <w:szCs w:val="20"/>
          <w:color w:val="auto"/>
        </w:rPr>
      </w:pPr>
    </w:p>
    <w:p>
      <w:pPr>
        <w:jc w:val="both"/>
        <w:ind w:right="40" w:firstLine="324"/>
        <w:spacing w:after="0" w:line="295" w:lineRule="auto"/>
        <w:rPr>
          <w:sz w:val="20"/>
          <w:szCs w:val="20"/>
          <w:color w:val="auto"/>
        </w:rPr>
      </w:pPr>
      <w:r>
        <w:rPr>
          <w:rFonts w:ascii="Arial" w:cs="Arial" w:eastAsia="Arial" w:hAnsi="Arial"/>
          <w:sz w:val="18"/>
          <w:szCs w:val="18"/>
          <w:color w:val="231F20"/>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787" w:right="379" w:bottom="1440" w:gutter="0" w:footer="0" w:header="0"/>
        </w:sectPr>
      </w:pPr>
    </w:p>
    <w:bookmarkStart w:id="180" w:name="page181"/>
    <w:bookmarkEnd w:id="180"/>
    <w:p>
      <w:pPr>
        <w:ind w:left="8560"/>
        <w:spacing w:after="0"/>
        <w:rPr>
          <w:sz w:val="20"/>
          <w:szCs w:val="20"/>
          <w:color w:val="auto"/>
        </w:rPr>
      </w:pPr>
      <w:r>
        <w:rPr>
          <w:rFonts w:ascii="Arial" w:cs="Arial" w:eastAsia="Arial" w:hAnsi="Arial"/>
          <w:sz w:val="14"/>
          <w:szCs w:val="14"/>
          <w:b w:val="1"/>
          <w:bCs w:val="1"/>
          <w:color w:val="auto"/>
        </w:rPr>
        <w:t>Exhibit 10.11D</w:t>
      </w: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Amendment Three to Pharmacy Master Services Agreement</w:t>
      </w:r>
    </w:p>
    <w:p>
      <w:pPr>
        <w:spacing w:after="0" w:line="200" w:lineRule="exact"/>
        <w:rPr>
          <w:sz w:val="20"/>
          <w:szCs w:val="20"/>
          <w:color w:val="auto"/>
        </w:rPr>
      </w:pPr>
    </w:p>
    <w:p>
      <w:pPr>
        <w:spacing w:after="0" w:line="278" w:lineRule="exact"/>
        <w:rPr>
          <w:sz w:val="20"/>
          <w:szCs w:val="20"/>
          <w:color w:val="auto"/>
        </w:rPr>
      </w:pPr>
    </w:p>
    <w:p>
      <w:pPr>
        <w:jc w:val="both"/>
        <w:ind w:right="60"/>
        <w:spacing w:after="0" w:line="306" w:lineRule="auto"/>
        <w:rPr>
          <w:sz w:val="20"/>
          <w:szCs w:val="20"/>
          <w:color w:val="auto"/>
        </w:rPr>
      </w:pPr>
      <w:r>
        <w:rPr>
          <w:rFonts w:ascii="Arial" w:cs="Arial" w:eastAsia="Arial" w:hAnsi="Arial"/>
          <w:sz w:val="18"/>
          <w:szCs w:val="18"/>
          <w:color w:val="auto"/>
        </w:rPr>
        <w:t>This Amendment Three to the Pharmacy Master Services Agreement dated July 1, 2020 (this “Amendment”) is by and between Jazz Pharmaceuticals, Inc. and Express Scripts Specialty Distribution Services, Inc. (“ESSDS”) (collectively, the “Parties”) and is entered into by and between the Parties as of December 7, 2021 (the “Effective Date”).</w:t>
      </w:r>
    </w:p>
    <w:p>
      <w:pPr>
        <w:spacing w:after="0" w:line="3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entered into a Pharmacy Master Services Agreement effective as of July 1,</w:t>
      </w:r>
      <w:r>
        <w:rPr>
          <w:rFonts w:ascii="Arial" w:cs="Arial" w:eastAsia="Arial" w:hAnsi="Arial"/>
          <w:sz w:val="22"/>
          <w:szCs w:val="22"/>
          <w:b w:val="1"/>
          <w:bCs w:val="1"/>
          <w:color w:val="auto"/>
        </w:rPr>
        <w:t xml:space="preserve"> </w:t>
      </w:r>
      <w:r>
        <w:rPr>
          <w:rFonts w:ascii="Arial" w:cs="Arial" w:eastAsia="Arial" w:hAnsi="Arial"/>
          <w:sz w:val="22"/>
          <w:szCs w:val="22"/>
          <w:color w:val="auto"/>
        </w:rPr>
        <w:t>2020 (the “Agreement”);</w:t>
      </w:r>
    </w:p>
    <w:p>
      <w:pPr>
        <w:spacing w:after="0" w:line="382"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desire to amend the Agreement as set forth herein with the intent of ensuring</w:t>
      </w:r>
      <w:r>
        <w:rPr>
          <w:rFonts w:ascii="Arial" w:cs="Arial" w:eastAsia="Arial" w:hAnsi="Arial"/>
          <w:sz w:val="21"/>
          <w:szCs w:val="21"/>
          <w:b w:val="1"/>
          <w:bCs w:val="1"/>
          <w:color w:val="auto"/>
        </w:rPr>
        <w:t xml:space="preserve"> </w:t>
      </w:r>
      <w:r>
        <w:rPr>
          <w:rFonts w:ascii="Arial" w:cs="Arial" w:eastAsia="Arial" w:hAnsi="Arial"/>
          <w:sz w:val="21"/>
          <w:szCs w:val="21"/>
          <w:color w:val="auto"/>
        </w:rPr>
        <w:t>Adverse Events and Product Complaints for all Product Marketed by Jazz and reported to ESSDS in connection with their services under the Agreement are collected and reported to Jazz;</w:t>
      </w:r>
    </w:p>
    <w:p>
      <w:pPr>
        <w:spacing w:after="0" w:line="36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promises, mutual covenants, representations,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warranties set forth herein, the Parties agree as follows:</w:t>
      </w:r>
    </w:p>
    <w:p>
      <w:pPr>
        <w:spacing w:after="0" w:line="388" w:lineRule="exact"/>
        <w:rPr>
          <w:sz w:val="20"/>
          <w:szCs w:val="20"/>
          <w:color w:val="auto"/>
        </w:rPr>
      </w:pPr>
    </w:p>
    <w:p>
      <w:pPr>
        <w:ind w:left="980" w:hanging="329"/>
        <w:spacing w:after="0"/>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Section 1.25 shall be amended and restated to read as follows:</w:t>
      </w:r>
    </w:p>
    <w:p>
      <w:pPr>
        <w:spacing w:after="0" w:line="71" w:lineRule="exact"/>
        <w:rPr>
          <w:rFonts w:ascii="Arial" w:cs="Arial" w:eastAsia="Arial" w:hAnsi="Arial"/>
          <w:sz w:val="22"/>
          <w:szCs w:val="22"/>
          <w:color w:val="auto"/>
        </w:rPr>
      </w:pPr>
    </w:p>
    <w:p>
      <w:pPr>
        <w:ind w:left="1440" w:right="20" w:hanging="463"/>
        <w:spacing w:after="0" w:line="232" w:lineRule="auto"/>
        <w:rPr>
          <w:rFonts w:ascii="Arial" w:cs="Arial" w:eastAsia="Arial" w:hAnsi="Arial"/>
          <w:sz w:val="22"/>
          <w:szCs w:val="22"/>
          <w:color w:val="auto"/>
        </w:rPr>
      </w:pPr>
      <w:r>
        <w:rPr>
          <w:rFonts w:ascii="Arial" w:cs="Arial" w:eastAsia="Arial" w:hAnsi="Arial"/>
          <w:sz w:val="22"/>
          <w:szCs w:val="22"/>
          <w:color w:val="auto"/>
        </w:rPr>
        <w:t>1.25 “Products” shall mean Xyrem® (sodium oxybate) oral solution and dosing kit, and Xywav® (calcium, magnesium, potassium, and sodium oxybates) oral solution.</w:t>
      </w:r>
    </w:p>
    <w:p>
      <w:pPr>
        <w:spacing w:after="0" w:line="50" w:lineRule="exact"/>
        <w:rPr>
          <w:rFonts w:ascii="Arial" w:cs="Arial" w:eastAsia="Arial" w:hAnsi="Arial"/>
          <w:sz w:val="22"/>
          <w:szCs w:val="22"/>
          <w:color w:val="auto"/>
        </w:rPr>
      </w:pPr>
    </w:p>
    <w:p>
      <w:pPr>
        <w:ind w:left="980" w:hanging="329"/>
        <w:spacing w:after="0"/>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Section 1.26 shall be amended and restated to read as follows:</w:t>
      </w:r>
    </w:p>
    <w:p>
      <w:pPr>
        <w:spacing w:after="0" w:line="71" w:lineRule="exact"/>
        <w:rPr>
          <w:rFonts w:ascii="Arial" w:cs="Arial" w:eastAsia="Arial" w:hAnsi="Arial"/>
          <w:sz w:val="22"/>
          <w:szCs w:val="22"/>
          <w:color w:val="auto"/>
        </w:rPr>
      </w:pPr>
    </w:p>
    <w:p>
      <w:pPr>
        <w:ind w:left="980" w:right="20"/>
        <w:spacing w:after="0" w:line="296" w:lineRule="auto"/>
        <w:rPr>
          <w:rFonts w:ascii="Arial" w:cs="Arial" w:eastAsia="Arial" w:hAnsi="Arial"/>
          <w:sz w:val="22"/>
          <w:szCs w:val="22"/>
          <w:color w:val="auto"/>
        </w:rPr>
      </w:pPr>
      <w:r>
        <w:rPr>
          <w:rFonts w:ascii="Arial" w:cs="Arial" w:eastAsia="Arial" w:hAnsi="Arial"/>
          <w:sz w:val="19"/>
          <w:szCs w:val="19"/>
          <w:color w:val="auto"/>
        </w:rPr>
        <w:t>1.26 “Product Complaint” shall mean notification relating to quality, purity, identity, potency, packaging, tampering, and/or quality aspect of the Products, or any Products Marketed by Jazz.</w:t>
      </w:r>
    </w:p>
    <w:p>
      <w:pPr>
        <w:spacing w:after="0" w:line="1" w:lineRule="exact"/>
        <w:rPr>
          <w:rFonts w:ascii="Arial" w:cs="Arial" w:eastAsia="Arial" w:hAnsi="Arial"/>
          <w:sz w:val="22"/>
          <w:szCs w:val="22"/>
          <w:color w:val="auto"/>
        </w:rPr>
      </w:pPr>
    </w:p>
    <w:p>
      <w:pPr>
        <w:ind w:left="980" w:hanging="329"/>
        <w:spacing w:after="0"/>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new section 1.26a shall be added to read as follows:</w:t>
      </w:r>
    </w:p>
    <w:p>
      <w:pPr>
        <w:spacing w:after="0" w:line="71" w:lineRule="exact"/>
        <w:rPr>
          <w:rFonts w:ascii="Arial" w:cs="Arial" w:eastAsia="Arial" w:hAnsi="Arial"/>
          <w:sz w:val="22"/>
          <w:szCs w:val="22"/>
          <w:color w:val="auto"/>
        </w:rPr>
      </w:pPr>
    </w:p>
    <w:p>
      <w:pPr>
        <w:jc w:val="both"/>
        <w:ind w:left="980"/>
        <w:spacing w:after="0" w:line="247" w:lineRule="auto"/>
        <w:rPr>
          <w:rFonts w:ascii="Arial" w:cs="Arial" w:eastAsia="Arial" w:hAnsi="Arial"/>
          <w:sz w:val="22"/>
          <w:szCs w:val="22"/>
          <w:color w:val="auto"/>
        </w:rPr>
      </w:pPr>
      <w:r>
        <w:rPr>
          <w:rFonts w:ascii="Arial" w:cs="Arial" w:eastAsia="Arial" w:hAnsi="Arial"/>
          <w:sz w:val="19"/>
          <w:szCs w:val="19"/>
          <w:color w:val="auto"/>
        </w:rPr>
        <w:t>1.26a “Products Marketed by Jazz” shall mean any medicine other than the Products as defined in Section 1.25, which are marketed by Jazz Pharmaceuticals in the U.S., including Sunosi™ (solriamfetol), Epidiolex® (cannabidiol), Defitelio® (defibrotide sodium), Rylaze™ asparaginase erwinia chrysanthemi (recombinant)-rywn, Vyxeos® (daunorubicin and cytarabine), and Zepzelca (lurbinectedin). The list of Products Marketed by Jazzmay be amended from time to time upon written notice to ESSDS, and any such amendments to the list will be incorporated into the applicable mutually agreed upon SOPs and Work Instructions.</w:t>
      </w:r>
    </w:p>
    <w:p>
      <w:pPr>
        <w:spacing w:after="0" w:line="45" w:lineRule="exact"/>
        <w:rPr>
          <w:rFonts w:ascii="Arial" w:cs="Arial" w:eastAsia="Arial" w:hAnsi="Arial"/>
          <w:sz w:val="22"/>
          <w:szCs w:val="22"/>
          <w:color w:val="auto"/>
        </w:rPr>
      </w:pPr>
    </w:p>
    <w:p>
      <w:pPr>
        <w:ind w:left="980" w:hanging="329"/>
        <w:spacing w:after="0"/>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new section 7.3a shall be added to read as follows:</w:t>
      </w:r>
    </w:p>
    <w:p>
      <w:pPr>
        <w:spacing w:after="0" w:line="71" w:lineRule="exact"/>
        <w:rPr>
          <w:rFonts w:ascii="Arial" w:cs="Arial" w:eastAsia="Arial" w:hAnsi="Arial"/>
          <w:sz w:val="22"/>
          <w:szCs w:val="22"/>
          <w:color w:val="auto"/>
        </w:rPr>
      </w:pPr>
    </w:p>
    <w:p>
      <w:pPr>
        <w:jc w:val="both"/>
        <w:ind w:left="980" w:right="20"/>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7.3a </w:t>
      </w:r>
      <w:r>
        <w:rPr>
          <w:rFonts w:ascii="Arial" w:cs="Arial" w:eastAsia="Arial" w:hAnsi="Arial"/>
          <w:sz w:val="22"/>
          <w:szCs w:val="22"/>
          <w:u w:val="single" w:color="auto"/>
          <w:color w:val="auto"/>
        </w:rPr>
        <w:t>Adverse Event and Product Compliant Reporting for Products Marketed by Jazz.</w:t>
      </w:r>
      <w:r>
        <w:rPr>
          <w:rFonts w:ascii="Arial" w:cs="Arial" w:eastAsia="Arial" w:hAnsi="Arial"/>
          <w:sz w:val="22"/>
          <w:szCs w:val="22"/>
          <w:color w:val="auto"/>
        </w:rPr>
        <w:t xml:space="preserve"> All Adverse Events and Product Complaints for Products Marketed by Jazz that are reported to ESSDS in connection with services provided by ESSDS under the</w:t>
      </w:r>
    </w:p>
    <w:p>
      <w:pPr>
        <w:sectPr>
          <w:pgSz w:w="11900" w:h="16838" w:orient="portrait"/>
          <w:cols w:equalWidth="0" w:num="1">
            <w:col w:w="9520"/>
          </w:cols>
          <w:pgMar w:left="1080" w:top="859" w:right="1299" w:bottom="1440" w:gutter="0" w:footer="0" w:header="0"/>
        </w:sectPr>
      </w:pPr>
    </w:p>
    <w:bookmarkStart w:id="181" w:name="page182"/>
    <w:bookmarkEnd w:id="181"/>
    <w:p>
      <w:pPr>
        <w:ind w:left="1640" w:right="920"/>
        <w:spacing w:after="0" w:line="232" w:lineRule="auto"/>
        <w:rPr>
          <w:sz w:val="20"/>
          <w:szCs w:val="20"/>
          <w:color w:val="auto"/>
        </w:rPr>
      </w:pPr>
      <w:r>
        <w:rPr>
          <w:rFonts w:ascii="Arial" w:cs="Arial" w:eastAsia="Arial" w:hAnsi="Arial"/>
          <w:sz w:val="22"/>
          <w:szCs w:val="22"/>
          <w:color w:val="auto"/>
        </w:rPr>
        <w:t>Agreement will be collected and reported to Jazz pursuant to the terms of this agreement and any relevant Work Order, Work Instructions and/or SOPs;</w:t>
      </w:r>
    </w:p>
    <w:p>
      <w:pPr>
        <w:spacing w:after="0" w:line="375" w:lineRule="exact"/>
        <w:rPr>
          <w:sz w:val="20"/>
          <w:szCs w:val="20"/>
          <w:color w:val="auto"/>
        </w:rPr>
      </w:pPr>
    </w:p>
    <w:p>
      <w:pPr>
        <w:ind w:left="1640" w:right="1300" w:hanging="329"/>
        <w:spacing w:after="0" w:line="232" w:lineRule="auto"/>
        <w:tabs>
          <w:tab w:leader="none" w:pos="16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Except as specifically modified herein, all other terms and conditions of the Agreement shall remain in full force and effect.</w:t>
      </w:r>
    </w:p>
    <w:p>
      <w:pPr>
        <w:spacing w:after="0" w:line="45" w:lineRule="exact"/>
        <w:rPr>
          <w:sz w:val="20"/>
          <w:szCs w:val="20"/>
          <w:color w:val="auto"/>
        </w:rPr>
      </w:pPr>
    </w:p>
    <w:p>
      <w:pPr>
        <w:ind w:left="1320" w:right="800" w:firstLine="324"/>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Amendment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as of the Effective Date.</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360" w:type="dxa"/>
            <w:vAlign w:val="bottom"/>
            <w:tcBorders>
              <w:top w:val="single" w:sz="8" w:color="auto"/>
              <w:left w:val="single" w:sz="8" w:color="auto"/>
              <w:right w:val="single" w:sz="8" w:color="auto"/>
            </w:tcBorders>
            <w:gridSpan w:val="3"/>
          </w:tcPr>
          <w:p>
            <w:pPr>
              <w:ind w:left="140"/>
              <w:spacing w:after="0"/>
              <w:rPr>
                <w:sz w:val="20"/>
                <w:szCs w:val="20"/>
                <w:color w:val="auto"/>
              </w:rPr>
            </w:pPr>
            <w:r>
              <w:rPr>
                <w:rFonts w:ascii="Arial" w:cs="Arial" w:eastAsia="Arial" w:hAnsi="Arial"/>
                <w:sz w:val="22"/>
                <w:szCs w:val="22"/>
                <w:b w:val="1"/>
                <w:bCs w:val="1"/>
                <w:color w:val="auto"/>
              </w:rPr>
              <w:t>AGREED TO:</w:t>
            </w:r>
          </w:p>
        </w:tc>
        <w:tc>
          <w:tcPr>
            <w:tcW w:w="55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AGREED TO:</w:t>
            </w:r>
          </w:p>
        </w:tc>
        <w:tc>
          <w:tcPr>
            <w:tcW w:w="0" w:type="dxa"/>
            <w:vAlign w:val="bottom"/>
          </w:tcPr>
          <w:p>
            <w:pPr>
              <w:spacing w:after="0"/>
              <w:rPr>
                <w:sz w:val="1"/>
                <w:szCs w:val="1"/>
                <w:color w:val="auto"/>
              </w:rPr>
            </w:pPr>
          </w:p>
        </w:tc>
      </w:tr>
      <w:tr>
        <w:trPr>
          <w:trHeight w:val="540"/>
        </w:trPr>
        <w:tc>
          <w:tcPr>
            <w:tcW w:w="536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2"/>
                <w:szCs w:val="22"/>
                <w:b w:val="1"/>
                <w:bCs w:val="1"/>
                <w:color w:val="auto"/>
              </w:rPr>
              <w:t>Jazz Pharmaceuticals, Inc.</w:t>
            </w:r>
          </w:p>
        </w:tc>
        <w:tc>
          <w:tcPr>
            <w:tcW w:w="558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w w:val="99"/>
              </w:rPr>
              <w:t>Express Scripts Specialty Distribution Services, Inc.</w:t>
            </w:r>
          </w:p>
        </w:tc>
        <w:tc>
          <w:tcPr>
            <w:tcW w:w="0" w:type="dxa"/>
            <w:vAlign w:val="bottom"/>
          </w:tcPr>
          <w:p>
            <w:pPr>
              <w:spacing w:after="0"/>
              <w:rPr>
                <w:sz w:val="1"/>
                <w:szCs w:val="1"/>
                <w:color w:val="auto"/>
              </w:rPr>
            </w:pPr>
          </w:p>
        </w:tc>
      </w:tr>
      <w:tr>
        <w:trPr>
          <w:trHeight w:val="435"/>
        </w:trPr>
        <w:tc>
          <w:tcPr>
            <w:tcW w:w="1020" w:type="dxa"/>
            <w:vAlign w:val="bottom"/>
            <w:tcBorders>
              <w:left w:val="single" w:sz="8" w:color="auto"/>
            </w:tcBorders>
          </w:tcPr>
          <w:p>
            <w:pPr>
              <w:ind w:left="140"/>
              <w:spacing w:after="0"/>
              <w:rPr>
                <w:sz w:val="20"/>
                <w:szCs w:val="20"/>
                <w:color w:val="auto"/>
              </w:rPr>
            </w:pPr>
            <w:r>
              <w:rPr>
                <w:rFonts w:ascii="Arial" w:cs="Arial" w:eastAsia="Arial" w:hAnsi="Arial"/>
                <w:sz w:val="22"/>
                <w:szCs w:val="22"/>
                <w:color w:val="auto"/>
                <w:w w:val="85"/>
              </w:rPr>
              <w:t>Signature:</w:t>
            </w:r>
          </w:p>
        </w:tc>
        <w:tc>
          <w:tcPr>
            <w:tcW w:w="18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w w:val="98"/>
              </w:rPr>
              <w:t>/s/ Debra Feldman</w:t>
            </w:r>
          </w:p>
        </w:tc>
        <w:tc>
          <w:tcPr>
            <w:tcW w:w="248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3"/>
          </w:tcPr>
          <w:p>
            <w:pPr>
              <w:ind w:left="160"/>
              <w:spacing w:after="0"/>
              <w:rPr>
                <w:sz w:val="20"/>
                <w:szCs w:val="20"/>
                <w:color w:val="auto"/>
              </w:rPr>
            </w:pPr>
            <w:r>
              <w:rPr>
                <w:rFonts w:ascii="Arial" w:cs="Arial" w:eastAsia="Arial" w:hAnsi="Arial"/>
                <w:sz w:val="22"/>
                <w:szCs w:val="22"/>
                <w:color w:val="auto"/>
              </w:rPr>
              <w:t>Signature: Joshua Parker</w:t>
            </w:r>
          </w:p>
        </w:tc>
        <w:tc>
          <w:tcPr>
            <w:tcW w:w="0" w:type="dxa"/>
            <w:vAlign w:val="bottom"/>
          </w:tcPr>
          <w:p>
            <w:pPr>
              <w:spacing w:after="0"/>
              <w:rPr>
                <w:sz w:val="1"/>
                <w:szCs w:val="1"/>
                <w:color w:val="auto"/>
              </w:rPr>
            </w:pPr>
          </w:p>
        </w:tc>
      </w:tr>
      <w:tr>
        <w:trPr>
          <w:trHeight w:val="20"/>
        </w:trPr>
        <w:tc>
          <w:tcPr>
            <w:tcW w:w="5360" w:type="dxa"/>
            <w:vAlign w:val="bottom"/>
            <w:tcBorders>
              <w:left w:val="single" w:sz="8" w:color="auto"/>
              <w:right w:val="single" w:sz="8" w:color="auto"/>
            </w:tcBorders>
            <w:gridSpan w:val="3"/>
            <w:vMerge w:val="restart"/>
          </w:tcPr>
          <w:p>
            <w:pPr>
              <w:ind w:left="140"/>
              <w:spacing w:after="0"/>
              <w:rPr>
                <w:sz w:val="20"/>
                <w:szCs w:val="20"/>
                <w:color w:val="auto"/>
              </w:rPr>
            </w:pPr>
            <w:r>
              <w:rPr>
                <w:rFonts w:ascii="Arial" w:cs="Arial" w:eastAsia="Arial" w:hAnsi="Arial"/>
                <w:sz w:val="22"/>
                <w:szCs w:val="22"/>
                <w:color w:val="auto"/>
              </w:rPr>
              <w:t>Name: Debra S. Feldman</w:t>
            </w:r>
          </w:p>
        </w:tc>
        <w:tc>
          <w:tcPr>
            <w:tcW w:w="1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5360" w:type="dxa"/>
            <w:vAlign w:val="bottom"/>
            <w:tcBorders>
              <w:left w:val="single" w:sz="8" w:color="auto"/>
              <w:right w:val="single" w:sz="8" w:color="auto"/>
            </w:tcBorders>
            <w:gridSpan w:val="3"/>
            <w:vMerge w:val="continue"/>
          </w:tcPr>
          <w:p>
            <w:pPr>
              <w:spacing w:after="0"/>
              <w:rPr>
                <w:sz w:val="24"/>
                <w:szCs w:val="24"/>
                <w:color w:val="auto"/>
              </w:rPr>
            </w:pPr>
          </w:p>
        </w:tc>
        <w:tc>
          <w:tcPr>
            <w:tcW w:w="5580" w:type="dxa"/>
            <w:vAlign w:val="bottom"/>
            <w:tcBorders>
              <w:right w:val="single" w:sz="8" w:color="auto"/>
            </w:tcBorders>
            <w:gridSpan w:val="3"/>
          </w:tcPr>
          <w:p>
            <w:pPr>
              <w:ind w:left="160"/>
              <w:spacing w:after="0"/>
              <w:rPr>
                <w:sz w:val="20"/>
                <w:szCs w:val="20"/>
                <w:color w:val="auto"/>
              </w:rPr>
            </w:pPr>
            <w:r>
              <w:rPr>
                <w:rFonts w:ascii="Arial" w:cs="Arial" w:eastAsia="Arial" w:hAnsi="Arial"/>
                <w:sz w:val="22"/>
                <w:szCs w:val="22"/>
                <w:color w:val="auto"/>
              </w:rPr>
              <w:t>Name; Joshua Parker</w:t>
            </w:r>
          </w:p>
        </w:tc>
        <w:tc>
          <w:tcPr>
            <w:tcW w:w="0" w:type="dxa"/>
            <w:vAlign w:val="bottom"/>
          </w:tcPr>
          <w:p>
            <w:pPr>
              <w:spacing w:after="0"/>
              <w:rPr>
                <w:sz w:val="1"/>
                <w:szCs w:val="1"/>
                <w:color w:val="auto"/>
              </w:rPr>
            </w:pPr>
          </w:p>
        </w:tc>
      </w:tr>
      <w:tr>
        <w:trPr>
          <w:trHeight w:val="445"/>
        </w:trPr>
        <w:tc>
          <w:tcPr>
            <w:tcW w:w="536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2"/>
                <w:szCs w:val="22"/>
                <w:color w:val="auto"/>
              </w:rPr>
              <w:t>Title: VP, Global Pharmacovigilance &amp; Labeling</w:t>
            </w:r>
          </w:p>
        </w:tc>
        <w:tc>
          <w:tcPr>
            <w:tcW w:w="5580" w:type="dxa"/>
            <w:vAlign w:val="bottom"/>
            <w:tcBorders>
              <w:right w:val="single" w:sz="8" w:color="auto"/>
            </w:tcBorders>
            <w:gridSpan w:val="3"/>
          </w:tcPr>
          <w:p>
            <w:pPr>
              <w:ind w:left="160"/>
              <w:spacing w:after="0"/>
              <w:rPr>
                <w:sz w:val="20"/>
                <w:szCs w:val="20"/>
                <w:color w:val="auto"/>
              </w:rPr>
            </w:pPr>
            <w:r>
              <w:rPr>
                <w:rFonts w:ascii="Arial" w:cs="Arial" w:eastAsia="Arial" w:hAnsi="Arial"/>
                <w:sz w:val="22"/>
                <w:szCs w:val="22"/>
                <w:color w:val="auto"/>
              </w:rPr>
              <w:t>Title: VP</w:t>
            </w:r>
          </w:p>
        </w:tc>
        <w:tc>
          <w:tcPr>
            <w:tcW w:w="0" w:type="dxa"/>
            <w:vAlign w:val="bottom"/>
          </w:tcPr>
          <w:p>
            <w:pPr>
              <w:spacing w:after="0"/>
              <w:rPr>
                <w:sz w:val="1"/>
                <w:szCs w:val="1"/>
                <w:color w:val="auto"/>
              </w:rPr>
            </w:pPr>
          </w:p>
        </w:tc>
      </w:tr>
      <w:tr>
        <w:trPr>
          <w:trHeight w:val="516"/>
        </w:trPr>
        <w:tc>
          <w:tcPr>
            <w:tcW w:w="536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16"/>
                <w:szCs w:val="16"/>
                <w:color w:val="auto"/>
              </w:rPr>
              <w:t>22-Dec-2021</w:t>
            </w:r>
          </w:p>
        </w:tc>
        <w:tc>
          <w:tcPr>
            <w:tcW w:w="55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16"/>
                <w:szCs w:val="16"/>
                <w:color w:val="auto"/>
              </w:rPr>
              <w:t>12/07/2021 | 1:16 PM CST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RPM for JLD 12.7.21</w:t>
      </w:r>
    </w:p>
    <w:p>
      <w:pPr>
        <w:sectPr>
          <w:pgSz w:w="11900" w:h="16838" w:orient="portrait"/>
          <w:cols w:equalWidth="0" w:num="1">
            <w:col w:w="10940"/>
          </w:cols>
          <w:pgMar w:left="420" w:top="1387" w:right="5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10.34E</w:t>
      </w:r>
    </w:p>
    <w:p>
      <w:pPr>
        <w:spacing w:after="0" w:line="200" w:lineRule="exact"/>
        <w:rPr>
          <w:sz w:val="20"/>
          <w:szCs w:val="20"/>
          <w:color w:val="auto"/>
        </w:rPr>
      </w:pPr>
    </w:p>
    <w:p>
      <w:pPr>
        <w:spacing w:after="0" w:line="31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JAZZ PHARMACEUTICALS</w:t>
      </w:r>
    </w:p>
    <w:p>
      <w:pPr>
        <w:jc w:val="center"/>
        <w:ind w:right="140"/>
        <w:spacing w:after="0"/>
        <w:rPr>
          <w:sz w:val="20"/>
          <w:szCs w:val="20"/>
          <w:color w:val="auto"/>
        </w:rPr>
      </w:pPr>
      <w:r>
        <w:rPr>
          <w:rFonts w:ascii="Arial" w:cs="Arial" w:eastAsia="Arial" w:hAnsi="Arial"/>
          <w:sz w:val="20"/>
          <w:szCs w:val="20"/>
          <w:b w:val="1"/>
          <w:bCs w:val="1"/>
          <w:color w:val="auto"/>
        </w:rPr>
        <w:t>GLOBAL CASH BONUS PLAN</w:t>
      </w:r>
    </w:p>
    <w:p>
      <w:pPr>
        <w:spacing w:after="0" w:line="200" w:lineRule="exact"/>
        <w:rPr>
          <w:sz w:val="20"/>
          <w:szCs w:val="20"/>
          <w:color w:val="auto"/>
        </w:rPr>
      </w:pPr>
    </w:p>
    <w:p>
      <w:pPr>
        <w:spacing w:after="0" w:line="223" w:lineRule="exact"/>
        <w:rPr>
          <w:sz w:val="20"/>
          <w:szCs w:val="20"/>
          <w:color w:val="auto"/>
        </w:rPr>
      </w:pPr>
    </w:p>
    <w:p>
      <w:pPr>
        <w:ind w:left="620" w:hanging="613"/>
        <w:spacing w:after="0"/>
        <w:tabs>
          <w:tab w:leader="none" w:pos="62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Purpose of the Plan.</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Jazz Pharmaceuticals Global Cash Bonus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is designed to provide meaningful incentive, on an annual basis, for employees of Jazz Pharmaceuticals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employees of the Company’s Affiliates.</w:t>
      </w:r>
    </w:p>
    <w:p>
      <w:pPr>
        <w:spacing w:after="0" w:line="198" w:lineRule="exact"/>
        <w:rPr>
          <w:sz w:val="20"/>
          <w:szCs w:val="20"/>
          <w:color w:val="auto"/>
        </w:rPr>
      </w:pPr>
    </w:p>
    <w:p>
      <w:pPr>
        <w:ind w:left="620" w:hanging="613"/>
        <w:spacing w:after="0"/>
        <w:tabs>
          <w:tab w:leader="none" w:pos="62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p>
    <w:p>
      <w:pPr>
        <w:spacing w:after="0" w:line="222" w:lineRule="exact"/>
        <w:rPr>
          <w:sz w:val="20"/>
          <w:szCs w:val="20"/>
          <w:color w:val="auto"/>
        </w:rPr>
      </w:pPr>
    </w:p>
    <w:p>
      <w:pPr>
        <w:jc w:val="both"/>
        <w:ind w:right="140"/>
        <w:spacing w:after="0" w:line="256" w:lineRule="auto"/>
        <w:rPr>
          <w:sz w:val="20"/>
          <w:szCs w:val="20"/>
          <w:color w:val="auto"/>
        </w:rPr>
      </w:pPr>
      <w:r>
        <w:rPr>
          <w:rFonts w:ascii="Arial" w:cs="Arial" w:eastAsia="Arial" w:hAnsi="Arial"/>
          <w:sz w:val="19"/>
          <w:szCs w:val="19"/>
          <w:color w:val="auto"/>
        </w:rPr>
        <w:t>In order to be eligible to participate in the Plan for a Plan Year, an employee (a) must be an employee of the Company or an Affiliate whose Employment Start Date is 31 October of the Plan Year or earlier within the Plan Year, (b) must not be eligible to participate in a commercial (including sales) or other similar incentive compensation plan, and (c) must not be eligible to receive separate annual bonus compensation under an employment-related contract or another annual bonus program, as determined by the Company or an Affiliate. Additionally, with respect to Gentium S.r.l., Jazz Pharmaceuticals Italy S.r.l. and any other Specified Affiliate in Italy (other than Jazz Healthcare Italy S.r.l.), only employees who are classified as “dirigenti” under Italian employment laws and are individually notified in a separate writing of their eligibility to participate in the Plan. Unless otherwise expressly and individually designated as a Participant by the Company or an Affiliate in writing, employees who are employed under a temporary contract or as interns are not eligible to be Participants, to the extent permissible under applicable local law.</w:t>
      </w:r>
    </w:p>
    <w:p>
      <w:pPr>
        <w:spacing w:after="0" w:line="211"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In order to be eligible to receive a Bonus for a Plan Year, a Participant must (i) continue to be an employee of the Company or an Affiliate in good standing, as determined at the discretion of the particular Affiliate which is the Participant’s employer (the “</w:t>
      </w:r>
      <w:r>
        <w:rPr>
          <w:rFonts w:ascii="Arial" w:cs="Arial" w:eastAsia="Arial" w:hAnsi="Arial"/>
          <w:sz w:val="20"/>
          <w:szCs w:val="20"/>
          <w:b w:val="1"/>
          <w:bCs w:val="1"/>
          <w:i w:val="1"/>
          <w:iCs w:val="1"/>
          <w:color w:val="auto"/>
        </w:rPr>
        <w:t>Employer</w:t>
      </w:r>
      <w:r>
        <w:rPr>
          <w:rFonts w:ascii="Arial" w:cs="Arial" w:eastAsia="Arial" w:hAnsi="Arial"/>
          <w:sz w:val="20"/>
          <w:szCs w:val="20"/>
          <w:color w:val="auto"/>
        </w:rPr>
        <w:t>”), from the date his/her participation in the Plan commences for the Plan Year until the Bonus Payment Date (as defined in Section 7) for the Plan Year, except as provided in Section 6, (ii) act in accordance with the Company’s Code of Conduct, compliance policies and procedures, and those of the Employer, and applicable laws and regulations during the Plan Year, and (iii) not be serving a termination notice period as of the Bonus Payment Date for the Plan Year.</w:t>
      </w:r>
    </w:p>
    <w:p>
      <w:pPr>
        <w:spacing w:after="0" w:line="217" w:lineRule="exact"/>
        <w:rPr>
          <w:sz w:val="20"/>
          <w:szCs w:val="20"/>
          <w:color w:val="auto"/>
        </w:rPr>
      </w:pPr>
    </w:p>
    <w:p>
      <w:pPr>
        <w:ind w:left="620" w:hanging="613"/>
        <w:spacing w:after="0"/>
        <w:tabs>
          <w:tab w:leader="none" w:pos="62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Target Bonus.</w:t>
      </w:r>
    </w:p>
    <w:p>
      <w:pPr>
        <w:spacing w:after="0" w:line="222" w:lineRule="exact"/>
        <w:rPr>
          <w:sz w:val="20"/>
          <w:szCs w:val="20"/>
          <w:color w:val="auto"/>
        </w:rPr>
      </w:pPr>
    </w:p>
    <w:p>
      <w:pPr>
        <w:jc w:val="both"/>
        <w:ind w:right="140"/>
        <w:spacing w:after="0" w:line="242" w:lineRule="auto"/>
        <w:rPr>
          <w:sz w:val="20"/>
          <w:szCs w:val="20"/>
          <w:color w:val="auto"/>
        </w:rPr>
      </w:pPr>
      <w:r>
        <w:rPr>
          <w:rFonts w:ascii="Arial" w:cs="Arial" w:eastAsia="Arial" w:hAnsi="Arial"/>
          <w:sz w:val="20"/>
          <w:szCs w:val="20"/>
          <w:color w:val="auto"/>
        </w:rPr>
        <w:t>The Target Bonus for Participants who are not Section 16 officers of the Company is determined within the discretion of the Chief Executive Officer, and the Target Bonus may vary from year to year and between positions, and among positions at the same level. No Participant has any contractual or otherwise acquired rights to a Target Bonus pursuant to any previous target bonus (whether set forth in a written plan or otherwise). Participants in Italy who are classified as “dirigenti” under Italian employment laws will be provided written notice specifying such Participant’s Target Bonus.</w:t>
      </w:r>
    </w:p>
    <w:p>
      <w:pPr>
        <w:spacing w:after="0" w:line="4"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As additional general guidelines, if a Participant moves to a position and/or responsibility level with a higher Target Bonus during a Plan Year, the Participant’s Target Bonus will be reset at such higher level for the entire Plan Year; and if a Participant moves to a position and/or responsibility level with a lower Target Bonus during a Plan Year, the Participant’s Target Bonus will be reset at the lower level for the entire Plan Year, to the extent permissible under applicable local law.</w:t>
      </w:r>
    </w:p>
    <w:p>
      <w:pPr>
        <w:spacing w:after="0" w:line="221"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Notwithstanding the foregoing, for any Participant who is a Section 16 officer of Jazz Pharmaceuticals plc, the Board or the Compensation and Management Development Committee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will determine such Participant’s Target Bonus for each Plan Year.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460" w:top="594" w:right="339" w:bottom="1440" w:gutter="0" w:footer="0" w:header="0"/>
        </w:sectPr>
      </w:pPr>
    </w:p>
    <w:bookmarkStart w:id="183" w:name="page184"/>
    <w:bookmarkEnd w:id="183"/>
    <w:p>
      <w:pPr>
        <w:spacing w:after="0" w:line="81" w:lineRule="exact"/>
        <w:rPr>
          <w:sz w:val="20"/>
          <w:szCs w:val="20"/>
          <w:color w:val="auto"/>
        </w:rPr>
      </w:pPr>
    </w:p>
    <w:p>
      <w:pPr>
        <w:ind w:left="620" w:hanging="613"/>
        <w:spacing w:after="0"/>
        <w:tabs>
          <w:tab w:leader="none" w:pos="62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Bonus Pool and Bonuses.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Following the end of a Plan Year, the Board or the Committee will determine, in its sole discretion, the Bonus Pool for the Plan Year to be allocated for the payment of Bonuses to Participants. The Bonus Pool will be calculated by multiplying</w:t>
      </w:r>
    </w:p>
    <w:p>
      <w:pPr>
        <w:spacing w:after="0" w:line="190" w:lineRule="exact"/>
        <w:rPr>
          <w:sz w:val="20"/>
          <w:szCs w:val="20"/>
          <w:color w:val="auto"/>
        </w:rPr>
      </w:pPr>
    </w:p>
    <w:p>
      <w:pPr>
        <w:ind w:left="520" w:hanging="412"/>
        <w:spacing w:after="0"/>
        <w:tabs>
          <w:tab w:leader="none" w:pos="5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sum of the following amounts for each Participant:</w:t>
      </w:r>
    </w:p>
    <w:p>
      <w:pPr>
        <w:spacing w:after="0" w:line="215" w:lineRule="exact"/>
        <w:rPr>
          <w:rFonts w:ascii="Arial" w:cs="Arial" w:eastAsia="Arial" w:hAnsi="Arial"/>
          <w:sz w:val="20"/>
          <w:szCs w:val="20"/>
          <w:color w:val="auto"/>
        </w:rPr>
      </w:pPr>
    </w:p>
    <w:p>
      <w:pPr>
        <w:ind w:left="1160" w:hanging="543"/>
        <w:spacing w:after="0"/>
        <w:tabs>
          <w:tab w:leader="none" w:pos="11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Base Salary for such Participant, multiplied by</w:t>
      </w:r>
    </w:p>
    <w:p>
      <w:pPr>
        <w:spacing w:after="0" w:line="215" w:lineRule="exact"/>
        <w:rPr>
          <w:rFonts w:ascii="Arial" w:cs="Arial" w:eastAsia="Arial" w:hAnsi="Arial"/>
          <w:sz w:val="20"/>
          <w:szCs w:val="20"/>
          <w:color w:val="auto"/>
        </w:rPr>
      </w:pPr>
    </w:p>
    <w:p>
      <w:pPr>
        <w:ind w:left="1160" w:hanging="543"/>
        <w:spacing w:after="0"/>
        <w:tabs>
          <w:tab w:leader="none" w:pos="11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such Participant’s applicable Target Bonus;</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with</w:t>
      </w:r>
    </w:p>
    <w:p>
      <w:pPr>
        <w:spacing w:after="0" w:line="229" w:lineRule="exact"/>
        <w:rPr>
          <w:sz w:val="20"/>
          <w:szCs w:val="20"/>
          <w:color w:val="auto"/>
        </w:rPr>
      </w:pPr>
    </w:p>
    <w:p>
      <w:pPr>
        <w:ind w:firstLine="107"/>
        <w:spacing w:after="0" w:line="316" w:lineRule="auto"/>
        <w:tabs>
          <w:tab w:leader="none" w:pos="3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percentage set by the Board or the Committee based upon its determination of the Company’s success in achieving the objectives established by the Board or the Committee for funding the Bonus Pool for the Plan Year (the “</w:t>
      </w:r>
      <w:r>
        <w:rPr>
          <w:rFonts w:ascii="Arial" w:cs="Arial" w:eastAsia="Arial" w:hAnsi="Arial"/>
          <w:sz w:val="18"/>
          <w:szCs w:val="18"/>
          <w:b w:val="1"/>
          <w:bCs w:val="1"/>
          <w:i w:val="1"/>
          <w:iCs w:val="1"/>
          <w:color w:val="auto"/>
        </w:rPr>
        <w:t>Bonus Pool Objectives</w:t>
      </w:r>
      <w:r>
        <w:rPr>
          <w:rFonts w:ascii="Arial" w:cs="Arial" w:eastAsia="Arial" w:hAnsi="Arial"/>
          <w:sz w:val="18"/>
          <w:szCs w:val="18"/>
          <w:color w:val="auto"/>
        </w:rPr>
        <w:t>”).</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Bonus Pool Objectives are related to the achievement of the overall corporate objectives established for the applicable Plan Year by the Board or the Committee (the “</w:t>
      </w:r>
      <w:r>
        <w:rPr>
          <w:rFonts w:ascii="Arial" w:cs="Arial" w:eastAsia="Arial" w:hAnsi="Arial"/>
          <w:sz w:val="20"/>
          <w:szCs w:val="20"/>
          <w:b w:val="1"/>
          <w:bCs w:val="1"/>
          <w:i w:val="1"/>
          <w:iCs w:val="1"/>
          <w:color w:val="auto"/>
        </w:rPr>
        <w:t>Corporate Objectives</w:t>
      </w:r>
      <w:r>
        <w:rPr>
          <w:rFonts w:ascii="Arial" w:cs="Arial" w:eastAsia="Arial" w:hAnsi="Arial"/>
          <w:sz w:val="20"/>
          <w:szCs w:val="20"/>
          <w:color w:val="auto"/>
        </w:rPr>
        <w:t>”).</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At the discretion of the Board or the Committee, the Bonus Pool will be reduced by the amount of bonuses that are required to be paid to any Participants under applicable collective bargaining agreements, labor union arrangements, or the like, if any.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Except as provided in Section 5, a Participant’s Bonus (on a gross basis) for a Plan Year will be based upon the following criteria, as determined within the discretion of the Board, the Committee, or the Company’s or Employer’s management: (a) 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the Employer as evaluated at the discretion of the Employer. Applying these criteria, a Participant may (or may not) be entitled to any Bonus. A Participant’s Bonus, if any, will be reduced by the amount of any bonuses that are required to be paid to the Participant under applicable collective bargaining agreements, labor union arrangements, or the like, to the extent applicable. Each Participant’s Bonus for a Plan Year will be approved by the Chief Executive Officer or his/her delegate, except that in the case of any Participant who is a Section 16 Officer of Jazz Pharmaceuticals plc, such Participant’s Bonus will be approved by the Board or the Committee.</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maximum Bonus payable to any Participant with respect to a Plan Year is 300% of the Participant’s Target Bonus.</w:t>
      </w: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total of all Bonuses paid under this Plan in any Plan Year may not exceed the Bonus Pool for such Plan Year unless such excess amount is specifically approved by the Board or the Committee. Except as provided in Section 5, no amounts will be payable to any Participant hereunder until the Bonus Pool and such Participant’s Bonus have been determined as described above. Except as provided in Section 5, no Participant is entitled to any particular bonus, or any bonus, unless approved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1440" w:right="479" w:bottom="1440" w:gutter="0" w:footer="0" w:header="0"/>
        </w:sectPr>
      </w:pPr>
    </w:p>
    <w:bookmarkStart w:id="184" w:name="page185"/>
    <w:bookmarkEnd w:id="184"/>
    <w:p>
      <w:pPr>
        <w:spacing w:after="0" w:line="81" w:lineRule="exact"/>
        <w:rPr>
          <w:sz w:val="20"/>
          <w:szCs w:val="20"/>
          <w:color w:val="auto"/>
        </w:rPr>
      </w:pPr>
    </w:p>
    <w:p>
      <w:pPr>
        <w:ind w:left="620" w:hanging="613"/>
        <w:spacing w:after="0"/>
        <w:tabs>
          <w:tab w:leader="none" w:pos="62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 Death; Retirement; Permanent Disability.</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 Bonus, prorated or otherwise, will be paid to any Participant whose employment with the Company or an Affiliate terminates prior to the Bonus Payment Date, except as set forth in this Section 5 or if otherwise required under applicable regulations or laws.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If a Participant’s employment terminates due to the Participant’s death or Permanent Disability at any time during the Plan Year, the Participant (or their beneficiary, if the Participant is deceased) will be eligible to receive a prorated Bonus calculated based on the termination date (if within the Plan Year), or full year Bonus if termination occurs after the end of the Bonus Year but prior to the Bonus Payment Date. Such Bonus amount will be determined based on the applicable Target Bonus amount.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a Participant’s employment terminates due to the Participant’s Retirement on or after July 1 in the Plan Year, and the Participant satisfies the Retirement Bonus Conditions (discussed below), the Participant (or their beneficiary, if the Participant is deceased) will be eligible to receive a prorated Bonus calculated based on the termination date (if within the Plan Year), or full year Bonus if termination occurs after the end of the Bonus Year but prior to the Bonus Payment Date. Such Bonus amount will be determined based on the applicable Target Bonus amount. The “</w:t>
      </w:r>
      <w:r>
        <w:rPr>
          <w:rFonts w:ascii="Arial" w:cs="Arial" w:eastAsia="Arial" w:hAnsi="Arial"/>
          <w:sz w:val="19"/>
          <w:szCs w:val="19"/>
          <w:b w:val="1"/>
          <w:bCs w:val="1"/>
          <w:i w:val="1"/>
          <w:iCs w:val="1"/>
          <w:color w:val="auto"/>
        </w:rPr>
        <w:t>Retirement Bonus Conditions</w:t>
      </w:r>
      <w:r>
        <w:rPr>
          <w:rFonts w:ascii="Arial" w:cs="Arial" w:eastAsia="Arial" w:hAnsi="Arial"/>
          <w:sz w:val="19"/>
          <w:szCs w:val="19"/>
          <w:color w:val="auto"/>
        </w:rPr>
        <w:t>” are as follows: (1) the Participant must provide their Employer at least four (4) months of advance written notice of intention to terminate their employment, and (2) the Participant must execute and deliver a non-solicitation agreement satisfactory to their Employer that will apply for a period of twelve (12) months after their employment termination date.</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Bonuses paid pursuant to this Section 5 may be paid at the time determined by the Company’s or Employer’s management, which will in no event be later than the Bonus Payment Date for the applicable Plan Year.</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Unless otherwise required under applicable local law, payments under this Plan shall not be included in calculation of any payment in lieu of notice, severance pay, redundancy pay, termination, indemnity or similar pay.</w:t>
      </w:r>
    </w:p>
    <w:p>
      <w:pPr>
        <w:spacing w:after="0" w:line="184" w:lineRule="exact"/>
        <w:rPr>
          <w:sz w:val="20"/>
          <w:szCs w:val="20"/>
          <w:color w:val="auto"/>
        </w:rPr>
      </w:pPr>
    </w:p>
    <w:p>
      <w:pPr>
        <w:ind w:left="620" w:hanging="613"/>
        <w:spacing w:after="0"/>
        <w:tabs>
          <w:tab w:leader="none" w:pos="62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Bonuses.</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Bonuses for a Plan Year will be paid in cash to a Participant (or his/her beneficiary, in the event of death) by 15 March of the following year (the “</w:t>
      </w:r>
      <w:r>
        <w:rPr>
          <w:rFonts w:ascii="Arial" w:cs="Arial" w:eastAsia="Arial" w:hAnsi="Arial"/>
          <w:sz w:val="20"/>
          <w:szCs w:val="20"/>
          <w:b w:val="1"/>
          <w:bCs w:val="1"/>
          <w:i w:val="1"/>
          <w:iCs w:val="1"/>
          <w:color w:val="auto"/>
        </w:rPr>
        <w:t>Bonus Payment Date</w:t>
      </w:r>
      <w:r>
        <w:rPr>
          <w:rFonts w:ascii="Arial" w:cs="Arial" w:eastAsia="Arial" w:hAnsi="Arial"/>
          <w:sz w:val="20"/>
          <w:szCs w:val="20"/>
          <w:color w:val="auto"/>
        </w:rPr>
        <w:t>”), except (i) as is otherwise determined in the sole discretion of the Board, the Committee or the Company’s management, as appropriate, or (ii) as may be necessary or advisable to comply with regulations, laws, employment agreements or employment contracts applicable to a particular Participant.</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in all cases, the payment date of any Bonus for any Participant who is subject to Section 409A of the United States Internal Revenue Code of 1986, as amended, or any state law of similar effect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will be designed to either comply with Section 409A or satisfy an exemption from application of Section 409A, and the Plan will be administered and interpreted to the greatest extent possible in compliance with Section 409A or in accordance with such exemption, as applicable. Benefits under this Plan are not transferable, to the extent permissible under applicable local law, and the Plan is unfunded.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1440" w:right="479" w:bottom="1440" w:gutter="0" w:footer="0" w:header="0"/>
        </w:sectPr>
      </w:pPr>
    </w:p>
    <w:bookmarkStart w:id="185" w:name="page186"/>
    <w:bookmarkEnd w:id="185"/>
    <w:p>
      <w:pPr>
        <w:ind w:left="620" w:hanging="613"/>
        <w:spacing w:after="0"/>
        <w:tabs>
          <w:tab w:leader="none" w:pos="62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of Taxes and Mandatory Contributions.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Bonuses will be subject to applicable tax and social security withholding as required by applicable local laws, including but not limited to income and employment taxes.</w:t>
      </w:r>
    </w:p>
    <w:p>
      <w:pPr>
        <w:spacing w:after="0" w:line="184" w:lineRule="exact"/>
        <w:rPr>
          <w:sz w:val="20"/>
          <w:szCs w:val="20"/>
          <w:color w:val="auto"/>
        </w:rPr>
      </w:pPr>
    </w:p>
    <w:p>
      <w:pPr>
        <w:ind w:left="620" w:hanging="613"/>
        <w:spacing w:after="0"/>
        <w:tabs>
          <w:tab w:leader="none" w:pos="62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Plan Amendments.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Plan may be revised, modified, or terminated at any time in the sole discretion of: (a) the Board; (b) the Committee; and (c) by the Chief Executive Officer to the extent such revisions or modifications do not impact any Section 16 officers of the Company. Without limiting the foregoing, the Plan may be revised, 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201" w:lineRule="exact"/>
        <w:rPr>
          <w:sz w:val="20"/>
          <w:szCs w:val="20"/>
          <w:color w:val="auto"/>
        </w:rPr>
      </w:pPr>
    </w:p>
    <w:p>
      <w:pPr>
        <w:ind w:left="620" w:hanging="613"/>
        <w:spacing w:after="0"/>
        <w:tabs>
          <w:tab w:leader="none" w:pos="62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No Employment Rights; No Acquired Rights.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Nothing contained in this Plan is intended to confer any right upon any employee to continued employment with the Employer, Company or any Affiliates.</w:t>
      </w:r>
    </w:p>
    <w:p>
      <w:pPr>
        <w:spacing w:after="0" w:line="25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Any payment of Bonuses would be on a voluntary and discretionary basis, without creating any contractual or other acquired right to participate with respect to a similar (or any other) bonus plan or to receive any similar awards (or benefits in lieu) in the future.</w:t>
      </w:r>
    </w:p>
    <w:p>
      <w:pPr>
        <w:spacing w:after="0" w:line="160" w:lineRule="exact"/>
        <w:rPr>
          <w:sz w:val="20"/>
          <w:szCs w:val="20"/>
          <w:color w:val="auto"/>
        </w:rPr>
      </w:pPr>
    </w:p>
    <w:p>
      <w:pPr>
        <w:ind w:left="600" w:hanging="593"/>
        <w:spacing w:after="0"/>
        <w:tabs>
          <w:tab w:leader="none" w:pos="60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Plan Administration.</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This Plan will be administered by the Board or the Committee. The Board and the Committee shall have the sole discretion and authority to administer and interpret the Plan, and the decisions of the Board and the Committee shall in every case be final and binding on all persons having an interest in the Plan. Notwithstanding the foregoing, certain aspects of the Plan may be administered by the Chief Executive Officer or the Company’s management (including but not limited to the Chief Human Resources Officer (“</w:t>
      </w:r>
      <w:r>
        <w:rPr>
          <w:rFonts w:ascii="Arial" w:cs="Arial" w:eastAsia="Arial" w:hAnsi="Arial"/>
          <w:sz w:val="18"/>
          <w:szCs w:val="18"/>
          <w:b w:val="1"/>
          <w:bCs w:val="1"/>
          <w:i w:val="1"/>
          <w:iCs w:val="1"/>
          <w:color w:val="auto"/>
        </w:rPr>
        <w:t>CHRO</w:t>
      </w:r>
      <w:r>
        <w:rPr>
          <w:rFonts w:ascii="Arial" w:cs="Arial" w:eastAsia="Arial" w:hAnsi="Arial"/>
          <w:sz w:val="18"/>
          <w:szCs w:val="18"/>
          <w:color w:val="auto"/>
        </w:rPr>
        <w:t>”)), as specifically provided in the Plan, and in such event, the Chief Executive Officer or the Company’s management (including the CHRO) shall have the sole discretion and authority to administer and interpret such aspects of the Plan, and the decisions of the Chief Executive Officer or the Company’s management (including the CHRO) shall in such cases be final and binding.</w:t>
      </w:r>
    </w:p>
    <w:p>
      <w:pPr>
        <w:spacing w:after="0" w:line="189" w:lineRule="exact"/>
        <w:rPr>
          <w:sz w:val="20"/>
          <w:szCs w:val="20"/>
          <w:color w:val="auto"/>
        </w:rPr>
      </w:pPr>
    </w:p>
    <w:p>
      <w:pPr>
        <w:ind w:left="600" w:hanging="593"/>
        <w:spacing w:after="0"/>
        <w:tabs>
          <w:tab w:leader="none" w:pos="60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any “parent” or “subsidiary” of the Company as such terms are defined in Rule 405 promulgated under the Securities Act and any “holding company” or “subsidiary” of the Company as such terms are defined in Section 8 and 7 respectively of the Companies Act. The Board shall have the authority to determine the time or times at which “parent” or “subsidiary” status is determined within the foregoing definition.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for a Participant means the total amount of base salary or base pay actually paid to the Participant by the Employer during the period of his/her participation in the Plan for the Plan Year, rather than the Participant’s base salary level or base pay level at any particular point during the Plan Year (</w:t>
      </w:r>
      <w:r>
        <w:rPr>
          <w:rFonts w:ascii="Arial" w:cs="Arial" w:eastAsia="Arial" w:hAnsi="Arial"/>
          <w:sz w:val="19"/>
          <w:szCs w:val="19"/>
          <w:i w:val="1"/>
          <w:iCs w:val="1"/>
          <w:color w:val="auto"/>
        </w:rPr>
        <w:t>e.g</w:t>
      </w:r>
      <w:r>
        <w:rPr>
          <w:rFonts w:ascii="Arial" w:cs="Arial" w:eastAsia="Arial" w:hAnsi="Arial"/>
          <w:sz w:val="19"/>
          <w:szCs w:val="19"/>
          <w:color w:val="auto"/>
        </w:rPr>
        <w:t>.,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benefits, allowances, expense reimbursements, relocation payments or benefits, incentive compensation or bonuses, amounts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1278" w:right="479" w:bottom="1440" w:gutter="0" w:footer="0" w:header="0"/>
        </w:sectPr>
      </w:pPr>
    </w:p>
    <w:bookmarkStart w:id="186" w:name="page187"/>
    <w:bookmarkEnd w:id="186"/>
    <w:p>
      <w:pPr>
        <w:jc w:val="both"/>
        <w:spacing w:after="0" w:line="246" w:lineRule="auto"/>
        <w:rPr>
          <w:sz w:val="20"/>
          <w:szCs w:val="20"/>
          <w:color w:val="auto"/>
        </w:rPr>
      </w:pPr>
      <w:r>
        <w:rPr>
          <w:rFonts w:ascii="Arial" w:cs="Arial" w:eastAsia="Arial" w:hAnsi="Arial"/>
          <w:sz w:val="20"/>
          <w:szCs w:val="20"/>
          <w:color w:val="auto"/>
        </w:rPr>
        <w:t>received as a result of equity awards, overtime or shift differential payments or similar one-time, extraordinary or unusual payments. Any salary or pay earned for periods during which a Participant is on disciplinary action or serving a termination notice period are excluded from Base Salary to the extent permissible under applicable local law and as determined within the discretion of the Company’s or Employer’s management.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Jazz Pharmaceuticals plc.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means a Participant’s actual bonus for a Plan Year as determined in accordance with Section 4 or Section 5, if applicable.</w:t>
      </w:r>
    </w:p>
    <w:p>
      <w:pPr>
        <w:spacing w:after="0" w:line="2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Bonus Pool</w:t>
      </w:r>
      <w:r>
        <w:rPr>
          <w:rFonts w:ascii="Arial" w:cs="Arial" w:eastAsia="Arial" w:hAnsi="Arial"/>
          <w:sz w:val="20"/>
          <w:szCs w:val="20"/>
          <w:color w:val="auto"/>
        </w:rPr>
        <w:t>” for a Plan Year means the aggregate dollar amount set by the Board or the Committee for the payment of Bonuses for such Plan Year to Participants as set forth in Section 4.</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Chief Executive Officer</w:t>
      </w:r>
      <w:r>
        <w:rPr>
          <w:rFonts w:ascii="Arial" w:cs="Arial" w:eastAsia="Arial" w:hAnsi="Arial"/>
          <w:sz w:val="20"/>
          <w:szCs w:val="20"/>
          <w:color w:val="auto"/>
        </w:rPr>
        <w:t>” means the Chief Executive Officer of Jazz Pharmaceuticals plc.</w:t>
      </w:r>
    </w:p>
    <w:p>
      <w:pPr>
        <w:spacing w:after="0" w:line="202" w:lineRule="exact"/>
        <w:rPr>
          <w:sz w:val="20"/>
          <w:szCs w:val="20"/>
          <w:color w:val="auto"/>
        </w:rPr>
      </w:pPr>
    </w:p>
    <w:p>
      <w:pPr>
        <w:jc w:val="both"/>
        <w:ind w:left="2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Start Date</w:t>
      </w:r>
      <w:r>
        <w:rPr>
          <w:rFonts w:ascii="Arial" w:cs="Arial" w:eastAsia="Arial" w:hAnsi="Arial"/>
          <w:sz w:val="20"/>
          <w:szCs w:val="20"/>
          <w:color w:val="auto"/>
        </w:rPr>
        <w:t>” means the first business day on which a Participant is an employee of the Company or an Affiliate, on the Company’s or such Affiliate’s payroll, as applicable.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means an employee of the Company or an Affiliate who meets all of the eligibility requirements set forth in Section 2.</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Permanent Disability</w:t>
      </w:r>
      <w:r>
        <w:rPr>
          <w:rFonts w:ascii="Arial" w:cs="Arial" w:eastAsia="Arial" w:hAnsi="Arial"/>
          <w:sz w:val="19"/>
          <w:szCs w:val="19"/>
          <w:color w:val="auto"/>
        </w:rPr>
        <w:t>” means that a Participant has become permanently disabled under any policy or program of disability income insurance then in force covering such Participant or, if none is in force, under applicable laws or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Jazz Pharmaceuticals Global Cash Bonus Plan.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 Year</w:t>
      </w:r>
      <w:r>
        <w:rPr>
          <w:rFonts w:ascii="Arial" w:cs="Arial" w:eastAsia="Arial" w:hAnsi="Arial"/>
          <w:sz w:val="20"/>
          <w:szCs w:val="20"/>
          <w:color w:val="auto"/>
        </w:rPr>
        <w:t>” means each calendar year beginning 1 January and ending 31 December.</w:t>
      </w:r>
    </w:p>
    <w:p>
      <w:pPr>
        <w:spacing w:after="0" w:line="243" w:lineRule="exact"/>
        <w:rPr>
          <w:sz w:val="20"/>
          <w:szCs w:val="20"/>
          <w:color w:val="auto"/>
        </w:rPr>
      </w:pPr>
    </w:p>
    <w:p>
      <w:pPr>
        <w:jc w:val="both"/>
        <w:ind w:right="10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means the Participant’s voluntary termination of employment from their Employer (with no subsequent employment by the Company or any Affiliate), unless circumstances exist at the time of such termination that would constitute “cause” for termination (as defined in the Participant’s employment contract, or if there is no such definition in the employment contract, under applicable laws), following: (a) the Participant’s completion of five (5) years of continuous service as an employee with the Employer, the Company, or any other Affiliate, and (b) attainment of age 55.</w:t>
      </w:r>
    </w:p>
    <w:p>
      <w:pPr>
        <w:spacing w:after="0" w:line="221"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16 Officer</w:t>
      </w:r>
      <w:r>
        <w:rPr>
          <w:rFonts w:ascii="Arial" w:cs="Arial" w:eastAsia="Arial" w:hAnsi="Arial"/>
          <w:sz w:val="20"/>
          <w:szCs w:val="20"/>
          <w:color w:val="auto"/>
        </w:rPr>
        <w:t>” means an individual who has been designated by the Board as an “officer” of Jazz Pharmaceuticals plc for the purposes of Section 16 of the Securities Exchange Act of 1934, as amended, and Rule 16a-1(f) thereunder.</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Target Bonus</w:t>
      </w:r>
      <w:r>
        <w:rPr>
          <w:rFonts w:ascii="Arial" w:cs="Arial" w:eastAsia="Arial" w:hAnsi="Arial"/>
          <w:sz w:val="19"/>
          <w:szCs w:val="19"/>
          <w:color w:val="auto"/>
        </w:rPr>
        <w:t>” means, for a Participant for a Plan Year, the percentage of Base Salary that represents the target amount of Bonus that such Participant may receive for the applicable Plan Year, as may be adjusted with respect to such Participant for such Plan Year in the discretion of the Board, the Committee or the Chief Executive Officer or his/her delegate, as applicable.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1297" w:right="479" w:bottom="1440" w:gutter="0" w:footer="0" w:header="0"/>
        </w:sectPr>
      </w:pPr>
    </w:p>
    <w:bookmarkStart w:id="187" w:name="page188"/>
    <w:bookmarkEnd w:id="187"/>
    <w:p>
      <w:pPr>
        <w:spacing w:after="0" w:line="260" w:lineRule="auto"/>
        <w:rPr>
          <w:sz w:val="20"/>
          <w:szCs w:val="20"/>
          <w:color w:val="auto"/>
        </w:rPr>
      </w:pPr>
      <w:r>
        <w:rPr>
          <w:rFonts w:ascii="Arial" w:cs="Arial" w:eastAsia="Arial" w:hAnsi="Arial"/>
          <w:sz w:val="20"/>
          <w:szCs w:val="20"/>
          <w:b w:val="1"/>
          <w:bCs w:val="1"/>
          <w:i w:val="1"/>
          <w:iCs w:val="1"/>
          <w:color w:val="auto"/>
        </w:rPr>
        <w:t>As approved by the Compensation and Management Development Committee of the Board of Directors of Jazz Pharmaceuticals plc on 3 November 2021.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460" w:top="1297" w:right="7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21.1</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Subsidiaries of the Registrant</w:t>
      </w:r>
    </w:p>
    <w:p>
      <w:pPr>
        <w:sectPr>
          <w:pgSz w:w="11900" w:h="16838" w:orient="portrait"/>
          <w:cols w:equalWidth="0" w:num="1">
            <w:col w:w="11220"/>
          </w:cols>
          <w:pgMar w:left="340" w:top="1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State/Jurisdiction of Incorporation</w:t>
      </w:r>
    </w:p>
    <w:p>
      <w:pPr>
        <w:spacing w:after="0" w:line="104" w:lineRule="exact"/>
        <w:rPr>
          <w:sz w:val="20"/>
          <w:szCs w:val="20"/>
          <w:color w:val="auto"/>
        </w:rPr>
      </w:pPr>
    </w:p>
    <w:p>
      <w:pPr>
        <w:sectPr>
          <w:pgSz w:w="11900" w:h="16838" w:orient="portrait"/>
          <w:cols w:equalWidth="0" w:num="2">
            <w:col w:w="4900" w:space="720"/>
            <w:col w:w="5600"/>
          </w:cols>
          <w:pgMar w:left="340" w:top="1431" w:right="339" w:bottom="1440" w:gutter="0" w:footer="0" w:header="0"/>
          <w:type w:val="continuous"/>
        </w:sectPr>
      </w:pPr>
    </w:p>
    <w:p>
      <w:pPr>
        <w:spacing w:after="0"/>
        <w:rPr>
          <w:sz w:val="20"/>
          <w:szCs w:val="20"/>
          <w:color w:val="auto"/>
        </w:rPr>
      </w:pPr>
      <w:r>
        <w:rPr>
          <w:rFonts w:ascii="Arial" w:cs="Arial" w:eastAsia="Arial" w:hAnsi="Arial"/>
          <w:sz w:val="18"/>
          <w:szCs w:val="18"/>
          <w:color w:val="auto"/>
        </w:rPr>
        <w:t>Jazz Pharmaceuticals Ireland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Celator Pharmaceuticals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GW Research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Financing I DAC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UK Holdings Limited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Gentium S.r.l.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GW Pharma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Securities DAC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Financing Holdings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Financing Lux S.à.r.l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International Limited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Jazz Investments Europe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Investments I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Capital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UK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GW Pharmaceuticals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ectPr>
          <w:pgSz w:w="11900" w:h="16838" w:orient="portrait"/>
          <w:cols w:equalWidth="0" w:num="2">
            <w:col w:w="4900" w:space="720"/>
            <w:col w:w="5600"/>
          </w:cols>
          <w:pgMar w:left="340" w:top="1431" w:right="339" w:bottom="1440" w:gutter="0" w:footer="0" w:header="0"/>
          <w:type w:val="continuous"/>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ind w:right="60"/>
        <w:spacing w:after="0" w:line="220" w:lineRule="exact"/>
        <w:rPr>
          <w:sz w:val="20"/>
          <w:szCs w:val="20"/>
          <w:color w:val="auto"/>
        </w:rPr>
      </w:pPr>
      <w:r>
        <w:rPr>
          <w:rFonts w:ascii="Arial" w:cs="Arial" w:eastAsia="Arial" w:hAnsi="Arial"/>
          <w:sz w:val="18"/>
          <w:szCs w:val="18"/>
          <w:color w:val="auto"/>
        </w:rPr>
        <w:t>We consent to the incorporation by reference in the registration statements (No. 333-179075, No. 333-186886, No. 333-194131, No. 333-202269, No. 333-209767, No. 333-216338, No. 333-224757, No. 333</w:t>
      </w:r>
      <w:r>
        <w:rPr>
          <w:rFonts w:ascii="MS PGothic" w:cs="MS PGothic" w:eastAsia="MS PGothic" w:hAnsi="MS PGothic"/>
          <w:sz w:val="18"/>
          <w:szCs w:val="18"/>
          <w:color w:val="auto"/>
        </w:rPr>
        <w:t>‑</w:t>
      </w:r>
      <w:r>
        <w:rPr>
          <w:rFonts w:ascii="Arial" w:cs="Arial" w:eastAsia="Arial" w:hAnsi="Arial"/>
          <w:sz w:val="18"/>
          <w:szCs w:val="18"/>
          <w:color w:val="auto"/>
        </w:rPr>
        <w:t>229889, No. 333-236636, No. 333-249807, No. 333-253417 and No. 333-255895) on Form S-8 of our reports dated March 1, 2022, with respect to the consolidated financial statements and financial statement schedule at Item 15(a)2 of Jazz Pharmaceuticals plc and the effectiveness of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417"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120" w:hanging="327"/>
        <w:spacing w:after="0" w:line="308"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2021,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2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6"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2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lvl w:ilvl="1">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lvl w:ilvl="1">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1."/>
      <w:numFmt w:val="decimal"/>
      <w:start w:val="3"/>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1"/>
      <w:numFmt w:val="decimal"/>
      <w:start w:val="1"/>
    </w:lvl>
    <w:lvl w:ilvl="1">
      <w:lvlJc w:val="left"/>
      <w:lvlText w:val="(%2)"/>
      <w:numFmt w:val="lowerLetter"/>
      <w:start w:val="1"/>
    </w:lvl>
  </w:abstractNum>
  <w:abstractNum w:abstractNumId="52">
    <w:nsid w:val="51D9C564"/>
    <w:multiLevelType w:val="hybridMultilevel"/>
    <w:lvl w:ilvl="0">
      <w:lvlJc w:val="left"/>
      <w:lvlText w:val="%1."/>
      <w:numFmt w:val="decimal"/>
      <w:start w:val="1"/>
    </w:lvl>
    <w:lvl w:ilvl="1">
      <w:lvlJc w:val="left"/>
      <w:lvlText w:val="%2"/>
      <w:numFmt w:val="lowerLetter"/>
      <w:start w:val="1"/>
    </w:lvl>
  </w:abstractNum>
  <w:abstractNum w:abstractNumId="53">
    <w:nsid w:val="613EFDC5"/>
    <w:multiLevelType w:val="hybridMultilevel"/>
    <w:lvl w:ilvl="0">
      <w:lvlJc w:val="left"/>
      <w:lvlText w:val="%1."/>
      <w:numFmt w:val="decimal"/>
      <w:start w:val="2"/>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endash "/>
      <w:numFmt w:val="bullet"/>
      <w:start w:val="1"/>
    </w:lvl>
  </w:abstractNum>
  <w:abstractNum w:abstractNumId="58">
    <w:nsid w:val="8F2B15E"/>
    <w:multiLevelType w:val="hybridMultilevel"/>
    <w:lvl w:ilvl="0">
      <w:lvlJc w:val="left"/>
      <w:lvlText w:val="\endash "/>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2"/>
    </w:lvl>
  </w:abstractNum>
  <w:abstractNum w:abstractNumId="63">
    <w:nsid w:val="60B6DF70"/>
    <w:multiLevelType w:val="hybridMultilevel"/>
    <w:lvl w:ilvl="0">
      <w:lvlJc w:val="left"/>
      <w:lvlText w:val="%1."/>
      <w:numFmt w:val="decimal"/>
      <w:start w:val="3"/>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1)"/>
      <w:numFmt w:val="lowerRoman"/>
      <w:start w:val="3"/>
    </w:lvl>
  </w:abstractNum>
  <w:abstractNum w:abstractNumId="68">
    <w:nsid w:val="71EA1109"/>
    <w:multiLevelType w:val="hybridMultilevel"/>
    <w:lvl w:ilvl="0">
      <w:lvlJc w:val="left"/>
      <w:lvlText w:val="%1"/>
      <w:numFmt w:val="decimal"/>
      <w:start w:val="1"/>
    </w:lvl>
    <w:lvl w:ilvl="1">
      <w:lvlJc w:val="left"/>
      <w:lvlText w:val="(%2)"/>
      <w:numFmt w:val="decimal"/>
      <w:start w:val="1"/>
    </w:lvl>
  </w:abstractNum>
  <w:abstractNum w:abstractNumId="69">
    <w:nsid w:val="100F59DC"/>
    <w:multiLevelType w:val="hybridMultilevel"/>
    <w:lvl w:ilvl="0">
      <w:lvlJc w:val="left"/>
      <w:lvlText w:val="%1."/>
      <w:numFmt w:val="decimal"/>
      <w:start w:val="19"/>
    </w:lvl>
    <w:lvl w:ilvl="1">
      <w:lvlJc w:val="left"/>
      <w:lvlText w:val="%2"/>
      <w:numFmt w:val="decimal"/>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lowerRoman"/>
      <w:start w:val="4"/>
    </w:lvl>
    <w:lvl w:ilvl="1">
      <w:lvlJc w:val="left"/>
      <w:lvlText w:val="•"/>
      <w:numFmt w:val="bullet"/>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decimal"/>
      <w:start w:val="5"/>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2"/>
    </w:lvl>
  </w:abstractNum>
  <w:abstractNum w:abstractNumId="83">
    <w:nsid w:val="46B7D447"/>
    <w:multiLevelType w:val="hybridMultilevel"/>
    <w:lvl w:ilvl="0">
      <w:lvlJc w:val="left"/>
      <w:lvlText w:val="%1."/>
      <w:numFmt w:val="decimal"/>
      <w:start w:val="3"/>
    </w:lvl>
  </w:abstractNum>
  <w:abstractNum w:abstractNumId="84">
    <w:nsid w:val="4A2AC315"/>
    <w:multiLevelType w:val="hybridMultilevel"/>
    <w:lvl w:ilvl="0">
      <w:lvlJc w:val="left"/>
      <w:lvlText w:val="%1."/>
      <w:numFmt w:val="decimal"/>
      <w:start w:val="4"/>
    </w:lvl>
  </w:abstractNum>
  <w:abstractNum w:abstractNumId="85">
    <w:nsid w:val="39EE015C"/>
    <w:multiLevelType w:val="hybridMultilevel"/>
    <w:lvl w:ilvl="0">
      <w:lvlJc w:val="left"/>
      <w:lvlText w:val="(%1)"/>
      <w:numFmt w:val="lowerLetter"/>
      <w:start w:val="1"/>
    </w:lvl>
    <w:lvl w:ilvl="1">
      <w:lvlJc w:val="left"/>
      <w:lvlText w:val="(%2)"/>
      <w:numFmt w:val="lowerRoman"/>
      <w:start w:val="1"/>
    </w:lvl>
  </w:abstractNum>
  <w:abstractNum w:abstractNumId="86">
    <w:nsid w:val="57FC4FBB"/>
    <w:multiLevelType w:val="hybridMultilevel"/>
    <w:lvl w:ilvl="0">
      <w:lvlJc w:val="left"/>
      <w:lvlText w:val="(%1)"/>
      <w:numFmt w:val="lowerLetter"/>
      <w:start w:val="2"/>
    </w:lvl>
  </w:abstractNum>
  <w:abstractNum w:abstractNumId="87">
    <w:nsid w:val="CC1016F"/>
    <w:multiLevelType w:val="hybridMultilevel"/>
    <w:lvl w:ilvl="0">
      <w:lvlJc w:val="left"/>
      <w:lvlText w:val="%1."/>
      <w:numFmt w:val="decimal"/>
      <w:start w:val="5"/>
    </w:lvl>
  </w:abstractNum>
  <w:abstractNum w:abstractNumId="88">
    <w:nsid w:val="43F18422"/>
    <w:multiLevelType w:val="hybridMultilevel"/>
    <w:lvl w:ilvl="0">
      <w:lvlJc w:val="left"/>
      <w:lvlText w:val="%1."/>
      <w:numFmt w:val="decimal"/>
      <w:start w:val="6"/>
    </w:lvl>
  </w:abstractNum>
  <w:abstractNum w:abstractNumId="89">
    <w:nsid w:val="60EF0119"/>
    <w:multiLevelType w:val="hybridMultilevel"/>
    <w:lvl w:ilvl="0">
      <w:lvlJc w:val="left"/>
      <w:lvlText w:val="%1."/>
      <w:numFmt w:val="decimal"/>
      <w:start w:val="7"/>
    </w:lvl>
  </w:abstractNum>
  <w:abstractNum w:abstractNumId="90">
    <w:nsid w:val="26F324BA"/>
    <w:multiLevelType w:val="hybridMultilevel"/>
    <w:lvl w:ilvl="0">
      <w:lvlJc w:val="left"/>
      <w:lvlText w:val="%1."/>
      <w:numFmt w:val="decimal"/>
      <w:start w:val="8"/>
    </w:lvl>
  </w:abstractNum>
  <w:abstractNum w:abstractNumId="91">
    <w:nsid w:val="7F01579B"/>
    <w:multiLevelType w:val="hybridMultilevel"/>
    <w:lvl w:ilvl="0">
      <w:lvlJc w:val="left"/>
      <w:lvlText w:val="%1."/>
      <w:numFmt w:val="decimal"/>
      <w:start w:val="9"/>
    </w:lvl>
  </w:abstractNum>
  <w:abstractNum w:abstractNumId="92">
    <w:nsid w:val="49DA307D"/>
    <w:multiLevelType w:val="hybridMultilevel"/>
    <w:lvl w:ilvl="0">
      <w:lvlJc w:val="left"/>
      <w:lvlText w:val="%1."/>
      <w:numFmt w:val="decimal"/>
      <w:start w:val="10"/>
    </w:lvl>
  </w:abstractNum>
  <w:abstractNum w:abstractNumId="93">
    <w:nsid w:val="7055A5F5"/>
    <w:multiLevelType w:val="hybridMultilevel"/>
    <w:lvl w:ilvl="0">
      <w:lvlJc w:val="left"/>
      <w:lvlText w:val="%1."/>
      <w:numFmt w:val="decimal"/>
      <w:start w:val="1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93" Type="http://schemas.openxmlformats.org/officeDocument/2006/relationships/image" Target="media/image119.png"/><Relationship Id="rId194" Type="http://schemas.openxmlformats.org/officeDocument/2006/relationships/image" Target="media/image120.png"/><Relationship Id="rId209" Type="http://schemas.openxmlformats.org/officeDocument/2006/relationships/image" Target="media/image121.png"/><Relationship Id="rId210" Type="http://schemas.openxmlformats.org/officeDocument/2006/relationships/image" Target="media/image122.png"/><Relationship Id="rId225" Type="http://schemas.openxmlformats.org/officeDocument/2006/relationships/image" Target="media/image123.png"/><Relationship Id="rId226" Type="http://schemas.openxmlformats.org/officeDocument/2006/relationships/image" Target="media/image124.png"/><Relationship Id="rId240" Type="http://schemas.openxmlformats.org/officeDocument/2006/relationships/image" Target="media/image125.png"/><Relationship Id="rId241" Type="http://schemas.openxmlformats.org/officeDocument/2006/relationships/image" Target="media/image126.png"/><Relationship Id="rId256" Type="http://schemas.openxmlformats.org/officeDocument/2006/relationships/image" Target="media/image127.png"/><Relationship Id="rId257" Type="http://schemas.openxmlformats.org/officeDocument/2006/relationships/image" Target="media/image128.png"/><Relationship Id="rId258" Type="http://schemas.openxmlformats.org/officeDocument/2006/relationships/image" Target="media/image129.png"/><Relationship Id="rId263" Type="http://schemas.openxmlformats.org/officeDocument/2006/relationships/image" Target="media/image130.png"/><Relationship Id="rId264" Type="http://schemas.openxmlformats.org/officeDocument/2006/relationships/image" Target="media/image131.png"/><Relationship Id="rId265" Type="http://schemas.openxmlformats.org/officeDocument/2006/relationships/image" Target="media/image132.png"/><Relationship Id="rId266" Type="http://schemas.openxmlformats.org/officeDocument/2006/relationships/image" Target="media/image133.png"/><Relationship Id="rId267" Type="http://schemas.openxmlformats.org/officeDocument/2006/relationships/image" Target="media/image134.png"/><Relationship Id="rId268" Type="http://schemas.openxmlformats.org/officeDocument/2006/relationships/image" Target="media/image135.png"/><Relationship Id="rId269" Type="http://schemas.openxmlformats.org/officeDocument/2006/relationships/image" Target="media/image136.png"/><Relationship Id="rId270" Type="http://schemas.openxmlformats.org/officeDocument/2006/relationships/image" Target="media/image137.png"/><Relationship Id="rId271" Type="http://schemas.openxmlformats.org/officeDocument/2006/relationships/image" Target="media/image138.png"/><Relationship Id="rId272" Type="http://schemas.openxmlformats.org/officeDocument/2006/relationships/image" Target="media/image139.png"/><Relationship Id="rId273" Type="http://schemas.openxmlformats.org/officeDocument/2006/relationships/image" Target="media/image140.png"/><Relationship Id="rId274" Type="http://schemas.openxmlformats.org/officeDocument/2006/relationships/image" Target="media/image141.png"/><Relationship Id="rId275" Type="http://schemas.openxmlformats.org/officeDocument/2006/relationships/image" Target="media/image142.png"/><Relationship Id="rId276" Type="http://schemas.openxmlformats.org/officeDocument/2006/relationships/image" Target="media/image143.png"/><Relationship Id="rId277" Type="http://schemas.openxmlformats.org/officeDocument/2006/relationships/image" Target="media/image144.png"/><Relationship Id="rId278" Type="http://schemas.openxmlformats.org/officeDocument/2006/relationships/image" Target="media/image145.png"/><Relationship Id="rId279" Type="http://schemas.openxmlformats.org/officeDocument/2006/relationships/image" Target="media/image146.png"/><Relationship Id="rId280" Type="http://schemas.openxmlformats.org/officeDocument/2006/relationships/image" Target="media/image147.png"/><Relationship Id="rId281" Type="http://schemas.openxmlformats.org/officeDocument/2006/relationships/image" Target="media/image148.png"/><Relationship Id="rId282" Type="http://schemas.openxmlformats.org/officeDocument/2006/relationships/image" Target="media/image149.png"/><Relationship Id="rId283" Type="http://schemas.openxmlformats.org/officeDocument/2006/relationships/image" Target="media/image150.png"/><Relationship Id="rId284" Type="http://schemas.openxmlformats.org/officeDocument/2006/relationships/image" Target="media/image151.png"/><Relationship Id="rId285" Type="http://schemas.openxmlformats.org/officeDocument/2006/relationships/image" Target="media/image152.png"/><Relationship Id="rId286" Type="http://schemas.openxmlformats.org/officeDocument/2006/relationships/image" Target="media/image153.png"/><Relationship Id="rId287" Type="http://schemas.openxmlformats.org/officeDocument/2006/relationships/image" Target="media/image154.png"/><Relationship Id="rId288" Type="http://schemas.openxmlformats.org/officeDocument/2006/relationships/image" Target="media/image155.png"/><Relationship Id="rId289" Type="http://schemas.openxmlformats.org/officeDocument/2006/relationships/image" Target="media/image156.png"/><Relationship Id="rId290" Type="http://schemas.openxmlformats.org/officeDocument/2006/relationships/image" Target="media/image157.png"/><Relationship Id="rId291" Type="http://schemas.openxmlformats.org/officeDocument/2006/relationships/image" Target="media/image158.png"/><Relationship Id="rId292" Type="http://schemas.openxmlformats.org/officeDocument/2006/relationships/image" Target="media/image159.png"/><Relationship Id="rId293" Type="http://schemas.openxmlformats.org/officeDocument/2006/relationships/image" Target="media/image160.png"/><Relationship Id="rId294" Type="http://schemas.openxmlformats.org/officeDocument/2006/relationships/image" Target="media/image161.png"/><Relationship Id="rId295" Type="http://schemas.openxmlformats.org/officeDocument/2006/relationships/image" Target="media/image162.png"/><Relationship Id="rId296" Type="http://schemas.openxmlformats.org/officeDocument/2006/relationships/image" Target="media/image163.png"/><Relationship Id="rId297" Type="http://schemas.openxmlformats.org/officeDocument/2006/relationships/image" Target="media/image164.png"/><Relationship Id="rId298" Type="http://schemas.openxmlformats.org/officeDocument/2006/relationships/image" Target="media/image165.png"/><Relationship Id="rId299" Type="http://schemas.openxmlformats.org/officeDocument/2006/relationships/image" Target="media/image166.png"/><Relationship Id="rId300" Type="http://schemas.openxmlformats.org/officeDocument/2006/relationships/image" Target="media/image167.png"/><Relationship Id="rId301" Type="http://schemas.openxmlformats.org/officeDocument/2006/relationships/image" Target="media/image168.png"/><Relationship Id="rId302" Type="http://schemas.openxmlformats.org/officeDocument/2006/relationships/image" Target="media/image169.png"/><Relationship Id="rId303" Type="http://schemas.openxmlformats.org/officeDocument/2006/relationships/image" Target="media/image170.png"/><Relationship Id="rId304" Type="http://schemas.openxmlformats.org/officeDocument/2006/relationships/image" Target="media/image171.png"/><Relationship Id="rId305" Type="http://schemas.openxmlformats.org/officeDocument/2006/relationships/image" Target="media/image172.png"/><Relationship Id="rId306" Type="http://schemas.openxmlformats.org/officeDocument/2006/relationships/image" Target="media/image173.png"/><Relationship Id="rId307" Type="http://schemas.openxmlformats.org/officeDocument/2006/relationships/image" Target="media/image174.png"/><Relationship Id="rId308" Type="http://schemas.openxmlformats.org/officeDocument/2006/relationships/image" Target="media/image175.png"/><Relationship Id="rId309" Type="http://schemas.openxmlformats.org/officeDocument/2006/relationships/image" Target="media/image176.png"/><Relationship Id="rId310" Type="http://schemas.openxmlformats.org/officeDocument/2006/relationships/image" Target="media/image177.png"/><Relationship Id="rId311" Type="http://schemas.openxmlformats.org/officeDocument/2006/relationships/image" Target="media/image178.png"/><Relationship Id="rId312" Type="http://schemas.openxmlformats.org/officeDocument/2006/relationships/image" Target="media/image179.png"/><Relationship Id="rId313" Type="http://schemas.openxmlformats.org/officeDocument/2006/relationships/image" Target="media/image180.png"/><Relationship Id="rId314" Type="http://schemas.openxmlformats.org/officeDocument/2006/relationships/image" Target="media/image181.png"/><Relationship Id="rId315" Type="http://schemas.openxmlformats.org/officeDocument/2006/relationships/image" Target="media/image182.png"/><Relationship Id="rId316" Type="http://schemas.openxmlformats.org/officeDocument/2006/relationships/image" Target="media/image183.png"/><Relationship Id="rId317" Type="http://schemas.openxmlformats.org/officeDocument/2006/relationships/image" Target="media/image184.png"/><Relationship Id="rId318" Type="http://schemas.openxmlformats.org/officeDocument/2006/relationships/image" Target="media/image185.png"/><Relationship Id="rId319" Type="http://schemas.openxmlformats.org/officeDocument/2006/relationships/image" Target="media/image186.png"/><Relationship Id="rId320" Type="http://schemas.openxmlformats.org/officeDocument/2006/relationships/image" Target="media/image187.png"/><Relationship Id="rId321" Type="http://schemas.openxmlformats.org/officeDocument/2006/relationships/image" Target="media/image188.png"/><Relationship Id="rId322" Type="http://schemas.openxmlformats.org/officeDocument/2006/relationships/image" Target="media/image189.png"/><Relationship Id="rId323" Type="http://schemas.openxmlformats.org/officeDocument/2006/relationships/image" Target="media/image190.png"/><Relationship Id="rId324" Type="http://schemas.openxmlformats.org/officeDocument/2006/relationships/image" Target="media/image191.png"/><Relationship Id="rId325" Type="http://schemas.openxmlformats.org/officeDocument/2006/relationships/image" Target="media/image192.png"/><Relationship Id="rId326" Type="http://schemas.openxmlformats.org/officeDocument/2006/relationships/image" Target="media/image193.png"/><Relationship Id="rId115" Type="http://schemas.openxmlformats.org/officeDocument/2006/relationships/hyperlink" Target="http://www.sec.gov/Archives/edgar/data/1232524/000119312511251468/d233902dex21.htm" TargetMode="External"/><Relationship Id="rId117" Type="http://schemas.openxmlformats.org/officeDocument/2006/relationships/hyperlink" Target="http://www.sec.gov/Archives/edgar/data/1232524/000119312512015521/d282897dex22.htm" TargetMode="External"/><Relationship Id="rId118" Type="http://schemas.openxmlformats.org/officeDocument/2006/relationships/hyperlink" Target="http://www.sec.gov/Archives/edgar/data/1232524/000119312512191724/d341488dex21.htm" TargetMode="External"/><Relationship Id="rId119" Type="http://schemas.openxmlformats.org/officeDocument/2006/relationships/hyperlink" Target="http://www.sec.gov/Archives/edgar/data/1232524/000119312512268244/d365702dex21b.htm" TargetMode="External"/><Relationship Id="rId120" Type="http://schemas.openxmlformats.org/officeDocument/2006/relationships/hyperlink" Target="http://www.sec.gov/Archives/edgar/data/1232524/000119312513481242/d647727dex21.htm" TargetMode="External"/><Relationship Id="rId121" Type="http://schemas.openxmlformats.org/officeDocument/2006/relationships/hyperlink" Target="http://www.sec.gov/Archives/edgar/data/1232524/000119312514008838/d656574dex21.htm" TargetMode="External"/><Relationship Id="rId124" Type="http://schemas.openxmlformats.org/officeDocument/2006/relationships/hyperlink" Target="http://www.sec.gov/Archives/edgar/data/1232524/000119312514295844/d768395dex21.htm" TargetMode="External"/><Relationship Id="rId125" Type="http://schemas.openxmlformats.org/officeDocument/2006/relationships/hyperlink" Target="http://www.sec.gov/Archives/edgar/data/1232524/000123252415000074/form8-kex21.htm" TargetMode="External"/><Relationship Id="rId126" Type="http://schemas.openxmlformats.org/officeDocument/2006/relationships/hyperlink" Target="http://www.sec.gov/Archives/edgar/data/1232524/000119312516607097/d203835dex21.htm" TargetMode="External"/><Relationship Id="rId127" Type="http://schemas.openxmlformats.org/officeDocument/2006/relationships/hyperlink" Target="https://www.sec.gov/Archives/edgar/data/1232524/000119312521027577/d117870dex21.htm" TargetMode="External"/><Relationship Id="rId128" Type="http://schemas.openxmlformats.org/officeDocument/2006/relationships/hyperlink" Target="http://www.sec.gov/Archives/edgar/data/1232524/000123252416000303/jazzq22016ex31.htm" TargetMode="External"/><Relationship Id="rId129" Type="http://schemas.openxmlformats.org/officeDocument/2006/relationships/hyperlink" Target="http://www.sec.gov/Archives/edgar/data/1232524/000119312509144891/dex1088.htm" TargetMode="External"/><Relationship Id="rId130" Type="http://schemas.openxmlformats.org/officeDocument/2006/relationships/hyperlink" Target="http://www.sec.gov/Archives/edgar/data/1232524/000119312512085849/d234872dex47b.htm" TargetMode="External"/><Relationship Id="rId131" Type="http://schemas.openxmlformats.org/officeDocument/2006/relationships/hyperlink" Target="http://www.sec.gov/Archives/edgar/data/1232524/000119312517265654/d641007dex41.htm" TargetMode="External"/><Relationship Id="rId132" Type="http://schemas.openxmlformats.org/officeDocument/2006/relationships/hyperlink" Target="https://www.sec.gov/Archives/edgar/data/1232524/000119312520166658/d945191dex41.htm" TargetMode="External"/><Relationship Id="rId133" Type="http://schemas.openxmlformats.org/officeDocument/2006/relationships/hyperlink" Target="https://www.sec.gov/Archives/edgar/data/0001232524/000119312521140517/d191392dex41.htm" TargetMode="External"/><Relationship Id="rId134" Type="http://schemas.openxmlformats.org/officeDocument/2006/relationships/hyperlink" Target="https://www.sec.gov/Archives/edgar/data/1232524/000123252421000045/jazzq22021ex45c.htm" TargetMode="External"/><Relationship Id="rId137" Type="http://schemas.openxmlformats.org/officeDocument/2006/relationships/hyperlink" Target="http://www.sec.gov/Archives/edgar/data/1232524/000123252417000134/jazzq22017ex101.htm" TargetMode="External"/><Relationship Id="rId138" Type="http://schemas.openxmlformats.org/officeDocument/2006/relationships/hyperlink" Target="http://www.sec.gov/Archives/edgar/data/1232524/000123252419000026/jazzq12019ex107.htm" TargetMode="External"/><Relationship Id="rId139" Type="http://schemas.openxmlformats.org/officeDocument/2006/relationships/hyperlink" Target="http://www.sec.gov/Archives/edgar/data/1232524/000123252419000026/jazzq12019ex106.htm" TargetMode="External"/><Relationship Id="rId140" Type="http://schemas.openxmlformats.org/officeDocument/2006/relationships/hyperlink" Target="http://www.sec.gov/Archives/edgar/data/1232524/000119312510109426/dex1054.htm" TargetMode="External"/><Relationship Id="rId141" Type="http://schemas.openxmlformats.org/officeDocument/2006/relationships/hyperlink" Target="http://www.sec.gov/Archives/edgar/data/1232524/000119312512347832/d394051dex1011.htm" TargetMode="External"/><Relationship Id="rId142" Type="http://schemas.openxmlformats.org/officeDocument/2006/relationships/hyperlink" Target="https://www.sec.gov/Archives/edgar/data/1232524/000123252415000140/jazzq22015ex103.htm" TargetMode="External"/><Relationship Id="rId143" Type="http://schemas.openxmlformats.org/officeDocument/2006/relationships/hyperlink" Target="https://www.sec.gov/Archives/edgar/data/1232524/000123252419000013/jazzq42018ex105.htm" TargetMode="External"/><Relationship Id="rId144" Type="http://schemas.openxmlformats.org/officeDocument/2006/relationships/hyperlink" Target="https://www.sec.gov/Archives/edgar/data/1232524/000123252421000016/jazzq42020ex108.htm" TargetMode="External"/><Relationship Id="rId145" Type="http://schemas.openxmlformats.org/officeDocument/2006/relationships/hyperlink" Target="https://www.sec.gov/Archives/edgar/data/1232524/000123252418000018/jazzq42017ex108.htm" TargetMode="External"/><Relationship Id="rId146" Type="http://schemas.openxmlformats.org/officeDocument/2006/relationships/hyperlink" Target="https://www.sec.gov/Archives/edgar/data/1232524/000123252418000094/jazzq12018ex103.htm" TargetMode="External"/><Relationship Id="rId147" Type="http://schemas.openxmlformats.org/officeDocument/2006/relationships/hyperlink" Target="https://www.sec.gov/Archives/edgar/data/1232524/000123252420000016/jazzq42019ex1010.htm" TargetMode="External"/><Relationship Id="rId148" Type="http://schemas.openxmlformats.org/officeDocument/2006/relationships/hyperlink" Target="https://www.sec.gov/Archives/edgar/data/1232524/000123252420000054/jazzq22020ex102.htm" TargetMode="External"/><Relationship Id="rId151" Type="http://schemas.openxmlformats.org/officeDocument/2006/relationships/hyperlink" Target="https://www.sec.gov/Archives/edgar/data/1232524/000123252421000045/jazzq22021ex101a.htm" TargetMode="External"/><Relationship Id="rId152" Type="http://schemas.openxmlformats.org/officeDocument/2006/relationships/hyperlink" Target="https://www.sec.gov/Archives/edgar/data/1232524/000123252421000045/jazzq22021ex101b.htm" TargetMode="External"/><Relationship Id="rId153" Type="http://schemas.openxmlformats.org/officeDocument/2006/relationships/hyperlink" Target="https://www.sec.gov/Archives/edgar/data/1232524/000123252421000016/jazzq42020ex1012.htm" TargetMode="External"/><Relationship Id="rId154" Type="http://schemas.openxmlformats.org/officeDocument/2006/relationships/hyperlink" Target="https://www.sec.gov/Archives/edgar/data/1232524/000123252421000045/jazzq22021ex102.htm" TargetMode="External"/><Relationship Id="rId155" Type="http://schemas.openxmlformats.org/officeDocument/2006/relationships/hyperlink" Target="http://www.sec.gov/Archives/edgar/data/1232524/000119312515227286/d943812dex101.htm" TargetMode="External"/><Relationship Id="rId156" Type="http://schemas.openxmlformats.org/officeDocument/2006/relationships/hyperlink" Target="http://www.sec.gov/Archives/edgar/data/1232524/000123252416000303/jazzq22016ex101.htm" TargetMode="External"/><Relationship Id="rId157" Type="http://schemas.openxmlformats.org/officeDocument/2006/relationships/hyperlink" Target="http://www.sec.gov/Archives/edgar/data/1232524/000123252418000133/jazzq22018ex104.htm" TargetMode="External"/><Relationship Id="rId158" Type="http://schemas.openxmlformats.org/officeDocument/2006/relationships/hyperlink" Target="https://www.sec.gov/Archives/edgar/data/1232524/000119312521122059/d141575dex101.htm" TargetMode="External"/><Relationship Id="rId159" Type="http://schemas.openxmlformats.org/officeDocument/2006/relationships/hyperlink" Target="https://www.sec.gov/Archives/edgar/data/1232524/000119312521151714/d186026dex101.htm" TargetMode="External"/><Relationship Id="rId160" Type="http://schemas.openxmlformats.org/officeDocument/2006/relationships/hyperlink" Target="http://www.sec.gov/Archives/edgar/data/1232524/000119312507065680/dex1052.htm" TargetMode="External"/><Relationship Id="rId163" Type="http://schemas.openxmlformats.org/officeDocument/2006/relationships/hyperlink" Target="http://www.sec.gov/Archives/edgar/data/1232524/000119312509125212/dex1086.htm" TargetMode="External"/><Relationship Id="rId164" Type="http://schemas.openxmlformats.org/officeDocument/2006/relationships/hyperlink" Target="http://www.sec.gov/Archives/edgar/data/1232524/000119312512085849/d234872dex1031.htm" TargetMode="External"/><Relationship Id="rId165" Type="http://schemas.openxmlformats.org/officeDocument/2006/relationships/hyperlink" Target="http://www.sec.gov/Archives/edgar/data/1232524/000119312512341236/d369113dex102.htm" TargetMode="External"/><Relationship Id="rId166" Type="http://schemas.openxmlformats.org/officeDocument/2006/relationships/hyperlink" Target="http://www.sec.gov/Archives/edgar/data/1232524/000123252415000030/jazzq42014ex1010.htm" TargetMode="External"/><Relationship Id="rId167" Type="http://schemas.openxmlformats.org/officeDocument/2006/relationships/hyperlink" Target="http://www.sec.gov/Archives/edgar/data/1232524/000123252418000133/jazzq22018ex105.htm" TargetMode="External"/><Relationship Id="rId168" Type="http://schemas.openxmlformats.org/officeDocument/2006/relationships/hyperlink" Target="http://www.sec.gov/Archives/edgar/data/1232524/000123252418000192/jazzq32018ex101.htm" TargetMode="External"/><Relationship Id="rId169" Type="http://schemas.openxmlformats.org/officeDocument/2006/relationships/hyperlink" Target="http://www.sec.gov/Archives/edgar/data/1232524/000119312512015521/d282897dex101.htm" TargetMode="External"/><Relationship Id="rId170" Type="http://schemas.openxmlformats.org/officeDocument/2006/relationships/hyperlink" Target="http://www.sec.gov/Archives/edgar/data/1232524/000123252418000018/jazzq42017ex1021.htm" TargetMode="External"/><Relationship Id="rId171" Type="http://schemas.openxmlformats.org/officeDocument/2006/relationships/hyperlink" Target="http://www.sec.gov/Archives/edgar/data/1232524/000123252419000044/jazzq22019ex104offeriannone.htm" TargetMode="External"/><Relationship Id="rId172" Type="http://schemas.openxmlformats.org/officeDocument/2006/relationships/hyperlink" Target="http://www.sec.gov/Archives/edgar/data/1232524/000123252419000060/jazzq32019ex101.htm" TargetMode="External"/><Relationship Id="rId173" Type="http://schemas.openxmlformats.org/officeDocument/2006/relationships/hyperlink" Target="http://www.sec.gov/Archives/edgar/data/1232524/000123252419000060/jazzq32019ex102.htm" TargetMode="External"/><Relationship Id="rId174" Type="http://schemas.openxmlformats.org/officeDocument/2006/relationships/hyperlink" Target="http://www.sec.gov/Archives/edgar/data/1232524/000123252419000060/jazzq32019ex103.htm" TargetMode="External"/><Relationship Id="rId175" Type="http://schemas.openxmlformats.org/officeDocument/2006/relationships/hyperlink" Target="http://www.sec.gov/Archives/edgar/data/1232524/000123252419000060/jazzq32019ex104.htm" TargetMode="External"/><Relationship Id="rId176" Type="http://schemas.openxmlformats.org/officeDocument/2006/relationships/hyperlink" Target="https://www.sec.gov/Archives/edgar/data/1232524/000123252420000016/jazzq42019ex1027.htm" TargetMode="External"/><Relationship Id="rId179" Type="http://schemas.openxmlformats.org/officeDocument/2006/relationships/hyperlink" Target="https://www.sec.gov/Archives/edgar/data/1232524/000123252420000034/jazzq12020ex102.htm" TargetMode="External"/><Relationship Id="rId180" Type="http://schemas.openxmlformats.org/officeDocument/2006/relationships/hyperlink" Target="https://www.sec.gov/Archives/edgar/data/1232524/000123252420000016/jazzq42019ex1028a.htm" TargetMode="External"/><Relationship Id="rId181" Type="http://schemas.openxmlformats.org/officeDocument/2006/relationships/hyperlink" Target="https://www.sec.gov/Archives/edgar/data/1232524/000123252420000034/jazzq12020ex104.htm" TargetMode="External"/><Relationship Id="rId182" Type="http://schemas.openxmlformats.org/officeDocument/2006/relationships/hyperlink" Target="https://www.sec.gov/Archives/edgar/data/1232524/000123252420000016/jazzq42019ex1028b.htm" TargetMode="External"/><Relationship Id="rId183" Type="http://schemas.openxmlformats.org/officeDocument/2006/relationships/hyperlink" Target="https://www.sec.gov/Archives/edgar/data/1232524/000123252420000034/jazzq12020ex101.htm" TargetMode="External"/><Relationship Id="rId184" Type="http://schemas.openxmlformats.org/officeDocument/2006/relationships/hyperlink" Target="https://www.sec.gov/Archives/edgar/data/1232524/000123252420000054/jazzq22020ex101.htm" TargetMode="External"/><Relationship Id="rId185" Type="http://schemas.openxmlformats.org/officeDocument/2006/relationships/hyperlink" Target="https://www.sec.gov/Archives/edgar/data/1232524/000123252421000045/jazzq22021ex104.htm" TargetMode="External"/><Relationship Id="rId186" Type="http://schemas.openxmlformats.org/officeDocument/2006/relationships/hyperlink" Target="https://www.sec.gov/Archives/edgar/data/1232524/000123252421000045/jazzq22021ex105.htm" TargetMode="External"/><Relationship Id="rId187" Type="http://schemas.openxmlformats.org/officeDocument/2006/relationships/hyperlink" Target="http://www.sec.gov/Archives/edgar/data/1232524/000119312512015710/d283614dex993.htm" TargetMode="External"/><Relationship Id="rId188" Type="http://schemas.openxmlformats.org/officeDocument/2006/relationships/hyperlink" Target="http://www.sec.gov/Archives/edgar/data/1232524/000119312512085849/d234872dex103b.htm" TargetMode="External"/><Relationship Id="rId189" Type="http://schemas.openxmlformats.org/officeDocument/2006/relationships/hyperlink" Target="http://www.sec.gov/Archives/edgar/data/1232524/000123252413000010/jazzq42012ex1027c.htm" TargetMode="External"/><Relationship Id="rId190" Type="http://schemas.openxmlformats.org/officeDocument/2006/relationships/hyperlink" Target="http://www.sec.gov/Archives/edgar/data/1232524/000123252413000010/jazzq42012ex1027d.htm" TargetMode="External"/><Relationship Id="rId191" Type="http://schemas.openxmlformats.org/officeDocument/2006/relationships/hyperlink" Target="http://www.sec.gov/Archives/edgar/data/1232524/000123252413000010/jazzq42012ex1027e.htm" TargetMode="External"/><Relationship Id="rId192" Type="http://schemas.openxmlformats.org/officeDocument/2006/relationships/hyperlink" Target="http://www.sec.gov/Archives/edgar/data/1232524/000123252413000010/jazzq42012ex1027f.htm" TargetMode="External"/><Relationship Id="rId195" Type="http://schemas.openxmlformats.org/officeDocument/2006/relationships/hyperlink" Target="http://www.sec.gov/Archives/edgar/data/1232524/000123252413000112/jazzq32013ex101.htm" TargetMode="External"/><Relationship Id="rId196" Type="http://schemas.openxmlformats.org/officeDocument/2006/relationships/hyperlink" Target="http://www.sec.gov/Archives/edgar/data/1232524/000123252413000112/jazzq32013ex102.htm" TargetMode="External"/><Relationship Id="rId197" Type="http://schemas.openxmlformats.org/officeDocument/2006/relationships/hyperlink" Target="http://www.sec.gov/Archives/edgar/data/1232524/000119312512015710/d283614dex991.htm" TargetMode="External"/><Relationship Id="rId198" Type="http://schemas.openxmlformats.org/officeDocument/2006/relationships/hyperlink" Target="http://www.sec.gov/Archives/edgar/data/1232524/000119312512085849/d234872dex1039b.htm" TargetMode="External"/><Relationship Id="rId199" Type="http://schemas.openxmlformats.org/officeDocument/2006/relationships/hyperlink" Target="http://www.sec.gov/Archives/edgar/data/1232524/000119312512341236/d369113dex107.htm" TargetMode="External"/><Relationship Id="rId200" Type="http://schemas.openxmlformats.org/officeDocument/2006/relationships/hyperlink" Target="http://www.sec.gov/Archives/edgar/data/1232524/000119312512341236/d369113dex108.htm" TargetMode="External"/><Relationship Id="rId201" Type="http://schemas.openxmlformats.org/officeDocument/2006/relationships/hyperlink" Target="http://www.sec.gov/Archives/edgar/data/1232524/000123252413000010/jazzq42012ex1028e.htm" TargetMode="External"/><Relationship Id="rId202" Type="http://schemas.openxmlformats.org/officeDocument/2006/relationships/hyperlink" Target="http://www.sec.gov/Archives/edgar/data/1232524/000119312512341236/d369113dex109.htm" TargetMode="External"/><Relationship Id="rId203" Type="http://schemas.openxmlformats.org/officeDocument/2006/relationships/hyperlink" Target="http://www.sec.gov/Archives/edgar/data/1232524/000119312512341236/d369113dex1010.htm" TargetMode="External"/><Relationship Id="rId204" Type="http://schemas.openxmlformats.org/officeDocument/2006/relationships/hyperlink" Target="http://www.sec.gov/Archives/edgar/data/1232524/000123252413000010/jazzq42012ex1028h.htm" TargetMode="External"/><Relationship Id="rId205" Type="http://schemas.openxmlformats.org/officeDocument/2006/relationships/hyperlink" Target="http://www.sec.gov/Archives/edgar/data/1232524/000123252413000112/jazzq32013ex103.htm" TargetMode="External"/><Relationship Id="rId206" Type="http://schemas.openxmlformats.org/officeDocument/2006/relationships/hyperlink" Target="http://www.sec.gov/Archives/edgar/data/1232524/000123252413000112/jazzq32103ex104.htm" TargetMode="External"/><Relationship Id="rId207" Type="http://schemas.openxmlformats.org/officeDocument/2006/relationships/hyperlink" Target="http://www.sec.gov/Archives/edgar/data/1232524/000123252413000112/jazzq32013ex105.htm" TargetMode="External"/><Relationship Id="rId208" Type="http://schemas.openxmlformats.org/officeDocument/2006/relationships/hyperlink" Target="http://www.sec.gov/Archives/edgar/data/1232524/000123252413000112/jazzq32013ex106.htm" TargetMode="External"/><Relationship Id="rId211" Type="http://schemas.openxmlformats.org/officeDocument/2006/relationships/hyperlink" Target="http://www.sec.gov/Archives/edgar/data/1232524/000123252416000271/jazzq12016ex101.htm" TargetMode="External"/><Relationship Id="rId212" Type="http://schemas.openxmlformats.org/officeDocument/2006/relationships/hyperlink" Target="http://www.sec.gov/Archives/edgar/data/1232524/000123252416000271/jazzq12016ex102.htm" TargetMode="External"/><Relationship Id="rId213" Type="http://schemas.openxmlformats.org/officeDocument/2006/relationships/hyperlink" Target="http://www.sec.gov/Archives/edgar/data/1232524/000123252416000303/jazzq22016ex108.htm" TargetMode="External"/><Relationship Id="rId214" Type="http://schemas.openxmlformats.org/officeDocument/2006/relationships/hyperlink" Target="http://www.sec.gov/Archives/edgar/data/1232524/000123252416000384/jazzq32016ex102.htm" TargetMode="External"/><Relationship Id="rId215" Type="http://schemas.openxmlformats.org/officeDocument/2006/relationships/hyperlink" Target="http://www.sec.gov/Archives/edgar/data/1232524/000123252416000384/jazzq32016ex106.htm" TargetMode="External"/><Relationship Id="rId216" Type="http://schemas.openxmlformats.org/officeDocument/2006/relationships/hyperlink" Target="http://www.sec.gov/Archives/edgar/data/1232524/000123252416000384/jazzq32016ex107.htm" TargetMode="External"/><Relationship Id="rId217" Type="http://schemas.openxmlformats.org/officeDocument/2006/relationships/hyperlink" Target="http://www.sec.gov/Archives/edgar/data/1232524/000123252416000384/jazzq32016ex108.htm" TargetMode="External"/><Relationship Id="rId218" Type="http://schemas.openxmlformats.org/officeDocument/2006/relationships/hyperlink" Target="http://www.sec.gov/Archives/edgar/data/1232524/000123252418000133/jazzq22018ex102.htm" TargetMode="External"/><Relationship Id="rId219" Type="http://schemas.openxmlformats.org/officeDocument/2006/relationships/hyperlink" Target="http://www.sec.gov/Archives/edgar/data/1232524/000123252418000133/jazzq22018ex103.htm" TargetMode="External"/><Relationship Id="rId220" Type="http://schemas.openxmlformats.org/officeDocument/2006/relationships/hyperlink" Target="http://www.sec.gov/Archives/edgar/data/1232524/000123252419000026/jazzq12019ex104.htm" TargetMode="External"/><Relationship Id="rId221" Type="http://schemas.openxmlformats.org/officeDocument/2006/relationships/hyperlink" Target="http://www.sec.gov/Archives/edgar/data/1232524/000123252419000026/jazzq12019ex105.htm" TargetMode="External"/><Relationship Id="rId222" Type="http://schemas.openxmlformats.org/officeDocument/2006/relationships/hyperlink" Target="https://www.sec.gov/Archives/edgar/data/1232524/000123252421000045/jazzq22021ex108.htm" TargetMode="External"/><Relationship Id="rId223" Type="http://schemas.openxmlformats.org/officeDocument/2006/relationships/hyperlink" Target="https://www.sec.gov/Archives/edgar/data/1232524/000123252421000045/jazzq22021ex109.htm" TargetMode="External"/><Relationship Id="rId224" Type="http://schemas.openxmlformats.org/officeDocument/2006/relationships/hyperlink" Target="https://www.sec.gov/Archives/edgar/data/1232524/000123252421000061/jazzq32021ex101.htm" TargetMode="External"/><Relationship Id="rId227" Type="http://schemas.openxmlformats.org/officeDocument/2006/relationships/hyperlink" Target="https://www.sec.gov/Archives/edgar/data/1232524/000123252421000045/jazzq22021ex106.htm" TargetMode="External"/><Relationship Id="rId228" Type="http://schemas.openxmlformats.org/officeDocument/2006/relationships/hyperlink" Target="https://www.sec.gov/Archives/edgar/data/1232524/000123252421000045/jazzq22021ex107.htm" TargetMode="External"/><Relationship Id="rId229" Type="http://schemas.openxmlformats.org/officeDocument/2006/relationships/hyperlink" Target="http://www.sec.gov/Archives/edgar/data/1232524/000119312512015710/d283614dex996.htm" TargetMode="External"/><Relationship Id="rId230" Type="http://schemas.openxmlformats.org/officeDocument/2006/relationships/hyperlink" Target="http://www.sec.gov/Archives/edgar/data/1232524/000119312512015710/d283614dex994.htm" TargetMode="External"/><Relationship Id="rId231" Type="http://schemas.openxmlformats.org/officeDocument/2006/relationships/hyperlink" Target="http://www.sec.gov/Archives/edgar/data/1232524/000123252413000010/jazzq42012ex1030b.htm" TargetMode="External"/><Relationship Id="rId232" Type="http://schemas.openxmlformats.org/officeDocument/2006/relationships/hyperlink" Target="http://www.sec.gov/Archives/edgar/data/1232524/000123252413000112/jazzq32013ex107.htm" TargetMode="External"/><Relationship Id="rId233" Type="http://schemas.openxmlformats.org/officeDocument/2006/relationships/hyperlink" Target="http://www.sec.gov/Archives/edgar/data/1232524/000123252416000303/jazzq22016ex109.htm" TargetMode="External"/><Relationship Id="rId234" Type="http://schemas.openxmlformats.org/officeDocument/2006/relationships/hyperlink" Target="http://www.sec.gov/Archives/edgar/data/1232524/000123252416000384/jazzq32016ex103.htm" TargetMode="External"/><Relationship Id="rId235" Type="http://schemas.openxmlformats.org/officeDocument/2006/relationships/hyperlink" Target="https://www.sec.gov/Archives/edgar/data/1232524/000123252420000054/jazzq22020ex103.htm" TargetMode="External"/><Relationship Id="rId236" Type="http://schemas.openxmlformats.org/officeDocument/2006/relationships/hyperlink" Target="http://www.sec.gov/Archives/edgar/data/1232524/000123252416000384/jazzq32016ex104.htm" TargetMode="External"/><Relationship Id="rId237" Type="http://schemas.openxmlformats.org/officeDocument/2006/relationships/hyperlink" Target="http://www.sec.gov/Archives/edgar/data/1232524/000123252416000384/jazzq32016ex105.htm" TargetMode="External"/><Relationship Id="rId238" Type="http://schemas.openxmlformats.org/officeDocument/2006/relationships/hyperlink" Target="http://www.sec.gov/Archives/edgar/data/1232524/000123252418000192/jazzq32018ex102.htm" TargetMode="External"/><Relationship Id="rId239" Type="http://schemas.openxmlformats.org/officeDocument/2006/relationships/hyperlink" Target="http://www.sec.gov/Archives/edgar/data/1232524/000123252418000192/jazzq32018ex103.htm" TargetMode="External"/><Relationship Id="rId242" Type="http://schemas.openxmlformats.org/officeDocument/2006/relationships/hyperlink" Target="http://www.sec.gov/Archives/edgar/data/1232524/000123252419000026/jazzq12019ex102.htm" TargetMode="External"/><Relationship Id="rId243" Type="http://schemas.openxmlformats.org/officeDocument/2006/relationships/hyperlink" Target="http://www.sec.gov/Archives/edgar/data/1232524/000123252419000026/jazzq12019ex103.htm" TargetMode="External"/><Relationship Id="rId244" Type="http://schemas.openxmlformats.org/officeDocument/2006/relationships/hyperlink" Target="https://www.sec.gov/Archives/edgar/data/1232524/000123252420000071/jazzq32020ex102.htm" TargetMode="External"/><Relationship Id="rId245" Type="http://schemas.openxmlformats.org/officeDocument/2006/relationships/hyperlink" Target="https://www.sec.gov/Archives/edgar/data/1232524/000123252420000071/jazzq32020ex103.htm" TargetMode="External"/><Relationship Id="rId246" Type="http://schemas.openxmlformats.org/officeDocument/2006/relationships/hyperlink" Target="https://www.sec.gov/Archives/edgar/data/1351288/000119312520153199/d875477dex41.htm" TargetMode="External"/><Relationship Id="rId247" Type="http://schemas.openxmlformats.org/officeDocument/2006/relationships/hyperlink" Target="https://www.sec.gov/Archives/edgar/data/1232524/000123252421000045/jazzq22021ex1010b.htm" TargetMode="External"/><Relationship Id="rId248" Type="http://schemas.openxmlformats.org/officeDocument/2006/relationships/hyperlink" Target="https://www.sec.gov/Archives/edgar/data/1232524/000123252421000045/jazzq22021ex1010c.htm" TargetMode="External"/><Relationship Id="rId249" Type="http://schemas.openxmlformats.org/officeDocument/2006/relationships/hyperlink" Target="https://www.sec.gov/Archives/edgar/data/1232524/000123252421000045/jazzq22021ex1010d.htm" TargetMode="External"/><Relationship Id="rId250" Type="http://schemas.openxmlformats.org/officeDocument/2006/relationships/hyperlink" Target="http://www.sec.gov/Archives/edgar/data/1232524/000123252413000010/jazzq42012ex1031a.htm" TargetMode="External"/><Relationship Id="rId251" Type="http://schemas.openxmlformats.org/officeDocument/2006/relationships/hyperlink" Target="http://www.sec.gov/Archives/edgar/data/1232524/000119312512218929/d315595dex1014c.htm" TargetMode="External"/><Relationship Id="rId252" Type="http://schemas.openxmlformats.org/officeDocument/2006/relationships/hyperlink" Target="https://www.sec.gov/Archives/edgar/data/1232524/000123252420000016/jazzq42019ex1034c.htm" TargetMode="External"/><Relationship Id="rId253" Type="http://schemas.openxmlformats.org/officeDocument/2006/relationships/hyperlink" Target="https://www.sec.gov/Archives/edgar/data/1232524/000123252420000016/jazzq42019ex1034d.htm" TargetMode="External"/><Relationship Id="rId254" Type="http://schemas.openxmlformats.org/officeDocument/2006/relationships/hyperlink" Target="https://www.sec.gov/Archives/edgar/data/1232524/000123252421000016/jazzq42020ex1033c.htm" TargetMode="External"/><Relationship Id="rId255" Type="http://schemas.openxmlformats.org/officeDocument/2006/relationships/hyperlink" Target="https://www.sec.gov/Archives/edgar/data/1232524/000123252421000016/jazzq42020ex1033d.htm" TargetMode="External"/><Relationship Id="rId259" Type="http://schemas.openxmlformats.org/officeDocument/2006/relationships/hyperlink" Target="http://www.sec.gov/Archives/edgar/data/1232524/000123252419000060/jazzq32019ex105.htm" TargetMode="External"/><Relationship Id="rId260" Type="http://schemas.openxmlformats.org/officeDocument/2006/relationships/hyperlink" Target="http://www.sec.gov/Archives/edgar/data/1232524/000123252418000133/jazzq22018ex101.htm" TargetMode="External"/><Relationship Id="rId261" Type="http://schemas.openxmlformats.org/officeDocument/2006/relationships/hyperlink" Target="https://www.sec.gov/Archives/edgar/data/1232524/000123252420000071/jazzq32020ex101.htm" TargetMode="External"/><Relationship Id="rId262" Type="http://schemas.openxmlformats.org/officeDocument/2006/relationships/hyperlink" Target="https://www.sec.gov/Archives/edgar/data/1232524/000123252421000045/jazzq22021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2022-03-01T17:13:25Z</dcterms:created>
  <dcterms:modified xsi:type="dcterms:W3CDTF">2022-03-01T17:13:25Z</dcterms:modified>
</cp:coreProperties>
</file>