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McSharry Heather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5TH FL, WATERLOO EXCHANGE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WATERLOO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 4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IRELAND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Jazz Pharmaceuticals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JAZZ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2"/>
        <w:gridCol w:w="924"/>
        <w:gridCol w:w="793"/>
        <w:gridCol w:w="614"/>
        <w:gridCol w:w="348"/>
        <w:gridCol w:w="834"/>
        <w:gridCol w:w="439"/>
        <w:gridCol w:w="1042"/>
        <w:gridCol w:w="1147"/>
        <w:gridCol w:w="990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244.6447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20,039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241.39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18,199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satisfy tax obligations arising out of the vesting of previously granted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/s/Paz Dizon, as attorney in fact For: Heather Ann McSharry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6068" TargetMode="External"/><Relationship Id="rId5" Type="http://schemas.openxmlformats.org/officeDocument/2006/relationships/hyperlink" Target="http://www.sec.gov/cgi-bin/browse-edgar?action=getcompany&amp;CIK=00012325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3251</Characters>
  <CharactersWithSpaces>3774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